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954405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2" w:lineRule="exact"/>
        <w:rPr>
          <w:sz w:val="24"/>
          <w:szCs w:val="24"/>
          <w:color w:val="auto"/>
        </w:rPr>
      </w:pPr>
    </w:p>
    <w:p>
      <w:pPr>
        <w:ind w:left="520" w:hanging="508"/>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81" w:lineRule="exact"/>
        <w:rPr>
          <w:rFonts w:ascii="MS PGothic" w:cs="MS PGothic" w:eastAsia="MS PGothic" w:hAnsi="MS PGothic"/>
          <w:sz w:val="18"/>
          <w:szCs w:val="18"/>
          <w:color w:val="auto"/>
          <w:highlight w:val="black"/>
        </w:rPr>
      </w:pPr>
    </w:p>
    <w:p>
      <w:pPr>
        <w:ind w:left="386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quarterly period ended March 31, 2026</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1" w:lineRule="exact"/>
        <w:rPr>
          <w:sz w:val="24"/>
          <w:szCs w:val="24"/>
          <w:color w:val="auto"/>
        </w:rPr>
      </w:pPr>
    </w:p>
    <w:p>
      <w:pPr>
        <w:ind w:left="520" w:hanging="508"/>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 _______ to 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001-39712</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OLEMA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70" w:lineRule="exact"/>
        <w:rPr>
          <w:sz w:val="24"/>
          <w:szCs w:val="24"/>
          <w:color w:val="auto"/>
        </w:rPr>
      </w:pPr>
    </w:p>
    <w:tbl>
      <w:tblPr>
        <w:tblLayout w:type="fixed"/>
        <w:tblInd w:w="1640" w:type="dxa"/>
        <w:tblCellMar>
          <w:top w:w="0" w:type="dxa"/>
          <w:left w:w="0" w:type="dxa"/>
          <w:bottom w:w="0" w:type="dxa"/>
          <w:right w:w="0" w:type="dxa"/>
        </w:tblCellMar>
      </w:tblPr>
      <w:tr>
        <w:trPr>
          <w:trHeight w:val="185"/>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Delaware</w:t>
            </w:r>
          </w:p>
        </w:tc>
        <w:tc>
          <w:tcPr>
            <w:tcW w:w="3020" w:type="dxa"/>
            <w:vAlign w:val="bottom"/>
          </w:tcPr>
          <w:p>
            <w:pPr>
              <w:jc w:val="right"/>
              <w:ind w:right="30"/>
              <w:spacing w:after="0"/>
              <w:rPr>
                <w:sz w:val="20"/>
                <w:szCs w:val="20"/>
                <w:color w:val="auto"/>
              </w:rPr>
            </w:pPr>
            <w:r>
              <w:rPr>
                <w:rFonts w:ascii="Arial" w:cs="Arial" w:eastAsia="Arial" w:hAnsi="Arial"/>
                <w:sz w:val="16"/>
                <w:szCs w:val="16"/>
                <w:b w:val="1"/>
                <w:bCs w:val="1"/>
                <w:color w:val="auto"/>
              </w:rPr>
              <w:t>30-0409740</w:t>
            </w:r>
          </w:p>
        </w:tc>
      </w:tr>
      <w:tr>
        <w:trPr>
          <w:trHeight w:val="135"/>
        </w:trPr>
        <w:tc>
          <w:tcPr>
            <w:tcW w:w="4300" w:type="dxa"/>
            <w:vAlign w:val="bottom"/>
          </w:tcPr>
          <w:p>
            <w:pPr>
              <w:jc w:val="center"/>
              <w:ind w:right="1868"/>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020" w:type="dxa"/>
            <w:vAlign w:val="bottom"/>
          </w:tcPr>
          <w:p>
            <w:pPr>
              <w:jc w:val="center"/>
              <w:ind w:left="1890"/>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39"/>
        </w:trPr>
        <w:tc>
          <w:tcPr>
            <w:tcW w:w="4300" w:type="dxa"/>
            <w:vAlign w:val="bottom"/>
          </w:tcPr>
          <w:p>
            <w:pPr>
              <w:jc w:val="center"/>
              <w:ind w:right="1868"/>
              <w:spacing w:after="0" w:line="139" w:lineRule="exact"/>
              <w:rPr>
                <w:sz w:val="20"/>
                <w:szCs w:val="20"/>
                <w:color w:val="auto"/>
              </w:rPr>
            </w:pPr>
            <w:r>
              <w:rPr>
                <w:rFonts w:ascii="Arial" w:cs="Arial" w:eastAsia="Arial" w:hAnsi="Arial"/>
                <w:sz w:val="13"/>
                <w:szCs w:val="13"/>
                <w:b w:val="1"/>
                <w:bCs w:val="1"/>
                <w:color w:val="auto"/>
                <w:w w:val="96"/>
              </w:rPr>
              <w:t>incorporation or organization)</w:t>
            </w:r>
          </w:p>
        </w:tc>
        <w:tc>
          <w:tcPr>
            <w:tcW w:w="3020" w:type="dxa"/>
            <w:vAlign w:val="bottom"/>
          </w:tcPr>
          <w:p>
            <w:pPr>
              <w:jc w:val="center"/>
              <w:ind w:left="1890"/>
              <w:spacing w:after="0" w:line="139" w:lineRule="exact"/>
              <w:rPr>
                <w:sz w:val="20"/>
                <w:szCs w:val="20"/>
                <w:color w:val="auto"/>
              </w:rPr>
            </w:pPr>
            <w:r>
              <w:rPr>
                <w:rFonts w:ascii="Arial" w:cs="Arial" w:eastAsia="Arial" w:hAnsi="Arial"/>
                <w:sz w:val="13"/>
                <w:szCs w:val="13"/>
                <w:b w:val="1"/>
                <w:bCs w:val="1"/>
                <w:color w:val="auto"/>
                <w:w w:val="96"/>
              </w:rPr>
              <w:t>Identification No.)</w:t>
            </w:r>
          </w:p>
        </w:tc>
      </w:tr>
      <w:tr>
        <w:trPr>
          <w:trHeight w:val="189"/>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780 Brannan Street</w:t>
            </w:r>
          </w:p>
        </w:tc>
        <w:tc>
          <w:tcPr>
            <w:tcW w:w="3020" w:type="dxa"/>
            <w:vAlign w:val="bottom"/>
          </w:tcPr>
          <w:p>
            <w:pPr>
              <w:spacing w:after="0"/>
              <w:rPr>
                <w:sz w:val="16"/>
                <w:szCs w:val="16"/>
                <w:color w:val="auto"/>
              </w:rPr>
            </w:pPr>
          </w:p>
        </w:tc>
      </w:tr>
      <w:tr>
        <w:trPr>
          <w:trHeight w:val="185"/>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San Francisco, CA</w:t>
            </w:r>
          </w:p>
        </w:tc>
        <w:tc>
          <w:tcPr>
            <w:tcW w:w="3020" w:type="dxa"/>
            <w:vAlign w:val="bottom"/>
          </w:tcPr>
          <w:p>
            <w:pPr>
              <w:jc w:val="right"/>
              <w:ind w:right="230"/>
              <w:spacing w:after="0"/>
              <w:rPr>
                <w:sz w:val="20"/>
                <w:szCs w:val="20"/>
                <w:color w:val="auto"/>
              </w:rPr>
            </w:pPr>
            <w:r>
              <w:rPr>
                <w:rFonts w:ascii="Arial" w:cs="Arial" w:eastAsia="Arial" w:hAnsi="Arial"/>
                <w:sz w:val="16"/>
                <w:szCs w:val="16"/>
                <w:b w:val="1"/>
                <w:bCs w:val="1"/>
                <w:color w:val="auto"/>
              </w:rPr>
              <w:t>94103</w:t>
            </w:r>
          </w:p>
        </w:tc>
      </w:tr>
      <w:tr>
        <w:trPr>
          <w:trHeight w:val="172"/>
        </w:trPr>
        <w:tc>
          <w:tcPr>
            <w:tcW w:w="4300" w:type="dxa"/>
            <w:vAlign w:val="bottom"/>
          </w:tcPr>
          <w:p>
            <w:pPr>
              <w:jc w:val="center"/>
              <w:ind w:right="1868"/>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20" w:type="dxa"/>
            <w:vAlign w:val="bottom"/>
          </w:tcPr>
          <w:p>
            <w:pPr>
              <w:jc w:val="center"/>
              <w:ind w:left="1890"/>
              <w:spacing w:after="0"/>
              <w:rPr>
                <w:sz w:val="20"/>
                <w:szCs w:val="20"/>
                <w:color w:val="auto"/>
              </w:rPr>
            </w:pPr>
            <w:r>
              <w:rPr>
                <w:rFonts w:ascii="Arial" w:cs="Arial" w:eastAsia="Arial" w:hAnsi="Arial"/>
                <w:sz w:val="13"/>
                <w:szCs w:val="13"/>
                <w:b w:val="1"/>
                <w:bCs w:val="1"/>
                <w:color w:val="auto"/>
                <w:w w:val="96"/>
              </w:rPr>
              <w:t>(Zip Code)</w:t>
            </w:r>
          </w:p>
        </w:tc>
      </w:tr>
    </w:tbl>
    <w:p>
      <w:pPr>
        <w:spacing w:after="0" w:line="1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Registrant’s telephone number, including area code: (415) 651</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3316</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9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900" w:type="dxa"/>
            <w:vAlign w:val="bottom"/>
          </w:tcPr>
          <w:p>
            <w:pPr>
              <w:spacing w:after="0"/>
              <w:rPr>
                <w:sz w:val="16"/>
                <w:szCs w:val="16"/>
                <w:color w:val="auto"/>
              </w:rPr>
            </w:pPr>
          </w:p>
        </w:tc>
        <w:tc>
          <w:tcPr>
            <w:tcW w:w="5380" w:type="dxa"/>
            <w:vAlign w:val="bottom"/>
          </w:tcPr>
          <w:p>
            <w:pPr>
              <w:spacing w:after="0"/>
              <w:rPr>
                <w:sz w:val="16"/>
                <w:szCs w:val="16"/>
                <w:color w:val="auto"/>
              </w:rPr>
            </w:pPr>
          </w:p>
        </w:tc>
      </w:tr>
      <w:tr>
        <w:trPr>
          <w:trHeight w:val="79"/>
        </w:trPr>
        <w:tc>
          <w:tcPr>
            <w:tcW w:w="396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5380" w:type="dxa"/>
            <w:vAlign w:val="bottom"/>
            <w:tcBorders>
              <w:bottom w:val="single" w:sz="8" w:color="auto"/>
            </w:tcBorders>
          </w:tcPr>
          <w:p>
            <w:pPr>
              <w:spacing w:after="0"/>
              <w:rPr>
                <w:sz w:val="6"/>
                <w:szCs w:val="6"/>
                <w:color w:val="auto"/>
              </w:rPr>
            </w:pPr>
          </w:p>
        </w:tc>
      </w:tr>
      <w:tr>
        <w:trPr>
          <w:trHeight w:val="155"/>
        </w:trPr>
        <w:tc>
          <w:tcPr>
            <w:tcW w:w="3960" w:type="dxa"/>
            <w:vAlign w:val="bottom"/>
            <w:tcBorders>
              <w:left w:val="single" w:sz="8" w:color="auto"/>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Title of Each Class of Securities Registered</w:t>
            </w:r>
          </w:p>
        </w:tc>
        <w:tc>
          <w:tcPr>
            <w:tcW w:w="190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Trading Symbol</w:t>
            </w:r>
          </w:p>
        </w:tc>
        <w:tc>
          <w:tcPr>
            <w:tcW w:w="538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Name of Each Exchange on which Securities are Registered</w:t>
            </w:r>
          </w:p>
        </w:tc>
      </w:tr>
      <w:tr>
        <w:trPr>
          <w:trHeight w:val="139"/>
        </w:trPr>
        <w:tc>
          <w:tcPr>
            <w:tcW w:w="3960" w:type="dxa"/>
            <w:vAlign w:val="bottom"/>
            <w:tcBorders>
              <w:left w:val="single" w:sz="8" w:color="auto"/>
              <w:bottom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Common Stock, par value $0.0001 per share</w:t>
            </w:r>
          </w:p>
        </w:tc>
        <w:tc>
          <w:tcPr>
            <w:tcW w:w="190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OLMA</w:t>
            </w:r>
          </w:p>
        </w:tc>
        <w:tc>
          <w:tcPr>
            <w:tcW w:w="538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The Nasdaq Global Select Market</w:t>
            </w:r>
          </w:p>
        </w:tc>
      </w:tr>
    </w:tbl>
    <w:p>
      <w:pPr>
        <w:spacing w:after="0" w:line="72"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08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08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46"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spacing w:after="0" w:line="263" w:lineRule="auto"/>
        <w:rPr>
          <w:sz w:val="20"/>
          <w:szCs w:val="20"/>
          <w:color w:val="auto"/>
        </w:rPr>
      </w:pPr>
      <w:r>
        <w:rPr>
          <w:rFonts w:ascii="Arial" w:cs="Arial" w:eastAsia="Arial" w:hAnsi="Arial"/>
          <w:sz w:val="14"/>
          <w:szCs w:val="14"/>
          <w:color w:val="auto"/>
        </w:rPr>
        <w:t>As of May 7, 2026, the number of outstanding shares of the Registrant’s common stock was 87,347,471. This number does not include 13,594,149 shares of common stock issuable upon the exercise of pre-funded warrants (which are immediately exercisable at an exercise price of $0.0001 per share of common stock, subject to beneficial ownership limitations) (See Notes 2 and 12 to Registrant's condensed consolidated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985520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2940" w:type="dxa"/>
            <w:vAlign w:val="bottom"/>
            <w:gridSpan w:val="9"/>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7520" w:type="dxa"/>
            <w:vAlign w:val="bottom"/>
            <w:gridSpan w:val="11"/>
            <w:vMerge w:val="restart"/>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940" w:type="dxa"/>
            <w:vAlign w:val="bottom"/>
            <w:tcBorders>
              <w:bottom w:val="single" w:sz="8" w:color="0000EE"/>
            </w:tcBorders>
            <w:gridSpan w:val="9"/>
            <w:vMerge w:val="continue"/>
          </w:tcPr>
          <w:p>
            <w:pPr>
              <w:spacing w:after="0"/>
              <w:rPr>
                <w:sz w:val="14"/>
                <w:szCs w:val="14"/>
                <w:color w:val="auto"/>
              </w:rPr>
            </w:pPr>
          </w:p>
        </w:tc>
        <w:tc>
          <w:tcPr>
            <w:tcW w:w="7520" w:type="dxa"/>
            <w:vAlign w:val="bottom"/>
            <w:gridSpan w:val="11"/>
            <w:vMerge w:val="continue"/>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2"/>
        </w:trPr>
        <w:tc>
          <w:tcPr>
            <w:tcW w:w="10460" w:type="dxa"/>
            <w:vAlign w:val="bottom"/>
            <w:gridSpan w:val="20"/>
          </w:tcPr>
          <w:p>
            <w:pPr>
              <w:spacing w:after="0" w:line="182" w:lineRule="exact"/>
              <w:rPr>
                <w:sz w:val="20"/>
                <w:szCs w:val="20"/>
                <w:color w:val="auto"/>
              </w:rPr>
            </w:pPr>
            <w:r>
              <w:rPr>
                <w:rFonts w:ascii="Arial" w:cs="Arial" w:eastAsia="Arial" w:hAnsi="Arial"/>
                <w:sz w:val="18"/>
                <w:szCs w:val="18"/>
                <w:color w:val="0000EE"/>
              </w:rPr>
              <w:t>Item 1. Financial Statements (unaudited)</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4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6"/>
              </w:rPr>
              <w:t>Condensed Consolidated Balance Sheets</w:t>
            </w:r>
          </w:p>
        </w:tc>
        <w:tc>
          <w:tcPr>
            <w:tcW w:w="100" w:type="dxa"/>
            <w:vAlign w:val="bottom"/>
            <w:tcBorders>
              <w:bottom w:val="single" w:sz="8" w:color="0000EE"/>
            </w:tcBorders>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2"/>
        </w:trPr>
        <w:tc>
          <w:tcPr>
            <w:tcW w:w="3340" w:type="dxa"/>
            <w:vAlign w:val="bottom"/>
            <w:gridSpan w:val="12"/>
          </w:tcPr>
          <w:p>
            <w:pPr>
              <w:spacing w:after="0" w:line="182" w:lineRule="exact"/>
              <w:rPr>
                <w:sz w:val="20"/>
                <w:szCs w:val="20"/>
                <w:color w:val="auto"/>
              </w:rPr>
            </w:pPr>
            <w:r>
              <w:rPr>
                <w:rFonts w:ascii="Arial" w:cs="Arial" w:eastAsia="Arial" w:hAnsi="Arial"/>
                <w:sz w:val="18"/>
                <w:szCs w:val="18"/>
                <w:color w:val="0000EE"/>
              </w:rPr>
              <w:t>Condensed Consolidated Statements of</w:t>
            </w:r>
          </w:p>
        </w:tc>
        <w:tc>
          <w:tcPr>
            <w:tcW w:w="7120" w:type="dxa"/>
            <w:vAlign w:val="bottom"/>
            <w:gridSpan w:val="8"/>
          </w:tcPr>
          <w:p>
            <w:pPr>
              <w:spacing w:after="0" w:line="182" w:lineRule="exact"/>
              <w:rPr>
                <w:sz w:val="20"/>
                <w:szCs w:val="20"/>
                <w:color w:val="auto"/>
              </w:rPr>
            </w:pPr>
            <w:r>
              <w:rPr>
                <w:rFonts w:ascii="Arial" w:cs="Arial" w:eastAsia="Arial" w:hAnsi="Arial"/>
                <w:sz w:val="18"/>
                <w:szCs w:val="18"/>
                <w:color w:val="0000EE"/>
              </w:rPr>
              <w:t>Operations and Comprehensive Loss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62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w:t>
            </w:r>
          </w:p>
        </w:tc>
        <w:tc>
          <w:tcPr>
            <w:tcW w:w="14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418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Condensed Consolidated Statements of Cash Flows</w:t>
            </w:r>
          </w:p>
        </w:tc>
        <w:tc>
          <w:tcPr>
            <w:tcW w:w="680" w:type="dxa"/>
            <w:vAlign w:val="bottom"/>
            <w:tcBorders>
              <w:top w:val="single" w:sz="8" w:color="0000EE"/>
            </w:tcBorders>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spacing w:after="0"/>
              <w:rPr>
                <w:sz w:val="15"/>
                <w:szCs w:val="15"/>
                <w:color w:val="auto"/>
              </w:rPr>
            </w:pPr>
          </w:p>
        </w:tc>
        <w:tc>
          <w:tcPr>
            <w:tcW w:w="27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Notes to Unaudited Condensed Consolidated Financial Statements</w:t>
            </w:r>
          </w:p>
        </w:tc>
        <w:tc>
          <w:tcPr>
            <w:tcW w:w="5100" w:type="dxa"/>
            <w:vAlign w:val="bottom"/>
            <w:gridSpan w:val="4"/>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2"/>
        </w:trPr>
        <w:tc>
          <w:tcPr>
            <w:tcW w:w="10460" w:type="dxa"/>
            <w:vAlign w:val="bottom"/>
            <w:gridSpan w:val="20"/>
          </w:tcPr>
          <w:p>
            <w:pPr>
              <w:spacing w:after="0" w:line="182"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768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278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532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40" w:type="dxa"/>
            <w:vAlign w:val="bottom"/>
            <w:gridSpan w:val="2"/>
          </w:tcPr>
          <w:p>
            <w:pPr>
              <w:spacing w:after="0"/>
              <w:rPr>
                <w:sz w:val="15"/>
                <w:szCs w:val="15"/>
                <w:color w:val="auto"/>
              </w:rPr>
            </w:pPr>
          </w:p>
        </w:tc>
        <w:tc>
          <w:tcPr>
            <w:tcW w:w="500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60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6"/>
              </w:rPr>
              <w:t>PART II. OTHER INFORMATION</w:t>
            </w:r>
          </w:p>
        </w:tc>
        <w:tc>
          <w:tcPr>
            <w:tcW w:w="80" w:type="dxa"/>
            <w:vAlign w:val="bottom"/>
            <w:tcBorders>
              <w:bottom w:val="single" w:sz="8" w:color="0000EE"/>
            </w:tcBorders>
          </w:tcPr>
          <w:p>
            <w:pPr>
              <w:spacing w:after="0"/>
              <w:rPr>
                <w:sz w:val="15"/>
                <w:szCs w:val="15"/>
                <w:color w:val="auto"/>
              </w:rPr>
            </w:pPr>
          </w:p>
        </w:tc>
        <w:tc>
          <w:tcPr>
            <w:tcW w:w="480" w:type="dxa"/>
            <w:vAlign w:val="bottom"/>
            <w:gridSpan w:val="2"/>
          </w:tcPr>
          <w:p>
            <w:pPr>
              <w:spacing w:after="0"/>
              <w:rPr>
                <w:sz w:val="15"/>
                <w:szCs w:val="15"/>
                <w:color w:val="auto"/>
              </w:rPr>
            </w:pPr>
          </w:p>
        </w:tc>
        <w:tc>
          <w:tcPr>
            <w:tcW w:w="2300" w:type="dxa"/>
            <w:vAlign w:val="bottom"/>
            <w:gridSpan w:val="7"/>
          </w:tcPr>
          <w:p>
            <w:pPr>
              <w:spacing w:after="0"/>
              <w:rPr>
                <w:sz w:val="15"/>
                <w:szCs w:val="15"/>
                <w:color w:val="auto"/>
              </w:rPr>
            </w:pPr>
          </w:p>
        </w:tc>
        <w:tc>
          <w:tcPr>
            <w:tcW w:w="500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2"/>
        </w:trPr>
        <w:tc>
          <w:tcPr>
            <w:tcW w:w="2680" w:type="dxa"/>
            <w:vAlign w:val="bottom"/>
            <w:gridSpan w:val="8"/>
          </w:tcPr>
          <w:p>
            <w:pPr>
              <w:spacing w:after="0" w:line="182" w:lineRule="exact"/>
              <w:rPr>
                <w:sz w:val="20"/>
                <w:szCs w:val="20"/>
                <w:color w:val="auto"/>
              </w:rPr>
            </w:pPr>
            <w:r>
              <w:rPr>
                <w:rFonts w:ascii="Arial" w:cs="Arial" w:eastAsia="Arial" w:hAnsi="Arial"/>
                <w:sz w:val="18"/>
                <w:szCs w:val="18"/>
                <w:color w:val="0000EE"/>
              </w:rPr>
              <w:t>Item 1. Legal Proceedings</w:t>
            </w:r>
          </w:p>
        </w:tc>
        <w:tc>
          <w:tcPr>
            <w:tcW w:w="480" w:type="dxa"/>
            <w:vAlign w:val="bottom"/>
            <w:gridSpan w:val="2"/>
          </w:tcPr>
          <w:p>
            <w:pPr>
              <w:spacing w:after="0"/>
              <w:rPr>
                <w:sz w:val="15"/>
                <w:szCs w:val="15"/>
                <w:color w:val="auto"/>
              </w:rPr>
            </w:pPr>
          </w:p>
        </w:tc>
        <w:tc>
          <w:tcPr>
            <w:tcW w:w="2300" w:type="dxa"/>
            <w:vAlign w:val="bottom"/>
            <w:gridSpan w:val="7"/>
          </w:tcPr>
          <w:p>
            <w:pPr>
              <w:spacing w:after="0"/>
              <w:rPr>
                <w:sz w:val="15"/>
                <w:szCs w:val="15"/>
                <w:color w:val="auto"/>
              </w:rPr>
            </w:pPr>
          </w:p>
        </w:tc>
        <w:tc>
          <w:tcPr>
            <w:tcW w:w="500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1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1A. Risk Factors</w:t>
            </w:r>
          </w:p>
        </w:tc>
        <w:tc>
          <w:tcPr>
            <w:tcW w:w="440" w:type="dxa"/>
            <w:vAlign w:val="bottom"/>
          </w:tcPr>
          <w:p>
            <w:pPr>
              <w:spacing w:after="0"/>
              <w:rPr>
                <w:sz w:val="15"/>
                <w:szCs w:val="15"/>
                <w:color w:val="auto"/>
              </w:rPr>
            </w:pPr>
          </w:p>
        </w:tc>
        <w:tc>
          <w:tcPr>
            <w:tcW w:w="620" w:type="dxa"/>
            <w:vAlign w:val="bottom"/>
            <w:gridSpan w:val="4"/>
          </w:tcPr>
          <w:p>
            <w:pPr>
              <w:spacing w:after="0"/>
              <w:rPr>
                <w:sz w:val="15"/>
                <w:szCs w:val="15"/>
                <w:color w:val="auto"/>
              </w:rPr>
            </w:pPr>
          </w:p>
        </w:tc>
        <w:tc>
          <w:tcPr>
            <w:tcW w:w="2300" w:type="dxa"/>
            <w:vAlign w:val="bottom"/>
            <w:gridSpan w:val="7"/>
          </w:tcPr>
          <w:p>
            <w:pPr>
              <w:spacing w:after="0"/>
              <w:rPr>
                <w:sz w:val="15"/>
                <w:szCs w:val="15"/>
                <w:color w:val="auto"/>
              </w:rPr>
            </w:pPr>
          </w:p>
        </w:tc>
        <w:tc>
          <w:tcPr>
            <w:tcW w:w="500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2"/>
        </w:trPr>
        <w:tc>
          <w:tcPr>
            <w:tcW w:w="17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Item 2. Unregistered</w:t>
            </w:r>
          </w:p>
        </w:tc>
        <w:tc>
          <w:tcPr>
            <w:tcW w:w="8740" w:type="dxa"/>
            <w:vAlign w:val="bottom"/>
            <w:gridSpan w:val="17"/>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Item 3.</w:t>
            </w:r>
          </w:p>
        </w:tc>
        <w:tc>
          <w:tcPr>
            <w:tcW w:w="4880" w:type="dxa"/>
            <w:vAlign w:val="bottom"/>
            <w:tcBorders>
              <w:top w:val="single" w:sz="8" w:color="0000EE"/>
            </w:tcBorders>
            <w:gridSpan w:val="16"/>
          </w:tcPr>
          <w:p>
            <w:pPr>
              <w:ind w:left="20"/>
              <w:spacing w:after="0" w:line="182" w:lineRule="exact"/>
              <w:rPr>
                <w:sz w:val="20"/>
                <w:szCs w:val="20"/>
                <w:color w:val="auto"/>
              </w:rPr>
            </w:pPr>
            <w:r>
              <w:rPr>
                <w:rFonts w:ascii="Arial" w:cs="Arial" w:eastAsia="Arial" w:hAnsi="Arial"/>
                <w:sz w:val="18"/>
                <w:szCs w:val="18"/>
                <w:color w:val="0000EE"/>
              </w:rPr>
              <w:t>Defaults Upon Senior Securities</w:t>
            </w:r>
          </w:p>
        </w:tc>
        <w:tc>
          <w:tcPr>
            <w:tcW w:w="500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Item 4.</w:t>
            </w:r>
          </w:p>
        </w:tc>
        <w:tc>
          <w:tcPr>
            <w:tcW w:w="2580" w:type="dxa"/>
            <w:vAlign w:val="bottom"/>
            <w:tcBorders>
              <w:top w:val="single" w:sz="8" w:color="0000EE"/>
            </w:tcBorders>
            <w:gridSpan w:val="9"/>
          </w:tcPr>
          <w:p>
            <w:pPr>
              <w:ind w:left="20"/>
              <w:spacing w:after="0" w:line="182" w:lineRule="exact"/>
              <w:rPr>
                <w:sz w:val="20"/>
                <w:szCs w:val="20"/>
                <w:color w:val="auto"/>
              </w:rPr>
            </w:pPr>
            <w:r>
              <w:rPr>
                <w:rFonts w:ascii="Arial" w:cs="Arial" w:eastAsia="Arial" w:hAnsi="Arial"/>
                <w:sz w:val="18"/>
                <w:szCs w:val="18"/>
                <w:color w:val="0000EE"/>
              </w:rPr>
              <w:t>Mine Safety Disclosures</w:t>
            </w:r>
          </w:p>
        </w:tc>
        <w:tc>
          <w:tcPr>
            <w:tcW w:w="7300" w:type="dxa"/>
            <w:vAlign w:val="bottom"/>
            <w:gridSpan w:val="10"/>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FF"/>
              </w:rPr>
              <w:t>Item 5.</w:t>
            </w:r>
          </w:p>
        </w:tc>
        <w:tc>
          <w:tcPr>
            <w:tcW w:w="1960" w:type="dxa"/>
            <w:vAlign w:val="bottom"/>
            <w:tcBorders>
              <w:top w:val="single" w:sz="8" w:color="0000EE"/>
            </w:tcBorders>
            <w:gridSpan w:val="5"/>
          </w:tcPr>
          <w:p>
            <w:pPr>
              <w:ind w:left="20"/>
              <w:spacing w:after="0" w:line="182" w:lineRule="exact"/>
              <w:rPr>
                <w:sz w:val="20"/>
                <w:szCs w:val="20"/>
                <w:color w:val="auto"/>
              </w:rPr>
            </w:pPr>
            <w:r>
              <w:rPr>
                <w:rFonts w:ascii="Arial" w:cs="Arial" w:eastAsia="Arial" w:hAnsi="Arial"/>
                <w:sz w:val="18"/>
                <w:szCs w:val="18"/>
                <w:color w:val="0000FF"/>
              </w:rPr>
              <w:t>Other Information</w:t>
            </w:r>
          </w:p>
        </w:tc>
        <w:tc>
          <w:tcPr>
            <w:tcW w:w="7920" w:type="dxa"/>
            <w:vAlign w:val="bottom"/>
            <w:gridSpan w:val="14"/>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FF"/>
              <w:bottom w:val="single" w:sz="8" w:color="0000EE"/>
            </w:tcBorders>
          </w:tcPr>
          <w:p>
            <w:pPr>
              <w:spacing w:after="0" w:line="182" w:lineRule="exact"/>
              <w:rPr>
                <w:sz w:val="20"/>
                <w:szCs w:val="20"/>
                <w:color w:val="auto"/>
              </w:rPr>
            </w:pPr>
            <w:r>
              <w:rPr>
                <w:rFonts w:ascii="Arial" w:cs="Arial" w:eastAsia="Arial" w:hAnsi="Arial"/>
                <w:sz w:val="18"/>
                <w:szCs w:val="18"/>
                <w:color w:val="0000EE"/>
              </w:rPr>
              <w:t>Item 6.</w:t>
            </w:r>
          </w:p>
        </w:tc>
        <w:tc>
          <w:tcPr>
            <w:tcW w:w="660" w:type="dxa"/>
            <w:vAlign w:val="bottom"/>
            <w:tcBorders>
              <w:top w:val="single" w:sz="8" w:color="0000FF"/>
              <w:bottom w:val="single" w:sz="8" w:color="0000EE"/>
            </w:tcBorders>
          </w:tcPr>
          <w:p>
            <w:pPr>
              <w:ind w:left="20"/>
              <w:spacing w:after="0" w:line="182" w:lineRule="exact"/>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FF"/>
            </w:tcBorders>
            <w:gridSpan w:val="2"/>
          </w:tcPr>
          <w:p>
            <w:pPr>
              <w:spacing w:after="0"/>
              <w:rPr>
                <w:sz w:val="15"/>
                <w:szCs w:val="15"/>
                <w:color w:val="auto"/>
              </w:rPr>
            </w:pPr>
          </w:p>
        </w:tc>
        <w:tc>
          <w:tcPr>
            <w:tcW w:w="8460" w:type="dxa"/>
            <w:vAlign w:val="bottom"/>
            <w:gridSpan w:val="16"/>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8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83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52,547</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48,301</w:t>
            </w:r>
          </w:p>
        </w:tc>
      </w:tr>
      <w:tr>
        <w:trPr>
          <w:trHeight w:val="203"/>
        </w:trPr>
        <w:tc>
          <w:tcPr>
            <w:tcW w:w="8320" w:type="dxa"/>
            <w:vAlign w:val="bottom"/>
          </w:tcPr>
          <w:p>
            <w:pPr>
              <w:ind w:left="220"/>
              <w:spacing w:after="0" w:line="202" w:lineRule="exact"/>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452,800</w:t>
            </w:r>
          </w:p>
        </w:tc>
        <w:tc>
          <w:tcPr>
            <w:tcW w:w="2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457,136</w:t>
            </w:r>
          </w:p>
        </w:tc>
      </w:tr>
      <w:tr>
        <w:trPr>
          <w:trHeight w:val="203"/>
        </w:trPr>
        <w:tc>
          <w:tcPr>
            <w:tcW w:w="832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231F20"/>
            </w:tcBorders>
            <w:shd w:val="clear" w:color="auto" w:fill="CFF0FC"/>
          </w:tcPr>
          <w:p>
            <w:pPr>
              <w:spacing w:after="0"/>
              <w:rPr>
                <w:sz w:val="17"/>
                <w:szCs w:val="17"/>
                <w:color w:val="auto"/>
              </w:rPr>
            </w:pPr>
          </w:p>
        </w:tc>
        <w:tc>
          <w:tcPr>
            <w:tcW w:w="1240" w:type="dxa"/>
            <w:vAlign w:val="bottom"/>
            <w:tcBorders>
              <w:bottom w:val="single" w:sz="8" w:color="231F20"/>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7,882</w:t>
            </w:r>
          </w:p>
        </w:tc>
        <w:tc>
          <w:tcPr>
            <w:tcW w:w="200" w:type="dxa"/>
            <w:vAlign w:val="bottom"/>
            <w:tcBorders>
              <w:bottom w:val="single" w:sz="8" w:color="231F20"/>
            </w:tcBorders>
            <w:shd w:val="clear" w:color="auto" w:fill="CFF0FC"/>
          </w:tcPr>
          <w:p>
            <w:pPr>
              <w:spacing w:after="0"/>
              <w:rPr>
                <w:sz w:val="17"/>
                <w:szCs w:val="17"/>
                <w:color w:val="auto"/>
              </w:rPr>
            </w:pPr>
          </w:p>
        </w:tc>
        <w:tc>
          <w:tcPr>
            <w:tcW w:w="1180" w:type="dxa"/>
            <w:vAlign w:val="bottom"/>
            <w:tcBorders>
              <w:bottom w:val="single" w:sz="8" w:color="231F20"/>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10,015</w:t>
            </w:r>
          </w:p>
        </w:tc>
      </w:tr>
      <w:tr>
        <w:trPr>
          <w:trHeight w:val="196"/>
        </w:trPr>
        <w:tc>
          <w:tcPr>
            <w:tcW w:w="8320" w:type="dxa"/>
            <w:vAlign w:val="bottom"/>
          </w:tcPr>
          <w:p>
            <w:pPr>
              <w:ind w:left="440"/>
              <w:spacing w:after="0" w:line="196" w:lineRule="exact"/>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513,229</w:t>
            </w:r>
          </w:p>
        </w:tc>
        <w:tc>
          <w:tcPr>
            <w:tcW w:w="200" w:type="dxa"/>
            <w:vAlign w:val="bottom"/>
          </w:tcPr>
          <w:p>
            <w:pPr>
              <w:spacing w:after="0"/>
              <w:rPr>
                <w:sz w:val="17"/>
                <w:szCs w:val="17"/>
                <w:color w:val="auto"/>
              </w:rPr>
            </w:pPr>
          </w:p>
        </w:tc>
        <w:tc>
          <w:tcPr>
            <w:tcW w:w="11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515,452</w:t>
            </w:r>
          </w:p>
        </w:tc>
      </w:tr>
      <w:tr>
        <w:trPr>
          <w:trHeight w:val="203"/>
        </w:trPr>
        <w:tc>
          <w:tcPr>
            <w:tcW w:w="8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921</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1,146</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Other assets and long-term deposits</w:t>
            </w:r>
          </w:p>
        </w:tc>
        <w:tc>
          <w:tcPr>
            <w:tcW w:w="1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52"/>
              <w:spacing w:after="0" w:line="202" w:lineRule="exact"/>
              <w:rPr>
                <w:sz w:val="20"/>
                <w:szCs w:val="20"/>
                <w:color w:val="auto"/>
              </w:rPr>
            </w:pPr>
            <w:r>
              <w:rPr>
                <w:rFonts w:ascii="Arial" w:cs="Arial" w:eastAsia="Arial" w:hAnsi="Arial"/>
                <w:sz w:val="18"/>
                <w:szCs w:val="18"/>
                <w:color w:val="auto"/>
              </w:rPr>
              <w:t>16,495</w:t>
            </w:r>
          </w:p>
        </w:tc>
        <w:tc>
          <w:tcPr>
            <w:tcW w:w="20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32"/>
              <w:spacing w:after="0" w:line="202" w:lineRule="exact"/>
              <w:rPr>
                <w:sz w:val="20"/>
                <w:szCs w:val="20"/>
                <w:color w:val="auto"/>
              </w:rPr>
            </w:pPr>
            <w:r>
              <w:rPr>
                <w:rFonts w:ascii="Arial" w:cs="Arial" w:eastAsia="Arial" w:hAnsi="Arial"/>
                <w:sz w:val="18"/>
                <w:szCs w:val="18"/>
                <w:color w:val="auto"/>
              </w:rPr>
              <w:t>16,832</w:t>
            </w:r>
          </w:p>
        </w:tc>
      </w:tr>
      <w:tr>
        <w:trPr>
          <w:trHeight w:val="236"/>
        </w:trPr>
        <w:tc>
          <w:tcPr>
            <w:tcW w:w="8320" w:type="dxa"/>
            <w:vAlign w:val="bottom"/>
            <w:shd w:val="clear" w:color="auto" w:fill="CFF0FC"/>
          </w:tcPr>
          <w:p>
            <w:pPr>
              <w:ind w:left="440"/>
              <w:spacing w:after="0" w:line="182" w:lineRule="exact"/>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2"/>
              <w:spacing w:after="0" w:line="182" w:lineRule="exact"/>
              <w:rPr>
                <w:sz w:val="20"/>
                <w:szCs w:val="20"/>
                <w:color w:val="auto"/>
              </w:rPr>
            </w:pPr>
            <w:r>
              <w:rPr>
                <w:rFonts w:ascii="Arial" w:cs="Arial" w:eastAsia="Arial" w:hAnsi="Arial"/>
                <w:sz w:val="18"/>
                <w:szCs w:val="18"/>
                <w:color w:val="auto"/>
              </w:rPr>
              <w:t>530,645</w:t>
            </w:r>
          </w:p>
        </w:tc>
        <w:tc>
          <w:tcPr>
            <w:tcW w:w="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533,430</w:t>
            </w:r>
          </w:p>
        </w:tc>
      </w:tr>
      <w:tr>
        <w:trPr>
          <w:trHeight w:val="183"/>
        </w:trPr>
        <w:tc>
          <w:tcPr>
            <w:tcW w:w="83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203"/>
        </w:trPr>
        <w:tc>
          <w:tcPr>
            <w:tcW w:w="8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83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3,719</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9,253</w:t>
            </w:r>
          </w:p>
        </w:tc>
      </w:tr>
      <w:tr>
        <w:trPr>
          <w:trHeight w:val="203"/>
        </w:trPr>
        <w:tc>
          <w:tcPr>
            <w:tcW w:w="8320" w:type="dxa"/>
            <w:vAlign w:val="bottom"/>
          </w:tcPr>
          <w:p>
            <w:pPr>
              <w:ind w:left="220"/>
              <w:spacing w:after="0" w:line="202" w:lineRule="exact"/>
              <w:rPr>
                <w:sz w:val="20"/>
                <w:szCs w:val="20"/>
                <w:color w:val="auto"/>
              </w:rPr>
            </w:pPr>
            <w:r>
              <w:rPr>
                <w:rFonts w:ascii="Arial" w:cs="Arial" w:eastAsia="Arial" w:hAnsi="Arial"/>
                <w:sz w:val="18"/>
                <w:szCs w:val="18"/>
                <w:color w:val="auto"/>
              </w:rPr>
              <w:t>Current portion of operating lease liability</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956</w:t>
            </w:r>
          </w:p>
        </w:tc>
        <w:tc>
          <w:tcPr>
            <w:tcW w:w="2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1,124</w:t>
            </w:r>
          </w:p>
        </w:tc>
      </w:tr>
      <w:tr>
        <w:trPr>
          <w:trHeight w:val="203"/>
        </w:trPr>
        <w:tc>
          <w:tcPr>
            <w:tcW w:w="832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42,492</w:t>
            </w:r>
          </w:p>
        </w:tc>
        <w:tc>
          <w:tcPr>
            <w:tcW w:w="2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41,425</w:t>
            </w:r>
          </w:p>
        </w:tc>
      </w:tr>
      <w:tr>
        <w:trPr>
          <w:trHeight w:val="196"/>
        </w:trPr>
        <w:tc>
          <w:tcPr>
            <w:tcW w:w="8320" w:type="dxa"/>
            <w:vAlign w:val="bottom"/>
          </w:tcPr>
          <w:p>
            <w:pPr>
              <w:ind w:left="440"/>
              <w:spacing w:after="0" w:line="196"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47,167</w:t>
            </w:r>
          </w:p>
        </w:tc>
        <w:tc>
          <w:tcPr>
            <w:tcW w:w="200" w:type="dxa"/>
            <w:vAlign w:val="bottom"/>
          </w:tcPr>
          <w:p>
            <w:pPr>
              <w:spacing w:after="0"/>
              <w:rPr>
                <w:sz w:val="17"/>
                <w:szCs w:val="17"/>
                <w:color w:val="auto"/>
              </w:rPr>
            </w:pPr>
          </w:p>
        </w:tc>
        <w:tc>
          <w:tcPr>
            <w:tcW w:w="11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51,802</w:t>
            </w:r>
          </w:p>
        </w:tc>
      </w:tr>
      <w:tr>
        <w:trPr>
          <w:trHeight w:val="203"/>
        </w:trPr>
        <w:tc>
          <w:tcPr>
            <w:tcW w:w="8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8320" w:type="dxa"/>
            <w:vAlign w:val="bottom"/>
          </w:tcPr>
          <w:p>
            <w:pPr>
              <w:ind w:left="44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69</w:t>
            </w:r>
          </w:p>
        </w:tc>
      </w:tr>
      <w:tr>
        <w:trPr>
          <w:trHeight w:val="203"/>
        </w:trPr>
        <w:tc>
          <w:tcPr>
            <w:tcW w:w="8320" w:type="dxa"/>
            <w:vAlign w:val="bottom"/>
            <w:tcBorders>
              <w:bottom w:val="single" w:sz="8" w:color="CFF0FC"/>
            </w:tcBorders>
            <w:shd w:val="clear" w:color="auto" w:fill="CFF0FC"/>
          </w:tcPr>
          <w:p>
            <w:pPr>
              <w:ind w:left="440"/>
              <w:spacing w:after="0" w:line="202" w:lineRule="exact"/>
              <w:rPr>
                <w:sz w:val="20"/>
                <w:szCs w:val="20"/>
                <w:color w:val="auto"/>
              </w:rPr>
            </w:pPr>
            <w:r>
              <w:rPr>
                <w:rFonts w:ascii="Arial" w:cs="Arial" w:eastAsia="Arial" w:hAnsi="Arial"/>
                <w:sz w:val="18"/>
                <w:szCs w:val="18"/>
                <w:color w:val="auto"/>
              </w:rPr>
              <w:t>Long-term borrowing</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3,000</w:t>
            </w:r>
          </w:p>
        </w:tc>
        <w:tc>
          <w:tcPr>
            <w:tcW w:w="2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3,000</w:t>
            </w:r>
          </w:p>
        </w:tc>
      </w:tr>
      <w:tr>
        <w:trPr>
          <w:trHeight w:val="196"/>
        </w:trPr>
        <w:tc>
          <w:tcPr>
            <w:tcW w:w="8320" w:type="dxa"/>
            <w:vAlign w:val="bottom"/>
          </w:tcPr>
          <w:p>
            <w:pPr>
              <w:ind w:left="440"/>
              <w:spacing w:after="0" w:line="196" w:lineRule="exact"/>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50,167</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54,871</w:t>
            </w:r>
          </w:p>
        </w:tc>
      </w:tr>
      <w:tr>
        <w:trPr>
          <w:trHeight w:val="196"/>
        </w:trPr>
        <w:tc>
          <w:tcPr>
            <w:tcW w:w="8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4"/>
        </w:trPr>
        <w:tc>
          <w:tcPr>
            <w:tcW w:w="83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Preferred stock, $0.0001 par value; 10,000,000 shares authorized as of March 31, 2026 and December</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221"/>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31, 2025; no shares issued and outstanding as of March 31, 2026 and December 31, 2025.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184"/>
        </w:trPr>
        <w:tc>
          <w:tcPr>
            <w:tcW w:w="8320" w:type="dxa"/>
            <w:vAlign w:val="bottom"/>
          </w:tcPr>
          <w:p>
            <w:pPr>
              <w:spacing w:after="0" w:line="183" w:lineRule="exact"/>
              <w:rPr>
                <w:sz w:val="20"/>
                <w:szCs w:val="20"/>
                <w:color w:val="auto"/>
              </w:rPr>
            </w:pPr>
            <w:r>
              <w:rPr>
                <w:rFonts w:ascii="Arial" w:cs="Arial" w:eastAsia="Arial" w:hAnsi="Arial"/>
                <w:sz w:val="18"/>
                <w:szCs w:val="18"/>
                <w:color w:val="auto"/>
              </w:rPr>
              <w:t>Common stock, $0.0001 par value; 490,000,000 shares authorized as of March 31, 2026 and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December 31, 2025; 87,332,971 and 81,376,449 shares issued and outstanding as of March 31, 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1"/>
        </w:trPr>
        <w:tc>
          <w:tcPr>
            <w:tcW w:w="8320" w:type="dxa"/>
            <w:vAlign w:val="bottom"/>
          </w:tcPr>
          <w:p>
            <w:pPr>
              <w:spacing w:after="0"/>
              <w:rPr>
                <w:sz w:val="20"/>
                <w:szCs w:val="20"/>
                <w:color w:val="auto"/>
              </w:rPr>
            </w:pPr>
            <w:r>
              <w:rPr>
                <w:rFonts w:ascii="Arial" w:cs="Arial" w:eastAsia="Arial" w:hAnsi="Arial"/>
                <w:sz w:val="18"/>
                <w:szCs w:val="18"/>
                <w:color w:val="auto"/>
              </w:rPr>
              <w:t>and December 31, 2025, respectively.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w:t>
            </w:r>
          </w:p>
        </w:tc>
      </w:tr>
      <w:tr>
        <w:trPr>
          <w:trHeight w:val="203"/>
        </w:trPr>
        <w:tc>
          <w:tcPr>
            <w:tcW w:w="8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1,131,576</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1,075,487</w:t>
            </w:r>
          </w:p>
        </w:tc>
      </w:tr>
      <w:tr>
        <w:trPr>
          <w:trHeight w:val="203"/>
        </w:trPr>
        <w:tc>
          <w:tcPr>
            <w:tcW w:w="8320" w:type="dxa"/>
            <w:vAlign w:val="bottom"/>
          </w:tcPr>
          <w:p>
            <w:pPr>
              <w:ind w:left="22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(460)</w:t>
            </w:r>
          </w:p>
        </w:tc>
        <w:tc>
          <w:tcPr>
            <w:tcW w:w="2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621</w:t>
            </w:r>
          </w:p>
        </w:tc>
      </w:tr>
      <w:tr>
        <w:trPr>
          <w:trHeight w:val="203"/>
        </w:trPr>
        <w:tc>
          <w:tcPr>
            <w:tcW w:w="8320" w:type="dxa"/>
            <w:vAlign w:val="bottom"/>
            <w:tcBorders>
              <w:bottom w:val="single" w:sz="8" w:color="CFF0FC"/>
            </w:tcBorders>
            <w:shd w:val="clear" w:color="auto" w:fill="CFF0FC"/>
          </w:tcPr>
          <w:p>
            <w:pPr>
              <w:ind w:left="220"/>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(650,646)</w:t>
            </w:r>
          </w:p>
        </w:tc>
        <w:tc>
          <w:tcPr>
            <w:tcW w:w="2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(597,557)</w:t>
            </w:r>
          </w:p>
        </w:tc>
      </w:tr>
      <w:tr>
        <w:trPr>
          <w:trHeight w:val="196"/>
        </w:trPr>
        <w:tc>
          <w:tcPr>
            <w:tcW w:w="8320" w:type="dxa"/>
            <w:vAlign w:val="bottom"/>
          </w:tcPr>
          <w:p>
            <w:pPr>
              <w:ind w:left="440"/>
              <w:spacing w:after="0" w:line="196" w:lineRule="exact"/>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480,478</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478,559</w:t>
            </w:r>
          </w:p>
        </w:tc>
      </w:tr>
      <w:tr>
        <w:trPr>
          <w:trHeight w:val="236"/>
        </w:trPr>
        <w:tc>
          <w:tcPr>
            <w:tcW w:w="8320" w:type="dxa"/>
            <w:vAlign w:val="bottom"/>
            <w:tcBorders>
              <w:bottom w:val="single" w:sz="8" w:color="auto"/>
            </w:tcBorders>
            <w:shd w:val="clear" w:color="auto" w:fill="CFF0FC"/>
          </w:tcPr>
          <w:p>
            <w:pPr>
              <w:ind w:left="44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530,645</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533,430</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 except for share and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76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3020" w:type="dxa"/>
            <w:vAlign w:val="bottom"/>
            <w:tcBorders>
              <w:top w:val="single" w:sz="8" w:color="auto"/>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5"/>
                <w:szCs w:val="15"/>
                <w:color w:val="auto"/>
              </w:rPr>
            </w:pPr>
          </w:p>
        </w:tc>
      </w:tr>
      <w:tr>
        <w:trPr>
          <w:trHeight w:val="156"/>
        </w:trPr>
        <w:tc>
          <w:tcPr>
            <w:tcW w:w="12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96"/>
        </w:trPr>
        <w:tc>
          <w:tcPr>
            <w:tcW w:w="120" w:type="dxa"/>
            <w:vAlign w:val="bottom"/>
          </w:tcPr>
          <w:p>
            <w:pPr>
              <w:spacing w:after="0"/>
              <w:rPr>
                <w:sz w:val="17"/>
                <w:szCs w:val="17"/>
                <w:color w:val="auto"/>
              </w:rPr>
            </w:pPr>
          </w:p>
        </w:tc>
        <w:tc>
          <w:tcPr>
            <w:tcW w:w="7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7660" w:type="dxa"/>
            <w:vAlign w:val="bottom"/>
          </w:tcPr>
          <w:p>
            <w:pPr>
              <w:ind w:left="24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49,232</w:t>
            </w:r>
          </w:p>
        </w:tc>
        <w:tc>
          <w:tcPr>
            <w:tcW w:w="54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30,624</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7660" w:type="dxa"/>
            <w:vAlign w:val="bottom"/>
            <w:tcBorders>
              <w:bottom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34"/>
              <w:spacing w:after="0" w:line="202" w:lineRule="exact"/>
              <w:rPr>
                <w:sz w:val="20"/>
                <w:szCs w:val="20"/>
                <w:color w:val="auto"/>
              </w:rPr>
            </w:pPr>
            <w:r>
              <w:rPr>
                <w:rFonts w:ascii="Arial" w:cs="Arial" w:eastAsia="Arial" w:hAnsi="Arial"/>
                <w:sz w:val="18"/>
                <w:szCs w:val="18"/>
                <w:color w:val="auto"/>
              </w:rPr>
              <w:t>8,754</w:t>
            </w:r>
          </w:p>
        </w:tc>
        <w:tc>
          <w:tcPr>
            <w:tcW w:w="5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4,249</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7660" w:type="dxa"/>
            <w:vAlign w:val="bottom"/>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57,986</w:t>
            </w: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34,873</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7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74"/>
              <w:spacing w:after="0" w:line="196" w:lineRule="exact"/>
              <w:rPr>
                <w:sz w:val="20"/>
                <w:szCs w:val="20"/>
                <w:color w:val="auto"/>
              </w:rPr>
            </w:pPr>
            <w:r>
              <w:rPr>
                <w:rFonts w:ascii="Arial" w:cs="Arial" w:eastAsia="Arial" w:hAnsi="Arial"/>
                <w:sz w:val="18"/>
                <w:szCs w:val="18"/>
                <w:color w:val="auto"/>
              </w:rPr>
              <w:t>(57,986)</w:t>
            </w: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(34,873)</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766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34"/>
              <w:spacing w:after="0" w:line="202" w:lineRule="exact"/>
              <w:rPr>
                <w:sz w:val="20"/>
                <w:szCs w:val="20"/>
                <w:color w:val="auto"/>
              </w:rPr>
            </w:pPr>
            <w:r>
              <w:rPr>
                <w:rFonts w:ascii="Arial" w:cs="Arial" w:eastAsia="Arial" w:hAnsi="Arial"/>
                <w:sz w:val="18"/>
                <w:szCs w:val="18"/>
                <w:color w:val="auto"/>
              </w:rPr>
              <w:t>4,776</w:t>
            </w: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4,524</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Other income (loss)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121</w:t>
            </w: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76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other income</w:t>
            </w:r>
          </w:p>
        </w:tc>
        <w:tc>
          <w:tcPr>
            <w:tcW w:w="14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34"/>
              <w:spacing w:after="0" w:line="196" w:lineRule="exact"/>
              <w:rPr>
                <w:sz w:val="20"/>
                <w:szCs w:val="20"/>
                <w:color w:val="auto"/>
              </w:rPr>
            </w:pPr>
            <w:r>
              <w:rPr>
                <w:rFonts w:ascii="Arial" w:cs="Arial" w:eastAsia="Arial" w:hAnsi="Arial"/>
                <w:sz w:val="18"/>
                <w:szCs w:val="18"/>
                <w:color w:val="auto"/>
              </w:rPr>
              <w:t>4,897</w:t>
            </w:r>
          </w:p>
        </w:tc>
        <w:tc>
          <w:tcPr>
            <w:tcW w:w="5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4,484</w:t>
            </w:r>
          </w:p>
        </w:tc>
        <w:tc>
          <w:tcPr>
            <w:tcW w:w="1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7660" w:type="dxa"/>
            <w:vAlign w:val="bottom"/>
          </w:tcPr>
          <w:p>
            <w:pPr>
              <w:ind w:left="280"/>
              <w:spacing w:after="0" w:line="182" w:lineRule="exact"/>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4"/>
              <w:spacing w:after="0" w:line="182" w:lineRule="exact"/>
              <w:rPr>
                <w:sz w:val="20"/>
                <w:szCs w:val="20"/>
                <w:color w:val="auto"/>
              </w:rPr>
            </w:pPr>
            <w:r>
              <w:rPr>
                <w:rFonts w:ascii="Arial" w:cs="Arial" w:eastAsia="Arial" w:hAnsi="Arial"/>
                <w:sz w:val="18"/>
                <w:szCs w:val="18"/>
                <w:color w:val="auto"/>
              </w:rPr>
              <w:t>(53,089)</w:t>
            </w:r>
          </w:p>
        </w:tc>
        <w:tc>
          <w:tcPr>
            <w:tcW w:w="540" w:type="dxa"/>
            <w:vAlign w:val="bottom"/>
            <w:tcBorders>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(30,389)</w:t>
            </w:r>
          </w:p>
        </w:tc>
        <w:tc>
          <w:tcPr>
            <w:tcW w:w="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76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loss per share, basic and diluted</w:t>
            </w: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74"/>
              <w:spacing w:after="0" w:line="182" w:lineRule="exact"/>
              <w:rPr>
                <w:sz w:val="20"/>
                <w:szCs w:val="20"/>
                <w:color w:val="auto"/>
              </w:rPr>
            </w:pPr>
            <w:r>
              <w:rPr>
                <w:rFonts w:ascii="Arial" w:cs="Arial" w:eastAsia="Arial" w:hAnsi="Arial"/>
                <w:sz w:val="18"/>
                <w:szCs w:val="18"/>
                <w:color w:val="auto"/>
              </w:rPr>
              <w:t>(0.52)</w:t>
            </w:r>
          </w:p>
        </w:tc>
        <w:tc>
          <w:tcPr>
            <w:tcW w:w="540" w:type="dxa"/>
            <w:vAlign w:val="bottom"/>
            <w:tcBorders>
              <w:bottom w:val="single" w:sz="8" w:color="auto"/>
            </w:tcBorders>
            <w:shd w:val="clear" w:color="auto" w:fill="CFF0FC"/>
          </w:tcPr>
          <w:p>
            <w:pPr>
              <w:jc w:val="right"/>
              <w:ind w:right="330"/>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r>
      <w:tr>
        <w:trPr>
          <w:trHeight w:val="183"/>
        </w:trPr>
        <w:tc>
          <w:tcPr>
            <w:tcW w:w="120" w:type="dxa"/>
            <w:vAlign w:val="bottom"/>
          </w:tcPr>
          <w:p>
            <w:pPr>
              <w:spacing w:after="0"/>
              <w:rPr>
                <w:sz w:val="15"/>
                <w:szCs w:val="15"/>
                <w:color w:val="auto"/>
              </w:rPr>
            </w:pPr>
          </w:p>
        </w:tc>
        <w:tc>
          <w:tcPr>
            <w:tcW w:w="766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Weighted average shares used to compute net loss per share, basic and diluted</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4"/>
              <w:spacing w:after="0" w:line="183" w:lineRule="exact"/>
              <w:rPr>
                <w:sz w:val="20"/>
                <w:szCs w:val="20"/>
                <w:color w:val="auto"/>
              </w:rPr>
            </w:pPr>
            <w:r>
              <w:rPr>
                <w:rFonts w:ascii="Arial" w:cs="Arial" w:eastAsia="Arial" w:hAnsi="Arial"/>
                <w:sz w:val="18"/>
                <w:szCs w:val="18"/>
                <w:color w:val="auto"/>
              </w:rPr>
              <w:t>102,800,098</w:t>
            </w: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
              <w:spacing w:after="0" w:line="183" w:lineRule="exact"/>
              <w:rPr>
                <w:sz w:val="20"/>
                <w:szCs w:val="20"/>
                <w:color w:val="auto"/>
              </w:rPr>
            </w:pPr>
            <w:r>
              <w:rPr>
                <w:rFonts w:ascii="Arial" w:cs="Arial" w:eastAsia="Arial" w:hAnsi="Arial"/>
                <w:sz w:val="18"/>
                <w:szCs w:val="18"/>
                <w:color w:val="auto"/>
              </w:rPr>
              <w:t>85,426,223</w:t>
            </w:r>
          </w:p>
        </w:tc>
        <w:tc>
          <w:tcPr>
            <w:tcW w:w="10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7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spacing w:after="0"/>
              <w:rPr>
                <w:sz w:val="19"/>
                <w:szCs w:val="19"/>
                <w:color w:val="auto"/>
              </w:rPr>
            </w:pPr>
          </w:p>
        </w:tc>
      </w:tr>
      <w:tr>
        <w:trPr>
          <w:trHeight w:val="155"/>
        </w:trPr>
        <w:tc>
          <w:tcPr>
            <w:tcW w:w="12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4"/>
          </w:tcPr>
          <w:p>
            <w:pPr>
              <w:jc w:val="right"/>
              <w:ind w:right="660"/>
              <w:spacing w:after="0" w:line="155" w:lineRule="exact"/>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12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3"/>
                <w:szCs w:val="13"/>
                <w:color w:val="auto"/>
              </w:rPr>
            </w:pPr>
          </w:p>
        </w:tc>
      </w:tr>
      <w:tr>
        <w:trPr>
          <w:trHeight w:val="196"/>
        </w:trPr>
        <w:tc>
          <w:tcPr>
            <w:tcW w:w="77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340" w:type="dxa"/>
            <w:vAlign w:val="bottom"/>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(53,089)</w:t>
            </w:r>
          </w:p>
        </w:tc>
        <w:tc>
          <w:tcPr>
            <w:tcW w:w="5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(30,389)</w:t>
            </w:r>
          </w:p>
        </w:tc>
      </w:tr>
      <w:tr>
        <w:trPr>
          <w:trHeight w:val="203"/>
        </w:trPr>
        <w:tc>
          <w:tcPr>
            <w:tcW w:w="778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0" w:type="dxa"/>
            <w:vAlign w:val="bottom"/>
            <w:tcBorders>
              <w:bottom w:val="single" w:sz="8" w:color="CFF0FC"/>
            </w:tcBorders>
            <w:shd w:val="clear" w:color="auto" w:fill="CFF0FC"/>
          </w:tcPr>
          <w:p>
            <w:pPr>
              <w:spacing w:after="0"/>
              <w:rPr>
                <w:sz w:val="17"/>
                <w:szCs w:val="17"/>
                <w:color w:val="auto"/>
              </w:rPr>
            </w:pPr>
          </w:p>
        </w:tc>
        <w:tc>
          <w:tcPr>
            <w:tcW w:w="766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Net unrealized (loss) gain on marketable securities</w:t>
            </w:r>
          </w:p>
        </w:tc>
        <w:tc>
          <w:tcPr>
            <w:tcW w:w="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(1,081)</w:t>
            </w:r>
          </w:p>
        </w:tc>
        <w:tc>
          <w:tcPr>
            <w:tcW w:w="5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277</w:t>
            </w:r>
          </w:p>
        </w:tc>
        <w:tc>
          <w:tcPr>
            <w:tcW w:w="100" w:type="dxa"/>
            <w:vAlign w:val="bottom"/>
            <w:tcBorders>
              <w:bottom w:val="single" w:sz="8" w:color="auto"/>
            </w:tcBorders>
            <w:shd w:val="clear" w:color="auto" w:fill="CFF0FC"/>
          </w:tcPr>
          <w:p>
            <w:pPr>
              <w:spacing w:after="0"/>
              <w:rPr>
                <w:sz w:val="17"/>
                <w:szCs w:val="17"/>
                <w:color w:val="auto"/>
              </w:rPr>
            </w:pPr>
          </w:p>
        </w:tc>
      </w:tr>
      <w:tr>
        <w:trPr>
          <w:trHeight w:val="196"/>
        </w:trPr>
        <w:tc>
          <w:tcPr>
            <w:tcW w:w="77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comprehensive loss</w:t>
            </w:r>
          </w:p>
        </w:tc>
        <w:tc>
          <w:tcPr>
            <w:tcW w:w="340" w:type="dxa"/>
            <w:vAlign w:val="bottom"/>
            <w:tcBorders>
              <w:bottom w:val="single" w:sz="8" w:color="auto"/>
            </w:tcBorders>
            <w:gridSpan w:val="3"/>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(54,170)</w:t>
            </w:r>
          </w:p>
        </w:tc>
        <w:tc>
          <w:tcPr>
            <w:tcW w:w="5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(30,112)</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Accumulate</w:t>
            </w: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219"/>
              <w:spacing w:after="0"/>
              <w:rPr>
                <w:sz w:val="20"/>
                <w:szCs w:val="20"/>
                <w:color w:val="auto"/>
              </w:rPr>
            </w:pPr>
            <w:r>
              <w:rPr>
                <w:rFonts w:ascii="Arial" w:cs="Arial" w:eastAsia="Arial" w:hAnsi="Arial"/>
                <w:sz w:val="16"/>
                <w:szCs w:val="16"/>
                <w:b w:val="1"/>
                <w:bCs w:val="1"/>
                <w:color w:val="auto"/>
              </w:rPr>
              <w:t>d</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220" w:type="dxa"/>
            <w:vAlign w:val="bottom"/>
          </w:tcPr>
          <w:p>
            <w:pPr>
              <w:spacing w:after="0"/>
              <w:rPr>
                <w:sz w:val="16"/>
                <w:szCs w:val="16"/>
                <w:color w:val="auto"/>
              </w:rPr>
            </w:pPr>
          </w:p>
        </w:tc>
        <w:tc>
          <w:tcPr>
            <w:tcW w:w="920" w:type="dxa"/>
            <w:vAlign w:val="bottom"/>
          </w:tcPr>
          <w:p>
            <w:pPr>
              <w:jc w:val="center"/>
              <w:ind w:right="199"/>
              <w:spacing w:after="0"/>
              <w:rPr>
                <w:sz w:val="20"/>
                <w:szCs w:val="20"/>
                <w:color w:val="auto"/>
              </w:rPr>
            </w:pPr>
            <w:r>
              <w:rPr>
                <w:rFonts w:ascii="Arial" w:cs="Arial" w:eastAsia="Arial" w:hAnsi="Arial"/>
                <w:sz w:val="16"/>
                <w:szCs w:val="16"/>
                <w:b w:val="1"/>
                <w:bCs w:val="1"/>
                <w:color w:val="auto"/>
              </w:rPr>
              <w:t>Other</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2540" w:type="dxa"/>
            <w:vAlign w:val="bottom"/>
            <w:gridSpan w:val="3"/>
            <w:vMerge w:val="restart"/>
          </w:tcPr>
          <w:p>
            <w:pPr>
              <w:jc w:val="right"/>
              <w:ind w:right="65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Comprehen</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Accumulate</w:t>
            </w: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Stockholde</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540" w:type="dxa"/>
            <w:vAlign w:val="bottom"/>
            <w:tcBorders>
              <w:bottom w:val="single" w:sz="8" w:color="auto"/>
            </w:tcBorders>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219"/>
              <w:spacing w:after="0"/>
              <w:rPr>
                <w:sz w:val="20"/>
                <w:szCs w:val="20"/>
                <w:color w:val="auto"/>
              </w:rPr>
            </w:pPr>
            <w:r>
              <w:rPr>
                <w:rFonts w:ascii="Arial" w:cs="Arial" w:eastAsia="Arial" w:hAnsi="Arial"/>
                <w:sz w:val="16"/>
                <w:szCs w:val="16"/>
                <w:b w:val="1"/>
                <w:bCs w:val="1"/>
                <w:color w:val="auto"/>
              </w:rPr>
              <w:t>Paid-in</w:t>
            </w:r>
          </w:p>
        </w:tc>
        <w:tc>
          <w:tcPr>
            <w:tcW w:w="220" w:type="dxa"/>
            <w:vAlign w:val="bottom"/>
          </w:tcPr>
          <w:p>
            <w:pPr>
              <w:spacing w:after="0"/>
              <w:rPr>
                <w:sz w:val="16"/>
                <w:szCs w:val="16"/>
                <w:color w:val="auto"/>
              </w:rPr>
            </w:pPr>
          </w:p>
        </w:tc>
        <w:tc>
          <w:tcPr>
            <w:tcW w:w="920" w:type="dxa"/>
            <w:vAlign w:val="bottom"/>
          </w:tcPr>
          <w:p>
            <w:pPr>
              <w:jc w:val="center"/>
              <w:ind w:right="199"/>
              <w:spacing w:after="0"/>
              <w:rPr>
                <w:sz w:val="20"/>
                <w:szCs w:val="20"/>
                <w:color w:val="auto"/>
              </w:rPr>
            </w:pPr>
            <w:r>
              <w:rPr>
                <w:rFonts w:ascii="Arial" w:cs="Arial" w:eastAsia="Arial" w:hAnsi="Arial"/>
                <w:sz w:val="16"/>
                <w:szCs w:val="16"/>
                <w:b w:val="1"/>
                <w:bCs w:val="1"/>
                <w:color w:val="auto"/>
              </w:rPr>
              <w:t>sive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40" w:type="dxa"/>
            <w:vAlign w:val="bottom"/>
          </w:tcPr>
          <w:p>
            <w:pPr>
              <w:spacing w:after="0"/>
              <w:rPr>
                <w:sz w:val="16"/>
                <w:szCs w:val="16"/>
                <w:color w:val="auto"/>
              </w:rPr>
            </w:pPr>
          </w:p>
        </w:tc>
        <w:tc>
          <w:tcPr>
            <w:tcW w:w="86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rs'</w:t>
            </w: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239"/>
              <w:spacing w:after="0" w:line="168" w:lineRule="exact"/>
              <w:rPr>
                <w:sz w:val="20"/>
                <w:szCs w:val="20"/>
                <w:color w:val="auto"/>
              </w:rPr>
            </w:pPr>
            <w:r>
              <w:rPr>
                <w:rFonts w:ascii="Arial" w:cs="Arial" w:eastAsia="Arial" w:hAnsi="Arial"/>
                <w:sz w:val="16"/>
                <w:szCs w:val="16"/>
                <w:b w:val="1"/>
                <w:bCs w:val="1"/>
                <w:color w:val="auto"/>
                <w:w w:val="99"/>
              </w:rPr>
              <w:t>(Loss)</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9"/>
              </w:rPr>
              <w:t>Income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Deficit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68"/>
        </w:trPr>
        <w:tc>
          <w:tcPr>
            <w:tcW w:w="412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Balances at December 31, 2025</w:t>
            </w:r>
          </w:p>
        </w:tc>
        <w:tc>
          <w:tcPr>
            <w:tcW w:w="1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9"/>
              <w:spacing w:after="0" w:line="168" w:lineRule="exact"/>
              <w:rPr>
                <w:sz w:val="20"/>
                <w:szCs w:val="20"/>
                <w:color w:val="auto"/>
              </w:rPr>
            </w:pPr>
            <w:r>
              <w:rPr>
                <w:rFonts w:ascii="Arial" w:cs="Arial" w:eastAsia="Arial" w:hAnsi="Arial"/>
                <w:sz w:val="16"/>
                <w:szCs w:val="16"/>
                <w:color w:val="auto"/>
              </w:rPr>
              <w:t>1,075,48</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81,376,449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621</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(597,557)</w:t>
            </w:r>
          </w:p>
        </w:tc>
        <w:tc>
          <w:tcPr>
            <w:tcW w:w="24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478,559</w:t>
            </w:r>
          </w:p>
        </w:tc>
        <w:tc>
          <w:tcPr>
            <w:tcW w:w="0" w:type="dxa"/>
            <w:vAlign w:val="bottom"/>
          </w:tcPr>
          <w:p>
            <w:pPr>
              <w:spacing w:after="0"/>
              <w:rPr>
                <w:sz w:val="1"/>
                <w:szCs w:val="1"/>
                <w:color w:val="auto"/>
              </w:rPr>
            </w:pPr>
          </w:p>
        </w:tc>
      </w:tr>
      <w:tr>
        <w:trPr>
          <w:trHeight w:val="175"/>
        </w:trPr>
        <w:tc>
          <w:tcPr>
            <w:tcW w:w="4120" w:type="dxa"/>
            <w:vAlign w:val="bottom"/>
          </w:tcPr>
          <w:p>
            <w:pPr>
              <w:spacing w:after="0" w:line="175" w:lineRule="exact"/>
              <w:rPr>
                <w:sz w:val="20"/>
                <w:szCs w:val="20"/>
                <w:color w:val="auto"/>
              </w:rPr>
            </w:pPr>
            <w:r>
              <w:rPr>
                <w:rFonts w:ascii="Arial" w:cs="Arial" w:eastAsia="Arial" w:hAnsi="Arial"/>
                <w:sz w:val="16"/>
                <w:szCs w:val="16"/>
                <w:color w:val="auto"/>
              </w:rPr>
              <w:t>Exchange of pre-funded warrants for common stock</w:t>
            </w: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shares</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3,500,000</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10,148</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10,148</w:t>
            </w:r>
          </w:p>
        </w:tc>
        <w:tc>
          <w:tcPr>
            <w:tcW w:w="0" w:type="dxa"/>
            <w:vAlign w:val="bottom"/>
          </w:tcPr>
          <w:p>
            <w:pPr>
              <w:spacing w:after="0"/>
              <w:rPr>
                <w:sz w:val="1"/>
                <w:szCs w:val="1"/>
                <w:color w:val="auto"/>
              </w:rPr>
            </w:pPr>
          </w:p>
        </w:tc>
      </w:tr>
      <w:tr>
        <w:trPr>
          <w:trHeight w:val="175"/>
        </w:trPr>
        <w:tc>
          <w:tcPr>
            <w:tcW w:w="4120" w:type="dxa"/>
            <w:vAlign w:val="bottom"/>
          </w:tcPr>
          <w:p>
            <w:pPr>
              <w:spacing w:after="0" w:line="175" w:lineRule="exact"/>
              <w:rPr>
                <w:sz w:val="20"/>
                <w:szCs w:val="20"/>
                <w:color w:val="auto"/>
              </w:rPr>
            </w:pPr>
            <w:r>
              <w:rPr>
                <w:rFonts w:ascii="Arial" w:cs="Arial" w:eastAsia="Arial" w:hAnsi="Arial"/>
                <w:sz w:val="16"/>
                <w:szCs w:val="16"/>
                <w:color w:val="auto"/>
              </w:rPr>
              <w:t>Issuance of shares under at-the-market offering, net of</w:t>
            </w: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issuance costs of $25</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1,712,739</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41,918</w:t>
            </w:r>
          </w:p>
        </w:tc>
        <w:tc>
          <w:tcPr>
            <w:tcW w:w="22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41,918</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743,783</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4,023</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4,023</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Net unrealized loss on marketable securities</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(1,081)</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4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(53,089)</w:t>
            </w: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(53,089)</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Arial" w:cs="Arial" w:eastAsia="Arial" w:hAnsi="Arial"/>
                <w:sz w:val="16"/>
                <w:szCs w:val="16"/>
                <w:color w:val="auto"/>
              </w:rPr>
              <w:t>Balances at March 31, 2026</w:t>
            </w: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79"/>
              <w:spacing w:after="0" w:line="168" w:lineRule="exact"/>
              <w:rPr>
                <w:sz w:val="20"/>
                <w:szCs w:val="20"/>
                <w:color w:val="auto"/>
              </w:rPr>
            </w:pPr>
            <w:r>
              <w:rPr>
                <w:rFonts w:ascii="Arial" w:cs="Arial" w:eastAsia="Arial" w:hAnsi="Arial"/>
                <w:sz w:val="16"/>
                <w:szCs w:val="16"/>
                <w:color w:val="auto"/>
              </w:rPr>
              <w:t>1,131,57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87,332,971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(650,646)</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480,478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Accumulate</w:t>
            </w: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219"/>
              <w:spacing w:after="0"/>
              <w:rPr>
                <w:sz w:val="20"/>
                <w:szCs w:val="20"/>
                <w:color w:val="auto"/>
              </w:rPr>
            </w:pPr>
            <w:r>
              <w:rPr>
                <w:rFonts w:ascii="Arial" w:cs="Arial" w:eastAsia="Arial" w:hAnsi="Arial"/>
                <w:sz w:val="16"/>
                <w:szCs w:val="16"/>
                <w:b w:val="1"/>
                <w:bCs w:val="1"/>
                <w:color w:val="auto"/>
              </w:rPr>
              <w:t>d</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220" w:type="dxa"/>
            <w:vAlign w:val="bottom"/>
          </w:tcPr>
          <w:p>
            <w:pPr>
              <w:spacing w:after="0"/>
              <w:rPr>
                <w:sz w:val="16"/>
                <w:szCs w:val="16"/>
                <w:color w:val="auto"/>
              </w:rPr>
            </w:pPr>
          </w:p>
        </w:tc>
        <w:tc>
          <w:tcPr>
            <w:tcW w:w="920" w:type="dxa"/>
            <w:vAlign w:val="bottom"/>
          </w:tcPr>
          <w:p>
            <w:pPr>
              <w:jc w:val="center"/>
              <w:ind w:right="199"/>
              <w:spacing w:after="0"/>
              <w:rPr>
                <w:sz w:val="20"/>
                <w:szCs w:val="20"/>
                <w:color w:val="auto"/>
              </w:rPr>
            </w:pPr>
            <w:r>
              <w:rPr>
                <w:rFonts w:ascii="Arial" w:cs="Arial" w:eastAsia="Arial" w:hAnsi="Arial"/>
                <w:sz w:val="16"/>
                <w:szCs w:val="16"/>
                <w:b w:val="1"/>
                <w:bCs w:val="1"/>
                <w:color w:val="auto"/>
              </w:rPr>
              <w:t>Other</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2540" w:type="dxa"/>
            <w:vAlign w:val="bottom"/>
            <w:gridSpan w:val="3"/>
            <w:vMerge w:val="restart"/>
          </w:tcPr>
          <w:p>
            <w:pPr>
              <w:jc w:val="right"/>
              <w:ind w:right="65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Comprehen</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Accumulate</w:t>
            </w: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Stockholde</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540" w:type="dxa"/>
            <w:vAlign w:val="bottom"/>
            <w:tcBorders>
              <w:bottom w:val="single" w:sz="8" w:color="auto"/>
            </w:tcBorders>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219"/>
              <w:spacing w:after="0"/>
              <w:rPr>
                <w:sz w:val="20"/>
                <w:szCs w:val="20"/>
                <w:color w:val="auto"/>
              </w:rPr>
            </w:pPr>
            <w:r>
              <w:rPr>
                <w:rFonts w:ascii="Arial" w:cs="Arial" w:eastAsia="Arial" w:hAnsi="Arial"/>
                <w:sz w:val="16"/>
                <w:szCs w:val="16"/>
                <w:b w:val="1"/>
                <w:bCs w:val="1"/>
                <w:color w:val="auto"/>
              </w:rPr>
              <w:t>Paid-in</w:t>
            </w:r>
          </w:p>
        </w:tc>
        <w:tc>
          <w:tcPr>
            <w:tcW w:w="220" w:type="dxa"/>
            <w:vAlign w:val="bottom"/>
          </w:tcPr>
          <w:p>
            <w:pPr>
              <w:spacing w:after="0"/>
              <w:rPr>
                <w:sz w:val="16"/>
                <w:szCs w:val="16"/>
                <w:color w:val="auto"/>
              </w:rPr>
            </w:pPr>
          </w:p>
        </w:tc>
        <w:tc>
          <w:tcPr>
            <w:tcW w:w="920" w:type="dxa"/>
            <w:vAlign w:val="bottom"/>
          </w:tcPr>
          <w:p>
            <w:pPr>
              <w:jc w:val="center"/>
              <w:ind w:right="199"/>
              <w:spacing w:after="0"/>
              <w:rPr>
                <w:sz w:val="20"/>
                <w:szCs w:val="20"/>
                <w:color w:val="auto"/>
              </w:rPr>
            </w:pPr>
            <w:r>
              <w:rPr>
                <w:rFonts w:ascii="Arial" w:cs="Arial" w:eastAsia="Arial" w:hAnsi="Arial"/>
                <w:sz w:val="16"/>
                <w:szCs w:val="16"/>
                <w:b w:val="1"/>
                <w:bCs w:val="1"/>
                <w:color w:val="auto"/>
              </w:rPr>
              <w:t>sive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d</w:t>
            </w:r>
          </w:p>
        </w:tc>
        <w:tc>
          <w:tcPr>
            <w:tcW w:w="240" w:type="dxa"/>
            <w:vAlign w:val="bottom"/>
          </w:tcPr>
          <w:p>
            <w:pPr>
              <w:spacing w:after="0"/>
              <w:rPr>
                <w:sz w:val="16"/>
                <w:szCs w:val="16"/>
                <w:color w:val="auto"/>
              </w:rPr>
            </w:pPr>
          </w:p>
        </w:tc>
        <w:tc>
          <w:tcPr>
            <w:tcW w:w="86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rs'</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439"/>
              <w:spacing w:after="0" w:line="183" w:lineRule="exact"/>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center"/>
              <w:ind w:right="219"/>
              <w:spacing w:after="0" w:line="183" w:lineRule="exact"/>
              <w:rPr>
                <w:sz w:val="20"/>
                <w:szCs w:val="20"/>
                <w:color w:val="auto"/>
              </w:rPr>
            </w:pPr>
            <w:r>
              <w:rPr>
                <w:rFonts w:ascii="Arial" w:cs="Arial" w:eastAsia="Arial" w:hAnsi="Arial"/>
                <w:sz w:val="16"/>
                <w:szCs w:val="16"/>
                <w:b w:val="1"/>
                <w:bCs w:val="1"/>
                <w:color w:val="auto"/>
              </w:rPr>
              <w:t>Capital</w:t>
            </w: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center"/>
              <w:ind w:right="199"/>
              <w:spacing w:after="0" w:line="183" w:lineRule="exact"/>
              <w:rPr>
                <w:sz w:val="20"/>
                <w:szCs w:val="20"/>
                <w:color w:val="auto"/>
              </w:rPr>
            </w:pPr>
            <w:r>
              <w:rPr>
                <w:rFonts w:ascii="Arial" w:cs="Arial" w:eastAsia="Arial" w:hAnsi="Arial"/>
                <w:sz w:val="16"/>
                <w:szCs w:val="16"/>
                <w:b w:val="1"/>
                <w:bCs w:val="1"/>
                <w:color w:val="auto"/>
                <w:w w:val="99"/>
              </w:rPr>
              <w:t>Income</w:t>
            </w:r>
          </w:p>
        </w:tc>
        <w:tc>
          <w:tcPr>
            <w:tcW w:w="1160" w:type="dxa"/>
            <w:vAlign w:val="bottom"/>
            <w:tcBorders>
              <w:bottom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b w:val="1"/>
                <w:bCs w:val="1"/>
                <w:color w:val="auto"/>
              </w:rPr>
              <w:t>Deficit</w:t>
            </w:r>
          </w:p>
        </w:tc>
        <w:tc>
          <w:tcPr>
            <w:tcW w:w="2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center"/>
              <w:ind w:right="199"/>
              <w:spacing w:after="0" w:line="183" w:lineRule="exact"/>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83"/>
        </w:trPr>
        <w:tc>
          <w:tcPr>
            <w:tcW w:w="4120" w:type="dxa"/>
            <w:vAlign w:val="bottom"/>
          </w:tcPr>
          <w:p>
            <w:pPr>
              <w:spacing w:after="0" w:line="183" w:lineRule="exact"/>
              <w:rPr>
                <w:sz w:val="20"/>
                <w:szCs w:val="20"/>
                <w:color w:val="auto"/>
              </w:rPr>
            </w:pPr>
            <w:r>
              <w:rPr>
                <w:rFonts w:ascii="Arial" w:cs="Arial" w:eastAsia="Arial" w:hAnsi="Arial"/>
                <w:sz w:val="16"/>
                <w:szCs w:val="16"/>
                <w:color w:val="auto"/>
              </w:rPr>
              <w:t>Balances at December 31, 2024</w:t>
            </w:r>
          </w:p>
        </w:tc>
        <w:tc>
          <w:tcPr>
            <w:tcW w:w="14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74,312,608</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w:t>
            </w: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843,920</w:t>
            </w:r>
          </w:p>
        </w:tc>
        <w:tc>
          <w:tcPr>
            <w:tcW w:w="220" w:type="dxa"/>
            <w:vAlign w:val="bottom"/>
          </w:tcPr>
          <w:p>
            <w:pPr>
              <w:ind w:left="80"/>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143</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(435,106)</w:t>
            </w:r>
          </w:p>
        </w:tc>
        <w:tc>
          <w:tcPr>
            <w:tcW w:w="240" w:type="dxa"/>
            <w:vAlign w:val="bottom"/>
          </w:tcPr>
          <w:p>
            <w:pPr>
              <w:ind w:left="10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408,964</w:t>
            </w:r>
          </w:p>
        </w:tc>
        <w:tc>
          <w:tcPr>
            <w:tcW w:w="0" w:type="dxa"/>
            <w:vAlign w:val="bottom"/>
          </w:tcPr>
          <w:p>
            <w:pPr>
              <w:spacing w:after="0"/>
              <w:rPr>
                <w:sz w:val="1"/>
                <w:szCs w:val="1"/>
                <w:color w:val="auto"/>
              </w:rPr>
            </w:pPr>
          </w:p>
        </w:tc>
      </w:tr>
      <w:tr>
        <w:trPr>
          <w:trHeight w:val="175"/>
        </w:trPr>
        <w:tc>
          <w:tcPr>
            <w:tcW w:w="41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Exchange of common stock shares for pre-funded</w:t>
            </w:r>
          </w:p>
        </w:tc>
        <w:tc>
          <w:tcPr>
            <w:tcW w:w="1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warrants</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(6,070,000)</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4,378</w:t>
            </w:r>
          </w:p>
        </w:tc>
        <w:tc>
          <w:tcPr>
            <w:tcW w:w="22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4,378</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90,457</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236</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175"/>
        </w:trPr>
        <w:tc>
          <w:tcPr>
            <w:tcW w:w="4120" w:type="dxa"/>
            <w:vAlign w:val="bottom"/>
          </w:tcPr>
          <w:p>
            <w:pPr>
              <w:spacing w:after="0" w:line="175" w:lineRule="exact"/>
              <w:rPr>
                <w:sz w:val="20"/>
                <w:szCs w:val="20"/>
                <w:color w:val="auto"/>
              </w:rPr>
            </w:pPr>
            <w:r>
              <w:rPr>
                <w:rFonts w:ascii="Arial" w:cs="Arial" w:eastAsia="Arial" w:hAnsi="Arial"/>
                <w:sz w:val="16"/>
                <w:szCs w:val="16"/>
                <w:color w:val="auto"/>
              </w:rPr>
              <w:t>Issuance costs for the shares issued under equity</w:t>
            </w: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private placement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Net unrealized gain on marketable securities</w:t>
            </w: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277</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Net loss</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(30,389)</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(30,389)</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Balances at March 31, 2025</w:t>
            </w:r>
          </w:p>
        </w:tc>
        <w:tc>
          <w:tcPr>
            <w:tcW w:w="14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68,333,065</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848,520</w:t>
            </w:r>
          </w:p>
        </w:tc>
        <w:tc>
          <w:tcPr>
            <w:tcW w:w="220" w:type="dxa"/>
            <w:vAlign w:val="bottom"/>
            <w:tcBorders>
              <w:bottom w:val="single" w:sz="8" w:color="auto"/>
            </w:tcBorders>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420</w:t>
            </w: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(465,495)</w:t>
            </w:r>
          </w:p>
        </w:tc>
        <w:tc>
          <w:tcPr>
            <w:tcW w:w="240" w:type="dxa"/>
            <w:vAlign w:val="bottom"/>
            <w:tcBorders>
              <w:bottom w:val="single" w:sz="8" w:color="auto"/>
            </w:tcBorders>
            <w:shd w:val="clear" w:color="auto" w:fill="CFF0FC"/>
          </w:tcPr>
          <w:p>
            <w:pPr>
              <w:ind w:left="100"/>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383,452</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139065</wp:posOffset>
            </wp:positionV>
            <wp:extent cx="9398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2860" w:type="dxa"/>
            <w:vAlign w:val="bottom"/>
            <w:tcBorders>
              <w:top w:val="single" w:sz="8" w:color="auto"/>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5"/>
                <w:szCs w:val="15"/>
                <w:color w:val="auto"/>
              </w:rPr>
            </w:pPr>
          </w:p>
        </w:tc>
      </w:tr>
      <w:tr>
        <w:trPr>
          <w:trHeight w:val="156"/>
        </w:trPr>
        <w:tc>
          <w:tcPr>
            <w:tcW w:w="79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96"/>
        </w:trPr>
        <w:tc>
          <w:tcPr>
            <w:tcW w:w="79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80" w:type="dxa"/>
            <w:vAlign w:val="bottom"/>
          </w:tcPr>
          <w:p>
            <w:pPr>
              <w:ind w:left="100"/>
              <w:spacing w:after="0" w:line="202"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(53,089)</w:t>
            </w:r>
          </w:p>
        </w:tc>
        <w:tc>
          <w:tcPr>
            <w:tcW w:w="6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(30,389)</w:t>
            </w:r>
          </w:p>
        </w:tc>
      </w:tr>
      <w:tr>
        <w:trPr>
          <w:trHeight w:val="203"/>
        </w:trPr>
        <w:tc>
          <w:tcPr>
            <w:tcW w:w="79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80" w:type="dxa"/>
            <w:vAlign w:val="bottom"/>
          </w:tcPr>
          <w:p>
            <w:pPr>
              <w:ind w:left="320"/>
              <w:spacing w:after="0" w:line="202" w:lineRule="exact"/>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100" w:type="dxa"/>
            <w:vAlign w:val="bottom"/>
          </w:tcPr>
          <w:p>
            <w:pPr>
              <w:spacing w:after="0"/>
              <w:rPr>
                <w:sz w:val="17"/>
                <w:szCs w:val="17"/>
                <w:color w:val="auto"/>
              </w:rPr>
            </w:pPr>
          </w:p>
        </w:tc>
      </w:tr>
      <w:tr>
        <w:trPr>
          <w:trHeight w:val="203"/>
        </w:trPr>
        <w:tc>
          <w:tcPr>
            <w:tcW w:w="7980" w:type="dxa"/>
            <w:vAlign w:val="bottom"/>
            <w:shd w:val="clear" w:color="auto" w:fill="CFF0FC"/>
          </w:tcPr>
          <w:p>
            <w:pPr>
              <w:ind w:left="320"/>
              <w:spacing w:after="0" w:line="202" w:lineRule="exact"/>
              <w:rPr>
                <w:sz w:val="20"/>
                <w:szCs w:val="20"/>
                <w:color w:val="auto"/>
              </w:rPr>
            </w:pPr>
            <w:r>
              <w:rPr>
                <w:rFonts w:ascii="Arial" w:cs="Arial" w:eastAsia="Arial" w:hAnsi="Arial"/>
                <w:sz w:val="18"/>
                <w:szCs w:val="18"/>
                <w:color w:val="auto"/>
              </w:rPr>
              <w:t>Non-cash lease expense</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w:t>
            </w:r>
          </w:p>
        </w:tc>
        <w:tc>
          <w:tcPr>
            <w:tcW w:w="100" w:type="dxa"/>
            <w:vAlign w:val="bottom"/>
            <w:shd w:val="clear" w:color="auto" w:fill="CFF0FC"/>
          </w:tcPr>
          <w:p>
            <w:pPr>
              <w:spacing w:after="0"/>
              <w:rPr>
                <w:sz w:val="17"/>
                <w:szCs w:val="17"/>
                <w:color w:val="auto"/>
              </w:rPr>
            </w:pPr>
          </w:p>
        </w:tc>
      </w:tr>
      <w:tr>
        <w:trPr>
          <w:trHeight w:val="203"/>
        </w:trPr>
        <w:tc>
          <w:tcPr>
            <w:tcW w:w="7980" w:type="dxa"/>
            <w:vAlign w:val="bottom"/>
          </w:tcPr>
          <w:p>
            <w:pPr>
              <w:ind w:left="320"/>
              <w:spacing w:after="0" w:line="202" w:lineRule="exact"/>
              <w:rPr>
                <w:sz w:val="20"/>
                <w:szCs w:val="20"/>
                <w:color w:val="auto"/>
              </w:rPr>
            </w:pPr>
            <w:r>
              <w:rPr>
                <w:rFonts w:ascii="Arial" w:cs="Arial" w:eastAsia="Arial" w:hAnsi="Arial"/>
                <w:sz w:val="18"/>
                <w:szCs w:val="18"/>
                <w:color w:val="auto"/>
              </w:rPr>
              <w:t>Non-cash interest income on marketable securities</w:t>
            </w:r>
          </w:p>
        </w:tc>
        <w:tc>
          <w:tcPr>
            <w:tcW w:w="30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(1,273)</w:t>
            </w:r>
          </w:p>
        </w:tc>
        <w:tc>
          <w:tcPr>
            <w:tcW w:w="6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(2,101)</w:t>
            </w:r>
          </w:p>
        </w:tc>
      </w:tr>
      <w:tr>
        <w:trPr>
          <w:trHeight w:val="203"/>
        </w:trPr>
        <w:tc>
          <w:tcPr>
            <w:tcW w:w="7980" w:type="dxa"/>
            <w:vAlign w:val="bottom"/>
            <w:shd w:val="clear" w:color="auto" w:fill="CFF0FC"/>
          </w:tcPr>
          <w:p>
            <w:pPr>
              <w:ind w:left="320"/>
              <w:spacing w:after="0" w:line="202" w:lineRule="exact"/>
              <w:rPr>
                <w:sz w:val="20"/>
                <w:szCs w:val="20"/>
                <w:color w:val="auto"/>
              </w:rPr>
            </w:pPr>
            <w:r>
              <w:rPr>
                <w:rFonts w:ascii="Arial" w:cs="Arial" w:eastAsia="Arial" w:hAnsi="Arial"/>
                <w:sz w:val="18"/>
                <w:szCs w:val="18"/>
                <w:color w:val="auto"/>
              </w:rPr>
              <w:t>Stock-based compensation expense, including employee stock purchase plan expense</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10,148</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4,378</w:t>
            </w:r>
          </w:p>
        </w:tc>
        <w:tc>
          <w:tcPr>
            <w:tcW w:w="100" w:type="dxa"/>
            <w:vAlign w:val="bottom"/>
            <w:shd w:val="clear" w:color="auto" w:fill="CFF0FC"/>
          </w:tcPr>
          <w:p>
            <w:pPr>
              <w:spacing w:after="0"/>
              <w:rPr>
                <w:sz w:val="17"/>
                <w:szCs w:val="17"/>
                <w:color w:val="auto"/>
              </w:rPr>
            </w:pPr>
          </w:p>
        </w:tc>
      </w:tr>
      <w:tr>
        <w:trPr>
          <w:trHeight w:val="203"/>
        </w:trPr>
        <w:tc>
          <w:tcPr>
            <w:tcW w:w="7980" w:type="dxa"/>
            <w:vAlign w:val="bottom"/>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2,597</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549</w:t>
            </w:r>
          </w:p>
        </w:tc>
        <w:tc>
          <w:tcPr>
            <w:tcW w:w="100" w:type="dxa"/>
            <w:vAlign w:val="bottom"/>
          </w:tcPr>
          <w:p>
            <w:pPr>
              <w:spacing w:after="0"/>
              <w:rPr>
                <w:sz w:val="17"/>
                <w:szCs w:val="17"/>
                <w:color w:val="auto"/>
              </w:rPr>
            </w:pPr>
          </w:p>
        </w:tc>
      </w:tr>
      <w:tr>
        <w:trPr>
          <w:trHeight w:val="203"/>
        </w:trPr>
        <w:tc>
          <w:tcPr>
            <w:tcW w:w="798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Other assets and long-term deposits</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(100)</w:t>
            </w:r>
          </w:p>
        </w:tc>
        <w:tc>
          <w:tcPr>
            <w:tcW w:w="6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(965)</w:t>
            </w:r>
          </w:p>
        </w:tc>
      </w:tr>
      <w:tr>
        <w:trPr>
          <w:trHeight w:val="203"/>
        </w:trPr>
        <w:tc>
          <w:tcPr>
            <w:tcW w:w="7980" w:type="dxa"/>
            <w:vAlign w:val="bottom"/>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(5,681)</w:t>
            </w:r>
          </w:p>
        </w:tc>
        <w:tc>
          <w:tcPr>
            <w:tcW w:w="6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(4,309)</w:t>
            </w:r>
          </w:p>
        </w:tc>
      </w:tr>
      <w:tr>
        <w:trPr>
          <w:trHeight w:val="203"/>
        </w:trPr>
        <w:tc>
          <w:tcPr>
            <w:tcW w:w="798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1,304</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(11,248)</w:t>
            </w:r>
          </w:p>
        </w:tc>
      </w:tr>
      <w:tr>
        <w:trPr>
          <w:trHeight w:val="203"/>
        </w:trPr>
        <w:tc>
          <w:tcPr>
            <w:tcW w:w="7980" w:type="dxa"/>
            <w:vAlign w:val="bottom"/>
          </w:tcPr>
          <w:p>
            <w:pPr>
              <w:ind w:left="420"/>
              <w:spacing w:after="0" w:line="202" w:lineRule="exact"/>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(313)</w:t>
            </w:r>
          </w:p>
        </w:tc>
        <w:tc>
          <w:tcPr>
            <w:tcW w:w="6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(309)</w:t>
            </w:r>
          </w:p>
        </w:tc>
      </w:tr>
      <w:tr>
        <w:trPr>
          <w:trHeight w:val="20"/>
        </w:trPr>
        <w:tc>
          <w:tcPr>
            <w:tcW w:w="7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80" w:type="dxa"/>
            <w:vAlign w:val="bottom"/>
            <w:shd w:val="clear" w:color="auto" w:fill="CFF0FC"/>
          </w:tcPr>
          <w:p>
            <w:pPr>
              <w:ind w:left="320"/>
              <w:spacing w:after="0" w:line="196" w:lineRule="exact"/>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(45,987)</w:t>
            </w:r>
          </w:p>
        </w:tc>
        <w:tc>
          <w:tcPr>
            <w:tcW w:w="6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(43,979)</w:t>
            </w:r>
          </w:p>
        </w:tc>
      </w:tr>
      <w:tr>
        <w:trPr>
          <w:trHeight w:val="196"/>
        </w:trPr>
        <w:tc>
          <w:tcPr>
            <w:tcW w:w="79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74,470</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97,772</w:t>
            </w:r>
          </w:p>
        </w:tc>
        <w:tc>
          <w:tcPr>
            <w:tcW w:w="100" w:type="dxa"/>
            <w:vAlign w:val="bottom"/>
            <w:shd w:val="clear" w:color="auto" w:fill="CFF0FC"/>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Purchases of marketable securities</w:t>
            </w:r>
          </w:p>
        </w:tc>
        <w:tc>
          <w:tcPr>
            <w:tcW w:w="30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(69,941)</w:t>
            </w:r>
          </w:p>
        </w:tc>
        <w:tc>
          <w:tcPr>
            <w:tcW w:w="6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(142,855)</w:t>
            </w:r>
          </w:p>
        </w:tc>
      </w:tr>
      <w:tr>
        <w:trPr>
          <w:trHeight w:val="20"/>
        </w:trPr>
        <w:tc>
          <w:tcPr>
            <w:tcW w:w="7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80" w:type="dxa"/>
            <w:vAlign w:val="bottom"/>
            <w:shd w:val="clear" w:color="auto" w:fill="CFF0FC"/>
          </w:tcPr>
          <w:p>
            <w:pPr>
              <w:ind w:left="32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4,529</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(45,083)</w:t>
            </w:r>
          </w:p>
        </w:tc>
      </w:tr>
      <w:tr>
        <w:trPr>
          <w:trHeight w:val="196"/>
        </w:trPr>
        <w:tc>
          <w:tcPr>
            <w:tcW w:w="79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Issuance of shares under at-the-market offering, net of issuance costs of $25</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41,918</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Issuance costs for shares issued under November 2025 follow-on offering</w:t>
            </w:r>
          </w:p>
        </w:tc>
        <w:tc>
          <w:tcPr>
            <w:tcW w:w="30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(237)</w:t>
            </w:r>
          </w:p>
        </w:tc>
        <w:tc>
          <w:tcPr>
            <w:tcW w:w="64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Issuance costs for shares issued under private placement</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(14)</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8,430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100" w:type="dxa"/>
            <w:vAlign w:val="bottom"/>
          </w:tcPr>
          <w:p>
            <w:pPr>
              <w:spacing w:after="0"/>
              <w:rPr>
                <w:sz w:val="17"/>
                <w:szCs w:val="17"/>
                <w:color w:val="auto"/>
              </w:rPr>
            </w:pPr>
          </w:p>
        </w:tc>
      </w:tr>
      <w:tr>
        <w:trPr>
          <w:trHeight w:val="203"/>
        </w:trPr>
        <w:tc>
          <w:tcPr>
            <w:tcW w:w="7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withholding for stock options exercised</w:t>
            </w:r>
          </w:p>
        </w:tc>
        <w:tc>
          <w:tcPr>
            <w:tcW w:w="3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(4,407)</w:t>
            </w:r>
          </w:p>
        </w:tc>
        <w:tc>
          <w:tcPr>
            <w:tcW w:w="6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980" w:type="dxa"/>
            <w:vAlign w:val="bottom"/>
            <w:tcBorders>
              <w:top w:val="single" w:sz="8" w:color="CFF0FC"/>
            </w:tcBorders>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45,704</w:t>
            </w:r>
          </w:p>
        </w:tc>
        <w:tc>
          <w:tcPr>
            <w:tcW w:w="100" w:type="dxa"/>
            <w:vAlign w:val="bottom"/>
            <w:tcBorders>
              <w:top w:val="single" w:sz="8" w:color="CFF0FC"/>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w:t>
            </w:r>
          </w:p>
        </w:tc>
        <w:tc>
          <w:tcPr>
            <w:tcW w:w="100" w:type="dxa"/>
            <w:vAlign w:val="bottom"/>
            <w:tcBorders>
              <w:top w:val="single" w:sz="8" w:color="CFF0FC"/>
            </w:tcBorders>
          </w:tcPr>
          <w:p>
            <w:pPr>
              <w:spacing w:after="0"/>
              <w:rPr>
                <w:sz w:val="17"/>
                <w:szCs w:val="17"/>
                <w:color w:val="auto"/>
              </w:rPr>
            </w:pPr>
          </w:p>
        </w:tc>
      </w:tr>
      <w:tr>
        <w:trPr>
          <w:trHeight w:val="196"/>
        </w:trPr>
        <w:tc>
          <w:tcPr>
            <w:tcW w:w="79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4,246</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(88,840)</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48,301</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139,480</w:t>
            </w:r>
          </w:p>
        </w:tc>
        <w:tc>
          <w:tcPr>
            <w:tcW w:w="100" w:type="dxa"/>
            <w:vAlign w:val="bottom"/>
          </w:tcPr>
          <w:p>
            <w:pPr>
              <w:spacing w:after="0"/>
              <w:rPr>
                <w:sz w:val="17"/>
                <w:szCs w:val="17"/>
                <w:color w:val="auto"/>
              </w:rPr>
            </w:pPr>
          </w:p>
        </w:tc>
      </w:tr>
      <w:tr>
        <w:trPr>
          <w:trHeight w:val="236"/>
        </w:trPr>
        <w:tc>
          <w:tcPr>
            <w:tcW w:w="798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52,547</w:t>
            </w:r>
          </w:p>
        </w:tc>
        <w:tc>
          <w:tcPr>
            <w:tcW w:w="1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5"/>
        </w:trPr>
        <w:tc>
          <w:tcPr>
            <w:tcW w:w="79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financing activity</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Exchange of common stock for pre-funded warrants</w:t>
            </w:r>
          </w:p>
        </w:tc>
        <w:tc>
          <w:tcPr>
            <w:tcW w:w="3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29,379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-2262505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-1731010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-950595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-410845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-393700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Nature of the Business and Basis of Presentation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breast cancer and beyond. The Company is advancing a pipeline of novel therapies by leveraging its deep understanding of endocrine-driven cancers, nuclear receptors, and mechanisms of acquired resistance. The Company's wholly-owned, lead product candidate, palazestrant (OP-1250), is a novel, orally-available small molecule with dual activity as both a complete estrogen receptor ("ER") antagonist ("CERAN") and selective ER degrader ("SERD"). In addition to its lead product candidate, Olema is developing a potent KAT6 inhibitor (OP-3136).</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incorporated on January 6, 2021 under the laws of Australia, and Olema Oncology International Limited, incorporated on December 11, 2025 under the laws of Ireland, are wholly-owned subsidiaries of the Company (collectively with Olema Pharmaceuticals, Inc., referred to as “Olema” or the “Company” herein). It operates in one business segment and therefore has only one reportable segment. The Company is subject to risks and uncertainties common to late-stage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OP-3136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had $505.3 million of cash, cash equivalents and marketable securities at March 31, 2026, in addition to the available balance under the Loan and Security Agreement dated as of September 5, 2023 (the “Original Loan Agreement”), by and between the Company, as borrower, and Silicon Valley Bank, a division of First-Citizens Bank &amp; Trust Company (the “Bank”), as amended by the First Amendment to Loan and Security Agreement, dated June 28, 2024 (the "First Amendment"), as further amended by the Second Amendment to Loan and Security Agreement, dated June 27, 2025 (the "Second Amendment"), as further amended by the Third Amendment to Loan and Security Agreement, dated January 11, 2026 (the "Third Amendment" and, collectively with the First Amendment, Second Amendment and the Original Loan Agreement, the "Loan Agreement"). See Note 11, "Long-term Borrowing" for further details. Management believes that the Company’s cash, cash equivalents, marketable securities, and the amounts available under the Loan Agreement will be sufficient to fund the Company’s current operating plan for at least the next 12 months from the filing date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Follow-on Public Offering</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November 19, 2025, the Company completed a follow-on public offering pursuant to which it issued and sold 11,500,000 shares of common stock at a public offering price of $19.00 per share, including 1,500,000 shares sold pursuant to the underwriters’ full exercise of their option to purchase additional shares, resulting in aggregate net proceeds of $204.8 million, after deducting underwriting discounts and commissions and estimated offering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November 29, 2024, the Company entered into a securities purchase agreement for a private placement of (i) 19,928,875 shares of the Company’s common stock at a price of $9.08 per share and (ii) pre-funded warrants to purchase up to an aggregate of 7,604,163 shares of the Company's common stock at a price of $9.0799 per pre-funded warrant, which represents the per share purchase price of the Company's common stock sold in the private placement less the $0.0001 per share exercise price for each pre-funded warrant to selected institutional and accredited investors (the “2024 Private Placement”). The aggregate gross proceeds for the 2024 Private Placement were approximately $250.0 million. After deducting offering expenses related to the 2024 Private Placement of approximately $13.0 million, the net proceeds to the Company from the 2024 Private Placement were approximately $237.0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Exchanges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November 29, 2024 and January 10, 2025, the Company entered into exchange agreements with certain investors and issued to such investors pre-funded warrants to purchase up to 3,420,000 and 6,070,000 shares of the Company's common stock, respectively, in exchange for an equivalent number of shares of the Company's common stock previously outstanding and held by such investors (the "Exchange Transactions"). The pre-funded warrants were issued without registration under the Securities Act of 1933, as amended (the “Securities Act”), in reliance on the exemption from registration contained in Section 3(a)(9) of the Securities Act. Refer to Note 12, Pre-funded Warrants for further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w:t>
      </w:r>
    </w:p>
    <w:p>
      <w:pPr>
        <w:spacing w:after="0" w:line="3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January 5, 2024, the Company entered into a sales agreement (the “2024 Sales Agreement”) with Cowen and Company, LLC ("Cowen and Company”) as sales agent, pursuant to which the Company was permitted to offer and sell, from time to time, shares of its common stock, having an aggregate offering price of up to $150.0 million (the “2024 ATM Shares”). The sales of the 2024 ATM Shares were made by an "at-the-market" ("ATM") equity offering as defined in Rule 415(a)(4) promulgated under the Securities Act of 1933, as amended ("Securities Act"). The Company agreed to pay Cowen and Company a commission of up to 3.0% of the aggregate gross proceeds from any 2024 ATM Shares sold by Cowen and Company. During the year ended December 31, 2024, the Company issued 1,772,278 shares of the Company's common stock under the 2024 Sales Agreement at a weighted-average price of $13.19 for net proceeds of $22.8 million after deducting related issuance costs.</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January 6, 2025, the Company entered into a sales agreement (the "2025 Sales Agreement") with TD Securities (USA) LLC, ("TD Cowen") as sales agent, pursuant to which the Company was permitted to sell, from time to time, shares of the Company's common stock, having an aggregate offering price of up to $150.0 million (the “2025 ATM Shares”). The 2025 Sales Agreement replaced the prior 2024 Sales Agreement. The sales of the 2025 ATM Shares would be made by any method permitted that is deemed to be an ATM equity offering as defined in Rule 415(a)(4) promulgated under the Securities Act, including sales made directly on or through the Nasdaq Global Select Market. The Company agreed to pay TD Cowen a commission of up to 3.0% of the aggregate gross proceeds from any 2025 ATM Shares sold by TD Cowen. On December 11, 2025, the Company entered into Amendment No. 1 to the 2025 Sales Agreement which increased the maximum aggregate offering price under the 2025 Sales Agreement to $200.0 million. During the three-months period ended March 31, 2026, the Company issued 1,712,739 of the Company's common stock under the 2025 Sales Agreement at a weighted-average price of $24.92 for net proceeds of $41.9 million after deducting related issuance costs.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Geopolitical and Macroeconomic Events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Global economic and business activities continue to face widespread uncertainty related to the geopolitical and macroeconomic environment, generally, including economic uncertainty, market volatility, labor shortages, recent and changing tariff policy announcements (including related legal challenges), tariffs, trade tensions and retaliatory measures by other countries, supply chain disruptions, military conflicts, as well as any related political or economic responses and counter-responses or otherwise by various global actors, inflationary pressures, monetary supply shifts, increased recession risk, and related financial instability.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p>
      <w:pPr>
        <w:spacing w:after="0" w:line="183"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10"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The accompanying interim unaudited condensed consolidated financial statements have been prepared in accordance with generally accepted accounting principles in the United States (“GAAP”) and applicable rules and regulations of the Securities and Exchange Commission (the “SEC”) regarding interim financial reporting, and the instructions to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subsidiaries, Olema Oncology Australia Pty Ltd and Olema Oncology International Limited. All intercompany balances and transactions have been eliminated upon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210" w:lineRule="exact"/>
        <w:rPr>
          <w:sz w:val="20"/>
          <w:szCs w:val="20"/>
          <w:color w:val="auto"/>
        </w:rPr>
      </w:pPr>
    </w:p>
    <w:p>
      <w:pPr>
        <w:jc w:val="both"/>
        <w:spacing w:after="0" w:line="209" w:lineRule="exact"/>
        <w:rPr>
          <w:sz w:val="20"/>
          <w:szCs w:val="20"/>
          <w:color w:val="auto"/>
        </w:rPr>
      </w:pPr>
      <w:r>
        <w:rPr>
          <w:rFonts w:ascii="Arial" w:cs="Arial" w:eastAsia="Arial" w:hAnsi="Arial"/>
          <w:sz w:val="18"/>
          <w:szCs w:val="18"/>
          <w:color w:val="auto"/>
        </w:rPr>
        <w:t>The accompanying interim condensed consolidated financial statements are unaudited. They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three-month periods are also unaudited. The results of operations presented in these unaudited condensed consolidated financial statements are not necessarily indicative of the results to be expected for the year ending December 31, 2026, or for any other future annual or interim period. The condensed consolidated balance sheet as of December 31, 2025 included herein was derived from the audited financial statements as of that date. These interim condensed consolidated financial statements should be read in conjunction with the Company’s audited consolidated financial statements included in the Company’s Form 10</w:t>
      </w:r>
      <w:r>
        <w:rPr>
          <w:rFonts w:ascii="MS PGothic" w:cs="MS PGothic" w:eastAsia="MS PGothic" w:hAnsi="MS PGothic"/>
          <w:sz w:val="18"/>
          <w:szCs w:val="18"/>
          <w:color w:val="auto"/>
        </w:rPr>
        <w:t>‑</w:t>
      </w:r>
      <w:r>
        <w:rPr>
          <w:rFonts w:ascii="Arial" w:cs="Arial" w:eastAsia="Arial" w:hAnsi="Arial"/>
          <w:sz w:val="18"/>
          <w:szCs w:val="18"/>
          <w:color w:val="auto"/>
        </w:rPr>
        <w:t>K as filed with the SEC on March 16, 2026 (the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fewer at the date of purchase. Cash deposits are all in reputable financial institutions in the United States as of March 31, 2026, and December 31, 2025. Cash and cash equivalents primarily consisted of cash on deposit with U.S. banks, including the Company’s bank accounts for its foreign subsidiaries, denominated in U.S. dollars and foreign currencies, and investments in interest-bearing money market funds.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however, the Company has not experienced any losses on such deposits.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00" w:lineRule="exact"/>
        <w:rPr>
          <w:sz w:val="20"/>
          <w:szCs w:val="20"/>
          <w:color w:val="auto"/>
        </w:rPr>
      </w:pP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Accounting Standards Update ("ASU") 2016-12, Leases, Topic 842,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condensed consolidated statements of operations and comprehensive loss.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Most leases include options to renew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elected to not apply the recognition requirements of Topic 842 to short-term leases with terms of 12 months or less. Refer to Note 9, Leases for further details.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either prepaid expenses and other current assets or other assets and long-term deposits. Such amounts are recognized as an expense as the goods are delivered or the related services are performed.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Internal-Use Software</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capitalizes certain costs incurred for the development and implementation of computer software for internal use. These costs generally relate to the implementation of the third-party developed software for the Company's clinical development purposes. The Company capitalizes these costs when it is determined that it is probable that the project will be completed and the software will be used to perform the function intended, and the preliminary project stage is completed. Capitalized internal-use software development and implementation costs are included in Other assets and long-term deposits within the consolidated balance sheets. Capitalized implementation costs are amortized on a straight-line basis over the estimated useful lives of five years. Costs related to the preliminary project stage, post-implementation, training and maintenance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Comprehensive loss includes net loss and other comprehensive (loss) gain for each period presented. Other comprehensive (loss) gain represents net unrealized (loss) gain on marketable securities.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Company recognizes stock compensation in accordance with Accounting Standards Codification ("ASC")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 Stock-based compensation cost, including grants of stock options and restricted stock units issued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equity incentive plans, and the 2020 Employee Stock Purchase Plan (the "ESPP"), is measured at the grant date based on the estimated fair value of the award and is recognized as an expense on a straight-line basis over the requisite service period, which is generally the vesting period.</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estimates the fair value of stock options with time-based vesting on the date of grant utilizing the Black-Scholes option-pricing model, which requires the input of subjective assumptions, including (i) the expected volatility of its stock, (ii) the expected term of the award,</w:t>
      </w:r>
    </w:p>
    <w:p>
      <w:pPr>
        <w:jc w:val="both"/>
        <w:ind w:firstLine="8"/>
        <w:spacing w:after="0" w:line="236" w:lineRule="auto"/>
        <w:tabs>
          <w:tab w:leader="none" w:pos="29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and (iv) expected dividends. The Company estimates the volatility of its stock based on a weighted average of the volatility of the Company's stock price and that of its peers. The Company will continue to apply this process until a sufficient amount of historical information regarding the volatility of its own stock price becomes available. The Company uses the simplified method to estimate the expected term of employee stock option grants, whereby the expected term is estimated to be the mid-point between the vesting date and the contractual term of the option. The risk-free rates for period within the expected term of the option are based on the U.S. Treasury yield curve during the period the options were granted. The expected dividend yield of zero is based on the fact that the Company has never paid dividends and does not expect to pay any cash dividends in the foreseeable future.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measures the fair value of restricted stock units ("RSU"s) based on the closing price of the Company's common stock on the grant date. Stock-based compensation expense for RSUs is recognized on a straight-line basis over the vesting term.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with Market and Service Conditions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and derived service period of performance-based awards granted with market and service conditions are estimated on the grant date using a Monte Carlo simulation model. A Monte Carlo simulation model requires inputs such as the risk-free interest rate, expected award term, expected share dilution and expected share price volatility. These inputs, which are subjective and generally require significant judgment, are unique to each award based on the best available information at the grant date. For such awards, stock-based compensation expense is recognized on a straight-line basis over the derived service period of each tranche. Stock-based compensation expense will continue to be recognized over the derived service period regardless of whether the awards' market-based vesting terms have been satisfied, so long as the requisite service is rendered by the grantee.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functional currency of Olema Oncology Australia Pty Ltd and Olema Oncology International Limited, the Company’s wholly-owned subsidiaries,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condensed consolidated statements of operations.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condensed consolidated statements of operations.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Pre-funded Warrants</w:t>
      </w:r>
    </w:p>
    <w:p>
      <w:pPr>
        <w:spacing w:after="0" w:line="22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The Company issued pre-funded warrants in connection with the 2024 Private Placement and the Exchange Transactions executed in November 2024 and January 2025. Refer to Note 12, Pre-funded Warrants for further details.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accounts for the pre-funded warrants as a freestanding equity-linked financial instrument that met the criteria for equity classification pursuant to ASC 480, Distinguishing Liabilities from Equity ("ASC 480"), and ASC 815, Derivatives and Hedging ("ASC 815"). Accordingly, the Company recorded the pre-funded warrants as a component of stockholders' equity within additional paid-in capital. The Company valued the pre-funded warrants at issuance, concluding that their sales price approximated their fair value. The pre-funded warrants are immediately exercisable at an exercise price of $0.0001 per share of the Company's common stock, subject to beneficial ownership limitations. Exercise of the pre-funded warrants is virtually assured because the underlying common shares will be issued for nominal cash consideration or at an exercise price of $0.0001 per share. All necessary conditions for issuance of the underlying common shares were met when the pre-funded warrants were issued, and as such, related pre-funded warrants shares were included in the denominator for both the basic and diluted earnings per share calculations.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including the pre-funded warrants shares.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the pre-funded warrants shares and potential dilutive common shares. For purpose of this calculation, outstanding stock options and contingently issuable common stock related to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operates as a single operating and reportable segment. The Company’s Chief Executive Officer serves as the chief operating decision maker (“CODM”). The CODM reviews the Company’s financial information on a consolidated basis for purposes of assessing financial performance, making operating decisions, and allocating resources. The CODM uses consolidated net loss, as determined in accordance with U.S. GAAP and reported in the Company’s condensed consolidated statements of operations, as the measure of segment profit or loss. In assessing segment performance and allocating resources, the CODM also reviews consolidated functional expenses, including research and development and general and administrative expenses. Other segment items included in consolidated net loss is primarily interest income, which is reflected in the consolidated statements of operations and comprehensive loss.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2023, the Financial Accounting Standards Board (“FASB”) issued Accounting Standards Update (“ASU”) No. 2023 09, Income Taxes (Topic 740): Improvements to Income Tax Disclosures. The ASU enhances the transparency and decision usefulness of income tax disclosures by requiring additional disaggregation of information related to the effective tax rate reconciliation, income taxes paid, and income tax expense and pre-tax income by jurisdiction.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adopted ASU 2023-09 on a prospective basis effective January 1, 2025. Accordingly, the enhanced income tax disclosures are presented beginning in fiscal year 2025, and prior period disclosures have not been recast. The adoption of this guidance did not have an impact on the Company’s consolidated results of operations, financial position, or cash flows, as the amendments relate solely to disclosure requirements.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which requires public business entities to provide enhanced disclosures about specific expense categories in both interim and annual financial statements. The new standard requires entities to disclose in tabular format certain categories of expenses, including purchases of inventory, employee compensation, depreciation, intangible asset amortization, and other specified expense categories, along with a qualitative description of amounts remaining in relevant expense captions. The objective of this ASU is to provide investors with more detailed information to better assess an entity's performance and future cash flow prospects. As clarified by ASU 2025-01 issued in January 2025, ASU 2024-03 is effective for public business entities for annual reporting periods beginning after December 15, 2026, and interim reporting periods beginning after December 15, 2027. Early adoption is permitted. The Company is currently evaluating the impact of this standard on its consolidated financial statement disclosures.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Targeted Improvements to the Accounting for Internal-Use Software</w:t>
      </w:r>
      <w:r>
        <w:rPr>
          <w:rFonts w:ascii="Arial" w:cs="Arial" w:eastAsia="Arial" w:hAnsi="Arial"/>
          <w:sz w:val="18"/>
          <w:szCs w:val="18"/>
          <w:color w:val="auto"/>
        </w:rPr>
        <w:t xml:space="preserve">, which modernizes the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guidance for costs associated with developing or obtaining internal-use software. The ASU eliminates the previous stage-based model (preliminary project stage, application development stage, and post-implementation stage) and replaces it with a principles-based approach that better aligns with modern software development practices, including agile and iterative methodologies. Under the new guidance, entities may begin capitalizing internal-use software development costs when (1) management has authorized and committed to funding the software project, and (2) it is probable that the project will be completed and the software will be used to perform the function intended. The ASU also supersedes the separate guidance on website development costs and incorporates it into the internal-use software framework. ASU 2025-06 is effective for all entities for annual reporting periods beginning after December 15, 2027, and interim reporting periods within those annual reporting periods. Early adoption is permitted as the beginning of an annual reporting period. The Company is evaluating the impact of this standard on its consolidated financial statements.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continues to monitor new accounting pronouncements issued by the FASB and does not believe that any pronouncements issued but not yet adopted as of the date of this report will have a material impact on the Company’s consolidated financial statements.</w:t>
      </w:r>
    </w:p>
    <w:p>
      <w:pPr>
        <w:spacing w:after="0" w:line="154"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Company assesses the fair value of financial instruments based on the provisions of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76" w:lineRule="exact"/>
        <w:rPr>
          <w:sz w:val="20"/>
          <w:szCs w:val="20"/>
          <w:color w:val="auto"/>
        </w:rPr>
      </w:pPr>
    </w:p>
    <w:p>
      <w:pPr>
        <w:ind w:left="380" w:hanging="372"/>
        <w:spacing w:after="0" w:line="270" w:lineRule="auto"/>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1 — Inputs are unadjusted quoted prices in active markets for identical assets or liabilities accessible to the reporting entity at the measurement date.</w:t>
      </w:r>
    </w:p>
    <w:p>
      <w:pPr>
        <w:spacing w:after="0" w:line="154" w:lineRule="exact"/>
        <w:rPr>
          <w:rFonts w:ascii="Times New Roman" w:cs="Times New Roman" w:eastAsia="Times New Roman" w:hAnsi="Times New Roman"/>
          <w:sz w:val="18"/>
          <w:szCs w:val="18"/>
          <w:color w:val="231F20"/>
        </w:rPr>
      </w:pPr>
    </w:p>
    <w:p>
      <w:pPr>
        <w:jc w:val="both"/>
        <w:ind w:left="380" w:hanging="372"/>
        <w:spacing w:after="0" w:line="252" w:lineRule="auto"/>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0" w:lineRule="exact"/>
        <w:rPr>
          <w:rFonts w:ascii="Times New Roman" w:cs="Times New Roman" w:eastAsia="Times New Roman" w:hAnsi="Times New Roman"/>
          <w:sz w:val="18"/>
          <w:szCs w:val="18"/>
          <w:color w:val="231F20"/>
        </w:rPr>
      </w:pPr>
    </w:p>
    <w:p>
      <w:pPr>
        <w:ind w:left="380" w:right="20" w:hanging="372"/>
        <w:spacing w:after="0" w:line="270" w:lineRule="auto"/>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924560</wp:posOffset>
            </wp:positionV>
            <wp:extent cx="351853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853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4"/>
                <w:szCs w:val="14"/>
                <w:b w:val="1"/>
                <w:bCs w:val="1"/>
                <w:color w:val="auto"/>
              </w:rPr>
              <w:t>March 31, 2026</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294"/>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bottom w:val="single" w:sz="8" w:color="auto"/>
            </w:tcBorders>
            <w:gridSpan w:val="4"/>
          </w:tcPr>
          <w:p>
            <w:pPr>
              <w:ind w:left="44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tcBorders>
              <w:left w:val="single" w:sz="8" w:color="CFF0FC"/>
            </w:tcBorders>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Cash</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388"/>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13,642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13,642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39,058</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tcBorders>
              <w:left w:val="single" w:sz="8" w:color="CFF0FC"/>
            </w:tcBorders>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tcBorders>
              <w:left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39,058</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109,328</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109,328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Corporate bonds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83,275</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tcBorders>
              <w:left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83,275</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U.S. government treasury bills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219,253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219,253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40,944</w:t>
            </w:r>
          </w:p>
        </w:tc>
        <w:tc>
          <w:tcPr>
            <w:tcW w:w="1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left w:val="single" w:sz="8" w:color="CFF0FC"/>
              <w:bottom w:val="single" w:sz="8" w:color="auto"/>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40,944</w:t>
            </w:r>
          </w:p>
        </w:tc>
        <w:tc>
          <w:tcPr>
            <w:tcW w:w="120" w:type="dxa"/>
            <w:vAlign w:val="bottom"/>
            <w:tcBorders>
              <w:left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388"/>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5"/>
              </w:rPr>
              <w:t>271,953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center"/>
              <w:ind w:right="36"/>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233,547</w:t>
            </w:r>
          </w:p>
        </w:tc>
        <w:tc>
          <w:tcPr>
            <w:tcW w:w="120" w:type="dxa"/>
            <w:vAlign w:val="bottom"/>
          </w:tcPr>
          <w:p>
            <w:pPr>
              <w:spacing w:after="0"/>
              <w:rPr>
                <w:sz w:val="17"/>
                <w:szCs w:val="17"/>
                <w:color w:val="auto"/>
              </w:rPr>
            </w:pPr>
          </w:p>
        </w:tc>
        <w:tc>
          <w:tcPr>
            <w:tcW w:w="6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505,500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spacing w:after="0"/>
              <w:rPr>
                <w:sz w:val="19"/>
                <w:szCs w:val="19"/>
                <w:color w:val="auto"/>
              </w:rPr>
            </w:pPr>
          </w:p>
        </w:tc>
        <w:tc>
          <w:tcPr>
            <w:tcW w:w="1480" w:type="dxa"/>
            <w:vAlign w:val="bottom"/>
            <w:tcBorders>
              <w:bottom w:val="single" w:sz="8" w:color="auto"/>
            </w:tcBorders>
            <w:gridSpan w:val="4"/>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9"/>
          </w:tcPr>
          <w:p>
            <w:pPr>
              <w:jc w:val="center"/>
              <w:ind w:right="200"/>
              <w:spacing w:after="0" w:line="155" w:lineRule="exact"/>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294"/>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bottom w:val="single" w:sz="8" w:color="auto"/>
            </w:tcBorders>
            <w:gridSpan w:val="4"/>
          </w:tcPr>
          <w:p>
            <w:pPr>
              <w:ind w:left="44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tcBorders>
              <w:left w:val="single" w:sz="8" w:color="CFF0FC"/>
            </w:tcBorders>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Cash</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388"/>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16,007</w:t>
            </w:r>
          </w:p>
        </w:tc>
        <w:tc>
          <w:tcPr>
            <w:tcW w:w="5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30,866</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0" w:type="dxa"/>
            <w:vAlign w:val="bottom"/>
            <w:tcBorders>
              <w:left w:val="single" w:sz="8" w:color="CFF0FC"/>
            </w:tcBorders>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tcBorders>
              <w:left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30,866</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102,193</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102,193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Corporate bonds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81,607</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81,607</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60"/>
              <w:spacing w:after="0" w:line="202" w:lineRule="exact"/>
              <w:rPr>
                <w:sz w:val="20"/>
                <w:szCs w:val="20"/>
                <w:color w:val="auto"/>
              </w:rPr>
            </w:pPr>
            <w:r>
              <w:rPr>
                <w:rFonts w:ascii="Arial" w:cs="Arial" w:eastAsia="Arial" w:hAnsi="Arial"/>
                <w:sz w:val="18"/>
                <w:szCs w:val="18"/>
                <w:color w:val="auto"/>
              </w:rPr>
              <w:t>U.S. government treasury bills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5"/>
              </w:rPr>
              <w:t>233,938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233,938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41,029</w:t>
            </w:r>
          </w:p>
        </w:tc>
        <w:tc>
          <w:tcPr>
            <w:tcW w:w="1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left w:val="single" w:sz="8" w:color="CFF0FC"/>
              <w:bottom w:val="single" w:sz="8" w:color="auto"/>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41,029</w:t>
            </w:r>
          </w:p>
        </w:tc>
        <w:tc>
          <w:tcPr>
            <w:tcW w:w="120" w:type="dxa"/>
            <w:vAlign w:val="bottom"/>
            <w:tcBorders>
              <w:left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388"/>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5"/>
              </w:rPr>
              <w:t>280,811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center"/>
              <w:ind w:right="36"/>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rPr>
              <w:t>224,829</w:t>
            </w:r>
          </w:p>
        </w:tc>
        <w:tc>
          <w:tcPr>
            <w:tcW w:w="120" w:type="dxa"/>
            <w:vAlign w:val="bottom"/>
          </w:tcPr>
          <w:p>
            <w:pPr>
              <w:spacing w:after="0"/>
              <w:rPr>
                <w:sz w:val="17"/>
                <w:szCs w:val="17"/>
                <w:color w:val="auto"/>
              </w:rPr>
            </w:pPr>
          </w:p>
        </w:tc>
        <w:tc>
          <w:tcPr>
            <w:tcW w:w="6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505,640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2"/>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ind w:left="40"/>
              <w:spacing w:after="0" w:line="155" w:lineRule="exact"/>
              <w:rPr>
                <w:sz w:val="20"/>
                <w:szCs w:val="20"/>
                <w:color w:val="auto"/>
              </w:rPr>
            </w:pPr>
            <w:r>
              <w:rPr>
                <w:rFonts w:ascii="Arial" w:cs="Arial" w:eastAsia="Arial" w:hAnsi="Arial"/>
                <w:sz w:val="14"/>
                <w:szCs w:val="14"/>
                <w:b w:val="1"/>
                <w:bCs w:val="1"/>
                <w:color w:val="auto"/>
              </w:rPr>
              <w:t>March 31, 2026</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160"/>
              <w:spacing w:after="0" w:line="147" w:lineRule="exact"/>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Gains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80" w:type="dxa"/>
            <w:vAlign w:val="bottom"/>
            <w:tcBorders>
              <w:left w:val="single" w:sz="8" w:color="CFF0FC"/>
            </w:tcBorders>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0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52,700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52,700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Short-term marketable securities (&lt;12 months to maturity)</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321,016</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w:t>
            </w:r>
          </w:p>
        </w:tc>
        <w:tc>
          <w:tcPr>
            <w:tcW w:w="80" w:type="dxa"/>
            <w:vAlign w:val="bottom"/>
            <w:tcBorders>
              <w:left w:val="single" w:sz="8" w:color="CFF0FC"/>
            </w:tcBorders>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2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(175)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321,009</w:t>
            </w: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40"/>
              <w:spacing w:after="0" w:line="202" w:lineRule="exact"/>
              <w:rPr>
                <w:sz w:val="20"/>
                <w:szCs w:val="20"/>
                <w:color w:val="auto"/>
              </w:rPr>
            </w:pPr>
            <w:r>
              <w:rPr>
                <w:rFonts w:ascii="Arial" w:cs="Arial" w:eastAsia="Arial" w:hAnsi="Arial"/>
                <w:sz w:val="18"/>
                <w:szCs w:val="18"/>
                <w:color w:val="auto"/>
              </w:rPr>
              <w:t>Long-term marketable securities (&gt;12 months to maturity)</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132,224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(433)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131,791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505,940</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234"/>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168</w:t>
            </w:r>
          </w:p>
        </w:tc>
        <w:tc>
          <w:tcPr>
            <w:tcW w:w="80" w:type="dxa"/>
            <w:vAlign w:val="bottom"/>
            <w:tcBorders>
              <w:left w:val="single" w:sz="8" w:color="CFF0FC"/>
            </w:tcBorders>
            <w:shd w:val="clear" w:color="auto" w:fill="CFF0FC"/>
          </w:tcPr>
          <w:p>
            <w:pPr>
              <w:spacing w:after="0"/>
              <w:rPr>
                <w:sz w:val="20"/>
                <w:szCs w:val="20"/>
                <w:color w:val="auto"/>
              </w:rPr>
            </w:pPr>
          </w:p>
        </w:tc>
        <w:tc>
          <w:tcPr>
            <w:tcW w:w="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20" w:type="dxa"/>
            <w:vAlign w:val="bottom"/>
            <w:tcBorders>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(608)</w:t>
            </w:r>
          </w:p>
        </w:tc>
        <w:tc>
          <w:tcPr>
            <w:tcW w:w="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505,500</w:t>
            </w:r>
          </w:p>
        </w:tc>
        <w:tc>
          <w:tcPr>
            <w:tcW w:w="120" w:type="dxa"/>
            <w:vAlign w:val="bottom"/>
            <w:tcBorders>
              <w:lef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FF0FC"/>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spacing w:after="0"/>
              <w:rPr>
                <w:sz w:val="18"/>
                <w:szCs w:val="18"/>
                <w:color w:val="auto"/>
              </w:rPr>
            </w:pPr>
          </w:p>
        </w:tc>
        <w:tc>
          <w:tcPr>
            <w:tcW w:w="120" w:type="dxa"/>
            <w:vAlign w:val="bottom"/>
            <w:tcBorders>
              <w:top w:val="single" w:sz="8" w:color="CFF0FC"/>
              <w:bottom w:val="single" w:sz="8" w:color="auto"/>
            </w:tcBorders>
            <w:gridSpan w:val="2"/>
          </w:tcPr>
          <w:p>
            <w:pPr>
              <w:spacing w:after="0"/>
              <w:rPr>
                <w:sz w:val="18"/>
                <w:szCs w:val="18"/>
                <w:color w:val="auto"/>
              </w:rPr>
            </w:pPr>
          </w:p>
        </w:tc>
        <w:tc>
          <w:tcPr>
            <w:tcW w:w="1100" w:type="dxa"/>
            <w:vAlign w:val="bottom"/>
            <w:tcBorders>
              <w:top w:val="single" w:sz="8" w:color="auto"/>
              <w:bottom w:val="single" w:sz="8" w:color="auto"/>
            </w:tcBorders>
            <w:gridSpan w:val="3"/>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FF0FC"/>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7"/>
          </w:tcPr>
          <w:p>
            <w:pPr>
              <w:ind w:left="320"/>
              <w:spacing w:after="0" w:line="155" w:lineRule="exact"/>
              <w:rPr>
                <w:sz w:val="20"/>
                <w:szCs w:val="20"/>
                <w:color w:val="auto"/>
              </w:rPr>
            </w:pPr>
            <w:r>
              <w:rPr>
                <w:rFonts w:ascii="Arial" w:cs="Arial" w:eastAsia="Arial" w:hAnsi="Arial"/>
                <w:sz w:val="14"/>
                <w:szCs w:val="14"/>
                <w:b w:val="1"/>
                <w:bCs w:val="1"/>
                <w:color w:val="auto"/>
              </w:rPr>
              <w:t>December 31, 2025</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left="64"/>
              <w:spacing w:after="0" w:line="147" w:lineRule="exact"/>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188"/>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580" w:type="dxa"/>
            <w:vAlign w:val="bottom"/>
            <w:gridSpan w:val="5"/>
          </w:tcPr>
          <w:p>
            <w:pPr>
              <w:jc w:val="center"/>
              <w:ind w:left="14"/>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rPr>
              <w:t>Gains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left="64"/>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80" w:type="dxa"/>
            <w:vAlign w:val="bottom"/>
            <w:tcBorders>
              <w:left w:val="single" w:sz="8" w:color="CFF0FC"/>
            </w:tcBorders>
            <w:shd w:val="clear" w:color="auto" w:fill="CFF0FC"/>
          </w:tcPr>
          <w:p>
            <w:pPr>
              <w:spacing w:after="0"/>
              <w:rPr>
                <w:sz w:val="17"/>
                <w:szCs w:val="17"/>
                <w:color w:val="auto"/>
              </w:rPr>
            </w:pPr>
          </w:p>
        </w:tc>
        <w:tc>
          <w:tcPr>
            <w:tcW w:w="40" w:type="dxa"/>
            <w:vAlign w:val="bottom"/>
            <w:tcBorders>
              <w:right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left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48,503</w:t>
            </w:r>
          </w:p>
        </w:tc>
        <w:tc>
          <w:tcPr>
            <w:tcW w:w="660" w:type="dxa"/>
            <w:vAlign w:val="bottom"/>
            <w:gridSpan w:val="2"/>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48,503</w:t>
            </w:r>
          </w:p>
        </w:tc>
        <w:tc>
          <w:tcPr>
            <w:tcW w:w="0" w:type="dxa"/>
            <w:vAlign w:val="bottom"/>
          </w:tcPr>
          <w:p>
            <w:pPr>
              <w:spacing w:after="0"/>
              <w:rPr>
                <w:sz w:val="1"/>
                <w:szCs w:val="1"/>
                <w:color w:val="auto"/>
              </w:rPr>
            </w:pPr>
          </w:p>
        </w:tc>
      </w:tr>
      <w:tr>
        <w:trPr>
          <w:trHeight w:val="184"/>
        </w:trPr>
        <w:tc>
          <w:tcPr>
            <w:tcW w:w="480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Short-term marketable securities (&lt;12 months to</w:t>
            </w:r>
          </w:p>
        </w:tc>
        <w:tc>
          <w:tcPr>
            <w:tcW w:w="10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4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tcBorders>
              <w:left w:val="single" w:sz="8" w:color="CFF0FC"/>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maturity)</w:t>
            </w:r>
          </w:p>
        </w:tc>
        <w:tc>
          <w:tcPr>
            <w:tcW w:w="10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300,243</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501</w:t>
            </w:r>
          </w:p>
        </w:tc>
        <w:tc>
          <w:tcPr>
            <w:tcW w:w="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300,732</w:t>
            </w: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line="202" w:lineRule="exact"/>
              <w:rPr>
                <w:sz w:val="20"/>
                <w:szCs w:val="20"/>
                <w:color w:val="auto"/>
              </w:rPr>
            </w:pPr>
            <w:r>
              <w:rPr>
                <w:rFonts w:ascii="Arial" w:cs="Arial" w:eastAsia="Arial" w:hAnsi="Arial"/>
                <w:sz w:val="18"/>
                <w:szCs w:val="18"/>
                <w:color w:val="auto"/>
              </w:rPr>
              <w:t>Long-term marketable securities (&gt;12 months to maturity)</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156,273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156,405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5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505,019</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194"/>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661</w:t>
            </w:r>
          </w:p>
        </w:tc>
        <w:tc>
          <w:tcPr>
            <w:tcW w:w="80" w:type="dxa"/>
            <w:vAlign w:val="bottom"/>
            <w:tcBorders>
              <w:left w:val="single" w:sz="8" w:color="CFF0FC"/>
            </w:tcBorders>
            <w:shd w:val="clear" w:color="auto" w:fill="CFF0FC"/>
          </w:tcPr>
          <w:p>
            <w:pPr>
              <w:spacing w:after="0"/>
              <w:rPr>
                <w:sz w:val="18"/>
                <w:szCs w:val="18"/>
                <w:color w:val="auto"/>
              </w:rPr>
            </w:pPr>
          </w:p>
        </w:tc>
        <w:tc>
          <w:tcPr>
            <w:tcW w:w="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20" w:type="dxa"/>
            <w:vAlign w:val="bottom"/>
            <w:tcBorders>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505,640</w:t>
            </w:r>
          </w:p>
        </w:tc>
        <w:tc>
          <w:tcPr>
            <w:tcW w:w="0" w:type="dxa"/>
            <w:vAlign w:val="bottom"/>
          </w:tcPr>
          <w:p>
            <w:pPr>
              <w:spacing w:after="0"/>
              <w:rPr>
                <w:sz w:val="1"/>
                <w:szCs w:val="1"/>
                <w:color w:val="auto"/>
              </w:rPr>
            </w:pPr>
          </w:p>
        </w:tc>
      </w:tr>
      <w:tr>
        <w:trPr>
          <w:trHeight w:val="20"/>
        </w:trPr>
        <w:tc>
          <w:tcPr>
            <w:tcW w:w="4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-4276725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-4276725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-4276725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-4276725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-3972560</wp:posOffset>
            </wp:positionV>
            <wp:extent cx="939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-2828290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-2828290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-2828290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-2515235</wp:posOffset>
            </wp:positionV>
            <wp:extent cx="10287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-1413510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-1396365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-1413510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-1396365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-1413510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-1396365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-1413510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-1396365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-1254760</wp:posOffset>
            </wp:positionV>
            <wp:extent cx="9398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whether (i) it is more likely than not that the Company will be required to sell the debt securities before recovery of their amortized cost basis, and (ii) the amortized cost basis cannot be recovered as a result of credit losses.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marketable securities that had been in a consecutive loss position for more than 12 months as of March 31, 2026. During the three months ended March 31, 2026, the Company did not recognize any other-than-temporary impairment loss. As of March 31, 2026, there was no allowance for losses on available-for-sale debt securities attributable to credit risk.</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2026, all of the Company’s cash and cash equivalents primarily consisted of cash on deposit with U.S. banks denominated in U.S. dollars and Australian dollars, and investments in interest-bearing money market funds.</w:t>
      </w:r>
    </w:p>
    <w:p>
      <w:pPr>
        <w:spacing w:after="0" w:line="154"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Prepaid Expenses and Other Current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1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20" w:type="dxa"/>
            <w:vAlign w:val="bottom"/>
          </w:tcPr>
          <w:p>
            <w:pPr>
              <w:spacing w:after="0"/>
              <w:rPr>
                <w:sz w:val="17"/>
                <w:szCs w:val="17"/>
                <w:color w:val="auto"/>
              </w:rPr>
            </w:pPr>
          </w:p>
        </w:tc>
        <w:tc>
          <w:tcPr>
            <w:tcW w:w="8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14"/>
              <w:spacing w:after="0" w:line="196" w:lineRule="exact"/>
              <w:rPr>
                <w:sz w:val="20"/>
                <w:szCs w:val="20"/>
                <w:color w:val="auto"/>
              </w:rPr>
            </w:pPr>
            <w:r>
              <w:rPr>
                <w:rFonts w:ascii="Arial" w:cs="Arial" w:eastAsia="Arial" w:hAnsi="Arial"/>
                <w:sz w:val="18"/>
                <w:szCs w:val="18"/>
                <w:color w:val="auto"/>
              </w:rPr>
              <w:t>3,321</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3,137</w:t>
            </w:r>
          </w:p>
        </w:tc>
      </w:tr>
      <w:tr>
        <w:trPr>
          <w:trHeight w:val="203"/>
        </w:trPr>
        <w:tc>
          <w:tcPr>
            <w:tcW w:w="20" w:type="dxa"/>
            <w:vAlign w:val="bottom"/>
          </w:tcPr>
          <w:p>
            <w:pPr>
              <w:spacing w:after="0"/>
              <w:rPr>
                <w:sz w:val="17"/>
                <w:szCs w:val="17"/>
                <w:color w:val="auto"/>
              </w:rPr>
            </w:pPr>
          </w:p>
        </w:tc>
        <w:tc>
          <w:tcPr>
            <w:tcW w:w="8140" w:type="dxa"/>
            <w:vAlign w:val="bottom"/>
          </w:tcPr>
          <w:p>
            <w:pPr>
              <w:spacing w:after="0" w:line="202" w:lineRule="exact"/>
              <w:rPr>
                <w:sz w:val="20"/>
                <w:szCs w:val="20"/>
                <w:color w:val="auto"/>
              </w:rPr>
            </w:pPr>
            <w:r>
              <w:rPr>
                <w:rFonts w:ascii="Arial" w:cs="Arial" w:eastAsia="Arial" w:hAnsi="Arial"/>
                <w:sz w:val="18"/>
                <w:szCs w:val="18"/>
                <w:color w:val="auto"/>
              </w:rPr>
              <w:t>Prepaid clinical development costs</w:t>
            </w:r>
          </w:p>
        </w:tc>
        <w:tc>
          <w:tcPr>
            <w:tcW w:w="200" w:type="dxa"/>
            <w:vAlign w:val="bottom"/>
          </w:tcPr>
          <w:p>
            <w:pPr>
              <w:spacing w:after="0"/>
              <w:rPr>
                <w:sz w:val="17"/>
                <w:szCs w:val="17"/>
                <w:color w:val="auto"/>
              </w:rPr>
            </w:pPr>
          </w:p>
        </w:tc>
        <w:tc>
          <w:tcPr>
            <w:tcW w:w="12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1,324</w:t>
            </w:r>
          </w:p>
        </w:tc>
        <w:tc>
          <w:tcPr>
            <w:tcW w:w="320" w:type="dxa"/>
            <w:vAlign w:val="bottom"/>
          </w:tcPr>
          <w:p>
            <w:pPr>
              <w:spacing w:after="0"/>
              <w:rPr>
                <w:sz w:val="17"/>
                <w:szCs w:val="17"/>
                <w:color w:val="auto"/>
              </w:rPr>
            </w:pPr>
          </w:p>
        </w:tc>
        <w:tc>
          <w:tcPr>
            <w:tcW w:w="12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2,124</w:t>
            </w:r>
          </w:p>
        </w:tc>
      </w:tr>
      <w:tr>
        <w:trPr>
          <w:trHeight w:val="203"/>
        </w:trPr>
        <w:tc>
          <w:tcPr>
            <w:tcW w:w="20" w:type="dxa"/>
            <w:vAlign w:val="bottom"/>
          </w:tcPr>
          <w:p>
            <w:pPr>
              <w:spacing w:after="0"/>
              <w:rPr>
                <w:sz w:val="17"/>
                <w:szCs w:val="17"/>
                <w:color w:val="auto"/>
              </w:rPr>
            </w:pPr>
          </w:p>
        </w:tc>
        <w:tc>
          <w:tcPr>
            <w:tcW w:w="8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subscriptions and licenses</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14"/>
              <w:spacing w:after="0" w:line="202" w:lineRule="exact"/>
              <w:rPr>
                <w:sz w:val="20"/>
                <w:szCs w:val="20"/>
                <w:color w:val="auto"/>
              </w:rPr>
            </w:pPr>
            <w:r>
              <w:rPr>
                <w:rFonts w:ascii="Arial" w:cs="Arial" w:eastAsia="Arial" w:hAnsi="Arial"/>
                <w:sz w:val="18"/>
                <w:szCs w:val="18"/>
                <w:color w:val="auto"/>
              </w:rPr>
              <w:t>1,224</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1,200</w:t>
            </w:r>
          </w:p>
        </w:tc>
      </w:tr>
      <w:tr>
        <w:trPr>
          <w:trHeight w:val="203"/>
        </w:trPr>
        <w:tc>
          <w:tcPr>
            <w:tcW w:w="20" w:type="dxa"/>
            <w:vAlign w:val="bottom"/>
          </w:tcPr>
          <w:p>
            <w:pPr>
              <w:spacing w:after="0"/>
              <w:rPr>
                <w:sz w:val="17"/>
                <w:szCs w:val="17"/>
                <w:color w:val="auto"/>
              </w:rPr>
            </w:pPr>
          </w:p>
        </w:tc>
        <w:tc>
          <w:tcPr>
            <w:tcW w:w="8140" w:type="dxa"/>
            <w:vAlign w:val="bottom"/>
          </w:tcPr>
          <w:p>
            <w:pPr>
              <w:spacing w:after="0" w:line="202" w:lineRule="exact"/>
              <w:rPr>
                <w:sz w:val="20"/>
                <w:szCs w:val="20"/>
                <w:color w:val="auto"/>
              </w:rPr>
            </w:pPr>
            <w:r>
              <w:rPr>
                <w:rFonts w:ascii="Arial" w:cs="Arial" w:eastAsia="Arial" w:hAnsi="Arial"/>
                <w:sz w:val="18"/>
                <w:szCs w:val="18"/>
                <w:color w:val="auto"/>
              </w:rPr>
              <w:t>Prepaid insurance</w:t>
            </w:r>
          </w:p>
        </w:tc>
        <w:tc>
          <w:tcPr>
            <w:tcW w:w="200" w:type="dxa"/>
            <w:vAlign w:val="bottom"/>
          </w:tcPr>
          <w:p>
            <w:pPr>
              <w:spacing w:after="0"/>
              <w:rPr>
                <w:sz w:val="17"/>
                <w:szCs w:val="17"/>
                <w:color w:val="auto"/>
              </w:rPr>
            </w:pPr>
          </w:p>
        </w:tc>
        <w:tc>
          <w:tcPr>
            <w:tcW w:w="12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753</w:t>
            </w:r>
          </w:p>
        </w:tc>
        <w:tc>
          <w:tcPr>
            <w:tcW w:w="320" w:type="dxa"/>
            <w:vAlign w:val="bottom"/>
          </w:tcPr>
          <w:p>
            <w:pPr>
              <w:spacing w:after="0"/>
              <w:rPr>
                <w:sz w:val="17"/>
                <w:szCs w:val="17"/>
                <w:color w:val="auto"/>
              </w:rPr>
            </w:pPr>
          </w:p>
        </w:tc>
        <w:tc>
          <w:tcPr>
            <w:tcW w:w="12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1,049</w:t>
            </w:r>
          </w:p>
        </w:tc>
      </w:tr>
      <w:tr>
        <w:trPr>
          <w:trHeight w:val="203"/>
        </w:trPr>
        <w:tc>
          <w:tcPr>
            <w:tcW w:w="20" w:type="dxa"/>
            <w:vAlign w:val="bottom"/>
          </w:tcPr>
          <w:p>
            <w:pPr>
              <w:spacing w:after="0"/>
              <w:rPr>
                <w:sz w:val="17"/>
                <w:szCs w:val="17"/>
                <w:color w:val="auto"/>
              </w:rPr>
            </w:pPr>
          </w:p>
        </w:tc>
        <w:tc>
          <w:tcPr>
            <w:tcW w:w="8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Value added tax receivable</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14"/>
              <w:spacing w:after="0" w:line="202" w:lineRule="exact"/>
              <w:rPr>
                <w:sz w:val="20"/>
                <w:szCs w:val="20"/>
                <w:color w:val="auto"/>
              </w:rPr>
            </w:pPr>
            <w:r>
              <w:rPr>
                <w:rFonts w:ascii="Arial" w:cs="Arial" w:eastAsia="Arial" w:hAnsi="Arial"/>
                <w:sz w:val="18"/>
                <w:szCs w:val="18"/>
                <w:color w:val="auto"/>
              </w:rPr>
              <w:t>30</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919</w:t>
            </w:r>
          </w:p>
        </w:tc>
      </w:tr>
      <w:tr>
        <w:trPr>
          <w:trHeight w:val="203"/>
        </w:trPr>
        <w:tc>
          <w:tcPr>
            <w:tcW w:w="20" w:type="dxa"/>
            <w:vAlign w:val="bottom"/>
          </w:tcPr>
          <w:p>
            <w:pPr>
              <w:spacing w:after="0"/>
              <w:rPr>
                <w:sz w:val="17"/>
                <w:szCs w:val="17"/>
                <w:color w:val="auto"/>
              </w:rPr>
            </w:pPr>
          </w:p>
        </w:tc>
        <w:tc>
          <w:tcPr>
            <w:tcW w:w="8140" w:type="dxa"/>
            <w:vAlign w:val="bottom"/>
          </w:tcPr>
          <w:p>
            <w:pPr>
              <w:spacing w:after="0" w:line="202" w:lineRule="exact"/>
              <w:rPr>
                <w:sz w:val="20"/>
                <w:szCs w:val="20"/>
                <w:color w:val="auto"/>
              </w:rPr>
            </w:pPr>
            <w:r>
              <w:rPr>
                <w:rFonts w:ascii="Arial" w:cs="Arial" w:eastAsia="Arial" w:hAnsi="Arial"/>
                <w:sz w:val="18"/>
                <w:szCs w:val="18"/>
                <w:color w:val="auto"/>
              </w:rPr>
              <w:t>Other prepaid and current assets¹</w:t>
            </w:r>
          </w:p>
        </w:tc>
        <w:tc>
          <w:tcPr>
            <w:tcW w:w="20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114"/>
              <w:spacing w:after="0" w:line="202" w:lineRule="exact"/>
              <w:rPr>
                <w:sz w:val="20"/>
                <w:szCs w:val="20"/>
                <w:color w:val="auto"/>
              </w:rPr>
            </w:pPr>
            <w:r>
              <w:rPr>
                <w:rFonts w:ascii="Arial" w:cs="Arial" w:eastAsia="Arial" w:hAnsi="Arial"/>
                <w:sz w:val="18"/>
                <w:szCs w:val="18"/>
                <w:color w:val="auto"/>
              </w:rPr>
              <w:t>1,230</w:t>
            </w:r>
          </w:p>
        </w:tc>
        <w:tc>
          <w:tcPr>
            <w:tcW w:w="32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ind w:right="34"/>
              <w:spacing w:after="0" w:line="202" w:lineRule="exact"/>
              <w:rPr>
                <w:sz w:val="20"/>
                <w:szCs w:val="20"/>
                <w:color w:val="auto"/>
              </w:rPr>
            </w:pPr>
            <w:r>
              <w:rPr>
                <w:rFonts w:ascii="Arial" w:cs="Arial" w:eastAsia="Arial" w:hAnsi="Arial"/>
                <w:sz w:val="18"/>
                <w:szCs w:val="18"/>
                <w:color w:val="auto"/>
              </w:rPr>
              <w:t>1,586</w:t>
            </w:r>
          </w:p>
        </w:tc>
      </w:tr>
      <w:tr>
        <w:trPr>
          <w:trHeight w:val="236"/>
        </w:trPr>
        <w:tc>
          <w:tcPr>
            <w:tcW w:w="20" w:type="dxa"/>
            <w:vAlign w:val="bottom"/>
          </w:tcPr>
          <w:p>
            <w:pPr>
              <w:spacing w:after="0"/>
              <w:rPr>
                <w:sz w:val="20"/>
                <w:szCs w:val="20"/>
                <w:color w:val="auto"/>
              </w:rPr>
            </w:pPr>
          </w:p>
        </w:tc>
        <w:tc>
          <w:tcPr>
            <w:tcW w:w="81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ind w:right="114"/>
              <w:spacing w:after="0" w:line="196" w:lineRule="exact"/>
              <w:rPr>
                <w:sz w:val="20"/>
                <w:szCs w:val="20"/>
                <w:color w:val="auto"/>
              </w:rPr>
            </w:pPr>
            <w:r>
              <w:rPr>
                <w:rFonts w:ascii="Arial" w:cs="Arial" w:eastAsia="Arial" w:hAnsi="Arial"/>
                <w:sz w:val="18"/>
                <w:szCs w:val="18"/>
                <w:color w:val="auto"/>
              </w:rPr>
              <w:t>7,882</w:t>
            </w:r>
          </w:p>
        </w:tc>
        <w:tc>
          <w:tcPr>
            <w:tcW w:w="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10,015</w:t>
            </w:r>
          </w:p>
        </w:tc>
      </w:tr>
    </w:tbl>
    <w:p>
      <w:pPr>
        <w:spacing w:after="0" w:line="188" w:lineRule="exact"/>
        <w:rPr>
          <w:sz w:val="20"/>
          <w:szCs w:val="20"/>
          <w:color w:val="auto"/>
        </w:rPr>
      </w:pPr>
    </w:p>
    <w:p>
      <w:pPr>
        <w:ind w:left="60" w:right="600" w:firstLine="9"/>
        <w:spacing w:after="0" w:line="286" w:lineRule="auto"/>
        <w:tabs>
          <w:tab w:leader="none" w:pos="159"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current assets as of December 31, 2025 included a $0.5 million tax refund receivable from the Australian Taxation Office related to the 2025 calendar year, which was received in February 2026.</w:t>
      </w:r>
    </w:p>
    <w:p>
      <w:pPr>
        <w:spacing w:after="0" w:line="367"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Assets and Long-Term Deposits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long-term deposits consisted of the following (in thousands):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204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2026</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1035"/>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4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Clinical development project deposits</w:t>
            </w:r>
          </w:p>
        </w:tc>
        <w:tc>
          <w:tcPr>
            <w:tcW w:w="3100" w:type="dxa"/>
            <w:vAlign w:val="bottom"/>
            <w:gridSpan w:val="2"/>
            <w:shd w:val="clear" w:color="auto" w:fill="CFF0FC"/>
          </w:tcPr>
          <w:p>
            <w:pPr>
              <w:jc w:val="right"/>
              <w:ind w:right="1428"/>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15,301</w:t>
            </w:r>
          </w:p>
        </w:tc>
        <w:tc>
          <w:tcPr>
            <w:tcW w:w="56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15,202</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Internal-use software</w:t>
            </w:r>
          </w:p>
        </w:tc>
        <w:tc>
          <w:tcPr>
            <w:tcW w:w="1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838</w:t>
            </w:r>
          </w:p>
        </w:tc>
        <w:tc>
          <w:tcPr>
            <w:tcW w:w="560" w:type="dxa"/>
            <w:vAlign w:val="bottom"/>
          </w:tcPr>
          <w:p>
            <w:pPr>
              <w:spacing w:after="0"/>
              <w:rPr>
                <w:sz w:val="17"/>
                <w:szCs w:val="17"/>
                <w:color w:val="auto"/>
              </w:rPr>
            </w:pPr>
          </w:p>
        </w:tc>
        <w:tc>
          <w:tcPr>
            <w:tcW w:w="20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892</w:t>
            </w:r>
          </w:p>
        </w:tc>
      </w:tr>
      <w:tr>
        <w:trPr>
          <w:trHeight w:val="203"/>
        </w:trPr>
        <w:tc>
          <w:tcPr>
            <w:tcW w:w="4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15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356</w:t>
            </w:r>
          </w:p>
        </w:tc>
        <w:tc>
          <w:tcPr>
            <w:tcW w:w="560" w:type="dxa"/>
            <w:vAlign w:val="bottom"/>
            <w:shd w:val="clear" w:color="auto" w:fill="CFF0FC"/>
          </w:tcPr>
          <w:p>
            <w:pPr>
              <w:spacing w:after="0"/>
              <w:rPr>
                <w:sz w:val="17"/>
                <w:szCs w:val="17"/>
                <w:color w:val="auto"/>
              </w:rPr>
            </w:pPr>
          </w:p>
        </w:tc>
        <w:tc>
          <w:tcPr>
            <w:tcW w:w="204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274</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Office lease deposits</w:t>
            </w:r>
          </w:p>
        </w:tc>
        <w:tc>
          <w:tcPr>
            <w:tcW w:w="15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464</w:t>
            </w:r>
          </w:p>
        </w:tc>
      </w:tr>
      <w:tr>
        <w:trPr>
          <w:trHeight w:val="236"/>
        </w:trPr>
        <w:tc>
          <w:tcPr>
            <w:tcW w:w="44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3100" w:type="dxa"/>
            <w:vAlign w:val="bottom"/>
            <w:tcBorders>
              <w:bottom w:val="single" w:sz="8" w:color="auto"/>
            </w:tcBorders>
            <w:gridSpan w:val="2"/>
            <w:shd w:val="clear" w:color="auto" w:fill="CFF0FC"/>
          </w:tcPr>
          <w:p>
            <w:pPr>
              <w:jc w:val="right"/>
              <w:ind w:right="1428"/>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16,495</w:t>
            </w:r>
          </w:p>
        </w:tc>
        <w:tc>
          <w:tcPr>
            <w:tcW w:w="56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16,832</w:t>
            </w:r>
          </w:p>
        </w:tc>
      </w:tr>
    </w:tbl>
    <w:p>
      <w:pPr>
        <w:spacing w:after="0" w:line="224"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Accrued and Other Current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466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r>
      <w:tr>
        <w:trPr>
          <w:trHeight w:val="155"/>
        </w:trPr>
        <w:tc>
          <w:tcPr>
            <w:tcW w:w="1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15"/>
              <w:spacing w:after="0" w:line="155" w:lineRule="exact"/>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96"/>
        </w:trPr>
        <w:tc>
          <w:tcPr>
            <w:tcW w:w="120" w:type="dxa"/>
            <w:vAlign w:val="bottom"/>
          </w:tcPr>
          <w:p>
            <w:pPr>
              <w:spacing w:after="0"/>
              <w:rPr>
                <w:sz w:val="17"/>
                <w:szCs w:val="17"/>
                <w:color w:val="auto"/>
              </w:rPr>
            </w:pPr>
          </w:p>
        </w:tc>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research and development related costs</w:t>
            </w:r>
          </w:p>
        </w:tc>
        <w:tc>
          <w:tcPr>
            <w:tcW w:w="31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35,396</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29,286</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Accrued payroll related costs</w:t>
            </w: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2,775</w:t>
            </w:r>
          </w:p>
        </w:tc>
        <w:tc>
          <w:tcPr>
            <w:tcW w:w="420" w:type="dxa"/>
            <w:vAlign w:val="bottom"/>
          </w:tcPr>
          <w:p>
            <w:pPr>
              <w:spacing w:after="0"/>
              <w:rPr>
                <w:sz w:val="17"/>
                <w:szCs w:val="17"/>
                <w:color w:val="auto"/>
              </w:rPr>
            </w:pPr>
          </w:p>
        </w:tc>
        <w:tc>
          <w:tcPr>
            <w:tcW w:w="13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1,149</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employee bonuses</w:t>
            </w:r>
          </w:p>
        </w:tc>
        <w:tc>
          <w:tcPr>
            <w:tcW w:w="3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2,202</w:t>
            </w: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8,253</w:t>
            </w:r>
          </w:p>
        </w:tc>
        <w:tc>
          <w:tcPr>
            <w:tcW w:w="10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4660" w:type="dxa"/>
            <w:vAlign w:val="bottom"/>
          </w:tcPr>
          <w:p>
            <w:pPr>
              <w:spacing w:after="0" w:line="202" w:lineRule="exact"/>
              <w:rPr>
                <w:sz w:val="20"/>
                <w:szCs w:val="20"/>
                <w:color w:val="auto"/>
              </w:rPr>
            </w:pPr>
            <w:r>
              <w:rPr>
                <w:rFonts w:ascii="Arial" w:cs="Arial" w:eastAsia="Arial" w:hAnsi="Arial"/>
                <w:sz w:val="18"/>
                <w:szCs w:val="18"/>
                <w:color w:val="auto"/>
              </w:rPr>
              <w:t>Accrued corporate related costs</w:t>
            </w:r>
          </w:p>
        </w:tc>
        <w:tc>
          <w:tcPr>
            <w:tcW w:w="300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44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2,119</w:t>
            </w:r>
          </w:p>
        </w:tc>
        <w:tc>
          <w:tcPr>
            <w:tcW w:w="42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jc w:val="right"/>
              <w:ind w:right="55"/>
              <w:spacing w:after="0" w:line="202" w:lineRule="exact"/>
              <w:rPr>
                <w:sz w:val="20"/>
                <w:szCs w:val="20"/>
                <w:color w:val="auto"/>
              </w:rPr>
            </w:pPr>
            <w:r>
              <w:rPr>
                <w:rFonts w:ascii="Arial" w:cs="Arial" w:eastAsia="Arial" w:hAnsi="Arial"/>
                <w:sz w:val="18"/>
                <w:szCs w:val="18"/>
                <w:color w:val="auto"/>
              </w:rPr>
              <w:t>2,737</w:t>
            </w:r>
          </w:p>
        </w:tc>
        <w:tc>
          <w:tcPr>
            <w:tcW w:w="100" w:type="dxa"/>
            <w:vAlign w:val="bottom"/>
          </w:tcPr>
          <w:p>
            <w:pPr>
              <w:spacing w:after="0"/>
              <w:rPr>
                <w:sz w:val="17"/>
                <w:szCs w:val="17"/>
                <w:color w:val="auto"/>
              </w:rPr>
            </w:pPr>
          </w:p>
        </w:tc>
      </w:tr>
      <w:tr>
        <w:trPr>
          <w:trHeight w:val="236"/>
        </w:trPr>
        <w:tc>
          <w:tcPr>
            <w:tcW w:w="120" w:type="dxa"/>
            <w:vAlign w:val="bottom"/>
          </w:tcPr>
          <w:p>
            <w:pPr>
              <w:spacing w:after="0"/>
              <w:rPr>
                <w:sz w:val="20"/>
                <w:szCs w:val="20"/>
                <w:color w:val="auto"/>
              </w:rPr>
            </w:pPr>
          </w:p>
        </w:tc>
        <w:tc>
          <w:tcPr>
            <w:tcW w:w="46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312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42,492</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41,425</w:t>
            </w:r>
          </w:p>
        </w:tc>
        <w:tc>
          <w:tcPr>
            <w:tcW w:w="100" w:type="dxa"/>
            <w:vAlign w:val="bottom"/>
          </w:tcPr>
          <w:p>
            <w:pPr>
              <w:spacing w:after="0"/>
              <w:rPr>
                <w:sz w:val="20"/>
                <w:szCs w:val="20"/>
                <w:color w:val="auto"/>
              </w:rPr>
            </w:pPr>
          </w:p>
        </w:tc>
      </w:tr>
      <w:tr>
        <w:trPr>
          <w:trHeight w:val="700"/>
        </w:trPr>
        <w:tc>
          <w:tcPr>
            <w:tcW w:w="1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00" w:type="dxa"/>
            <w:vAlign w:val="bottom"/>
          </w:tcPr>
          <w:p>
            <w:pPr>
              <w:jc w:val="right"/>
              <w:ind w:right="197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1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were initially issuable under the 2020 Plan was a number not to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Board no later than December 31 of the immediately preceding year.</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2022, the Board approved and adopted the Company’s 2022 Inducement Plan (the “2022 Inducement Plan”). Under the 2022 Inducement Plan, initially 2,000,000 shares of common stock were reserved for issuance. In December 2024, the Compensation Committee of the Board approved an increase of an additional 3,000,000 shares of common stock reserved for issuance under the 2022 Inducement Plan, which increase was made effective as of January 1, 2025. The 2022 Inducement Plan permits the grant of options, restricted stock awards, stock appreciation rights, restricted stock unit awards, performance awards, and other awards.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 after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0% since the Company has never paid cash dividends and does not expect to pay any cash dividends in the foreseeable future.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and the 2022 Inducement Plan were as follows, presented as a weighted average: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7360" w:type="dxa"/>
            <w:vAlign w:val="bottom"/>
          </w:tcPr>
          <w:p>
            <w:pPr>
              <w:spacing w:after="0"/>
              <w:rPr>
                <w:sz w:val="13"/>
                <w:szCs w:val="13"/>
                <w:color w:val="auto"/>
              </w:rPr>
            </w:pPr>
          </w:p>
        </w:tc>
        <w:tc>
          <w:tcPr>
            <w:tcW w:w="11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776"/>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85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3.93%</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4.12%</w:t>
            </w:r>
          </w:p>
        </w:tc>
      </w:tr>
      <w:tr>
        <w:trPr>
          <w:trHeight w:val="203"/>
        </w:trPr>
        <w:tc>
          <w:tcPr>
            <w:tcW w:w="854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 (in years)</w:t>
            </w:r>
          </w:p>
        </w:tc>
        <w:tc>
          <w:tcPr>
            <w:tcW w:w="10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6.08</w:t>
            </w:r>
          </w:p>
        </w:tc>
        <w:tc>
          <w:tcPr>
            <w:tcW w:w="17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6.08</w:t>
            </w:r>
          </w:p>
        </w:tc>
      </w:tr>
      <w:tr>
        <w:trPr>
          <w:trHeight w:val="203"/>
        </w:trPr>
        <w:tc>
          <w:tcPr>
            <w:tcW w:w="85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88.29%</w:t>
            </w: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78.15%</w:t>
            </w:r>
          </w:p>
        </w:tc>
      </w:tr>
      <w:tr>
        <w:trPr>
          <w:trHeight w:val="203"/>
        </w:trPr>
        <w:tc>
          <w:tcPr>
            <w:tcW w:w="854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Expected dividend yield</w:t>
            </w:r>
          </w:p>
        </w:tc>
        <w:tc>
          <w:tcPr>
            <w:tcW w:w="100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color w:val="auto"/>
              </w:rPr>
              <w:t>—</w:t>
            </w: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under the 2014 Plan, the 2020 Plan and the 2022 Inducement Plan: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Weighted</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377"/>
              <w:spacing w:after="0"/>
              <w:rPr>
                <w:sz w:val="20"/>
                <w:szCs w:val="20"/>
                <w:color w:val="auto"/>
              </w:rPr>
            </w:pPr>
            <w:r>
              <w:rPr>
                <w:rFonts w:ascii="Arial" w:cs="Arial" w:eastAsia="Arial" w:hAnsi="Arial"/>
                <w:sz w:val="14"/>
                <w:szCs w:val="14"/>
                <w:b w:val="1"/>
                <w:bCs w:val="1"/>
                <w:color w:val="auto"/>
              </w:rPr>
              <w:t>Weighted</w:t>
            </w:r>
          </w:p>
        </w:tc>
        <w:tc>
          <w:tcPr>
            <w:tcW w:w="1400" w:type="dxa"/>
            <w:vAlign w:val="bottom"/>
          </w:tcPr>
          <w:p>
            <w:pPr>
              <w:jc w:val="center"/>
              <w:ind w:right="38"/>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377"/>
              <w:spacing w:after="0"/>
              <w:rPr>
                <w:sz w:val="20"/>
                <w:szCs w:val="20"/>
                <w:color w:val="auto"/>
              </w:rPr>
            </w:pPr>
            <w:r>
              <w:rPr>
                <w:rFonts w:ascii="Arial" w:cs="Arial" w:eastAsia="Arial" w:hAnsi="Arial"/>
                <w:sz w:val="14"/>
                <w:szCs w:val="14"/>
                <w:b w:val="1"/>
                <w:bCs w:val="1"/>
                <w:color w:val="auto"/>
              </w:rPr>
              <w:t>Average</w:t>
            </w:r>
          </w:p>
        </w:tc>
        <w:tc>
          <w:tcPr>
            <w:tcW w:w="1400" w:type="dxa"/>
            <w:vAlign w:val="bottom"/>
          </w:tcPr>
          <w:p>
            <w:pPr>
              <w:jc w:val="center"/>
              <w:ind w:right="18"/>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20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1320" w:type="dxa"/>
            <w:vAlign w:val="bottom"/>
          </w:tcPr>
          <w:p>
            <w:pPr>
              <w:jc w:val="center"/>
              <w:ind w:right="377"/>
              <w:spacing w:after="0"/>
              <w:rPr>
                <w:sz w:val="20"/>
                <w:szCs w:val="20"/>
                <w:color w:val="auto"/>
              </w:rPr>
            </w:pPr>
            <w:r>
              <w:rPr>
                <w:rFonts w:ascii="Arial" w:cs="Arial" w:eastAsia="Arial" w:hAnsi="Arial"/>
                <w:sz w:val="14"/>
                <w:szCs w:val="14"/>
                <w:b w:val="1"/>
                <w:bCs w:val="1"/>
                <w:color w:val="auto"/>
              </w:rPr>
              <w:t>Exercise</w:t>
            </w:r>
          </w:p>
        </w:tc>
        <w:tc>
          <w:tcPr>
            <w:tcW w:w="1400" w:type="dxa"/>
            <w:vAlign w:val="bottom"/>
          </w:tcPr>
          <w:p>
            <w:pPr>
              <w:jc w:val="center"/>
              <w:ind w:right="38"/>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200" w:type="dxa"/>
            <w:vAlign w:val="bottom"/>
          </w:tcPr>
          <w:p>
            <w:pPr>
              <w:spacing w:after="0"/>
              <w:rPr>
                <w:sz w:val="14"/>
                <w:szCs w:val="14"/>
                <w:color w:val="auto"/>
              </w:rPr>
            </w:pPr>
          </w:p>
        </w:tc>
        <w:tc>
          <w:tcPr>
            <w:tcW w:w="14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77"/>
              <w:spacing w:after="0"/>
              <w:rPr>
                <w:sz w:val="20"/>
                <w:szCs w:val="20"/>
                <w:color w:val="auto"/>
              </w:rPr>
            </w:pPr>
            <w:r>
              <w:rPr>
                <w:rFonts w:ascii="Arial" w:cs="Arial" w:eastAsia="Arial" w:hAnsi="Arial"/>
                <w:sz w:val="14"/>
                <w:szCs w:val="14"/>
                <w:b w:val="1"/>
                <w:bCs w:val="1"/>
                <w:color w:val="auto"/>
                <w:w w:val="99"/>
              </w:rPr>
              <w:t>Price</w:t>
            </w:r>
          </w:p>
        </w:tc>
        <w:tc>
          <w:tcPr>
            <w:tcW w:w="14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Term</w:t>
            </w: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Value</w:t>
            </w:r>
          </w:p>
        </w:tc>
      </w:tr>
      <w:tr>
        <w:trPr>
          <w:trHeight w:val="155"/>
        </w:trPr>
        <w:tc>
          <w:tcPr>
            <w:tcW w:w="5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rPr>
              <w:t>(in years)</w:t>
            </w:r>
          </w:p>
        </w:tc>
        <w:tc>
          <w:tcPr>
            <w:tcW w:w="260" w:type="dxa"/>
            <w:vAlign w:val="bottom"/>
          </w:tcPr>
          <w:p>
            <w:pPr>
              <w:spacing w:after="0"/>
              <w:rPr>
                <w:sz w:val="13"/>
                <w:szCs w:val="13"/>
                <w:color w:val="auto"/>
              </w:rPr>
            </w:pPr>
          </w:p>
        </w:tc>
        <w:tc>
          <w:tcPr>
            <w:tcW w:w="1280" w:type="dxa"/>
            <w:vAlign w:val="bottom"/>
          </w:tcPr>
          <w:p>
            <w:pPr>
              <w:jc w:val="center"/>
              <w:ind w:right="177"/>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03"/>
        </w:trPr>
        <w:tc>
          <w:tcPr>
            <w:tcW w:w="5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Outstanding as of December 31, 2025</w:t>
            </w:r>
          </w:p>
        </w:tc>
        <w:tc>
          <w:tcPr>
            <w:tcW w:w="1460" w:type="dxa"/>
            <w:vAlign w:val="bottom"/>
            <w:shd w:val="clear" w:color="auto" w:fill="CFF0FC"/>
          </w:tcPr>
          <w:p>
            <w:pPr>
              <w:jc w:val="right"/>
              <w:ind w:right="114"/>
              <w:spacing w:after="0" w:line="202" w:lineRule="exact"/>
              <w:rPr>
                <w:sz w:val="20"/>
                <w:szCs w:val="20"/>
                <w:color w:val="auto"/>
              </w:rPr>
            </w:pPr>
            <w:r>
              <w:rPr>
                <w:rFonts w:ascii="Arial" w:cs="Arial" w:eastAsia="Arial" w:hAnsi="Arial"/>
                <w:sz w:val="18"/>
                <w:szCs w:val="18"/>
                <w:color w:val="auto"/>
              </w:rPr>
              <w:t>14,429,539</w:t>
            </w:r>
          </w:p>
        </w:tc>
        <w:tc>
          <w:tcPr>
            <w:tcW w:w="3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8.89</w:t>
            </w:r>
          </w:p>
        </w:tc>
        <w:tc>
          <w:tcPr>
            <w:tcW w:w="1400" w:type="dxa"/>
            <w:vAlign w:val="bottom"/>
            <w:shd w:val="clear" w:color="auto" w:fill="CFF0FC"/>
          </w:tcPr>
          <w:p>
            <w:pPr>
              <w:jc w:val="right"/>
              <w:ind w:right="58"/>
              <w:spacing w:after="0" w:line="202" w:lineRule="exact"/>
              <w:rPr>
                <w:sz w:val="20"/>
                <w:szCs w:val="20"/>
                <w:color w:val="auto"/>
              </w:rPr>
            </w:pPr>
            <w:r>
              <w:rPr>
                <w:rFonts w:ascii="Arial" w:cs="Arial" w:eastAsia="Arial" w:hAnsi="Arial"/>
                <w:sz w:val="18"/>
                <w:szCs w:val="18"/>
                <w:color w:val="auto"/>
              </w:rPr>
              <w:t>7.40</w:t>
            </w: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235,660</w:t>
            </w: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14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3,502,128</w:t>
            </w:r>
          </w:p>
        </w:tc>
        <w:tc>
          <w:tcPr>
            <w:tcW w:w="320" w:type="dxa"/>
            <w:vAlign w:val="bottom"/>
          </w:tcPr>
          <w:p>
            <w:pPr>
              <w:spacing w:after="0"/>
              <w:rPr>
                <w:sz w:val="17"/>
                <w:szCs w:val="17"/>
                <w:color w:val="auto"/>
              </w:rPr>
            </w:pPr>
          </w:p>
        </w:tc>
        <w:tc>
          <w:tcPr>
            <w:tcW w:w="132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25.53</w:t>
            </w:r>
          </w:p>
        </w:tc>
        <w:tc>
          <w:tcPr>
            <w:tcW w:w="1400" w:type="dxa"/>
            <w:vAlign w:val="bottom"/>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w:t>
            </w:r>
          </w:p>
        </w:tc>
      </w:tr>
      <w:tr>
        <w:trPr>
          <w:trHeight w:val="203"/>
        </w:trPr>
        <w:tc>
          <w:tcPr>
            <w:tcW w:w="52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Exercised¹</w:t>
            </w: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(747,767)</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5.51</w:t>
            </w:r>
          </w:p>
        </w:tc>
        <w:tc>
          <w:tcPr>
            <w:tcW w:w="1400" w:type="dxa"/>
            <w:vAlign w:val="bottom"/>
            <w:shd w:val="clear" w:color="auto" w:fill="CFF0FC"/>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w:t>
            </w:r>
          </w:p>
        </w:tc>
      </w:tr>
      <w:tr>
        <w:trPr>
          <w:trHeight w:val="203"/>
        </w:trPr>
        <w:tc>
          <w:tcPr>
            <w:tcW w:w="5200" w:type="dxa"/>
            <w:vAlign w:val="bottom"/>
          </w:tcPr>
          <w:p>
            <w:pPr>
              <w:ind w:left="140"/>
              <w:spacing w:after="0" w:line="202" w:lineRule="exact"/>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(134,005)</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7"/>
              <w:spacing w:after="0" w:line="202" w:lineRule="exact"/>
              <w:rPr>
                <w:sz w:val="20"/>
                <w:szCs w:val="20"/>
                <w:color w:val="auto"/>
              </w:rPr>
            </w:pPr>
            <w:r>
              <w:rPr>
                <w:rFonts w:ascii="Arial" w:cs="Arial" w:eastAsia="Arial" w:hAnsi="Arial"/>
                <w:sz w:val="18"/>
                <w:szCs w:val="18"/>
                <w:color w:val="auto"/>
              </w:rPr>
              <w:t>10.14</w:t>
            </w:r>
          </w:p>
        </w:tc>
        <w:tc>
          <w:tcPr>
            <w:tcW w:w="1400" w:type="dxa"/>
            <w:vAlign w:val="bottom"/>
            <w:tcBorders>
              <w:bottom w:val="single" w:sz="8" w:color="auto"/>
            </w:tcBorders>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w:t>
            </w:r>
          </w:p>
        </w:tc>
      </w:tr>
      <w:tr>
        <w:trPr>
          <w:trHeight w:val="236"/>
        </w:trPr>
        <w:tc>
          <w:tcPr>
            <w:tcW w:w="52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as of March 31, 2026</w:t>
            </w:r>
          </w:p>
        </w:tc>
        <w:tc>
          <w:tcPr>
            <w:tcW w:w="1460" w:type="dxa"/>
            <w:vAlign w:val="bottom"/>
            <w:tcBorders>
              <w:bottom w:val="single" w:sz="8" w:color="auto"/>
            </w:tcBorders>
            <w:shd w:val="clear" w:color="auto" w:fill="CFF0FC"/>
          </w:tcPr>
          <w:p>
            <w:pPr>
              <w:jc w:val="right"/>
              <w:ind w:right="114"/>
              <w:spacing w:after="0" w:line="182" w:lineRule="exact"/>
              <w:rPr>
                <w:sz w:val="20"/>
                <w:szCs w:val="20"/>
                <w:color w:val="auto"/>
              </w:rPr>
            </w:pPr>
            <w:r>
              <w:rPr>
                <w:rFonts w:ascii="Arial" w:cs="Arial" w:eastAsia="Arial" w:hAnsi="Arial"/>
                <w:sz w:val="18"/>
                <w:szCs w:val="18"/>
                <w:color w:val="auto"/>
              </w:rPr>
              <w:t>17,049,895</w:t>
            </w:r>
          </w:p>
        </w:tc>
        <w:tc>
          <w:tcPr>
            <w:tcW w:w="32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157"/>
              <w:spacing w:after="0" w:line="182" w:lineRule="exact"/>
              <w:rPr>
                <w:sz w:val="20"/>
                <w:szCs w:val="20"/>
                <w:color w:val="auto"/>
              </w:rPr>
            </w:pPr>
            <w:r>
              <w:rPr>
                <w:rFonts w:ascii="Arial" w:cs="Arial" w:eastAsia="Arial" w:hAnsi="Arial"/>
                <w:sz w:val="18"/>
                <w:szCs w:val="18"/>
                <w:color w:val="auto"/>
              </w:rPr>
              <w:t>12.45</w:t>
            </w:r>
          </w:p>
        </w:tc>
        <w:tc>
          <w:tcPr>
            <w:tcW w:w="1400" w:type="dxa"/>
            <w:vAlign w:val="bottom"/>
            <w:tcBorders>
              <w:bottom w:val="single" w:sz="8" w:color="auto"/>
            </w:tcBorders>
            <w:shd w:val="clear" w:color="auto" w:fill="CFF0FC"/>
          </w:tcPr>
          <w:p>
            <w:pPr>
              <w:jc w:val="right"/>
              <w:ind w:right="58"/>
              <w:spacing w:after="0" w:line="182" w:lineRule="exact"/>
              <w:rPr>
                <w:sz w:val="20"/>
                <w:szCs w:val="20"/>
                <w:color w:val="auto"/>
              </w:rPr>
            </w:pPr>
            <w:r>
              <w:rPr>
                <w:rFonts w:ascii="Arial" w:cs="Arial" w:eastAsia="Arial" w:hAnsi="Arial"/>
                <w:sz w:val="18"/>
                <w:szCs w:val="18"/>
                <w:color w:val="auto"/>
              </w:rPr>
              <w:t>7.70</w:t>
            </w:r>
          </w:p>
        </w:tc>
        <w:tc>
          <w:tcPr>
            <w:tcW w:w="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ind w:right="37"/>
              <w:spacing w:after="0" w:line="182" w:lineRule="exact"/>
              <w:rPr>
                <w:sz w:val="20"/>
                <w:szCs w:val="20"/>
                <w:color w:val="auto"/>
              </w:rPr>
            </w:pPr>
            <w:r>
              <w:rPr>
                <w:rFonts w:ascii="Arial" w:cs="Arial" w:eastAsia="Arial" w:hAnsi="Arial"/>
                <w:sz w:val="18"/>
                <w:szCs w:val="18"/>
                <w:color w:val="auto"/>
              </w:rPr>
              <w:t>91,891</w:t>
            </w:r>
          </w:p>
        </w:tc>
      </w:tr>
      <w:tr>
        <w:trPr>
          <w:trHeight w:val="386"/>
        </w:trPr>
        <w:tc>
          <w:tcPr>
            <w:tcW w:w="5200" w:type="dxa"/>
            <w:vAlign w:val="bottom"/>
          </w:tcPr>
          <w:p>
            <w:pPr>
              <w:spacing w:after="0"/>
              <w:rPr>
                <w:sz w:val="20"/>
                <w:szCs w:val="20"/>
                <w:color w:val="auto"/>
              </w:rPr>
            </w:pPr>
            <w:r>
              <w:rPr>
                <w:rFonts w:ascii="Arial" w:cs="Arial" w:eastAsia="Arial" w:hAnsi="Arial"/>
                <w:sz w:val="18"/>
                <w:szCs w:val="18"/>
                <w:color w:val="auto"/>
              </w:rPr>
              <w:t>Options vested and exercisable as of March 31, 2026</w:t>
            </w: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8,051,649</w:t>
            </w:r>
          </w:p>
        </w:tc>
        <w:tc>
          <w:tcPr>
            <w:tcW w:w="320" w:type="dxa"/>
            <w:vAlign w:val="bottom"/>
          </w:tcPr>
          <w:p>
            <w:pPr>
              <w:spacing w:after="0"/>
              <w:rPr>
                <w:sz w:val="24"/>
                <w:szCs w:val="24"/>
                <w:color w:val="auto"/>
              </w:rPr>
            </w:pPr>
          </w:p>
        </w:tc>
        <w:tc>
          <w:tcPr>
            <w:tcW w:w="1320" w:type="dxa"/>
            <w:vAlign w:val="bottom"/>
          </w:tcPr>
          <w:p>
            <w:pPr>
              <w:jc w:val="right"/>
              <w:ind w:right="157"/>
              <w:spacing w:after="0"/>
              <w:rPr>
                <w:sz w:val="20"/>
                <w:szCs w:val="20"/>
                <w:color w:val="auto"/>
              </w:rPr>
            </w:pPr>
            <w:r>
              <w:rPr>
                <w:rFonts w:ascii="Arial" w:cs="Arial" w:eastAsia="Arial" w:hAnsi="Arial"/>
                <w:sz w:val="18"/>
                <w:szCs w:val="18"/>
                <w:color w:val="auto"/>
              </w:rPr>
              <w:t>10.08</w:t>
            </w:r>
          </w:p>
        </w:tc>
        <w:tc>
          <w:tcPr>
            <w:tcW w:w="1400" w:type="dxa"/>
            <w:vAlign w:val="bottom"/>
          </w:tcPr>
          <w:p>
            <w:pPr>
              <w:jc w:val="right"/>
              <w:ind w:right="58"/>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24"/>
                <w:szCs w:val="24"/>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50,615</w:t>
            </w:r>
          </w:p>
        </w:tc>
      </w:tr>
      <w:tr>
        <w:trPr>
          <w:trHeight w:val="243"/>
        </w:trPr>
        <w:tc>
          <w:tcPr>
            <w:tcW w:w="520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Options expected to vest as of March 31, 2026</w:t>
            </w:r>
          </w:p>
        </w:tc>
        <w:tc>
          <w:tcPr>
            <w:tcW w:w="1460" w:type="dxa"/>
            <w:vAlign w:val="bottom"/>
            <w:tcBorders>
              <w:bottom w:val="single" w:sz="8" w:color="auto"/>
            </w:tcBorders>
            <w:shd w:val="clear" w:color="auto" w:fill="CFF0FC"/>
          </w:tcPr>
          <w:p>
            <w:pPr>
              <w:jc w:val="right"/>
              <w:ind w:right="114"/>
              <w:spacing w:after="0" w:line="202" w:lineRule="exact"/>
              <w:rPr>
                <w:sz w:val="20"/>
                <w:szCs w:val="20"/>
                <w:color w:val="auto"/>
              </w:rPr>
            </w:pPr>
            <w:r>
              <w:rPr>
                <w:rFonts w:ascii="Arial" w:cs="Arial" w:eastAsia="Arial" w:hAnsi="Arial"/>
                <w:sz w:val="18"/>
                <w:szCs w:val="18"/>
                <w:color w:val="auto"/>
              </w:rPr>
              <w:t>8,998,246</w:t>
            </w:r>
          </w:p>
        </w:tc>
        <w:tc>
          <w:tcPr>
            <w:tcW w:w="3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14.56</w:t>
            </w:r>
          </w:p>
        </w:tc>
        <w:tc>
          <w:tcPr>
            <w:tcW w:w="1400" w:type="dxa"/>
            <w:vAlign w:val="bottom"/>
            <w:tcBorders>
              <w:bottom w:val="single" w:sz="8" w:color="auto"/>
            </w:tcBorders>
            <w:shd w:val="clear" w:color="auto" w:fill="CFF0FC"/>
          </w:tcPr>
          <w:p>
            <w:pPr>
              <w:jc w:val="right"/>
              <w:ind w:right="58"/>
              <w:spacing w:after="0" w:line="202" w:lineRule="exact"/>
              <w:rPr>
                <w:sz w:val="20"/>
                <w:szCs w:val="20"/>
                <w:color w:val="auto"/>
              </w:rPr>
            </w:pPr>
            <w:r>
              <w:rPr>
                <w:rFonts w:ascii="Arial" w:cs="Arial" w:eastAsia="Arial" w:hAnsi="Arial"/>
                <w:sz w:val="18"/>
                <w:szCs w:val="18"/>
                <w:color w:val="auto"/>
              </w:rPr>
              <w:t>9.06</w:t>
            </w: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41,276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¹ Exercised amount includes 3,984 shares withheld for taxes and net exercise transactions.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March 31, 2026, the Company granted restricted stock units, or RSUs, to non-executive employees under the 2020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 activity during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642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14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140" w:type="dxa"/>
            <w:vAlign w:val="bottom"/>
          </w:tcPr>
          <w:p>
            <w:pPr>
              <w:jc w:val="center"/>
              <w:ind w:right="388"/>
              <w:spacing w:after="0"/>
              <w:rPr>
                <w:sz w:val="20"/>
                <w:szCs w:val="20"/>
                <w:color w:val="auto"/>
              </w:rPr>
            </w:pPr>
            <w:r>
              <w:rPr>
                <w:rFonts w:ascii="Arial" w:cs="Arial" w:eastAsia="Arial" w:hAnsi="Arial"/>
                <w:sz w:val="14"/>
                <w:szCs w:val="14"/>
                <w:b w:val="1"/>
                <w:bCs w:val="1"/>
                <w:color w:val="auto"/>
              </w:rPr>
              <w:t>Number of</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214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rPr>
              <w:t>Shares</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r>
    </w:tbl>
    <w:p>
      <w:pPr>
        <w:spacing w:after="0" w:line="139"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December 31, 2025</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ind w:left="18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March 31,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Shares expected to vest as of March 31,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3"/>
        </w:trPr>
        <w:tc>
          <w:tcPr>
            <w:tcW w:w="20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411,845</w:t>
            </w:r>
          </w:p>
        </w:tc>
        <w:tc>
          <w:tcPr>
            <w:tcW w:w="132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25.65</w:t>
            </w:r>
          </w:p>
        </w:tc>
      </w:tr>
      <w:tr>
        <w:trPr>
          <w:trHeight w:val="203"/>
        </w:trPr>
        <w:tc>
          <w:tcPr>
            <w:tcW w:w="20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7"/>
                <w:szCs w:val="17"/>
                <w:color w:val="auto"/>
              </w:rPr>
            </w:pPr>
          </w:p>
        </w:tc>
        <w:tc>
          <w:tcPr>
            <w:tcW w:w="15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21"/>
        </w:trPr>
        <w:tc>
          <w:tcPr>
            <w:tcW w:w="2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(9,038)</w:t>
            </w:r>
          </w:p>
        </w:tc>
        <w:tc>
          <w:tcPr>
            <w:tcW w:w="1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25.65</w:t>
            </w:r>
          </w:p>
        </w:tc>
      </w:tr>
      <w:tr>
        <w:trPr>
          <w:trHeight w:val="196"/>
        </w:trPr>
        <w:tc>
          <w:tcPr>
            <w:tcW w:w="200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402,807</w:t>
            </w:r>
          </w:p>
        </w:tc>
        <w:tc>
          <w:tcPr>
            <w:tcW w:w="1320" w:type="dxa"/>
            <w:vAlign w:val="bottom"/>
            <w:tcBorders>
              <w:bottom w:val="single" w:sz="8" w:color="auto"/>
            </w:tcBorders>
          </w:tcPr>
          <w:p>
            <w:pPr>
              <w:jc w:val="right"/>
              <w:ind w:right="850"/>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25.65</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403"/>
        </w:trPr>
        <w:tc>
          <w:tcPr>
            <w:tcW w:w="2000" w:type="dxa"/>
            <w:vAlign w:val="bottom"/>
          </w:tcPr>
          <w:p>
            <w:pPr>
              <w:jc w:val="right"/>
              <w:ind w:right="250"/>
              <w:spacing w:after="0"/>
              <w:rPr>
                <w:sz w:val="20"/>
                <w:szCs w:val="20"/>
                <w:color w:val="auto"/>
              </w:rPr>
            </w:pPr>
            <w:r>
              <w:rPr>
                <w:rFonts w:ascii="Arial" w:cs="Arial" w:eastAsia="Arial" w:hAnsi="Arial"/>
                <w:sz w:val="18"/>
                <w:szCs w:val="18"/>
                <w:color w:val="auto"/>
              </w:rPr>
              <w:t>402,807</w:t>
            </w:r>
          </w:p>
        </w:tc>
        <w:tc>
          <w:tcPr>
            <w:tcW w:w="1320" w:type="dxa"/>
            <w:vAlign w:val="bottom"/>
          </w:tcPr>
          <w:p>
            <w:pPr>
              <w:spacing w:after="0"/>
              <w:rPr>
                <w:sz w:val="24"/>
                <w:szCs w:val="24"/>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-944880</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-687705</wp:posOffset>
            </wp:positionV>
            <wp:extent cx="713232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-421640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-10795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6350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4820"/>
          </w:cols>
          <w:pgMar w:left="320" w:top="117" w:right="339" w:bottom="1440" w:gutter="0" w:footer="0" w:header="0"/>
          <w:type w:val="continuous"/>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Stock Options</w:t>
      </w:r>
    </w:p>
    <w:p>
      <w:pPr>
        <w:spacing w:after="0" w:line="27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During the three months ended March 31, 2026, the Company granted stock options with market and service conditions under the 2020 Plan. These awards vest upon the achievement of specified stock price targets, subject to continued service. </w:t>
      </w:r>
      <w:r>
        <w:rPr>
          <w:rFonts w:ascii="Arial" w:cs="Arial" w:eastAsia="Arial" w:hAnsi="Arial"/>
          <w:sz w:val="18"/>
          <w:szCs w:val="18"/>
          <w:b w:val="1"/>
          <w:bCs w:val="1"/>
          <w:color w:val="auto"/>
        </w:rPr>
        <w:t>The Company estimated the grant-date fair value of these awards using a Monte Carlo simulation model incorporating the following assumptions:</w:t>
      </w:r>
    </w:p>
    <w:tbl>
      <w:tblPr>
        <w:tblLayout w:type="fixed"/>
        <w:tblInd w:w="0" w:type="dxa"/>
        <w:tblCellMar>
          <w:top w:w="0" w:type="dxa"/>
          <w:left w:w="0" w:type="dxa"/>
          <w:bottom w:w="0" w:type="dxa"/>
          <w:right w:w="0" w:type="dxa"/>
        </w:tblCellMar>
      </w:tblPr>
      <w:tr>
        <w:trPr>
          <w:trHeight w:val="153"/>
        </w:trPr>
        <w:tc>
          <w:tcPr>
            <w:tcW w:w="9000" w:type="dxa"/>
            <w:vAlign w:val="bottom"/>
            <w:tcBorders>
              <w:top w:val="single" w:sz="8" w:color="auto"/>
            </w:tcBorders>
          </w:tcPr>
          <w:p>
            <w:pPr>
              <w:spacing w:after="0"/>
              <w:rPr>
                <w:sz w:val="13"/>
                <w:szCs w:val="13"/>
                <w:color w:val="auto"/>
              </w:rPr>
            </w:pPr>
          </w:p>
        </w:tc>
        <w:tc>
          <w:tcPr>
            <w:tcW w:w="2240" w:type="dxa"/>
            <w:vAlign w:val="bottom"/>
            <w:tcBorders>
              <w:top w:val="single" w:sz="8" w:color="auto"/>
              <w:bottom w:val="single" w:sz="8" w:color="auto"/>
            </w:tcBorders>
          </w:tcPr>
          <w:p>
            <w:pPr>
              <w:jc w:val="right"/>
              <w:ind w:right="796"/>
              <w:spacing w:after="0" w:line="153" w:lineRule="exact"/>
              <w:rPr>
                <w:sz w:val="20"/>
                <w:szCs w:val="20"/>
                <w:color w:val="auto"/>
              </w:rPr>
            </w:pPr>
            <w:r>
              <w:rPr>
                <w:rFonts w:ascii="Arial" w:cs="Arial" w:eastAsia="Arial" w:hAnsi="Arial"/>
                <w:sz w:val="14"/>
                <w:szCs w:val="14"/>
                <w:b w:val="1"/>
                <w:bCs w:val="1"/>
                <w:color w:val="auto"/>
              </w:rPr>
              <w:t>March 31,</w:t>
            </w:r>
          </w:p>
        </w:tc>
      </w:tr>
      <w:tr>
        <w:trPr>
          <w:trHeight w:val="155"/>
        </w:trPr>
        <w:tc>
          <w:tcPr>
            <w:tcW w:w="9000" w:type="dxa"/>
            <w:vAlign w:val="bottom"/>
          </w:tcPr>
          <w:p>
            <w:pPr>
              <w:spacing w:after="0"/>
              <w:rPr>
                <w:sz w:val="13"/>
                <w:szCs w:val="13"/>
                <w:color w:val="auto"/>
              </w:rPr>
            </w:pPr>
          </w:p>
        </w:tc>
        <w:tc>
          <w:tcPr>
            <w:tcW w:w="2240" w:type="dxa"/>
            <w:vAlign w:val="bottom"/>
            <w:tcBorders>
              <w:bottom w:val="single" w:sz="8" w:color="auto"/>
            </w:tcBorders>
          </w:tcPr>
          <w:p>
            <w:pPr>
              <w:jc w:val="right"/>
              <w:ind w:right="976"/>
              <w:spacing w:after="0" w:line="155" w:lineRule="exact"/>
              <w:rPr>
                <w:sz w:val="20"/>
                <w:szCs w:val="20"/>
                <w:color w:val="auto"/>
              </w:rPr>
            </w:pPr>
            <w:r>
              <w:rPr>
                <w:rFonts w:ascii="Arial" w:cs="Arial" w:eastAsia="Arial" w:hAnsi="Arial"/>
                <w:sz w:val="14"/>
                <w:szCs w:val="14"/>
                <w:b w:val="1"/>
                <w:bCs w:val="1"/>
                <w:color w:val="auto"/>
              </w:rPr>
              <w:t>2026</w:t>
            </w:r>
          </w:p>
        </w:tc>
      </w:tr>
      <w:tr>
        <w:trPr>
          <w:trHeight w:val="196"/>
        </w:trPr>
        <w:tc>
          <w:tcPr>
            <w:tcW w:w="9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2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w:t>
            </w: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22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6.95</w:t>
            </w:r>
          </w:p>
        </w:tc>
      </w:tr>
      <w:tr>
        <w:trPr>
          <w:trHeight w:val="203"/>
        </w:trPr>
        <w:tc>
          <w:tcPr>
            <w:tcW w:w="9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2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103.54%</w:t>
            </w:r>
          </w:p>
        </w:tc>
      </w:tr>
      <w:tr>
        <w:trPr>
          <w:trHeight w:val="203"/>
        </w:trPr>
        <w:tc>
          <w:tcPr>
            <w:tcW w:w="9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Expected dividend yield</w:t>
            </w:r>
          </w:p>
        </w:tc>
        <w:tc>
          <w:tcPr>
            <w:tcW w:w="224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color w:val="auto"/>
              </w:rPr>
              <w:t>—</w:t>
            </w:r>
          </w:p>
        </w:tc>
      </w:tr>
      <w:tr>
        <w:trPr>
          <w:trHeight w:val="20"/>
        </w:trPr>
        <w:tc>
          <w:tcPr>
            <w:tcW w:w="90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market-based stock options activity during the three months ended March 31, 2026:</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9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right="100"/>
              <w:spacing w:after="0" w:line="147" w:lineRule="exact"/>
              <w:rPr>
                <w:sz w:val="20"/>
                <w:szCs w:val="20"/>
                <w:color w:val="auto"/>
              </w:rPr>
            </w:pPr>
            <w:r>
              <w:rPr>
                <w:rFonts w:ascii="Arial" w:cs="Arial" w:eastAsia="Arial" w:hAnsi="Arial"/>
                <w:sz w:val="14"/>
                <w:szCs w:val="14"/>
                <w:b w:val="1"/>
                <w:bCs w:val="1"/>
                <w:color w:val="auto"/>
              </w:rPr>
              <w:t>Weighted</w:t>
            </w:r>
          </w:p>
        </w:tc>
      </w:tr>
      <w:tr>
        <w:trPr>
          <w:trHeight w:val="162"/>
        </w:trPr>
        <w:tc>
          <w:tcPr>
            <w:tcW w:w="5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jc w:val="center"/>
              <w:ind w:right="478"/>
              <w:spacing w:after="0"/>
              <w:rPr>
                <w:sz w:val="20"/>
                <w:szCs w:val="20"/>
                <w:color w:val="auto"/>
              </w:rPr>
            </w:pPr>
            <w:r>
              <w:rPr>
                <w:rFonts w:ascii="Arial" w:cs="Arial" w:eastAsia="Arial" w:hAnsi="Arial"/>
                <w:sz w:val="14"/>
                <w:szCs w:val="14"/>
                <w:b w:val="1"/>
                <w:bCs w:val="1"/>
                <w:color w:val="auto"/>
              </w:rPr>
              <w:t>Weighted</w:t>
            </w:r>
          </w:p>
        </w:tc>
        <w:tc>
          <w:tcPr>
            <w:tcW w:w="1580" w:type="dxa"/>
            <w:vAlign w:val="bottom"/>
          </w:tcPr>
          <w:p>
            <w:pPr>
              <w:jc w:val="center"/>
              <w:ind w:right="10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jc w:val="center"/>
              <w:ind w:right="478"/>
              <w:spacing w:after="0"/>
              <w:rPr>
                <w:sz w:val="20"/>
                <w:szCs w:val="20"/>
                <w:color w:val="auto"/>
              </w:rPr>
            </w:pPr>
            <w:r>
              <w:rPr>
                <w:rFonts w:ascii="Arial" w:cs="Arial" w:eastAsia="Arial" w:hAnsi="Arial"/>
                <w:sz w:val="14"/>
                <w:szCs w:val="14"/>
                <w:b w:val="1"/>
                <w:bCs w:val="1"/>
                <w:color w:val="auto"/>
              </w:rPr>
              <w:t>Average</w:t>
            </w:r>
          </w:p>
        </w:tc>
        <w:tc>
          <w:tcPr>
            <w:tcW w:w="1580" w:type="dxa"/>
            <w:vAlign w:val="bottom"/>
          </w:tcPr>
          <w:p>
            <w:pPr>
              <w:jc w:val="center"/>
              <w:ind w:right="120"/>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980" w:type="dxa"/>
            <w:vAlign w:val="bottom"/>
          </w:tcPr>
          <w:p>
            <w:pPr>
              <w:spacing w:after="0"/>
              <w:rPr>
                <w:sz w:val="14"/>
                <w:szCs w:val="14"/>
                <w:color w:val="auto"/>
              </w:rPr>
            </w:pPr>
          </w:p>
        </w:tc>
        <w:tc>
          <w:tcPr>
            <w:tcW w:w="1700" w:type="dxa"/>
            <w:vAlign w:val="bottom"/>
          </w:tcPr>
          <w:p>
            <w:pPr>
              <w:jc w:val="right"/>
              <w:ind w:right="475"/>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4"/>
                <w:szCs w:val="14"/>
                <w:color w:val="auto"/>
              </w:rPr>
            </w:pPr>
          </w:p>
        </w:tc>
        <w:tc>
          <w:tcPr>
            <w:tcW w:w="1560" w:type="dxa"/>
            <w:vAlign w:val="bottom"/>
          </w:tcPr>
          <w:p>
            <w:pPr>
              <w:jc w:val="center"/>
              <w:ind w:right="478"/>
              <w:spacing w:after="0"/>
              <w:rPr>
                <w:sz w:val="20"/>
                <w:szCs w:val="20"/>
                <w:color w:val="auto"/>
              </w:rPr>
            </w:pPr>
            <w:r>
              <w:rPr>
                <w:rFonts w:ascii="Arial" w:cs="Arial" w:eastAsia="Arial" w:hAnsi="Arial"/>
                <w:sz w:val="14"/>
                <w:szCs w:val="14"/>
                <w:b w:val="1"/>
                <w:bCs w:val="1"/>
                <w:color w:val="auto"/>
              </w:rPr>
              <w:t>Exercise</w:t>
            </w:r>
          </w:p>
        </w:tc>
        <w:tc>
          <w:tcPr>
            <w:tcW w:w="1580" w:type="dxa"/>
            <w:vAlign w:val="bottom"/>
          </w:tcPr>
          <w:p>
            <w:pPr>
              <w:jc w:val="center"/>
              <w:ind w:right="100"/>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5980" w:type="dxa"/>
            <w:vAlign w:val="bottom"/>
          </w:tcPr>
          <w:p>
            <w:pPr>
              <w:spacing w:after="0"/>
              <w:rPr>
                <w:sz w:val="14"/>
                <w:szCs w:val="14"/>
                <w:color w:val="auto"/>
              </w:rPr>
            </w:pPr>
          </w:p>
        </w:tc>
        <w:tc>
          <w:tcPr>
            <w:tcW w:w="17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Shares</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478"/>
              <w:spacing w:after="0"/>
              <w:rPr>
                <w:sz w:val="20"/>
                <w:szCs w:val="20"/>
                <w:color w:val="auto"/>
              </w:rPr>
            </w:pPr>
            <w:r>
              <w:rPr>
                <w:rFonts w:ascii="Arial" w:cs="Arial" w:eastAsia="Arial" w:hAnsi="Arial"/>
                <w:sz w:val="14"/>
                <w:szCs w:val="14"/>
                <w:b w:val="1"/>
                <w:bCs w:val="1"/>
                <w:color w:val="auto"/>
              </w:rPr>
              <w:t>Price</w:t>
            </w:r>
          </w:p>
        </w:tc>
        <w:tc>
          <w:tcPr>
            <w:tcW w:w="15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Term</w:t>
            </w:r>
          </w:p>
        </w:tc>
      </w:tr>
      <w:tr>
        <w:trPr>
          <w:trHeight w:val="156"/>
        </w:trPr>
        <w:tc>
          <w:tcPr>
            <w:tcW w:w="5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80" w:type="dxa"/>
            <w:vAlign w:val="bottom"/>
          </w:tcPr>
          <w:p>
            <w:pPr>
              <w:jc w:val="center"/>
              <w:ind w:right="100"/>
              <w:spacing w:after="0" w:line="155" w:lineRule="exact"/>
              <w:rPr>
                <w:sz w:val="20"/>
                <w:szCs w:val="20"/>
                <w:color w:val="auto"/>
              </w:rPr>
            </w:pPr>
            <w:r>
              <w:rPr>
                <w:rFonts w:ascii="Arial" w:cs="Arial" w:eastAsia="Arial" w:hAnsi="Arial"/>
                <w:sz w:val="14"/>
                <w:szCs w:val="14"/>
                <w:b w:val="1"/>
                <w:bCs w:val="1"/>
                <w:color w:val="auto"/>
              </w:rPr>
              <w:t>(in years)</w:t>
            </w:r>
          </w:p>
        </w:tc>
      </w:tr>
      <w:tr>
        <w:trPr>
          <w:trHeight w:val="203"/>
        </w:trPr>
        <w:tc>
          <w:tcPr>
            <w:tcW w:w="5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Outstanding as of December 31, 2025</w:t>
            </w:r>
          </w:p>
        </w:tc>
        <w:tc>
          <w:tcPr>
            <w:tcW w:w="170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160"/>
              <w:spacing w:after="0" w:line="202" w:lineRule="exact"/>
              <w:rPr>
                <w:sz w:val="20"/>
                <w:szCs w:val="20"/>
                <w:color w:val="auto"/>
              </w:rPr>
            </w:pPr>
            <w:r>
              <w:rPr>
                <w:rFonts w:ascii="Arial" w:cs="Arial" w:eastAsia="Arial" w:hAnsi="Arial"/>
                <w:sz w:val="18"/>
                <w:szCs w:val="18"/>
                <w:color w:val="auto"/>
              </w:rPr>
              <w:t>Granted</w:t>
            </w:r>
          </w:p>
        </w:tc>
        <w:tc>
          <w:tcPr>
            <w:tcW w:w="17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668,750</w:t>
            </w:r>
          </w:p>
        </w:tc>
        <w:tc>
          <w:tcPr>
            <w:tcW w:w="420" w:type="dxa"/>
            <w:vAlign w:val="bottom"/>
          </w:tcPr>
          <w:p>
            <w:pPr>
              <w:spacing w:after="0"/>
              <w:rPr>
                <w:sz w:val="17"/>
                <w:szCs w:val="17"/>
                <w:color w:val="auto"/>
              </w:rPr>
            </w:pPr>
          </w:p>
        </w:tc>
        <w:tc>
          <w:tcPr>
            <w:tcW w:w="156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25.65</w:t>
            </w:r>
          </w:p>
        </w:tc>
        <w:tc>
          <w:tcPr>
            <w:tcW w:w="1580" w:type="dxa"/>
            <w:vAlign w:val="bottom"/>
          </w:tcPr>
          <w:p>
            <w:pPr>
              <w:jc w:val="right"/>
              <w:ind w:right="40"/>
              <w:spacing w:after="0" w:line="202" w:lineRule="exact"/>
              <w:rPr>
                <w:sz w:val="20"/>
                <w:szCs w:val="20"/>
                <w:color w:val="auto"/>
              </w:rPr>
            </w:pPr>
            <w:r>
              <w:rPr>
                <w:rFonts w:ascii="Arial" w:cs="Arial" w:eastAsia="Arial" w:hAnsi="Arial"/>
                <w:sz w:val="18"/>
                <w:szCs w:val="18"/>
                <w:color w:val="auto"/>
              </w:rPr>
              <w:t>9.85</w:t>
            </w:r>
          </w:p>
        </w:tc>
      </w:tr>
      <w:tr>
        <w:trPr>
          <w:trHeight w:val="203"/>
        </w:trPr>
        <w:tc>
          <w:tcPr>
            <w:tcW w:w="59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Exercised</w:t>
            </w:r>
          </w:p>
        </w:tc>
        <w:tc>
          <w:tcPr>
            <w:tcW w:w="170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r>
      <w:tr>
        <w:trPr>
          <w:trHeight w:val="203"/>
        </w:trPr>
        <w:tc>
          <w:tcPr>
            <w:tcW w:w="598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0"/>
              <w:spacing w:after="0" w:line="202" w:lineRule="exact"/>
              <w:rPr>
                <w:sz w:val="20"/>
                <w:szCs w:val="20"/>
                <w:color w:val="auto"/>
              </w:rPr>
            </w:pPr>
            <w:r>
              <w:rPr>
                <w:rFonts w:ascii="Arial" w:cs="Arial" w:eastAsia="Arial" w:hAnsi="Arial"/>
                <w:sz w:val="18"/>
                <w:szCs w:val="18"/>
                <w:color w:val="auto"/>
              </w:rPr>
              <w:t>—</w:t>
            </w:r>
          </w:p>
        </w:tc>
      </w:tr>
      <w:tr>
        <w:trPr>
          <w:trHeight w:val="236"/>
        </w:trPr>
        <w:tc>
          <w:tcPr>
            <w:tcW w:w="59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and exercisable as of March 31, 2026</w:t>
            </w:r>
          </w:p>
        </w:tc>
        <w:tc>
          <w:tcPr>
            <w:tcW w:w="170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668,750</w:t>
            </w:r>
          </w:p>
        </w:tc>
        <w:tc>
          <w:tcPr>
            <w:tcW w:w="42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FF0FC"/>
          </w:tcPr>
          <w:p>
            <w:pPr>
              <w:jc w:val="right"/>
              <w:ind w:right="218"/>
              <w:spacing w:after="0" w:line="182" w:lineRule="exact"/>
              <w:rPr>
                <w:sz w:val="20"/>
                <w:szCs w:val="20"/>
                <w:color w:val="auto"/>
              </w:rPr>
            </w:pPr>
            <w:r>
              <w:rPr>
                <w:rFonts w:ascii="Arial" w:cs="Arial" w:eastAsia="Arial" w:hAnsi="Arial"/>
                <w:sz w:val="18"/>
                <w:szCs w:val="18"/>
                <w:color w:val="auto"/>
              </w:rPr>
              <w:t>25.65</w:t>
            </w:r>
          </w:p>
        </w:tc>
        <w:tc>
          <w:tcPr>
            <w:tcW w:w="1580" w:type="dxa"/>
            <w:vAlign w:val="bottom"/>
            <w:tcBorders>
              <w:bottom w:val="single" w:sz="8" w:color="auto"/>
            </w:tcBorders>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9.85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grant date fair value of the market-based options was approximately $13.5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Employee Stock Purchase Plan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Board in the offering. A total of 430,416 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 shares of common stock, or (iii) a lesser number of shares determined by the Board no later than December 31 of the preceding calendar year.</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$0.3 million and $0.2 million for the three-month periods ended March 31, 2026 and 2025, respectively.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1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Stock-based compensation expense related to awards granted under the 2014 Plan, the 2020 Plan, the ESPP and the 2022 Inducement Plan was classified in the condensed consolidated statements of operations and comprehensive loss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40" w:type="dxa"/>
            <w:vAlign w:val="bottom"/>
            <w:tcBorders>
              <w:top w:val="single" w:sz="8" w:color="auto"/>
            </w:tcBorders>
          </w:tcPr>
          <w:p>
            <w:pPr>
              <w:spacing w:after="0"/>
              <w:rPr>
                <w:sz w:val="15"/>
                <w:szCs w:val="15"/>
                <w:color w:val="auto"/>
              </w:rPr>
            </w:pPr>
          </w:p>
        </w:tc>
        <w:tc>
          <w:tcPr>
            <w:tcW w:w="3540" w:type="dxa"/>
            <w:vAlign w:val="bottom"/>
            <w:tcBorders>
              <w:top w:val="single" w:sz="8" w:color="auto"/>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top w:val="single" w:sz="8" w:color="auto"/>
              <w:bottom w:val="single" w:sz="8" w:color="auto"/>
            </w:tcBorders>
          </w:tcPr>
          <w:p>
            <w:pPr>
              <w:spacing w:after="0"/>
              <w:rPr>
                <w:sz w:val="15"/>
                <w:szCs w:val="15"/>
                <w:color w:val="auto"/>
              </w:rPr>
            </w:pPr>
          </w:p>
        </w:tc>
      </w:tr>
      <w:tr>
        <w:trPr>
          <w:trHeight w:val="156"/>
        </w:trPr>
        <w:tc>
          <w:tcPr>
            <w:tcW w:w="6940" w:type="dxa"/>
            <w:vAlign w:val="bottom"/>
          </w:tcPr>
          <w:p>
            <w:pPr>
              <w:spacing w:after="0"/>
              <w:rPr>
                <w:sz w:val="13"/>
                <w:szCs w:val="13"/>
                <w:color w:val="auto"/>
              </w:rPr>
            </w:pPr>
          </w:p>
        </w:tc>
        <w:tc>
          <w:tcPr>
            <w:tcW w:w="12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2026</w:t>
            </w:r>
          </w:p>
        </w:tc>
        <w:tc>
          <w:tcPr>
            <w:tcW w:w="8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3"/>
                <w:szCs w:val="13"/>
                <w:color w:val="auto"/>
              </w:rPr>
            </w:pPr>
          </w:p>
        </w:tc>
      </w:tr>
      <w:tr>
        <w:trPr>
          <w:trHeight w:val="19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jc w:val="right"/>
              <w:ind w:right="1039"/>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6,571</w:t>
            </w:r>
          </w:p>
        </w:tc>
        <w:tc>
          <w:tcPr>
            <w:tcW w:w="1440" w:type="dxa"/>
            <w:vAlign w:val="bottom"/>
            <w:shd w:val="clear" w:color="auto" w:fill="CFF0FC"/>
          </w:tcPr>
          <w:p>
            <w:pPr>
              <w:jc w:val="right"/>
              <w:ind w:right="1076"/>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3,301</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ind w:right="90"/>
              <w:spacing w:after="0" w:line="202" w:lineRule="exact"/>
              <w:rPr>
                <w:sz w:val="20"/>
                <w:szCs w:val="20"/>
                <w:color w:val="auto"/>
              </w:rPr>
            </w:pPr>
            <w:r>
              <w:rPr>
                <w:rFonts w:ascii="Arial" w:cs="Arial" w:eastAsia="Arial" w:hAnsi="Arial"/>
                <w:sz w:val="18"/>
                <w:szCs w:val="18"/>
                <w:color w:val="auto"/>
              </w:rPr>
              <w:t>3,577</w:t>
            </w:r>
          </w:p>
        </w:tc>
        <w:tc>
          <w:tcPr>
            <w:tcW w:w="144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ind w:right="50"/>
              <w:spacing w:after="0" w:line="202" w:lineRule="exact"/>
              <w:rPr>
                <w:sz w:val="20"/>
                <w:szCs w:val="20"/>
                <w:color w:val="auto"/>
              </w:rPr>
            </w:pPr>
            <w:r>
              <w:rPr>
                <w:rFonts w:ascii="Arial" w:cs="Arial" w:eastAsia="Arial" w:hAnsi="Arial"/>
                <w:sz w:val="18"/>
                <w:szCs w:val="18"/>
                <w:color w:val="auto"/>
              </w:rPr>
              <w:t>1,077</w:t>
            </w:r>
          </w:p>
        </w:tc>
      </w:tr>
      <w:tr>
        <w:trPr>
          <w:trHeight w:val="236"/>
        </w:trPr>
        <w:tc>
          <w:tcPr>
            <w:tcW w:w="69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ind w:right="1039"/>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10,148</w:t>
            </w:r>
          </w:p>
        </w:tc>
        <w:tc>
          <w:tcPr>
            <w:tcW w:w="1440" w:type="dxa"/>
            <w:vAlign w:val="bottom"/>
            <w:tcBorders>
              <w:bottom w:val="single" w:sz="8" w:color="auto"/>
            </w:tcBorders>
            <w:shd w:val="clear" w:color="auto" w:fill="CFF0FC"/>
          </w:tcPr>
          <w:p>
            <w:pPr>
              <w:jc w:val="right"/>
              <w:ind w:right="1076"/>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4,378</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8.</w:t>
        <w:tab/>
        <w:t>Net Loss Per Common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common share was calculated as follows (in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3100" w:type="dxa"/>
            <w:vAlign w:val="bottom"/>
            <w:tcBorders>
              <w:top w:val="single" w:sz="8" w:color="auto"/>
              <w:bottom w:val="single" w:sz="8" w:color="auto"/>
            </w:tcBorders>
            <w:gridSpan w:val="3"/>
          </w:tcPr>
          <w:p>
            <w:pPr>
              <w:jc w:val="right"/>
              <w:ind w:right="615"/>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7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7"/>
              <w:spacing w:after="0" w:line="155" w:lineRule="exact"/>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5"/>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4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(53,089)</w:t>
            </w:r>
          </w:p>
        </w:tc>
        <w:tc>
          <w:tcPr>
            <w:tcW w:w="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(30,389)</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Weighted average shares used to compute net loss per share, basic and diluted ¹</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102,800,098</w:t>
            </w: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85,426,223</w:t>
            </w:r>
          </w:p>
        </w:tc>
      </w:tr>
      <w:tr>
        <w:trPr>
          <w:trHeight w:val="236"/>
        </w:trPr>
        <w:tc>
          <w:tcPr>
            <w:tcW w:w="77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42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(0.52)</w:t>
            </w:r>
          </w:p>
        </w:tc>
        <w:tc>
          <w:tcPr>
            <w:tcW w:w="4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(0.36)</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¹ Reflects the weighted average effect of the pre-funded warrants on the calculation of basic and diluted net loss per share.</w:t>
      </w:r>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tcPr>
          <w:p>
            <w:pPr>
              <w:spacing w:after="0"/>
              <w:rPr>
                <w:sz w:val="15"/>
                <w:szCs w:val="15"/>
                <w:color w:val="auto"/>
              </w:rPr>
            </w:pPr>
          </w:p>
        </w:tc>
        <w:tc>
          <w:tcPr>
            <w:tcW w:w="3380" w:type="dxa"/>
            <w:vAlign w:val="bottom"/>
            <w:tcBorders>
              <w:top w:val="single" w:sz="8" w:color="auto"/>
              <w:bottom w:val="single" w:sz="8" w:color="auto"/>
            </w:tcBorders>
            <w:gridSpan w:val="2"/>
          </w:tcPr>
          <w:p>
            <w:pPr>
              <w:jc w:val="right"/>
              <w:ind w:right="613"/>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48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940" w:type="dxa"/>
            <w:vAlign w:val="bottom"/>
            <w:tcBorders>
              <w:bottom w:val="single" w:sz="8" w:color="auto"/>
            </w:tcBorders>
          </w:tcPr>
          <w:p>
            <w:pPr>
              <w:jc w:val="right"/>
              <w:ind w:right="942"/>
              <w:spacing w:after="0" w:line="155" w:lineRule="exact"/>
              <w:rPr>
                <w:sz w:val="20"/>
                <w:szCs w:val="20"/>
                <w:color w:val="auto"/>
              </w:rPr>
            </w:pPr>
            <w:r>
              <w:rPr>
                <w:rFonts w:ascii="Arial" w:cs="Arial" w:eastAsia="Arial" w:hAnsi="Arial"/>
                <w:sz w:val="14"/>
                <w:szCs w:val="14"/>
                <w:b w:val="1"/>
                <w:bCs w:val="1"/>
                <w:color w:val="auto"/>
              </w:rPr>
              <w:t>2026</w:t>
            </w:r>
          </w:p>
        </w:tc>
        <w:tc>
          <w:tcPr>
            <w:tcW w:w="1440" w:type="dxa"/>
            <w:vAlign w:val="bottom"/>
            <w:tcBorders>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4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4940" w:type="dxa"/>
            <w:vAlign w:val="bottom"/>
            <w:gridSpan w:val="2"/>
            <w:shd w:val="clear" w:color="auto" w:fill="CFF0FC"/>
          </w:tcPr>
          <w:p>
            <w:pPr>
              <w:jc w:val="right"/>
              <w:ind w:right="342"/>
              <w:spacing w:after="0" w:line="196" w:lineRule="exact"/>
              <w:rPr>
                <w:sz w:val="20"/>
                <w:szCs w:val="20"/>
                <w:color w:val="auto"/>
              </w:rPr>
            </w:pPr>
            <w:r>
              <w:rPr>
                <w:rFonts w:ascii="Arial" w:cs="Arial" w:eastAsia="Arial" w:hAnsi="Arial"/>
                <w:sz w:val="18"/>
                <w:szCs w:val="18"/>
                <w:color w:val="auto"/>
              </w:rPr>
              <w:t>17,049,895</w:t>
            </w:r>
          </w:p>
        </w:tc>
        <w:tc>
          <w:tcPr>
            <w:tcW w:w="14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14,636,148</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Unvested market-based stock options outstanding</w:t>
            </w:r>
          </w:p>
        </w:tc>
        <w:tc>
          <w:tcPr>
            <w:tcW w:w="4940" w:type="dxa"/>
            <w:vAlign w:val="bottom"/>
            <w:gridSpan w:val="2"/>
          </w:tcPr>
          <w:p>
            <w:pPr>
              <w:jc w:val="right"/>
              <w:ind w:right="342"/>
              <w:spacing w:after="0" w:line="202" w:lineRule="exact"/>
              <w:rPr>
                <w:sz w:val="20"/>
                <w:szCs w:val="20"/>
                <w:color w:val="auto"/>
              </w:rPr>
            </w:pPr>
            <w:r>
              <w:rPr>
                <w:rFonts w:ascii="Arial" w:cs="Arial" w:eastAsia="Arial" w:hAnsi="Arial"/>
                <w:sz w:val="18"/>
                <w:szCs w:val="18"/>
                <w:color w:val="auto"/>
              </w:rPr>
              <w:t>668,750</w:t>
            </w:r>
          </w:p>
        </w:tc>
        <w:tc>
          <w:tcPr>
            <w:tcW w:w="14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Unvested restricted stock units outstanding</w:t>
            </w:r>
          </w:p>
        </w:tc>
        <w:tc>
          <w:tcPr>
            <w:tcW w:w="4940" w:type="dxa"/>
            <w:vAlign w:val="bottom"/>
            <w:gridSpan w:val="2"/>
            <w:shd w:val="clear" w:color="auto" w:fill="CFF0FC"/>
          </w:tcPr>
          <w:p>
            <w:pPr>
              <w:jc w:val="right"/>
              <w:ind w:right="342"/>
              <w:spacing w:after="0" w:line="202" w:lineRule="exact"/>
              <w:rPr>
                <w:sz w:val="20"/>
                <w:szCs w:val="20"/>
                <w:color w:val="auto"/>
              </w:rPr>
            </w:pPr>
            <w:r>
              <w:rPr>
                <w:rFonts w:ascii="Arial" w:cs="Arial" w:eastAsia="Arial" w:hAnsi="Arial"/>
                <w:sz w:val="18"/>
                <w:szCs w:val="18"/>
                <w:color w:val="auto"/>
              </w:rPr>
              <w:t>402,807</w:t>
            </w:r>
          </w:p>
        </w:tc>
        <w:tc>
          <w:tcPr>
            <w:tcW w:w="14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Employee stock purchase plan contingently issuable</w:t>
            </w:r>
          </w:p>
        </w:tc>
        <w:tc>
          <w:tcPr>
            <w:tcW w:w="3000" w:type="dxa"/>
            <w:vAlign w:val="bottom"/>
          </w:tcPr>
          <w:p>
            <w:pPr>
              <w:spacing w:after="0"/>
              <w:rPr>
                <w:sz w:val="17"/>
                <w:szCs w:val="17"/>
                <w:color w:val="auto"/>
              </w:rPr>
            </w:pPr>
          </w:p>
        </w:tc>
        <w:tc>
          <w:tcPr>
            <w:tcW w:w="1940" w:type="dxa"/>
            <w:vAlign w:val="bottom"/>
            <w:tcBorders>
              <w:bottom w:val="single" w:sz="8" w:color="auto"/>
            </w:tcBorders>
          </w:tcPr>
          <w:p>
            <w:pPr>
              <w:jc w:val="right"/>
              <w:ind w:right="342"/>
              <w:spacing w:after="0" w:line="202" w:lineRule="exact"/>
              <w:rPr>
                <w:sz w:val="20"/>
                <w:szCs w:val="20"/>
                <w:color w:val="auto"/>
              </w:rPr>
            </w:pPr>
            <w:r>
              <w:rPr>
                <w:rFonts w:ascii="Arial" w:cs="Arial" w:eastAsia="Arial" w:hAnsi="Arial"/>
                <w:sz w:val="18"/>
                <w:szCs w:val="18"/>
                <w:color w:val="auto"/>
              </w:rPr>
              <w:t>76,863</w:t>
            </w:r>
          </w:p>
        </w:tc>
        <w:tc>
          <w:tcPr>
            <w:tcW w:w="14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226,160</w:t>
            </w:r>
          </w:p>
        </w:tc>
      </w:tr>
      <w:tr>
        <w:trPr>
          <w:trHeight w:val="236"/>
        </w:trPr>
        <w:tc>
          <w:tcPr>
            <w:tcW w:w="4860" w:type="dxa"/>
            <w:vAlign w:val="bottom"/>
            <w:tcBorders>
              <w:bottom w:val="single" w:sz="8" w:color="auto"/>
            </w:tcBorders>
            <w:shd w:val="clear" w:color="auto" w:fill="CFF0FC"/>
          </w:tcPr>
          <w:p>
            <w:pPr>
              <w:spacing w:after="0"/>
              <w:rPr>
                <w:sz w:val="20"/>
                <w:szCs w:val="20"/>
                <w:color w:val="auto"/>
              </w:rPr>
            </w:pPr>
          </w:p>
        </w:tc>
        <w:tc>
          <w:tcPr>
            <w:tcW w:w="4940" w:type="dxa"/>
            <w:vAlign w:val="bottom"/>
            <w:tcBorders>
              <w:bottom w:val="single" w:sz="8" w:color="auto"/>
            </w:tcBorders>
            <w:gridSpan w:val="2"/>
            <w:shd w:val="clear" w:color="auto" w:fill="CFF0FC"/>
          </w:tcPr>
          <w:p>
            <w:pPr>
              <w:jc w:val="right"/>
              <w:ind w:right="342"/>
              <w:spacing w:after="0" w:line="196" w:lineRule="exact"/>
              <w:rPr>
                <w:sz w:val="20"/>
                <w:szCs w:val="20"/>
                <w:color w:val="auto"/>
              </w:rPr>
            </w:pPr>
            <w:r>
              <w:rPr>
                <w:rFonts w:ascii="Arial" w:cs="Arial" w:eastAsia="Arial" w:hAnsi="Arial"/>
                <w:sz w:val="18"/>
                <w:szCs w:val="18"/>
                <w:color w:val="auto"/>
              </w:rPr>
              <w:t>18,198,315</w:t>
            </w:r>
          </w:p>
        </w:tc>
        <w:tc>
          <w:tcPr>
            <w:tcW w:w="14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14,862,308</w:t>
            </w:r>
          </w:p>
        </w:tc>
      </w:tr>
      <w:tr>
        <w:trPr>
          <w:trHeight w:val="700"/>
        </w:trPr>
        <w:tc>
          <w:tcPr>
            <w:tcW w:w="4860" w:type="dxa"/>
            <w:vAlign w:val="bottom"/>
          </w:tcPr>
          <w:p>
            <w:pPr>
              <w:spacing w:after="0"/>
              <w:rPr>
                <w:sz w:val="24"/>
                <w:szCs w:val="24"/>
                <w:color w:val="auto"/>
              </w:rPr>
            </w:pPr>
          </w:p>
        </w:tc>
        <w:tc>
          <w:tcPr>
            <w:tcW w:w="3000" w:type="dxa"/>
            <w:vAlign w:val="bottom"/>
          </w:tcPr>
          <w:p>
            <w:pPr>
              <w:jc w:val="right"/>
              <w:ind w:right="2050"/>
              <w:spacing w:after="0"/>
              <w:rPr>
                <w:sz w:val="20"/>
                <w:szCs w:val="20"/>
                <w:color w:val="auto"/>
              </w:rPr>
            </w:pPr>
            <w:r>
              <w:rPr>
                <w:rFonts w:ascii="Arial" w:cs="Arial" w:eastAsia="Arial" w:hAnsi="Arial"/>
                <w:sz w:val="18"/>
                <w:szCs w:val="18"/>
                <w:color w:val="auto"/>
              </w:rPr>
              <w:t>21</w:t>
            </w:r>
          </w:p>
        </w:tc>
        <w:tc>
          <w:tcPr>
            <w:tcW w:w="19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45"/>
        </w:trPr>
        <w:tc>
          <w:tcPr>
            <w:tcW w:w="48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certain of its facilities under non-cancellable operating leases expiring at various dates into 2027.</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and lab space in San Francisco, California (the “Laboratory Lease Agreement”). The Laboratory Lease Agreement was for a period of five years commencing approximately February 1, 2021 and ending January 31, 2026. In April 2025, the Company exercised its option to extend the lease term by an additional year, resulting in a revised expiration date of January 31, 2027. The modification was accounted under ASC 842, resulting in a remeasurement of the lease liability and a corresponding $0.8 million increase to the ROU asset. The incremental borrowing rate was also updated as part of the remeasurement. According to the terms of the Laboratory Lease Agreement, the Company paid a $0.4 million security deposit and is required to pay monthly rent and common area charges. No additional security deposit was paid in connection with the amendment.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August 17, 2023, the Company entered into a sublease agreement with Dropbox, Inc. to sublease approximately 6,713 square feet of office space in San Francisco, California (the “Dropbox Sublease Agreement”). The Dropbox Sublease Agreement was for a period of two years commencing on September 5, 2023 and ending December 31, 2025. In June 2025, the Company entered into a First Amendment to the Dropbox Sublease Agreement and exercised its option to extend the lease term by an additional year, resulting in a revised expiration date of December 31, 2026. The modification was accounted under ASC 842, resulting in a remeasurement of the lease liability and a corresponding $0.1 million increase to the ROU asset. The incremental borrowing rate was also updated as part of the remeasurement. In January 2026, the Company entered into a Second Amendment to the Dropbox Sublease Agreement, which did not have a material economic impact on the existing lease.</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August 23, 2023, the Company entered into a lease agreement with The Cambridge Redevelopment Authority to lease approximately 4,020 square feet of office space in Cambridge, Massachusetts (the “Cambridge Lease Agreement”). The Cambridge Lease Agreement is for a period of three years commencing on September 15, 2023 and ending September 14, 2026. According to the terms of the Cambridge Lease Agreement, the Company paid a less than $0.1 million security deposit and is required to pay monthly rent and common area charges. The lease was accounted for under Topic 842 and the Company recorded ROU asset and lease liability of $0.7 million and $0.7 million, respectively, at inception of the lease. In January 2026, the Company entered into a First Amendment to the Cambridge Lease Agreement, which extended the lease term by six months, from September 15, 2026 through March 14, 2027, and granted the Company an early termination option. The First Amendment was accounted for as a lease modification under ASC 842. The related operating lease liability and ROU asset were remeasured using an updated incremental borrowing rate as of the modification date, resulting in an increase of less than $0.1 million to the lease liability and a corresponding increase to the ROU asset.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27, 2026, the Company entered into a lease agreement with KR Oyster Point II, LLC to lease an aggregate of approximately 38,176 square feet of office and laboratory space to serve as the Company's new corporate headquarters (the “Oyster Point Lease Agreement”), consisting of approximately 25,048 square feet on the fourth floor (“Phase I”) and approximately 13,128 square feet on the fifth floor (“Phase II”). The Oyster Point Lease Agreement has an initial term of seven years, with Phase I expected to commence on or about September 15, 2026 and Phase II expected to commence on or about December 1, 2026, in each case upon the earlier of the Company’s first use of the applicable space or the landlord’s delivery of possession of such space in the condition required under the lease. Aggregate base rent over the initial term, net of rent abatement, is approximately $18.5 million, consisting of approximately $12.4 million related to Phase I and approximately $6.1 million related to Phase II. The Company is also required to provide a cash security deposit of approximately $0.4 million and to pay its pro rata share of operating expenses, taxes, assessments and fees. The Oyster Point Lease Agreement provides the Company with a one-time option to terminate the lease at the end of the 60th full calendar month of the initial term, subject to, among other requirements, payment of a termination fee of approximately $1.7 million. The Company also has an option to extend the lease term for one additional five-year period and a right of first offer to lease certain additional space. The Company will account for the Oyster Point Lease Agreement under ASC 842 at the respective lease commencement dates. As of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March 31, 2026, the lease had not commenced and, accordingly, no right-of-use asset or lease liability had been recognized.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lease expense during the three months ended March 31, 2026 and 2025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Three Months Ended March 31,</w:t>
            </w:r>
          </w:p>
        </w:tc>
        <w:tc>
          <w:tcPr>
            <w:tcW w:w="1380" w:type="dxa"/>
            <w:vAlign w:val="bottom"/>
            <w:tcBorders>
              <w:top w:val="single" w:sz="8" w:color="auto"/>
            </w:tcBorders>
          </w:tcPr>
          <w:p>
            <w:pPr>
              <w:spacing w:after="0"/>
              <w:rPr>
                <w:sz w:val="15"/>
                <w:szCs w:val="15"/>
                <w:color w:val="auto"/>
              </w:rPr>
            </w:pPr>
          </w:p>
        </w:tc>
      </w:tr>
      <w:tr>
        <w:trPr>
          <w:trHeight w:val="155"/>
        </w:trPr>
        <w:tc>
          <w:tcPr>
            <w:tcW w:w="644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104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955"/>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6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Straight-line operating lease expense</w:t>
            </w:r>
          </w:p>
        </w:tc>
        <w:tc>
          <w:tcPr>
            <w:tcW w:w="1260" w:type="dxa"/>
            <w:vAlign w:val="bottom"/>
            <w:shd w:val="clear" w:color="auto" w:fill="CFF0FC"/>
          </w:tcPr>
          <w:p>
            <w:pPr>
              <w:jc w:val="right"/>
              <w:ind w:right="1076"/>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301</w:t>
            </w:r>
          </w:p>
        </w:tc>
        <w:tc>
          <w:tcPr>
            <w:tcW w:w="1120" w:type="dxa"/>
            <w:vAlign w:val="bottom"/>
            <w:gridSpan w:val="2"/>
            <w:shd w:val="clear" w:color="auto" w:fill="CFF0FC"/>
          </w:tcPr>
          <w:p>
            <w:pPr>
              <w:jc w:val="right"/>
              <w:ind w:right="80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288</w:t>
            </w: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Variable lease expense</w:t>
            </w:r>
          </w:p>
        </w:tc>
        <w:tc>
          <w:tcPr>
            <w:tcW w:w="1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108</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93</w:t>
            </w:r>
          </w:p>
        </w:tc>
      </w:tr>
      <w:tr>
        <w:trPr>
          <w:trHeight w:val="236"/>
        </w:trPr>
        <w:tc>
          <w:tcPr>
            <w:tcW w:w="64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1260" w:type="dxa"/>
            <w:vAlign w:val="bottom"/>
            <w:tcBorders>
              <w:bottom w:val="single" w:sz="8" w:color="auto"/>
            </w:tcBorders>
            <w:shd w:val="clear" w:color="auto" w:fill="CFF0FC"/>
          </w:tcPr>
          <w:p>
            <w:pPr>
              <w:jc w:val="right"/>
              <w:ind w:right="1076"/>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409</w:t>
            </w:r>
          </w:p>
        </w:tc>
        <w:tc>
          <w:tcPr>
            <w:tcW w:w="1120" w:type="dxa"/>
            <w:vAlign w:val="bottom"/>
            <w:tcBorders>
              <w:bottom w:val="single" w:sz="8" w:color="auto"/>
            </w:tcBorders>
            <w:gridSpan w:val="2"/>
            <w:shd w:val="clear" w:color="auto" w:fill="CFF0FC"/>
          </w:tcPr>
          <w:p>
            <w:pPr>
              <w:jc w:val="right"/>
              <w:ind w:right="80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5538470</wp:posOffset>
            </wp:positionH>
            <wp:positionV relativeFrom="paragraph">
              <wp:posOffset>-551815</wp:posOffset>
            </wp:positionV>
            <wp:extent cx="16256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2560" cy="14541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supplemental cash flow information during the three months ended March 31, 2026 and 2025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79"/>
              <w:spacing w:after="0" w:line="155" w:lineRule="exact"/>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776"/>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7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paid for amounts included in measurement of lease liabilities:</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03"/>
        </w:trPr>
        <w:tc>
          <w:tcPr>
            <w:tcW w:w="7120" w:type="dxa"/>
            <w:vAlign w:val="bottom"/>
          </w:tcPr>
          <w:p>
            <w:pPr>
              <w:ind w:left="18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5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313</w:t>
            </w:r>
          </w:p>
        </w:tc>
        <w:tc>
          <w:tcPr>
            <w:tcW w:w="6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309</w:t>
            </w:r>
          </w:p>
        </w:tc>
      </w:tr>
      <w:tr>
        <w:trPr>
          <w:trHeight w:val="184"/>
        </w:trPr>
        <w:tc>
          <w:tcPr>
            <w:tcW w:w="7120" w:type="dxa"/>
            <w:vAlign w:val="bottom"/>
            <w:shd w:val="clear" w:color="auto" w:fill="CFF0FC"/>
          </w:tcPr>
          <w:p>
            <w:pPr>
              <w:ind w:left="180"/>
              <w:spacing w:after="0" w:line="183" w:lineRule="exact"/>
              <w:rPr>
                <w:sz w:val="20"/>
                <w:szCs w:val="20"/>
                <w:color w:val="auto"/>
              </w:rPr>
            </w:pPr>
            <w:r>
              <w:rPr>
                <w:rFonts w:ascii="Arial" w:cs="Arial" w:eastAsia="Arial" w:hAnsi="Arial"/>
                <w:sz w:val="18"/>
                <w:szCs w:val="18"/>
                <w:color w:val="auto"/>
              </w:rPr>
              <w:t>Supplemental noncash information on lease liability arising from obtaining a right-use-</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261"/>
        </w:trPr>
        <w:tc>
          <w:tcPr>
            <w:tcW w:w="712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asset</w:t>
            </w:r>
          </w:p>
        </w:tc>
        <w:tc>
          <w:tcPr>
            <w:tcW w:w="52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55</w:t>
            </w:r>
          </w:p>
        </w:tc>
        <w:tc>
          <w:tcPr>
            <w:tcW w:w="600" w:type="dxa"/>
            <w:vAlign w:val="bottom"/>
            <w:tcBorders>
              <w:bottom w:val="single" w:sz="8" w:color="auto"/>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5795645</wp:posOffset>
            </wp:positionH>
            <wp:positionV relativeFrom="paragraph">
              <wp:posOffset>-671830</wp:posOffset>
            </wp:positionV>
            <wp:extent cx="13652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6525" cy="145415"/>
                    </a:xfrm>
                    <a:prstGeom prst="rect">
                      <a:avLst/>
                    </a:prstGeom>
                    <a:noFill/>
                  </pic:spPr>
                </pic:pic>
              </a:graphicData>
            </a:graphic>
          </wp:anchor>
        </w:drawing>
      </w:r>
    </w:p>
    <w:p>
      <w:pPr>
        <w:spacing w:after="0" w:line="21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summarizes the Company’s future minimum lease payments and reconciliation of lease liabilities as of March 31, 2026 (in thousands):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91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2026 (from April 2026)</w:t>
            </w:r>
          </w:p>
        </w:tc>
        <w:tc>
          <w:tcPr>
            <w:tcW w:w="880" w:type="dxa"/>
            <w:vAlign w:val="bottom"/>
            <w:tcBorders>
              <w:top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915</w:t>
            </w:r>
          </w:p>
        </w:tc>
      </w:tr>
      <w:tr>
        <w:trPr>
          <w:trHeight w:val="202"/>
        </w:trPr>
        <w:tc>
          <w:tcPr>
            <w:tcW w:w="918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69</w:t>
            </w:r>
          </w:p>
        </w:tc>
      </w:tr>
      <w:tr>
        <w:trPr>
          <w:trHeight w:val="196"/>
        </w:trPr>
        <w:tc>
          <w:tcPr>
            <w:tcW w:w="9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8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984</w:t>
            </w: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8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r>
      <w:tr>
        <w:trPr>
          <w:trHeight w:val="196"/>
        </w:trPr>
        <w:tc>
          <w:tcPr>
            <w:tcW w:w="9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liabilities at present value</w:t>
            </w:r>
          </w:p>
        </w:tc>
        <w:tc>
          <w:tcPr>
            <w:tcW w:w="8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956</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Lease liabilities, current</w:t>
            </w:r>
          </w:p>
        </w:tc>
        <w:tc>
          <w:tcPr>
            <w:tcW w:w="8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956</w:t>
            </w:r>
          </w:p>
        </w:tc>
      </w:tr>
      <w:tr>
        <w:trPr>
          <w:trHeight w:val="256"/>
        </w:trPr>
        <w:tc>
          <w:tcPr>
            <w:tcW w:w="9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Lease liabilities, non-current</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lease term and discount rate as of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4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2026</w:t>
            </w:r>
          </w:p>
        </w:tc>
        <w:tc>
          <w:tcPr>
            <w:tcW w:w="7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140" w:type="dxa"/>
            <w:vAlign w:val="bottom"/>
            <w:tcBorders>
              <w:top w:val="single" w:sz="8" w:color="auto"/>
              <w:bottom w:val="single" w:sz="8" w:color="auto"/>
            </w:tcBorders>
          </w:tcPr>
          <w:p>
            <w:pPr>
              <w:jc w:val="right"/>
              <w:ind w:right="928"/>
              <w:spacing w:after="0" w:line="155" w:lineRule="exact"/>
              <w:rPr>
                <w:sz w:val="20"/>
                <w:szCs w:val="20"/>
                <w:color w:val="auto"/>
              </w:rPr>
            </w:pPr>
            <w:r>
              <w:rPr>
                <w:rFonts w:ascii="Arial" w:cs="Arial" w:eastAsia="Arial" w:hAnsi="Arial"/>
                <w:sz w:val="14"/>
                <w:szCs w:val="14"/>
                <w:b w:val="1"/>
                <w:bCs w:val="1"/>
                <w:color w:val="auto"/>
              </w:rPr>
              <w:t>2025</w:t>
            </w:r>
          </w:p>
        </w:tc>
      </w:tr>
      <w:tr>
        <w:trPr>
          <w:trHeight w:val="196"/>
        </w:trPr>
        <w:tc>
          <w:tcPr>
            <w:tcW w:w="82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76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rPr>
              <w:t>0.80</w:t>
            </w:r>
          </w:p>
        </w:tc>
        <w:tc>
          <w:tcPr>
            <w:tcW w:w="2280" w:type="dxa"/>
            <w:vAlign w:val="bottom"/>
            <w:gridSpan w:val="2"/>
            <w:shd w:val="clear" w:color="auto" w:fill="CFF0FC"/>
          </w:tcPr>
          <w:p>
            <w:pPr>
              <w:ind w:left="1740"/>
              <w:spacing w:after="0" w:line="196" w:lineRule="exact"/>
              <w:rPr>
                <w:sz w:val="20"/>
                <w:szCs w:val="20"/>
                <w:color w:val="auto"/>
              </w:rPr>
            </w:pPr>
            <w:r>
              <w:rPr>
                <w:rFonts w:ascii="Arial" w:cs="Arial" w:eastAsia="Arial" w:hAnsi="Arial"/>
                <w:sz w:val="18"/>
                <w:szCs w:val="18"/>
                <w:color w:val="auto"/>
              </w:rPr>
              <w:t>1.04</w:t>
            </w:r>
          </w:p>
        </w:tc>
      </w:tr>
      <w:tr>
        <w:trPr>
          <w:trHeight w:val="203"/>
        </w:trPr>
        <w:tc>
          <w:tcPr>
            <w:tcW w:w="820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Weighted-average discount rate</w:t>
            </w:r>
          </w:p>
        </w:tc>
        <w:tc>
          <w:tcPr>
            <w:tcW w:w="76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9.00%</w:t>
            </w:r>
          </w:p>
        </w:tc>
        <w:tc>
          <w:tcPr>
            <w:tcW w:w="2280" w:type="dxa"/>
            <w:vAlign w:val="bottom"/>
            <w:tcBorders>
              <w:bottom w:val="single" w:sz="8" w:color="auto"/>
            </w:tcBorders>
            <w:gridSpan w:val="2"/>
          </w:tcPr>
          <w:p>
            <w:pPr>
              <w:ind w:left="1740"/>
              <w:spacing w:after="0" w:line="202" w:lineRule="exact"/>
              <w:rPr>
                <w:sz w:val="20"/>
                <w:szCs w:val="20"/>
                <w:color w:val="auto"/>
              </w:rPr>
            </w:pPr>
            <w:r>
              <w:rPr>
                <w:rFonts w:ascii="Arial" w:cs="Arial" w:eastAsia="Arial" w:hAnsi="Arial"/>
                <w:sz w:val="18"/>
                <w:szCs w:val="18"/>
                <w:color w:val="auto"/>
              </w:rPr>
              <w:t>9.00%</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10.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Novartis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Clinical Trial Collaboration and Supply Agreement with Novartis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November 29, 2024, the Company entered into a Clinical Trial Collaboration and Supply Agreement (the "2024 Novartis Agreement") with Novartis Pharma AG (collectively, with affiliated entities, "Novartis"). Pursuant to the 2024 Novartis Agreement, Novartis is providing the Company with ribociclib drug supply for the Company’s ongoing Phase 3 OPERA-02 trial of palazestrant in combination with ribociclib in ER+/HER2- frontline advanced or metastatic breast cancer (the "OPERA-02 trial").</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2024 Novartis Agreement, the Company supplies (including manufacturing, packaging and labeling) palazestrant and letrozole for the OPERA-02 trial. Novartis manufactures and supplies (including primary packaging) the Company with a specified amount of ribociclib, which amount is expected to be sufficient for the OPERA-02 trial. The parties have granted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Any inventions developed in the performance of the clinical studies for the combined therapies (other than those specific to each component study drug) are jointly owned by the parties. Except as otherwise specified below, the 2024 Novartis Agreement does not grant any right of first negotiation to participate in future clinical trials, and each party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and with third parties.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granted Novartis a right of first negotiation with respect to (a) the grant to any person or entity any right, license or sublicense to exploit palazestrant, in any field or territory, other than to third party service providers, or (b) the sale or other transfer to any person or entity of palazestrant and any related assets (each referred to herein as an "Olema Compound Transaction"). If the Company desires to or does, at any time, (a) solicit or entertain any third party proposal or indication of interest with respect to an Olema Compound Transaction, or</w:t>
      </w:r>
    </w:p>
    <w:p>
      <w:pPr>
        <w:jc w:val="both"/>
        <w:ind w:firstLine="8"/>
        <w:spacing w:after="0" w:line="239" w:lineRule="auto"/>
        <w:tabs>
          <w:tab w:leader="none" w:pos="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negotiate (including in response to any proposal or indication of interest received by the Company), enter into or perform under, in each case, any written definitive agreement with a third party with respect to or that contemplates an Olema Compound Transaction, then the Company must provide written notice to Novartis regarding such Olema Compound Transaction, along with certain other specified information. Novartis will have 30 days after receipt of such notice to elect to enter into exclusive good faith negotiations with respect to such Olema Compound Transaction for a period of up to 120 days.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Company’s board of directors (or a duly authorized board committee) determines that the Company should pursue or explore a change of control of the Company or sale of all or substantially all of its assets (an "Olema Change of Control"), other than in response to an unsolicited bona fide acquisition proposal (a "Proposed Sale"), the Company must promptly notify Novartis of such determination. In the event Novartis elects to engage in negotiations with the Company in respect of such Proposed Sale, then from the date such notice is given until 45 days after the later of (a) the date on which the foregoing notice is given to Novartis, (b) the date on which Novartis is given notice that a data room has been populated as required by the 2024 Novartis Agreement, and (c) entry by the Company and Novartis into a customary nondisclosure agreement, Novartis will have the exclusive right (but no obligation) to conduct due diligence on the Company and its business and negotiate with the Company and its representatives the definitive terms and conditions of the Proposed Sale.</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the Company or its affiliates receive an unsolicited bona fide acquisition proposal from a third party, the Company must promptly notify its board of directors (or a duly authorized board committee) of the receipt thereof and request that they consider the merits of such acquisition proposal. If, after such consideration, the Company’s board of directors (or authorized committee) authorizes the Company to engage in negotiations with regard to such acquisition proposal, then the Company must notify Novartis in writing within 24 hours of receipt of such authorization. To the extent possible in light of any confidentiality obligations, such notice must include a summary of the key structural, non-financial terms of such acquisition proposal.</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event of an Olema Compound Transaction or Olema Change of Control involving a third party other than Novartis (the first to occur, a "Repayment Trigger Event"), the Company must promptly pay, or procure the payment of, the Repayment Amount (as defined below) to Novartis. Notwithstanding the foregoing, if the 2024 Novartis Agreement is terminated as a result of certain patient safety issues, lack of product efficacy, regulatory issues or clinical hold issues prior to the consummation of the Olema Compound Transaction or Olema Change of Control, then the Company shall not be obligated to pay the Repayment Amount unless (a) the Olema Change of Control or Olema Compound Transaction occurs after such termination and (b) prior to the fifth anniversary of such Olema Change of Control or Olema Compound Transaction (as applicable), the Company or its affiliates (or the applicable acquirer, successor, licensee or optionholder of the Company or its affiliates) enrolls a subject in any clinical study involving the combination of palazestrant and ribociclib (the "Olema Combination") or submits any filing with any regulatory authority relating to the Olema Combination. The “Repayment Amount” is the proportion of approximately $275 million that is represented by the number of units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of ribociclib actually supplied to the Company under the 2024 Novartis Agreement as of immediately prior to the Repayment Trigger Event as compared to the total number of units that could be supplied under the 2024 Novartis Agreement.</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foregoing rights of first negotiation, first offer and notice and repayment obligations remain in effect until the first to occur of: (a) the date that is 120 days after filing of the New Drug Application for the Olema Combination, (b) one year after any expiration or termination of the 2024 Novartis Agreement, and (c) such time as the 2024 Novartis Agreement is terminated by the Company due to Novartis’ material breach. However, in the event the 2024 Novartis Agreement is terminated due to certain patient safety issues, lack of product efficacy, regulatory issues or clinical hold issues prior to the consummation of an Olema Change of Control or Olema Compound Transaction, then the Repayment Obligation shall survive until the fifth anniversary of such Olema Change of Control or Olema Compound Transaction (as applicable) or, if payment of the Repayment Amount is required, until the next business day after the Repayment Amount has been received by Novartis.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2024 Novartis Agreement will terminate on the fifth anniversary of the date on which the first dose of palazestrant is administered to the first study subject. Either party may terminate the 2024 Novartis Agreement for the uncured material breach or insolvency of the other party, for failure to comply with certain anti-corruption obligations, in the event of a change of control of the other party, if it reasonably deems it necessary in order to protect the safety, health or welfare of subjects enrolled in the clinical studies for the combined therapies due to the existence of a material safety issue, if the parties jointly decide that the Olema Combination is not achieving sufficiently superior levels of efficacy, if any regulatory authority action prevents a party (or the letrozole supplier) from supplying its product, in the event of an unresolved force majeure event, or in certain circumstances for an unresolved clinical hold with respect to ribociclib, palazestrant or letrozole (or the combination of ribociclib and palazestrant or ribociclib and letrozole). In addition, Novartis may terminate the 2024 Novartis Agreement if the Company had failed to commence the OPERA-02 trial on or prior to March 31, 2026 or if the Company consummates an Olema Compound Transaction, and the Company may terminate the 2024 Novartis Agreement if the Company terminates the OPERA-02 trial other than due to a material safety issue, efficacy issue, regulatory action or upon a clinical hold.</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Costs incurred in connection with the 2024 Novartis Agreement are included in research and development expenses in the accompanying condensed consolidated statements of operations and comprehensive loss for the three months ended March 31, 2026 and 2025.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Clinical Collaboration and Supply Agreement with Novartis</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On January 13, 2022, the Company entered into an amended and restated clinical collaboration and supply agreement with Novartis, and on October 9, 2023, the Company and Novartis entered into the amendment no. 1 (the "Novartis Amendment") to the amended and restated clinical collaboration and supply agreement (as amended, the "2020 Novartis Agreement"). The collaboration is focused on the evaluation of the safety, tolerability and efficacy of palazestrant in combination with Novartis’ proprietary CDK4/6 inhibitor KISQALI® (ribociclib) and/or Novartis’ proprietary phosphatidylinositol 3-kinase ("PI3Ka") Inhibitor PIQRAY® (alpelisib) (collectively the "Novartis Study Drugs") as part of the Company’s Phase 1b/2 study of palazestrant in patients with metastatic estrogen receptor-positive breast cancer. The Novartis Amendment, among other things, expanded the Company's clinical collaboration with Novartis, increasing the size of the ongoing Phase 1/2 study testing palazestrant in combination with ribociclib to approximately 60 patients.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2020 Novartis Agreement will terminate upon completion of all activities outlined in the development plan and the relevant protocols. Either party may terminate the 2020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2020 Novartis Agreement if certain disputes between the parties are not resolved after following the applicable dispute resolution procedures, and the Company may terminate the 2020 Novartis Agreement in the event the Company terminates all clinical trials of the combined therapies other than due to a material safety issue or upon a clinical hold.</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Costs associated with research activities performed under the 2020 Novartis Agreement are included in research and development expenses in the accompanying condensed consolidated statements of operations and comprehensive loss for the three months ended March 31, 2026 and 2025, with any reimbursable costs from Novartis reflected as a reduction of such expenses. The Company had previously incurred the full agreed-upon reimbursement amount.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Pfizer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Clinical Trial Collaboration and Supply Agreement with Pfizer</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September 2025, the Company announced that it entered into a non-exclusive clinical trial collaboration and supply agreement with Pfizer Inc. (“Pfizer”) (the “2025 Pfizer Agreement”), to evaluate the safety and tolerability of palazestrant in combination with Pfizer’s proprietary investigative selective CDK4 inhibitor atirmociclib in patients with metastatic ER+, HER2- breast cancer in a Phase 1b/2 clinical trial. Under the terms of the 2025 Pfizer Agreement, the Company is responsible for conducting the clinical trial for the combined therapies and Pfizer is responsible for supplying atirmociclib to the Company at no cost to the Company. As part of the collaboration, the parties granted to each other a non-exclusive, royalty-free license under certain of the parties’ respective patent rights in the combination of atirmociclib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Pfizer is responsible for manufacturing and delivering to us atirmociclib in such quantities as reasonably needed for the clinical trials for the combined therapies.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2025 Pfizer Agreement will terminate upon completion of all activities outlined in the study plan and the relevant protocols. Either party may terminate the 2025 Pfizer Agreement for the uncured material breach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atirmociclib or palazestrant. In addition, Pfizer may terminate the 2025 Pfizer Agreement if Pfizer reasonably and in good faith believes that atirmociclib is being used in an unsafe manner, and either party may terminate the 2025 Pfizer Agreement if either party determines to discontinue clinical development for medical, scientific, legal or other reasons.</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2025 Pfizer Agreement does not grant any right of first negotiation to participate in future clinical trials, and each of the parties retains all rights and ability to evaluate their respective compounds. Costs incurred in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color w:val="auto"/>
        </w:rPr>
        <w:t>connection with the 2025 Pfizer Agreement are included in research and development expenses in the accompanying condensed consolidated statements of operations and comprehensive loss for the three months ended March 31, 2026.</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Clinical Trial Agreement with Pfizer</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November 2020, the Company entered into a non-exclusive clinical trial agreement with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 Costs incurred in connection with the Pfizer Agreement are included in research and development expenses in the accompanying condensed consolidated statements of operations and comprehensive loss for the three months ended March 31, 2026 and 2025.</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Aurigene</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terms of the Aurigene Agreement, Aurigene provided to the Company an exclusive license to its portfolio of novel small molecule inhibitors of the target. Financial terms of the Aurigene Agreement include a $8.0 million upfront payment for rights to a pre-existing Aurigene program and potential future milestone payments of up to $60.0 million in clinical development and regulatory milestones, and up to $370.0 million in commercial milestones. Aurigene is also eligible to receive royalties on product sales, if any, ranging from mid-single digits to the low double digits as a percentage of such sales. During the research term, the Company contributes funding to Aurigene to facilitate Aurigene’s ongoing discovery efforts. The Company and Aurigene jointly direct further preclinical work and, if successful, the Company will lead clinical development as well as regulatory and commercial activities. The Company and Aurigene jointly own collaboration compounds and rights to any inventions made during the research term.</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As of March 31, 2026, the Company has incurred $23 million in upfront and clinical development milestone payments under the Aurigene Agreement.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 Agreements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March 31, 2026, the Company did not have material contractual commitments with respect to these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March 31, 2026, the Company had not incurred any material costs as a result of such indemnifications.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11.  Long-term Borrowing</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September 5, 2023, the Company entered into the Original Loan Agreement by and between the Company and the Bank. The Original Loan Agreement provided for a four-year senior secured credit facility in an aggregate principal amount of up to $50.0 million (the "Original Credit Facility"), of which $25.0 million became available upon the closing of a private placement and the issuance of our common stock to selected institutional and accredited investors pursuant to a securities purchase agreement in September 2023 ("Term Loan A"), and the remaining $25.0 million could have been made available upon approval of the Bank in its discretion. The Original Credit Facility was scheduled to mature on August 1, 2027 (the "Original Maturity Date").</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June 28, 2024, the Company entered into the First Amendment, which, among other things, (i) increased the aggregate principal amount of the Original Credit Facility from up to $50.0 million to up to $100.0 million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"Credit Facility"), of which the Term Loan A of $25.0 million was immediately available, an additional $25.0 million became available upon the Company achieving certain milestones related to the execution of a first line pivotal Phase 3 clinical trial of palazestrant in combination with ribociclib ("Term Loan B"), and an additional $50.0 million which may be made available upon the approval of the Bank in its discretion ("Term Loan C"), and (ii) extended the Original Maturity Date to July 1, 2028.</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June 27, 2025, the Company entered into the Second Amendment, which, among other things, (i) decreased the interest rate to a floating rate equal to the greater of 6.0% or the prime rate, and (ii) extended the draw period of the Term Loan A to January 15, 2026.</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January 11, 2026, the Company entered into the Third Amendment, which among other things, (i) extended the draw period of Term Loan A to January 31, 2027, (ii) extended the draw period of Term Loan B to January 31, 2027, (iii) extended the draw period of Term Loan C to January 31, 2027, and (iv) extended the maturity date to January 1, 2029 ("Maturity Date"). Based on the occurrence of specified (a) development milestones related to the pivotal Phase 3 OPERA-01 clinical trial of palazestrant or (b) receipt of proceeds from capital financing, the draw period of Term Loan B and Term Loan C may be further extended to July 31, 2027, and the Maturity Date may be further extended to July 1, 2029.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Loan Agreement are secured by substantially all of the assets of the Company, subject to limited exceptions.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term of the Credit Facility, interest will accrue on any outstanding balance due under the Credit Facility at a floating rate per annum equal to the greater of (i) 6.0% and (ii) the prime rate. During an event of default, any outstanding amount under the Credit Facility will bear interest at a rate of 3.0% in excess of the otherwise applicable rate of interest. The Company will pay certain fees with respect to the Credit Facility, including a prepayment fee on any amount advanced under the Credit Facility to the extent paid prior to the Maturity Date, a final payment fee on the amount advanced under the Credit Facility.</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March 31, 2026, the Company had drawn $3.0 million from the Credit Facility which was recorded at cost and presented as long-term borrowing on the consolidated balance sheet. The interest expense was less than $0.1 million for the period ended March 31, 2026, which was included in other income on the condensed consolidated statement of operations and comprehensive loss. As of March 31, 2026, the carrying amount of the borrowing approximated fair value, as the interest rate is variable and resets periodically based on market rates.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12. Pre-Funded Warrants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the pre-funded warrants as a freestanding equity-linked financial instrument that met the criteria for equity classification pursuant to ASC 480 and ASC 815. Accordingly, the Company recorded the pre-funded warrants as a component of stockholders' equity within additional paid-in capital. During the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three months ended March 31, 2026, partial pre-funded warrants were exercised in exchange for 3.5 million shares of the Company's common shares. The following table summarizes the pre-funded warrants issued and outstanding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0808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Issued Year</w:t>
            </w:r>
          </w:p>
        </w:tc>
        <w:tc>
          <w:tcPr>
            <w:tcW w:w="24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Exercise Price</w:t>
            </w:r>
          </w:p>
        </w:tc>
      </w:tr>
      <w:tr>
        <w:trPr>
          <w:trHeight w:val="177"/>
        </w:trPr>
        <w:tc>
          <w:tcPr>
            <w:tcW w:w="440" w:type="dxa"/>
            <w:vAlign w:val="bottom"/>
          </w:tcPr>
          <w:p>
            <w:pPr>
              <w:jc w:val="right"/>
              <w:spacing w:after="0" w:line="177" w:lineRule="exact"/>
              <w:rPr>
                <w:sz w:val="20"/>
                <w:szCs w:val="20"/>
                <w:color w:val="auto"/>
              </w:rPr>
            </w:pPr>
            <w:r>
              <w:rPr>
                <w:rFonts w:ascii="Arial" w:cs="Arial" w:eastAsia="Arial" w:hAnsi="Arial"/>
                <w:sz w:val="18"/>
                <w:szCs w:val="18"/>
                <w:color w:val="auto"/>
                <w:w w:val="94"/>
              </w:rPr>
              <w:t>2024</w:t>
            </w:r>
          </w:p>
        </w:tc>
        <w:tc>
          <w:tcPr>
            <w:tcW w:w="4040" w:type="dxa"/>
            <w:vAlign w:val="bottom"/>
          </w:tcPr>
          <w:p>
            <w:pPr>
              <w:ind w:left="20"/>
              <w:spacing w:after="0" w:line="177" w:lineRule="exact"/>
              <w:rPr>
                <w:sz w:val="20"/>
                <w:szCs w:val="20"/>
                <w:color w:val="auto"/>
              </w:rPr>
            </w:pPr>
            <w:r>
              <w:rPr>
                <w:rFonts w:ascii="Arial" w:cs="Arial" w:eastAsia="Arial" w:hAnsi="Arial"/>
                <w:sz w:val="18"/>
                <w:szCs w:val="18"/>
                <w:color w:val="auto"/>
              </w:rPr>
              <w:t>(Private Placement)</w:t>
            </w:r>
          </w:p>
        </w:tc>
        <w:tc>
          <w:tcPr>
            <w:tcW w:w="240" w:type="dxa"/>
            <w:vAlign w:val="bottom"/>
          </w:tcPr>
          <w:p>
            <w:pPr>
              <w:spacing w:after="0"/>
              <w:rPr>
                <w:sz w:val="15"/>
                <w:szCs w:val="15"/>
                <w:color w:val="auto"/>
              </w:rPr>
            </w:pPr>
          </w:p>
        </w:tc>
        <w:tc>
          <w:tcPr>
            <w:tcW w:w="1400" w:type="dxa"/>
            <w:vAlign w:val="bottom"/>
          </w:tcPr>
          <w:p>
            <w:pPr>
              <w:jc w:val="center"/>
              <w:spacing w:after="0" w:line="177" w:lineRule="exact"/>
              <w:rPr>
                <w:sz w:val="20"/>
                <w:szCs w:val="20"/>
                <w:color w:val="auto"/>
              </w:rPr>
            </w:pPr>
            <w:r>
              <w:rPr>
                <w:rFonts w:ascii="Arial" w:cs="Arial" w:eastAsia="Arial" w:hAnsi="Arial"/>
                <w:sz w:val="18"/>
                <w:szCs w:val="18"/>
                <w:color w:val="auto"/>
                <w:w w:val="97"/>
              </w:rPr>
              <w:t>None</w:t>
            </w:r>
          </w:p>
        </w:tc>
        <w:tc>
          <w:tcPr>
            <w:tcW w:w="420" w:type="dxa"/>
            <w:vAlign w:val="bottom"/>
          </w:tcPr>
          <w:p>
            <w:pPr>
              <w:jc w:val="right"/>
              <w:ind w:right="30"/>
              <w:spacing w:after="0" w:line="177"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177" w:lineRule="exact"/>
              <w:rPr>
                <w:sz w:val="20"/>
                <w:szCs w:val="20"/>
                <w:color w:val="auto"/>
              </w:rPr>
            </w:pPr>
            <w:r>
              <w:rPr>
                <w:rFonts w:ascii="Arial" w:cs="Arial" w:eastAsia="Arial" w:hAnsi="Arial"/>
                <w:sz w:val="18"/>
                <w:szCs w:val="18"/>
                <w:color w:val="auto"/>
              </w:rPr>
              <w:t>0.0001</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94"/>
              </w:rPr>
              <w:t>2024</w:t>
            </w:r>
          </w:p>
        </w:tc>
        <w:tc>
          <w:tcPr>
            <w:tcW w:w="4040" w:type="dxa"/>
            <w:vAlign w:val="bottom"/>
          </w:tcPr>
          <w:p>
            <w:pPr>
              <w:ind w:left="20"/>
              <w:spacing w:after="0"/>
              <w:rPr>
                <w:sz w:val="20"/>
                <w:szCs w:val="20"/>
                <w:color w:val="auto"/>
              </w:rPr>
            </w:pPr>
            <w:r>
              <w:rPr>
                <w:rFonts w:ascii="Arial" w:cs="Arial" w:eastAsia="Arial" w:hAnsi="Arial"/>
                <w:sz w:val="18"/>
                <w:szCs w:val="18"/>
                <w:color w:val="auto"/>
              </w:rPr>
              <w:t>(Warrant Exchange Agreement)</w:t>
            </w:r>
          </w:p>
        </w:tc>
        <w:tc>
          <w:tcPr>
            <w:tcW w:w="2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0.0001</w:t>
            </w:r>
          </w:p>
        </w:tc>
      </w:tr>
      <w:tr>
        <w:trPr>
          <w:trHeight w:val="239"/>
        </w:trPr>
        <w:tc>
          <w:tcPr>
            <w:tcW w:w="440" w:type="dxa"/>
            <w:vAlign w:val="bottom"/>
          </w:tcPr>
          <w:p>
            <w:pPr>
              <w:jc w:val="right"/>
              <w:spacing w:after="0"/>
              <w:rPr>
                <w:sz w:val="20"/>
                <w:szCs w:val="20"/>
                <w:color w:val="auto"/>
              </w:rPr>
            </w:pPr>
            <w:r>
              <w:rPr>
                <w:rFonts w:ascii="Arial" w:cs="Arial" w:eastAsia="Arial" w:hAnsi="Arial"/>
                <w:sz w:val="18"/>
                <w:szCs w:val="18"/>
                <w:color w:val="auto"/>
                <w:w w:val="94"/>
              </w:rPr>
              <w:t>2025</w:t>
            </w:r>
          </w:p>
        </w:tc>
        <w:tc>
          <w:tcPr>
            <w:tcW w:w="4040" w:type="dxa"/>
            <w:vAlign w:val="bottom"/>
          </w:tcPr>
          <w:p>
            <w:pPr>
              <w:ind w:left="20"/>
              <w:spacing w:after="0"/>
              <w:rPr>
                <w:sz w:val="20"/>
                <w:szCs w:val="20"/>
                <w:color w:val="auto"/>
              </w:rPr>
            </w:pPr>
            <w:r>
              <w:rPr>
                <w:rFonts w:ascii="Arial" w:cs="Arial" w:eastAsia="Arial" w:hAnsi="Arial"/>
                <w:sz w:val="18"/>
                <w:szCs w:val="18"/>
                <w:color w:val="auto"/>
              </w:rPr>
              <w:t>(Warrant Exchange Agreement)</w:t>
            </w:r>
          </w:p>
        </w:tc>
        <w:tc>
          <w:tcPr>
            <w:tcW w:w="2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0.0001</w:t>
            </w:r>
          </w:p>
        </w:tc>
      </w:tr>
      <w:tr>
        <w:trPr>
          <w:trHeight w:val="185"/>
        </w:trPr>
        <w:tc>
          <w:tcPr>
            <w:tcW w:w="44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6350</wp:posOffset>
            </wp:positionV>
            <wp:extent cx="19291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8"/>
          <w:szCs w:val="18"/>
          <w:color w:val="auto"/>
        </w:rPr>
        <w:t>4,104,163</w:t>
      </w:r>
    </w:p>
    <w:p>
      <w:pPr>
        <w:jc w:val="right"/>
        <w:ind w:right="80"/>
        <w:spacing w:after="0" w:line="234" w:lineRule="auto"/>
        <w:rPr>
          <w:sz w:val="20"/>
          <w:szCs w:val="20"/>
          <w:color w:val="auto"/>
        </w:rPr>
      </w:pPr>
      <w:r>
        <w:rPr>
          <w:rFonts w:ascii="Arial" w:cs="Arial" w:eastAsia="Arial" w:hAnsi="Arial"/>
          <w:sz w:val="18"/>
          <w:szCs w:val="18"/>
          <w:color w:val="auto"/>
        </w:rPr>
        <w:t>3,420,000</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6,070,000</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13,594,163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-1905</wp:posOffset>
            </wp:positionV>
            <wp:extent cx="19291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2913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14605</wp:posOffset>
            </wp:positionV>
            <wp:extent cx="19291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040" w:space="560"/>
            <w:col w:w="2620"/>
          </w:cols>
          <w:pgMar w:left="320" w:top="117" w:right="359" w:bottom="1440" w:gutter="0" w:footer="0" w:header="0"/>
          <w:type w:val="continuous"/>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jc w:val="both"/>
        <w:spacing w:after="0" w:line="209" w:lineRule="exact"/>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Q, or Quarterly Report, and the audited financial statements and related notes that are included in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 K for the fiscal year ended December 31, 2025, filed with the U.S. Securities and Exchange Commission, or the SEC, on March 16, 2026, or our Annual Report.</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This Quarterly Report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and these statements are based on information available to us as of the date of this Quarterly Report.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Olema is a clinical-stage biopharmaceutical company focused on the discovery, development, and commercialization of next-generation targeted therapies for breast cancer and beyond. We are advancing our pipeline of novel therapies by leveraging our deep understanding of endocrine-driven cancers, nuclear receptors, and mechanisms of acquired resistance.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lead product candidate, palazestrant, is a novel, orally-available small molecule with dual activity as both a complete estrogen receptor (ER) antagonist (CERAN) and selective ER degrader (SERD), currently being investigated in patients with recurrent, locally advanced or metastatic ER positive (ER+), human epidermal growth factor receptor 2 negative (HER2-) breast cancer. In pre-clinical models, palazestrant binds and completely blocks ER-driven transcriptional activity in both wild-type and mutant forms of ER+ metastatic breast cancer (MBC). In clinical studies across more than 400 patients, palazestrant has demonstrated strong anti-tumor activity, attractive pharmacokinetics and prolonged drug exposure, favorable tolerability, and combinability with cyclin dependent kinase 4/6 (CDK4/6) inhibitors with no significant drug-drug interaction. Based on the clinical results we have achieved to date, we are advancing palazestrant through late-stage clinical development both as a monotherapy and in combination with other targeted agents.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2023, we initiated OPERA-01, our pivotal Phase 3 clinical trial of palazestrant as a monotherapy in second/third-line ER+/HER2- MBC. We anticipate top-line results for this trial in the fall of 2026, expect to submit the new drug application (NDA) in 2027, and, if successful, anticipate potential U.S. Food and Drug Administration (FDA) approval and commercial launch in late 2027.</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are investigating palazestrant in multiple Phase 1/2 studies in combination with CDK4/6 inhibitors (palbociclib or ribociclib), a phosphatidylinositol-3-kinase alpha (PI3Ka) inhibitor (alpelisib), with an mTOR inhibitor (everolimus), and a CDK4 inhibitor (atirmociclib). In October 2025, at the European Society for</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Medical Oncology, we presented updated results from the ongoing Phase 1b/2 clinical trial of palazestrant in combination with ribociclib in patients with ER+/HER2- advanced or MBC. This data further support our thesis that palazestrant possesses key characteristics to make it a potential backbone endocrine therapy of preference for ER+/HER2- breast cancer, while also supporting the ongoing pivotal Phase 3 clinical trial of palazestrant in combination with ribociclib in front-line ER+/HER2- MBC, called OPERA-02. The execution of OPERA-02 is supported by our clinical trial collaboration and supply agreement with Novartis Pharma AG (Novartis), which was also announced in December 2024. Under the terms of the agreement, Novartis is providing Olema with ribociclib drug supply for the OPERA-02 trial, which we initiated in 2025. We anticipate top-line data from this trial in 2028 and, if successful, anticipate potential FDA approval and commercial launch in the frontline MBC setting in the United States in 2029.</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second product candidate in clinical development, called OP-3136, is a novel, orally-available small molecule that potently and selectively inhibits KAT6, an epigenetic target that is dysregulated in breast and other cancers. The Investigational New Drug (IND) application for OP-3136 was cleared by the FDA in late 2024 and the Phase 1 study is enrolling patients. In April 2025, we presented preclinical data at the AACR Annual Meeting demonstrating the anti-tumor activity of OP-3136 in prostate, ovarian, and non-small cell lung cancer models. In April 2026, at the AACR Annual Meeting, we presented preclinical data demonstrating that OP-3136, in combination with palazestrant, exhibited synergistic anti-tumor activity in ER+/HER2- breast cancer models driven by suppression of cell -cycle and estrogen receptor-driven oncogenic signaling. We expect to present initial clinical results from the OP-3136 Phase 1 study at the 2026 American Society of Clinical Oncology Annual Meeting in May.</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incurred significant operating losses since the commencement of our operations. Our net losses were $53.1 million and $30.4 million for the three months ended March 31, 2026 and 2025, respectively. We expect to incur significant and increasing losses for the foreseeable future as we continue to advance our product candidates, make potential milestone payments to our licensors, and as we continue to operate as a public company. Our net losses may fluctuate significantly from period to period, depending on the timing of expenditures on our research and development activities. As of March 31, 2026, we had an accumulated deficit of $650.6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169" w:lineRule="exact"/>
        <w:rPr>
          <w:sz w:val="20"/>
          <w:szCs w:val="20"/>
          <w:color w:val="auto"/>
        </w:rPr>
      </w:pPr>
    </w:p>
    <w:p>
      <w:pPr>
        <w:ind w:left="760" w:hanging="378"/>
        <w:spacing w:after="0" w:line="270" w:lineRule="auto"/>
        <w:tabs>
          <w:tab w:leader="none" w:pos="76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our ongoing and planned research and development of our lead product candidate, palazestrant, for the treatment of ER+/HER2- breast cancer;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60" w:hanging="378"/>
        <w:spacing w:after="0" w:line="270" w:lineRule="auto"/>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to enroll patients in the Phase 1 study for OP-3136 and any additional product candidates that we may pursue in the future;</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acquire or in-license other product candidates and technologies;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expand our operations in the United States and in other geographies;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potential milestone payments to our licensors, and our expenditures on other research and development activities.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require substantial additional funding to develop our product candidates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geopolitical uncertainty, and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revenue or positive cash flow from operating activities.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Global economic and business activities continue to face widespread uncertainty due to the geopolitical and macroeconomic environment, generally, including economic and geopolitical uncertainty, market volatility, labor shortages, evolving trade and tariffs policies, including related legal challenges, trade tensions, and retaliatory measures by other countries, supply chain disruptions, military conflicts, as well as any related political or economic responses or counter-responses by various global actors, inflationary pressures, monetary supply shifts, increased recession risk, and related financial instability. The extent of the impact of these factors on our</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lead product candidate, palazestrant, as well as OP-3136. Research and development expenses are recognized as incurred and payments made prior to the receipt of goods or services to be used in research and development are capitalized until the goods or services are received.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External expenses include:</w:t>
      </w:r>
    </w:p>
    <w:p>
      <w:pPr>
        <w:spacing w:after="0" w:line="212" w:lineRule="exact"/>
        <w:rPr>
          <w:sz w:val="20"/>
          <w:szCs w:val="20"/>
          <w:color w:val="auto"/>
        </w:rPr>
      </w:pPr>
    </w:p>
    <w:p>
      <w:pPr>
        <w:ind w:left="760" w:hanging="378"/>
        <w:spacing w:after="0" w:line="270" w:lineRule="auto"/>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incurred in connection with the discovery efforts and non-clinical and clinical development of our product candidates, including under agreements with third parties, such as consultants and contract research organizations (CROs);</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manufacturing products for use in our non-clinical studies and clinical trials, including payments to contract manufacturing organizations (CMOs), and consultants;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funding research performed by third parties;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allocated facility-related costs, which include rent, depreciation and maintenance expenses, and other operating costs.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non-clinical studies, and clinical trials, are generally recognized based on an evaluation of the progress to completion of specific tasks using information and data provided to us by our vendors and collaborators.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our research and development expenses may fluctuate from period to period, we generally expect our research and development expenses to increase substantially in absolute dollars for the foreseeable future as we advance palazestrant, OP-3136, or any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OP-3136, or any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OP-3136, or any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OP-3136, or any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clinical trials, and development of our product candidates will depend on a variety of factors, including:</w:t>
      </w:r>
    </w:p>
    <w:p>
      <w:pPr>
        <w:spacing w:after="0" w:line="195"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progress of non-clinical and clinical development activities;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receipt of regulatory approvals from applicable regulatory authorities;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licensing or collaboration arrangements;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performance of our future collaborators, if any;</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commercializing the product candidates, if approved, whether alone or in collaboration with others;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maintaining continued acceptable safety profiles of our products following approval;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retaining key research and development personnel.</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communications and investor relations, commercialization, legal, human resources, information technology (IT), and administrative functions. General and administrative expenses also include costs not otherwise included in research and development expenses, including corporate facility costs, depreciation and other expenses, which include rent and maintenance of facilities and insurance, and professional fees for legal, patent and consulting services.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our general and administrative expenses may fluctuate from period to period, we generally expect that our general and administrative expenses will increase in the foreseeable future as we increase our headcount to support the continued research and development of our programs, the potential future commercialization of our product candidates, and the growth of our business. We also anticipate incurring additional expenses associated with operating as a public company, including increased expenses related to the building and improving of our IT infrastructure, such as cybersecurity monitoring, legal, regulatory and compliance, director and officer insurance, investor and public relations, and tax-related services associated with maintaining compliance with the rules and regulations of the SEC and the standards applicable to companies listed on a national securities exchange, as well as additional insurance expenses and other administrative and professional services.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other income consists of interest income and other income. Interest income primarily consists of interest earned from our cash equivalents and marketable securities. Other income primarily consists of realized and unrealized foreign currency remeasurement gain (loss), interest expense, and other miscellaneous income (expense) not related to operating activities.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5847080</wp:posOffset>
            </wp:positionH>
            <wp:positionV relativeFrom="paragraph">
              <wp:posOffset>193675</wp:posOffset>
            </wp:positionV>
            <wp:extent cx="9398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3640" w:type="dxa"/>
            <w:vAlign w:val="bottom"/>
            <w:tcBorders>
              <w:top w:val="single" w:sz="8" w:color="auto"/>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300" w:type="dxa"/>
            <w:vAlign w:val="bottom"/>
            <w:tcBorders>
              <w:top w:val="single" w:sz="8" w:color="auto"/>
              <w:bottom w:val="single" w:sz="8" w:color="auto"/>
            </w:tcBorders>
            <w:vMerge w:val="restart"/>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2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tcPr>
          <w:p>
            <w:pPr>
              <w:jc w:val="right"/>
              <w:ind w:right="334"/>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17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49,232</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30,624</w:t>
            </w:r>
          </w:p>
        </w:tc>
        <w:tc>
          <w:tcPr>
            <w:tcW w:w="120" w:type="dxa"/>
            <w:vAlign w:val="bottom"/>
          </w:tcPr>
          <w:p>
            <w:pPr>
              <w:spacing w:after="0"/>
              <w:rPr>
                <w:sz w:val="17"/>
                <w:szCs w:val="17"/>
                <w:color w:val="auto"/>
              </w:rPr>
            </w:pPr>
          </w:p>
        </w:tc>
        <w:tc>
          <w:tcPr>
            <w:tcW w:w="5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18,608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8,754</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4,249</w:t>
            </w:r>
          </w:p>
        </w:tc>
        <w:tc>
          <w:tcPr>
            <w:tcW w:w="1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4,505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170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57,986</w:t>
            </w:r>
          </w:p>
        </w:tc>
        <w:tc>
          <w:tcPr>
            <w:tcW w:w="1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34,873</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7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(57,986)</w:t>
            </w:r>
          </w:p>
        </w:tc>
        <w:tc>
          <w:tcPr>
            <w:tcW w:w="6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(34,873)</w:t>
            </w:r>
          </w:p>
        </w:tc>
        <w:tc>
          <w:tcPr>
            <w:tcW w:w="5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(23,113)</w:t>
            </w:r>
          </w:p>
        </w:tc>
        <w:tc>
          <w:tcPr>
            <w:tcW w:w="0" w:type="dxa"/>
            <w:vAlign w:val="bottom"/>
          </w:tcPr>
          <w:p>
            <w:pPr>
              <w:spacing w:after="0"/>
              <w:rPr>
                <w:sz w:val="1"/>
                <w:szCs w:val="1"/>
                <w:color w:val="auto"/>
              </w:rPr>
            </w:pPr>
          </w:p>
        </w:tc>
      </w:tr>
      <w:tr>
        <w:trPr>
          <w:trHeight w:val="196"/>
        </w:trPr>
        <w:tc>
          <w:tcPr>
            <w:tcW w:w="38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Other income:</w:t>
            </w:r>
          </w:p>
        </w:tc>
        <w:tc>
          <w:tcPr>
            <w:tcW w:w="1700" w:type="dxa"/>
            <w:vAlign w:val="bottom"/>
            <w:tcBorders>
              <w:top w:val="single" w:sz="8" w:color="CFF0FC"/>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17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4,776</w:t>
            </w: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4,524</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80"/>
              <w:spacing w:after="0" w:line="202" w:lineRule="exact"/>
              <w:rPr>
                <w:sz w:val="20"/>
                <w:szCs w:val="20"/>
                <w:color w:val="auto"/>
              </w:rPr>
            </w:pPr>
            <w:r>
              <w:rPr>
                <w:rFonts w:ascii="Arial" w:cs="Arial" w:eastAsia="Arial" w:hAnsi="Arial"/>
                <w:sz w:val="18"/>
                <w:szCs w:val="18"/>
                <w:color w:val="auto"/>
              </w:rPr>
              <w:t>Other income (loss)</w:t>
            </w:r>
          </w:p>
        </w:tc>
        <w:tc>
          <w:tcPr>
            <w:tcW w:w="17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5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FF0FC"/>
            </w:tcBorders>
            <w:shd w:val="clear" w:color="auto" w:fill="CFF0FC"/>
          </w:tcPr>
          <w:p>
            <w:pPr>
              <w:ind w:left="80"/>
              <w:spacing w:after="0" w:line="196" w:lineRule="exact"/>
              <w:rPr>
                <w:sz w:val="20"/>
                <w:szCs w:val="20"/>
                <w:color w:val="auto"/>
              </w:rPr>
            </w:pPr>
            <w:r>
              <w:rPr>
                <w:rFonts w:ascii="Arial" w:cs="Arial" w:eastAsia="Arial" w:hAnsi="Arial"/>
                <w:sz w:val="18"/>
                <w:szCs w:val="18"/>
                <w:color w:val="auto"/>
              </w:rPr>
              <w:t>Total other income</w:t>
            </w:r>
          </w:p>
        </w:tc>
        <w:tc>
          <w:tcPr>
            <w:tcW w:w="170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4,897</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4,484</w:t>
            </w:r>
          </w:p>
        </w:tc>
        <w:tc>
          <w:tcPr>
            <w:tcW w:w="1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(53,089)</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(30,389)</w:t>
            </w:r>
          </w:p>
        </w:tc>
        <w:tc>
          <w:tcPr>
            <w:tcW w:w="5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0"/>
        </w:trPr>
        <w:tc>
          <w:tcPr>
            <w:tcW w:w="38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-967740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-967740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-693420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-693420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-161925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-161925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our research and development expenses by functional area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6275705</wp:posOffset>
            </wp:positionH>
            <wp:positionV relativeFrom="paragraph">
              <wp:posOffset>156845</wp:posOffset>
            </wp:positionV>
            <wp:extent cx="9398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100" w:type="dxa"/>
            <w:vAlign w:val="bottom"/>
            <w:tcBorders>
              <w:top w:val="single" w:sz="8" w:color="auto"/>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bottom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jc w:val="right"/>
              <w:ind w:right="415"/>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1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CROs, CMOs and other clinical development related third-party vendor</w:t>
            </w:r>
          </w:p>
        </w:tc>
        <w:tc>
          <w:tcPr>
            <w:tcW w:w="6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23,858</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Compensation and related benefits</w:t>
            </w:r>
          </w:p>
        </w:tc>
        <w:tc>
          <w:tcPr>
            <w:tcW w:w="6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11,547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8,409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6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7,256</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6,166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64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49,232</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30,624</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18,608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for the three months ended March 31, 2026 were $49.2 million, compared to $30.6 million for the three months ended March 31, 2025. The increase of $18.6 million was primarily related to (i) increased spending on clinical development-related activities as we continue to advance palazestrant through late-stage clinical trials and OP-3136 in early-stage clinical studies, and (ii) increased personnel-related costs, including an increase in non-cash stock-based compensation expense of $3.3 million mainly due to higher grant price in 2026, and higher headcount.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for the three months ended March 31, 2026 were $8.8 million compared to $4.2 million for the three months ended March 31, 2025. The increase of $4.6 million was primarily attributable to higher corporate-related costs, increased personnel-related costs, including an increase in non-cash stock-based compensation expense of $2.5 million mainly due to higher grant price in 2026.</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income for the three months ended March 31, 2026 was $4.9 million, compared to $4.5 million for the three months ended March 31, 2025. The increase of $0.4 million was primarily due to an increase in interest income from our investments in interest-bearing money market funds and marketable securities mainly due to higher investment balance.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$53.1 million and $30.4 million for the three months ended March 31, 2026 and 2025, respectively. From our inception through March 31, 2026, we had received aggregate net proceeds of $1.1 billion from sales of our common stock, convertible preferred stock and issuance of convertible promissory notes, stock option exercises, sale of stock through the Company’s 2020 Employee Stock Purchase Plan (ESPP), and borrowings under our Credit Facility, as defined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we had $505.3 million in cash, cash equivalents and marketable securities and accumulated deficit of $650.6 million.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September 5, 2023, we entered into a loan and security agreement (the Original Loan Agreement) with Silicon Valley Bank, a division of First Citizens Bank &amp; Trust Company (the Bank), which provided us with an aggregate principal amount of up to $50.0 million (the Original Credit Facility), of which $ 25.0 million became available in September 2023 (Term Loan A) upon the closing of a private placement and the issuance of our common stock to selected institutional and accredited investors pursuant to a securities purchase agreement, and the remaining $25.0 million could have been made available upon approval of the Bank in its discretion. The Original Credit Facility was scheduled to mature on August 1, 2027. On June 28, 2024, we entered into the First Amendment to Loan and Security Agreement (the First Amendment) with the Bank, which, among other things, (i) increased the aggregate principal amount of the Original Credit Facility from up to $50.0 million to up to $100.0 million (the Credit Facility) of which the Term Loan A of $25.0 million was immediately available, an additional $25.0 million became available upon achieving certain milestones related to the execution of a first-line pivotal Phase 3 clinical trial of palazestrant in combination with ribociclib (Term Loan B), and an additional $ 50.0 million which may be made available upon the approval of the Bank in its discretion (Term Loan C), and (ii) extended the maturity date to July 1, 2028. On June 27, 2025, we entered into a Second Amendment to Loan and Security Agreement (the Second Amendment) with the Bank, which, among other things, (i) decreased the interest rate to a floating rate equal to the greater of 6.0% or the prime rate, and (ii) extended the draw period of Term Loan A to January 15, 2026. As of March 31, 2026, we had an outstanding liability of $ 3.0 million under the Credit Facility, representing the full amount drawn to date. On January 11, 2026, we entered into the Third Amendment to Loan and Security Agreement (the Third Amendment, together with the Original Loan Agreement, as amended by the First Amendment and the Second Amendment, the Loan Agreement), which, among other things, (i) extended the draw period of Term Loan A to January 31, 2027, (ii) extended the draw period of Term Loan B to January 31, 2027, (iii) extended the draw period of Term Loan C to January 31, 2027, and (iv) extended the Maturity Date to January 1, 2029 (Maturity Date). Based on the occurrence of specified (a) development milestones related to the pivotal Phase 3 OPERA-01 clinical trial of palazestrant or (b) receipt of proceeds from capital financing, the draw period of Term Loan B and Term Loan C may be further extended to July 31, 2027, and the Maturity Date may be further extended to July 1, 2029.</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November 29, 2024, we entered into a securities purchase agreement for a private placement of (i) 19,928,875 shares of our common stock at a price of $9.08 per share and (ii) pre-funded warrants to purchase up to an aggregate of 7,604,163 shares of our common stock at a price of $9.0799 per pre-funded warrant, which represents the per share purchase price of the common stock sold in the private placement less the $0.0001 per share exercise price for each pre-funded warrant to selected institutional and accredited investors (the 2024 Private Placement). The aggregate gross proceeds for the 2024 Private Placement were approximately $250.0 million. After deducting offering expenses related to the 2024 Private Placement of approximately $13.0 million, the net proceeds to us from the 2024 Private Placement were approximately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$237.0 million. Of the $13.0 million issuance costs, $6.5 million was paid in the fourth quarter of 2024 and $6.5 million was paid in the first quarter of 2025. Concurrently, on November 29, 2024, we entered in an exchange agreement with an investor and issued to such investor pre-funded warrants to purchase up to 3,420,000 shares of our common stock at an exercise price of $ 0.0001 per share, in exchange for 3,420,000 shares of our common stock previously outstanding and held by such investor. Thereafter, on January 10, 2025, we entered into exchange agreements with certain investors pursuant to which we issued pre-funded warrants to purchase up to 6,070,000 shares of our common stock at an exercise price of $0.0001 per share, in exchange for 6,070,000 shares of our common stock previously outstanding and held by such investors (Exchange Transactions). Certain holders of pre-funded warrants (together with such holder’s affiliates and other attribution parties) may not exercise pre-funded warrants held by them to the extent that immediately prior to or after giving effect to such exercise such holder would own more than 9.99% of our outstanding common stock immediately after exercise, which percentage may be changed at the holder’s election to a lower or higher percentage not in excess of 19.99% upon 61 days’ notice to us, subject to the terms of the pre-funded warrants. Refer to Note 12 of our notes to the condensed consolidated financial statements contained in this Quarterly Report for further information regarding the Exchange Transactions.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January 6, 2025, we entered into a sales agreement (the Original 2025 Sales Agreement) with TD Securities (USA) LLC, (TD Cowen) as sales agent, pursuant to which the Company may offer and sell, from time to time, shares of the Company's common stock, having an aggregate offering price of up to $150.0 million (the Original 2025 ATM Shares). The sales of the Original 2025 ATM Shares could be made by any method permitted that is deemed to be an ATM equity offering as defined in Rule 415(a)(4) promulgated under the Securities Act, including sales made directly on or through the Nasdaq Global Select Market. We agreed to pay TD Cowen a commission of up to 3.0% of the aggregate gross proceeds from any 2025 ATM Shares sold by TD Cowen. On December 11, 2025, we entered into amendment no. 1 to the sales agreement (together with the Original 2025 Sales Agreement, the 2025 Sales Agreement), which increased the maximum aggregate offering price under the ATM program to $200.0 million (the 2025 ATM Shares). During the three months ended March 31, 2026, we issued 1,712,739 shares of our common stock under the 2025 Sales Agreement at a weighted-average price of $24.92 for net proceeds of $41.9 million after deducting related issuance costs.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November 19, 2025, we completed a follow-on public offering pursuant to which we sold 11,500,000 shares of common stock at a public offering price of $ 19.00 per share, including 1,500,000 shares sold pursuant to the underwriters’ full exercise of their option to purchase additional shares, resulting in aggregate net proceeds of $204.8 million, after deducting underwriting discounts and commissions and estimated offering costs. Sales of our common stock were made under our shelf registration on Form S-3, which we initially filed with the SEC on January 6, 2025 and that was declared effective by the SEC on January 15, 2025.</w:t>
      </w:r>
    </w:p>
    <w:p>
      <w:pPr>
        <w:spacing w:after="0" w:line="3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palazestrant, OP-3136,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developing our commercialization capabilities,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3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primary uses of cash are to fund our research and development activities, including with respect to palazestrant, OP-3136, and other non-clinical programs, business planning, establishing and maintaining our intellectual property portfolio, hiring personnel, raising capital and providing general and administrative support for these operations.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Other than as noted above, we currently have no financing commitments, such as lines of credit or guarantees, that are expected to affect our liquidity over the next five years.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and material cash requirements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or OP-3136.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our cash, cash equivalents, and marketable securities as of March 31, 2026, as well as the available balance under the Credit Facility, will enable us to fund our current operating plan through mid-2028. We have based this estimate of cash runway on assumptions that may prove to be wrong, and we could utilize our available capital resources sooner than we expect.</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Refer to Notes 9, 10 and 11 of our notes to the condensed consolidated financial statements contained in this Quarterly Report for further information regarding our material cash requirements. Other than as set forth therein, there have been no material changes outside the ordinary course of business during the three months ended March 31, 2026 to our commitments and contingencies disclosed in “Management’s Discussion and Analysis of Financial Condition and Results of Operations” included in our Annual Report.</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154"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timing and outcome of regulatory review of our product candidates;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one or more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For example, our Loan Agreement includes covenants limiting our ability to, among other things, fund future acquisitions, make dividend payments, or obtain additional financing.</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5"/>
                <w:szCs w:val="15"/>
                <w:color w:val="auto"/>
              </w:rPr>
            </w:pPr>
          </w:p>
        </w:tc>
        <w:tc>
          <w:tcPr>
            <w:tcW w:w="3500" w:type="dxa"/>
            <w:vAlign w:val="bottom"/>
            <w:tcBorders>
              <w:top w:val="single" w:sz="8" w:color="auto"/>
              <w:bottom w:val="single" w:sz="8" w:color="auto"/>
            </w:tcBorders>
            <w:gridSpan w:val="3"/>
          </w:tcPr>
          <w:p>
            <w:pPr>
              <w:jc w:val="right"/>
              <w:ind w:right="6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7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Borders>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(45,987)</w:t>
            </w:r>
          </w:p>
        </w:tc>
        <w:tc>
          <w:tcPr>
            <w:tcW w:w="4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(43,979)</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Pr>
          <w:p>
            <w:pPr>
              <w:spacing w:after="0"/>
              <w:rPr>
                <w:sz w:val="17"/>
                <w:szCs w:val="17"/>
                <w:color w:val="auto"/>
              </w:rPr>
            </w:pPr>
          </w:p>
        </w:tc>
        <w:tc>
          <w:tcPr>
            <w:tcW w:w="1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4,529</w:t>
            </w:r>
          </w:p>
        </w:tc>
        <w:tc>
          <w:tcPr>
            <w:tcW w:w="4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(45,083)</w:t>
            </w: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96"/>
              <w:spacing w:after="0" w:line="202" w:lineRule="exact"/>
              <w:rPr>
                <w:sz w:val="20"/>
                <w:szCs w:val="20"/>
                <w:color w:val="auto"/>
              </w:rPr>
            </w:pPr>
            <w:r>
              <w:rPr>
                <w:rFonts w:ascii="Arial" w:cs="Arial" w:eastAsia="Arial" w:hAnsi="Arial"/>
                <w:sz w:val="18"/>
                <w:szCs w:val="18"/>
                <w:color w:val="auto"/>
              </w:rPr>
              <w:t>45,704</w:t>
            </w:r>
          </w:p>
        </w:tc>
        <w:tc>
          <w:tcPr>
            <w:tcW w:w="4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96"/>
              <w:spacing w:after="0" w:line="196" w:lineRule="exact"/>
              <w:rPr>
                <w:sz w:val="20"/>
                <w:szCs w:val="20"/>
                <w:color w:val="auto"/>
              </w:rPr>
            </w:pPr>
            <w:r>
              <w:rPr>
                <w:rFonts w:ascii="Arial" w:cs="Arial" w:eastAsia="Arial" w:hAnsi="Arial"/>
                <w:sz w:val="18"/>
                <w:szCs w:val="18"/>
                <w:color w:val="auto"/>
              </w:rPr>
              <w:t>4,246</w:t>
            </w:r>
          </w:p>
        </w:tc>
        <w:tc>
          <w:tcPr>
            <w:tcW w:w="4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(88,840)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50"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cash used in operating activities during the three months ended March 31, 2026 consisted primarily of our net loss of $53.1 million, increased by cash outflows associated with working capital of $ 1.9 million and non-cash adjustments of $1.3 million related to interest income on our marketable securities. These were partially offset by stock-based compensation expense of $10.1 million and depreciation and amortization expenses of $0.1 million. The net decrease in operating assets and liabilities was primarily due to a $1.3 million increase in other current liabilities and a $5.7 million decrease in accounts payable, which is primarily reflecting the timing of vendor invoicing and related payments. These were partially offset by a $2.6 million decrease in prepaid expenses and other current assets, including a non-cash reclassification impact of $0.5 million related to security deposits.</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Net cash used in operating activities during the three months ended March 31, 2025 consisted primarily of our net loss of $30.4 million, non-cash interest income on our marketable securities of $2.1 million and net decrease in operating assets and liabilities of $16.0 million, offset by non-cash charges of $4.5 million. The net loss consisted primarily of $30.6 million in research and development expenses and $4.2 million in general and administrative expenses. The non-cash charges consisted primarily of stock-based compensation expense of $4.4 million, depreciation and amortization expenses of $0.1 million, and non-cash lease expense of less than $0.1 million, net of cash payments of $0.3 million. The net decrease in operating assets and liabilities was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primarily due to (i) a decrease of $11.2 million in accrued and other current liabilities, (ii) a decrease of $4.3 million in accounts payable, which is primarily related to timing of invoicing by vendors and related payments, and (iii) an increase of other assets and long-term deposits of $1.0 million. The changes are partially offset by an increase in prepaid expenses and other current assets of $0.5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investing activities during the three months ended March 31, 2026 was predominantly due to maturities of marketable securities which were partially offset by purchases of marketable securities.</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Net cash used in investing activities during the three months ended March 31, 2025 was predominantly due to purchases of marketable securities which were partially offset by maturities of marketable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financing activities during the three months ended March 31, 2026 consists primarily of $41.9 million of net proceeds from the issuance of shares under the at-the-market offering and $8.4 million of proceeds from stock option exercises, partially offset by payments of $4.4 million for tax withholdings associated with stock option exercises.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provided by financing activities during the three months ended March 31, 2025 was predominately due to $0.2 million from the exercise of stock options.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generally accepted accounting principles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March 31, 2026, there were no material changes to our critical accounting policies and estimates as reported in our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March 31, 2026, there were no material changes to our market risk disclosures reported in our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March 31, 2026, management, with the participation of our Chief Executive Officer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required disclosures.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March 31, 2026, the design and operation of our disclosure controls and procedures were effective at a reasonable assurance level.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three months ended March 31, 2026 that has materially affected, or is reasonably likely to materially affect, our internal control over financial reporting.</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Investing in our common stock involves numerous risks, including the risks described in “Part II, Item 1A. Risk Factors” of this Quarterly Report. Below are some of these risks, any one of which could materially adversely affect our business, financial condition, results of operations, and prospects.</w:t>
      </w:r>
    </w:p>
    <w:p>
      <w:pPr>
        <w:spacing w:after="0" w:line="304" w:lineRule="exact"/>
        <w:rPr>
          <w:sz w:val="20"/>
          <w:szCs w:val="20"/>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have no products approved for commercial sale, which may make it difficult for you to evaluate our current business and predict our future success and viability.</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net losses since inception, and we expect to continue to incur net losses for the foreseeable future. In addition, we may be unable to continue as a going concern over the long term.</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NDA to the FDA or similar drug approval filings to comparable foreign authorities. If we are ultimately unable to obtain regulatory approval for palazestrant, OP-3136, or any future product candidates we may develop, we will be unable to generate product revenue and our business, financial condition, results of operations, and prospects will be significantly harmed.</w:t>
      </w:r>
    </w:p>
    <w:p>
      <w:pPr>
        <w:spacing w:after="0" w:line="6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palazestrant or OP-3136 may not achieve adequate market acceptance among physicians, patients, healthcare payors, and others in the medical community necessary for commercial success.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palazestrant, OP-3136, or any future product candidates we may develop, our commercial opportunities will be negatively impacted.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obtain U.S. or foreign regulatory approvals and, as a result, may be unable to commercialize palazestrant, OP-3136, or any future product candidates we may develop.</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U.S. and global macroeconomic and geopolitical conditions could adversely affect our business, financial condition, results of operations, and prospects.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If our information technology systems, our data or those of the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41"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no products approved for commercial sale, which may make it difficult for you to evaluate our current business and predict our future success and viability.</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lead product candidate, palazestrant, securing related intellectual property rights, conducting non-clinical studies and clinical trials, including conducting multiple Phase 1/2 studies of palazestrant, initiating and conducting Phase 3 clinical trials of palazestrant, conducting non-clinical studies of OP-3136, and conducting a Phase 1 study of OP-3136.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would be if we had a longer operating history.</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approved. If we do not adequately address these risks and difficulties or successfully make such a transition, our business, financial condition, results of operations, and prospects will be significantly harmed.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our lead product candidate, palazestrant, OP-3136, and any future product candidates we may develop. Our expenses could increase beyond expectations if we are required by the FDA, the European Medicines Agency (EMA), or other regulatory authorities to perform clinical trials or non-clinical studies in addition to those that we currently anticipate. Other unanticipated costs may also arise. In addition, if we obtain marketing approval for palazestrant, OP-3136, or any future product candidates we may develop, we expect to incur significant commercialization expenses related to drug sales, marketing, manufacturing and distribution. Our estimates as to how long until we are able to commercialize one or more of our product candidates are based on assumptions that may prove to be wrong, and we may require more time and resources than we currently anticipate, and may exhaust our available capital resources before we are able to generate any revenue from product sales. In addition, because the design and outcome of our planned and anticipated clinical trials are highly uncertain, we cannot reasonably estimate the actual amounts necessary to successfully complete the development and commercialization of any product candidate we develop. We also incur costs associated with operating as a public company. Accordingly, we will need to obtain substantial additional funding in order to maintain our continuing operations.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and geopolitical uncertainty, market volatility, labor shortages, evolving trade and tariff policies, including related legal challenges, trade tensions and retaliatory measures by other countries, supply chain disruptions, military conflicts, as well as any related political or economic responses or counter-responses by various global actors, inflationary pressures, monetary supply shifts, increased recession risk, and related financial instability. Advancing the development of palazestrant, OP-3136, and any future product candidates we may develop will require a significant amount of capital, and our existing cash, cash equivalents and marketable securities will not be sufficient to fund all of the activities that are necessary to complete the development of palazestrant and OP-3136.</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cause our stock price to decline, or restrict our 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in recent past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had previously raised, and may again raise in the future, interest rates in response to concerns about inflation, which, coupled with reduced government spending and volatility in financial markets, may have the effect of heightening these risks and further increasing economic uncertainty.</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efforts. We also could be required to seek collaborators for palazestrant, OP-3136, or any future product candidates we may develop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financial condition, results of operations, and prospects and cause the price of our common stock to decline.</w:t>
      </w:r>
    </w:p>
    <w:p>
      <w:pPr>
        <w:spacing w:after="0" w:line="39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 term.</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sales of our equity securities, including sales of our common stock and pre-funded warrants to purchase our common stock to selected institutional and accredited investors in private placement transactions, at-the-market offerings, our initial public offering and other public offerings and private financings. We have incurred net losses of $53.1 million and $30.4 million for the three months ended March 31, 2026 and 2025, respectively. We had an accumulated deficit of $650.6 million as of March 31, 2026. Our losses have resulted principally from expenses incurred in research and development of palazestrant, OP-3136 and from management and administrative costs and other expenses that we have incurred while building our business infrastructure. Our lead product candidate, palazestrant, and OP-3136 are both in clinical trials. As a result, we expect that it will be several years, if ever, before we have a commercialized product and generate revenue from product sales. Even if we succeed in receiving marketing approval for palazestrant or OP-3136 in one of our lead indications and proceed to commercializing palazestrant or OP-3136, we expect that we will continue to incur substantial research and development and other expenses as we continue the clinical development programs for palazestrant in other indications or for OP-3136.</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our expenses may fluctuate from period to period, we generally expect to continue to incur increased expenses and operating losses for the foreseeable future as we continue our research and development efforts and seek to obtain regulatory approval for palazestrant or OP-3136.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our condensed consolidated financial statements for the three months ended March 31, 2026 and 2025 included elsewhere in this Quarterly Report have been prepared assuming we will continue as a going concern. However, we have incurred losses and negative cash flows from operations. As a development stage company, we expect to incur significant and increasing losses until regulatory approval is granted for palazestrant or OP-3136. Regulatory approval is not guaranteed and may never be obtained. As a result, these conditions raise substantial doubt about our ability to continue as a going concern over the long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palazestrant, OP-3136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74" w:lineRule="exact"/>
        <w:rPr>
          <w:sz w:val="20"/>
          <w:szCs w:val="20"/>
          <w:color w:val="auto"/>
        </w:rPr>
      </w:pPr>
    </w:p>
    <w:p>
      <w:pPr>
        <w:ind w:left="1540" w:hanging="514"/>
        <w:spacing w:after="0" w:line="270" w:lineRule="auto"/>
        <w:tabs>
          <w:tab w:leader="none" w:pos="15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completing clinical and non-clinical development of our product candidates and programs and identifying and developing new product candidates;</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540" w:hanging="514"/>
        <w:spacing w:after="0" w:line="270" w:lineRule="auto"/>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46" w:lineRule="exact"/>
        <w:rPr>
          <w:rFonts w:ascii="Times New Roman" w:cs="Times New Roman" w:eastAsia="Times New Roman" w:hAnsi="Times New Roman"/>
          <w:sz w:val="18"/>
          <w:szCs w:val="18"/>
          <w:color w:val="auto"/>
        </w:rPr>
      </w:pPr>
    </w:p>
    <w:p>
      <w:pPr>
        <w:ind w:left="1540" w:hanging="514"/>
        <w:spacing w:after="0" w:line="270" w:lineRule="auto"/>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46" w:lineRule="exact"/>
        <w:rPr>
          <w:rFonts w:ascii="Times New Roman" w:cs="Times New Roman" w:eastAsia="Times New Roman" w:hAnsi="Times New Roman"/>
          <w:sz w:val="18"/>
          <w:szCs w:val="18"/>
          <w:color w:val="auto"/>
        </w:rPr>
      </w:pPr>
    </w:p>
    <w:p>
      <w:pPr>
        <w:jc w:val="both"/>
        <w:ind w:left="1540" w:hanging="514"/>
        <w:spacing w:after="0" w:line="252" w:lineRule="auto"/>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62"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addressing any competing technological and market developments;</w:t>
      </w:r>
    </w:p>
    <w:p>
      <w:pPr>
        <w:spacing w:after="0" w:line="116" w:lineRule="exact"/>
        <w:rPr>
          <w:rFonts w:ascii="Times New Roman" w:cs="Times New Roman" w:eastAsia="Times New Roman" w:hAnsi="Times New Roman"/>
          <w:sz w:val="18"/>
          <w:szCs w:val="18"/>
          <w:color w:val="auto"/>
        </w:rPr>
      </w:pPr>
    </w:p>
    <w:p>
      <w:pPr>
        <w:ind w:left="1540" w:hanging="514"/>
        <w:spacing w:after="0" w:line="270" w:lineRule="auto"/>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46" w:lineRule="exact"/>
        <w:rPr>
          <w:rFonts w:ascii="Times New Roman" w:cs="Times New Roman" w:eastAsia="Times New Roman" w:hAnsi="Times New Roman"/>
          <w:sz w:val="18"/>
          <w:szCs w:val="18"/>
          <w:color w:val="auto"/>
        </w:rPr>
      </w:pPr>
    </w:p>
    <w:p>
      <w:pPr>
        <w:ind w:left="1540" w:hanging="514"/>
        <w:spacing w:after="0" w:line="270" w:lineRule="auto"/>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4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11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attracting, hiring and retaining qualified personnel.</w:t>
      </w:r>
    </w:p>
    <w:p>
      <w:pPr>
        <w:spacing w:after="0" w:line="23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Even if palazestrant, OP-3136, or any future product candidates that we may develop are approved for commercial sale, we anticipate incurring significant costs associated with commercializing any approved product candidate. Our expenses could increase beyond expectations if we are required by the FDA, EMA or other comparable regulatory authorities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terms of the Loan Agreement place restrictions on our operating and financial flexibility. If we raise additional capital through debt financing, the terms of any new debt could further restrict our ability to operate our business.</w:t>
      </w:r>
    </w:p>
    <w:p>
      <w:pPr>
        <w:spacing w:after="0" w:line="1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September 5, 2023, we entered into the Original Loan Agreement with the Bank, which provided us with the Original Credit Facility, of which $25.0 million became available in September 2023 as Term Loan A upon the closing of a private placement and the issuance of our common stock to selected institutional and accredited investors pursuant to a securities purchase agreement, and the remaining $25.0 million could have been made available upon approval of the Bank in its discretion. The Original Credit Facility was scheduled to mature on August 1, 2027. On June 28, 2024, we entered into the First Amendment with the Bank, which, among other things, (i) increased the aggregate principal amount of the Original Credit Facility from up to $ 50.0 million to up to $100.0 million of which the Term Loan A of $25.0 million was immediately available, an additional $25.0 million as Term Loan B became available upon achieving certain milestones related to the execution of a first-line pivotal Phase 3 clinical trial of palazestrant in combination with ribociclib, and an additional $50.0 million as Term Loan C which may be made available upon the approval of the Bank in its discretion, and (ii) extended the maturity date to July 1, 2028. On June 27, 2025, we entered into the Second Amendment with the Bank, which, among other things, (i) decreased the interest rate to a floating rate equal to the greater of 6.0% or the prime rate, and (ii) extended the draw period of Term Loan A to January 15, 2026. As of December 31, 2025, we had an outstanding liability of $3.0 million under the Credit Facility, representing the full amount drawn to date. On January 11, 2026, we entered into the Third Amendment, which, among other things, (i) extended the draw period of Term Loan A to January 31, 2027,</w:t>
      </w: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extended the draw period of Term Loan B to January 31, 2027, (iii) extended the draw period of Term Loan C to January 31, 2027, and</w:t>
      </w:r>
    </w:p>
    <w:p>
      <w:pPr>
        <w:jc w:val="both"/>
        <w:ind w:firstLine="8"/>
        <w:spacing w:after="0" w:line="242" w:lineRule="auto"/>
        <w:tabs>
          <w:tab w:leader="none" w:pos="3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extended the maturity date to January 1, 2029. Based on the occurrence of specified (a) development milestones related to the pivotal Phase 3 OPERA-01 clinical trial of palazestrant or (b) receipt of proceeds from capital financing, the draw period of Term Loan B and Term Loan C may be further extended to July 31, 2027, and the maturity date (as so extended) may be further extended to July 1, 2029.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make dividend payments; and obtain additional financing for working capital, to fund growth or for general corporate purposes, even when necessary to maintain adequate liquidity.</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occurrence of any material adverse change; delisting; and a material impairment in the Bank’s security interest. Upon the occurrence of an event of default (subject, in certain cases, to notice and grace periods), obligations under the Loan Agreement may be accelerated, thereby requiring us to repay the loan immediately. Any declaration by the Bank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palazestrant, our lead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an NDA to the FDA or similar drug approval filings to comparable foreign authorities. If we are ultimately unable to obtain regulatory approval for palazestrant, OP-3136, or any future product candidates we may develop, we will be unable to generate product revenue and our business, financial condition, results of operations, and prospects will be significantly harmed.</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clinical trials of palazestrant, OP-3136, and any future product candidates we may develop may not be predictive of the results of subsequent clinical trials. We have a limited operating history and to date have not demonstrated our ability to complete large-scale clinical trials.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a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future clinical trials may not be successful. If any of our product candidates is found to be unsafe or lacking efficacy, we will not be able to obtain regulatory approval,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the composition of the patient populations, adherence to dosing regimens and other trial protocols and the dropout rate among clinical trial participants. Patients treated with palazestrant, OP-3136, or any future product candidates we may develop may also be undergoing surgical, radiation, and chemotherapy treatments and may be using other approved products or investigational new drugs, which can cause side effects or adverse events that are unrelated to palazestrant, OP-3136, or any future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OP-3136, or any future product candidates we may develop.</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do not know whether our current clinical trials of palazestrant or OP-3136 or any future clinical trials we may conduct will demonstrate consistent or adequate efficacy and safety to obtain regulatory approval to market palazestrant, OP-3136, or any future product candidates we may develop. Most product candidates that begin clinical trials are never approved by regulatory authorities for commercialization. If we are unable to bring palazestrant, OP-3136, or any future product candidates we may develop to market, our ability to create long-term stockholder value will be limited.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may rely in part on non-clinical, clinical and quality data generated by CROs and other third parties for regulatory submissions for palazestrant or OP-3136.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European Commission, or comparable foreign regulatory authority approval. We cannot guarantee that the FDA or foreign regulatory authorities will interpret trial results as we do, and more trials could be required before we are able to submit an application seeking approval of palazestrant, OP-3136, or any future product candidates we may develop. To the extent that the results of the trials are not satisfactory to the FDA or foreign regulatory authorities to support marketing approval, we may be required to expend significant resources, which may not be available to us, to conduct additional trials in support of potential approval of palazestrant, OP-3136, or any future product candidates we may develop. Even if regulatory approval is secured for palazestrant or OP-3136, the terms of such approval may limit the scope and use of palazestrant or OP-3136, which may also limit its commercial potential. Furthermore, the approval policies or regulations of the FDA, European Commission, or comparable foreign regulatory authorities may significantly change in a manner that results in adverse consequences to us, including by rendering our clinical data insufficient for approval, which may lead to the FDA, European Commission, or comparable foreign regulatory authorities delaying, limiting or denying approval of palazestrant or OP-3136, including any other indication we are seeking for approval under palazestrant or OP-3136.</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regulatory approval processes of the FDA, European Commission, and comparable foreign authorities are lengthy, time consuming and inherently unpredictable, and if we are ultimately unable to obtain regulatory approval for palazestrant, OP-3136, or any future product candidates we may develop, our business, financial condition, results of operations, and prospects will be significantly harmed.</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time required to obtain approval by the FDA, European Commission, and comparable foreign authorities is unpredictable and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Applications for palazestrant or OP-3136 could fail to receive regulatory approval for many reasons, including the following:</w:t>
      </w:r>
    </w:p>
    <w:p>
      <w:pPr>
        <w:spacing w:after="0" w:line="212" w:lineRule="exact"/>
        <w:rPr>
          <w:sz w:val="20"/>
          <w:szCs w:val="20"/>
          <w:color w:val="auto"/>
        </w:rPr>
      </w:pPr>
    </w:p>
    <w:p>
      <w:pPr>
        <w:ind w:left="760" w:hanging="378"/>
        <w:spacing w:after="0" w:line="270" w:lineRule="auto"/>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disagree with the design, implementation or results of our clinical trials;</w:t>
      </w:r>
    </w:p>
    <w:p>
      <w:pPr>
        <w:spacing w:after="0" w:line="15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determine that palazestrant or OP-3136 is not safe and effective, only moderately effective or have undesirable or unintended side effects, toxicities or other characteristics that preclude our obtaining marketing approval or prevent or limit commercial use;</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disagree with our interpretation of data from non-clinical studies or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the data collected from clinical trials of palazestrant or OP-3136 may not be sufficient to support the submission of an NDA, or other submission or to obtain regulatory approval in the United States or elsewhere;</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unable to demonstrate to the FDA, European Commission, or other comparable foreign regulatory authorities that palazestrant's or OP-3136’s risk-benefit ratio for its proposed indication is acceptable;</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7"/>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the European Commission, the competent authorities of the member states of the European Union (EU Member States), or other comparable foreign regulatory authorities may fail to approve the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231F20"/>
        </w:rPr>
        <w:t>manufacturing processes, test procedures and specifications or facilities of third-party manufacturers with which we contract for clinical and commercial supplies; and</w:t>
      </w:r>
    </w:p>
    <w:p>
      <w:pPr>
        <w:spacing w:after="0" w:line="154" w:lineRule="exact"/>
        <w:rPr>
          <w:sz w:val="20"/>
          <w:szCs w:val="20"/>
          <w:color w:val="auto"/>
        </w:rPr>
      </w:pPr>
    </w:p>
    <w:p>
      <w:pPr>
        <w:jc w:val="both"/>
        <w:ind w:left="760" w:right="20" w:hanging="378"/>
        <w:spacing w:after="0" w:line="252" w:lineRule="auto"/>
        <w:tabs>
          <w:tab w:leader="none" w:pos="760" w:val="left"/>
        </w:tabs>
        <w:numPr>
          <w:ilvl w:val="0"/>
          <w:numId w:val="28"/>
        </w:numPr>
        <w:rPr>
          <w:rFonts w:ascii="Times New Roman" w:cs="Times New Roman" w:eastAsia="Times New Roman" w:hAnsi="Times New Roman"/>
          <w:sz w:val="18"/>
          <w:szCs w:val="18"/>
          <w:color w:val="231F20"/>
        </w:rPr>
      </w:pPr>
      <w:r>
        <w:rPr>
          <w:rFonts w:ascii="Arial" w:cs="Arial" w:eastAsia="Arial" w:hAnsi="Arial"/>
          <w:sz w:val="18"/>
          <w:szCs w:val="18"/>
          <w:color w:val="231F20"/>
        </w:rPr>
        <w:t>the approval policies or regulations of the FDA, European Commission, or other comparable foreign regulatory authorities may significantly change in a manner that results in adverse consequences to us, including by rendering our clinical data insufficient for approval.</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palazestrant or OP-3136, which would significantly harm our business, financial condition, results of operations, and prospects.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even if we obtain approval of palazestrant or OP-3136 for a lead indication, regulatory authorities may not approve palazestrant or OP-3136 for other indications, may impose significant limitations in the form of narrow indications, warnings, or a Risk Evaluation and Mitigation Strategy (REMS), or comparable foreign strategy. Certain regulatory authorities may grant approval contingent on the performance of costly post-marketing clinical trials or may approve palazestrant or OP-3136 with a label that does not include the labeling claims necessary or desirable for success. In addition, regulatory authorities in certain countries may not approve the price we intend to charge for the product we develop. If we are unable to obtain regulatory approval of palazestrant or OP-3136, or if regulatory approval is limited, our business, financial condition, results of operation, and prospects will be significantly harmed.</w:t>
      </w:r>
    </w:p>
    <w:p>
      <w:pPr>
        <w:spacing w:after="0" w:line="18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experience delays in clinical trials of palazestrant, OP-3136, or any future product candidates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169" w:lineRule="exact"/>
        <w:rPr>
          <w:sz w:val="20"/>
          <w:szCs w:val="20"/>
          <w:color w:val="auto"/>
        </w:rPr>
      </w:pPr>
    </w:p>
    <w:p>
      <w:pPr>
        <w:ind w:left="760" w:hanging="378"/>
        <w:spacing w:after="0" w:line="270" w:lineRule="auto"/>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EMA, the European Commission, or comparable foreign regulatory authorities disagreeing as to the design or implementation of our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approval from one or more institutional review boards (IRBs), or positive Ethics Committee opinions;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IRBs refusing to approve or Ethics Committees issuing negative opinions, IRBs or Ethics Committees suspending, varying or terminating the trial at an investigational site, precluding enrollment of additional subjects, or withdrawing their approval of the trial;</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to clinical trial protocol;</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clinical sites deviating from trial protocol or dropping out of a trial;</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manufacturing sufficient quantities of product candidates or obtaining sufficient quantities of combination therapies for use in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231F20"/>
        </w:rPr>
      </w:pPr>
      <w:r>
        <w:rPr>
          <w:rFonts w:ascii="Arial" w:cs="Arial" w:eastAsia="Arial" w:hAnsi="Arial"/>
          <w:sz w:val="18"/>
          <w:szCs w:val="18"/>
          <w:color w:val="231F20"/>
        </w:rPr>
        <w:t>subjects failing to enroll or remain in our trial at the rate we expect, or failing to return for post-treatment follow-up;</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378"/>
        <w:spacing w:after="0" w:line="270" w:lineRule="auto"/>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subjects choosing an alternative treatment for the indication for which we are developing palazestrant or OP-3136, or participating in competing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lack of adequate funding to continue the clinical trial;</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subjects experiencing severe or unexpected drug-related adverse effects;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regulatory authorities imposing a clinical hold;</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at the FDA and other agencies or regulatory authorities, including as a result of legislative actions or a government shutdown;</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occurrence of serious adverse events in trials of the same class of agents conducted by other companies;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selection of clinical end-points that require prolonged periods of clinical observation or analysis of the resulting data;</w:t>
      </w:r>
    </w:p>
    <w:p>
      <w:pPr>
        <w:spacing w:after="0" w:line="224" w:lineRule="exact"/>
        <w:rPr>
          <w:rFonts w:ascii="Times New Roman" w:cs="Times New Roman" w:eastAsia="Times New Roman" w:hAnsi="Times New Roman"/>
          <w:sz w:val="18"/>
          <w:szCs w:val="18"/>
          <w:color w:val="231F20"/>
        </w:rPr>
      </w:pPr>
    </w:p>
    <w:p>
      <w:pPr>
        <w:jc w:val="both"/>
        <w:ind w:left="760" w:hanging="378"/>
        <w:spacing w:after="0" w:line="243" w:lineRule="auto"/>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shutdowns, either temporarily or permanently, of any facility manufacturing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or any of their components, including by order from the FDA, competent authorities of EU Member States, or comparable foreign regulatory authorities due to violations of current good manufacturing practice (cGMP) regulations or other applicable requirements, or infections or cross-contaminations of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in the manufacturing process;</w:t>
      </w:r>
    </w:p>
    <w:p>
      <w:pPr>
        <w:spacing w:after="0" w:line="179"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any changes to our manufacturing process that may be necessary or desired;</w:t>
      </w:r>
    </w:p>
    <w:p>
      <w:pPr>
        <w:spacing w:after="0" w:line="22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170"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third-party contractors not performing data collection or analysis in a timely or accurate manner; or</w:t>
      </w:r>
    </w:p>
    <w:p>
      <w:pPr>
        <w:spacing w:after="0" w:line="22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30"/>
        </w:numPr>
        <w:rPr>
          <w:rFonts w:ascii="Times New Roman" w:cs="Times New Roman" w:eastAsia="Times New Roman" w:hAnsi="Times New Roman"/>
          <w:sz w:val="18"/>
          <w:szCs w:val="18"/>
          <w:color w:val="231F20"/>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could also encounter delays if a clinical trial is suspended, varied or terminated by us, by the IRBs or Ethics Committees of the institutions in which such trials are being conducted, by a Data Safety Monitoring Board for such trial or by the FDA, </w:t>
      </w:r>
      <w:r>
        <w:rPr>
          <w:rFonts w:ascii="Arial" w:cs="Arial" w:eastAsia="Arial" w:hAnsi="Arial"/>
          <w:sz w:val="18"/>
          <w:szCs w:val="18"/>
          <w:color w:val="231F20"/>
        </w:rPr>
        <w:t>competent authorities of</w:t>
      </w:r>
      <w:r>
        <w:rPr>
          <w:rFonts w:ascii="Arial" w:cs="Arial" w:eastAsia="Arial" w:hAnsi="Arial"/>
          <w:sz w:val="18"/>
          <w:szCs w:val="18"/>
          <w:color w:val="auto"/>
        </w:rPr>
        <w:t xml:space="preserve"> </w:t>
      </w:r>
      <w:r>
        <w:rPr>
          <w:rFonts w:ascii="Arial" w:cs="Arial" w:eastAsia="Arial" w:hAnsi="Arial"/>
          <w:sz w:val="18"/>
          <w:szCs w:val="18"/>
          <w:color w:val="231F20"/>
        </w:rPr>
        <w:t xml:space="preserve">EU Member States, </w:t>
      </w:r>
      <w:r>
        <w:rPr>
          <w:rFonts w:ascii="Arial" w:cs="Arial" w:eastAsia="Arial" w:hAnsi="Arial"/>
          <w:sz w:val="18"/>
          <w:szCs w:val="18"/>
          <w:color w:val="000000"/>
        </w:rPr>
        <w:t>or comparable foreign regulatory authorities. Such authorities may impose such a suspension, variation or termination</w:t>
      </w:r>
      <w:r>
        <w:rPr>
          <w:rFonts w:ascii="Arial" w:cs="Arial" w:eastAsia="Arial" w:hAnsi="Arial"/>
          <w:sz w:val="18"/>
          <w:szCs w:val="18"/>
          <w:color w:val="231F20"/>
        </w:rPr>
        <w:t xml:space="preserve"> </w:t>
      </w:r>
      <w:r>
        <w:rPr>
          <w:rFonts w:ascii="Arial" w:cs="Arial" w:eastAsia="Arial" w:hAnsi="Arial"/>
          <w:sz w:val="18"/>
          <w:szCs w:val="18"/>
          <w:color w:val="000000"/>
        </w:rPr>
        <w:t xml:space="preserve">due to a number of factors, including failure to conduct the clinical trial in accordance with regulatory requirements or our clinical protocols, inspection of the clinical trial operations or trial site by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Ethics Committees, competent authorities of EU Member States for reexamination, which may impact the costs, timing or successful completion of a clinical trial.</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Further, conducting clinical trials in foreign countries, as we may do for palazestrant, OP-3136, or any future product candidates we may develop,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foreign regulatory schemes, as well as political and economic risks relevant to such foreign countries.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we experience delays in the completion of, or termination of, any clinical trial of palazestrant, OP-3136, or any future product candidates we may develop, the commercial prospects of palazestrant, OP-3136, or any future product candidates we may develop will be harmed, and our ability to generate product revenues from palazestrant, OP-3136, or any future product candidates we may develop will be delayed. Moreover, any delays in completing our clinical trials will increase our costs, slow down palazestrant’s, OP-3136's, or the development and approval process of any future product candidates we may develop and jeopardize our ability to commence product sales and generate revenues.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many of the factors that cause, or lead to, termination, variation or suspension of, or a delay in the commencement or completion of, clinical trials may also ultimately lead to the denial of regulatory approval of palazestrant, OP-3136, or any future product candidates we may develop. Any delays in our clinical trials that occur as a result could shorten any period during which we may have the exclusive right to commercialize palazestrant, OP-3136, or any future product candidates we may develop, our competitors may be able to bring products to market before we do, and the commercial viability of palazestrant, OP-3136, or any future product candidates we may develop could be significantly reduced. Any of these occurrences may significantly harm our business, financial condition, results of operations, and prospects.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palazestrant and OP-3136, we may expend our limited resources to pursue a particular indication and fail to capitalize on indications or additional product candidates that may be more profitable or for which there is a greater likelihood of success.</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currently focused on pursuing a variety of target indications for palazestrant and OP-3136, and we have expended, and plan to continue to expend, significant resources to pursue these and other indications for palazestrant and OP-3136.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Even if approved, palazestrant or OP-3136 may not achieve adequate market acceptance among physicians, patients, healthcare payors, and others in the medical community necessary for commercial success.</w:t>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Even if palazestrant or OP-3136 receives regulatory approval, it may not gain adequate market acceptance among physicians, patients, healthcare payors, and others in the medical community. The degree of market acceptance would depend on a number of factors, including:</w:t>
      </w:r>
    </w:p>
    <w:p>
      <w:pPr>
        <w:spacing w:after="0" w:line="154"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the efficacy and safety profile as demonstrated in clinical trials compared to alternative treatments;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of market introduction of the product candidate as well as competitive products;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the clinical indications for which the product candidate is approved;</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restrictions on the use of palazestrant or OP-3136, such as boxed warnings or contraindications in labeling, or a REMS, or comparable foreign strategy, if any, which may not be required of alternative treatments and competitor products;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the potential and perceived advantages of product candidates over alternative treatments;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 of treatment in relation to alternative treatments;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the availability of palazestrant or </w:t>
      </w:r>
      <w:r>
        <w:rPr>
          <w:rFonts w:ascii="Arial" w:cs="Arial" w:eastAsia="Arial" w:hAnsi="Arial"/>
          <w:sz w:val="18"/>
          <w:szCs w:val="18"/>
          <w:color w:val="000000"/>
        </w:rPr>
        <w:t>OP-3136</w:t>
      </w:r>
      <w:r>
        <w:rPr>
          <w:rFonts w:ascii="Arial" w:cs="Arial" w:eastAsia="Arial" w:hAnsi="Arial"/>
          <w:sz w:val="18"/>
          <w:szCs w:val="18"/>
          <w:color w:val="231F20"/>
        </w:rPr>
        <w:t xml:space="preserve"> for use as a combination therapy;</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relative convenience and ease of administration;</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the willingness of the target patient population to try new therapies and of physicians to prescribe these therapies;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the effectiveness of sales and marketing efforts;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unfavorable publicity relating to palazestrant, OP-3136 or similar approved products or product candidates in development by third parties; and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231F20"/>
        </w:rPr>
      </w:pPr>
      <w:r>
        <w:rPr>
          <w:rFonts w:ascii="Arial" w:cs="Arial" w:eastAsia="Arial" w:hAnsi="Arial"/>
          <w:sz w:val="18"/>
          <w:szCs w:val="18"/>
          <w:color w:val="231F20"/>
        </w:rPr>
        <w:t>the approval of other new therapies for the same indications.</w:t>
      </w:r>
    </w:p>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If palazestrant or OP-3136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OP-3136, or any future product candidates we may develop, if we are unable to locate and enroll a sufficient number of eligible patients to participate in these trials to such trial’s conclusion as required by the FDA, EMA, the European Commission,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palazestrant, OP-3136, or any future product candidates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174"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size and nature of the patient population;</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severity of the disease under investigation;</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availability and efficacy of approved drugs for the disease under investigation;</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patient eligibility criteria for the trial in question as defined in the protocol;</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perceived risks and benefits of the product candidate under study;</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efforts to facilitate timely enrollment in clinical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patient referral practices of physicians;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the ability to monitor patients adequately during and after treatment;</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proximity and availability of clinical trial sites for prospective patients;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continued enrollment of prospective patients by clinical trial sites;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 and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231F20"/>
        </w:rPr>
      </w:pPr>
      <w:r>
        <w:rPr>
          <w:rFonts w:ascii="Arial" w:cs="Arial" w:eastAsia="Arial" w:hAnsi="Arial"/>
          <w:sz w:val="18"/>
          <w:szCs w:val="18"/>
          <w:color w:val="231F20"/>
        </w:rPr>
        <w:t>the level of resources that clinical sites have to conduct a growing number of clinical studies.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OP-3136, or any future product candidates we may develop and jeopardize our ability to obtain marketing approval for the sale of palazestrant, OP-3136, or any future product candidates we may develop. Furthermore, even if we are able to enroll a sufficient number of patients for our clinical trials, we may have difficulty maintaining enrollment of such patients in our clinical trials.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developing palazestrant and OP-3136 and may develop future product candidates, in combination with other therapies, which exposes us to additional risks.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developing palazestrant and OP-3136 and may develop future product candidates, in combination with one or more other approved or unapproved therapies to treat cancer or other diseases. For example, we have a Phase 1/2 study of palazestrant in a combination trial with a CDK4/6 inhibitor, an additional Phase 1/2 studies of palazestrant in combination with another CDK4/6 inhibitor and with a PI3Ka inhibitor, and a Phase 1b/2 study of palazestrant in combination with a CDK4 inhibitor. We have also initiated OPERA-02, a Phase 3 clinical trial of palazestrant in combination with a CDK4/6 inhibitor, ribociclib.</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Even if palazestrant, OP-3136, or any future product candidates we may develop, were to receive marketing approval or be commercialized for use in combination with other existing therapies, we would continue to be subject to the risks that the FDA, the European Commission, or comparable foreign regulatory authorities could revoke approval of the therapy used in combination with our product or that safety, efficacy, manufacturing or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supply issues could arise with any of those existing therapies. If the therapies we use in combination with palazestrant, OP-3136, or any future product candidates we may develop, are replaced as the standard of care for the indications we choose for palazestrant, OP-3136, or any future product candidates we may develop, the FDA, the European Commission,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may choose to evaluate palazestrant, OP-3136, or any future product candidates we may develop in combination with one or more cancer therapies that have not yet been approved for marketing by the FDA, European Commission, or comparable foreign regulatory authorities. We will not be able to market and sell palazestrant, OP-3136, or any future product candidates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or OP-3136 currently in development and clinical trials, such as the potential for serious adverse effects, delays in their clinical trials and potential failure to receive approval from the FDA, European Commission or comparable foreign regulatory authorities.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FDA, European Commission, or comparable foreign regulatory authorities do not approve these other drugs or revoke their approval of, or if safety, efficacy, quality, manufacturing or supply issues arise with, the drugs we choose to evaluate in combination with palazestrant, OP-3136, or future product candidates we may develop, we may be unable to obtain approval of or market such combination therapy.</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Risks associated with the in-licensing or acquisition of drug candidates could cause substantial delays in the pre-clinical and clinical development of our drug candidates.</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previously in-licensed product candidates, and we may acquire or in-license potential product candidates for in the future, as we continue to build our pipeline. Such arrangements with third parties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candidates. Our rights to use any licensed intellectual property are subject to the continuation of and our compliance with the terms of any such agreements.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palazestrant and OP-3136 are based on estimates and third-party sources. If the market opportunities for palazestrant, OP-3136, or any future product candidates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incidence and prevalence for target patient populations of palazestrant or OP-3136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drugs, or new patients may become increasingly difficult to identify or gain access to. If the market opportunities for palazestrant, OP-3136, or any future product candidates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palazestrant, OP-3136, or any future product candidates we may develop may be harmed, which could significantly harm our business, financial condition, results of operations, and prospects.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palazestrant, OP-3136, or any future product candidates we may develop, our commercial opportunities will be negatively impacted.</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or OP-3136.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and OP-3136. Products we may develop in the future are also likely to face competition from other products and therapies, some of which we may not currently be aware. In addition, palazestrant, OP-3136, and any product candidate that we may develop in the future may need to compete with off-label drugs used by physicians to treat the indications for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which we seek approval. This may make it difficult for us to replace existing therapies with palazestrant, OP-3136, and any future product candidates we may develop.</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authorities,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 example, if we are successful in developing palazestrant, it may compete against existing products and product candidates in development, to the extent any such product candidates are approved, for the treatment of ER+ breast cancer, including fulvestrant, marketed as Faslodex® by AstraZeneca PLC and or any generic equivalents of Faslodex that are marketed or in development; elacestrant, marketed as ORSERDU</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by Stemline Therapeutics Inc.; giredestrant (GDC-9545), being developed by Roche Holding AG/Genentech, Inc.; camizestrant (AZD9833), being developed by AstraZeneca PLC; imlunestrant, marketed as Inluriyo</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by Eli Lilly and Co.; vepdegestrant (ARV-471), being developed by Arvinas, Inc. in partnership with Pfizer, Inc.; and lasofoxifene, being developed by LeonaBio, Inc. There are also a number of KAT6 inhibitor product candidates in development that may compete with OP-3136 including prifetrastat and PF-08032562, which are being developed by Pfizer, MEN2312, which is being developed by Stemline Therapeutics, and BG-75202 being developed by BeOne Medicines.</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the European Commission, or other comparable foreign regulatory authorities or in discovering, developing and commercializing products in our field before we do.</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the European Commission, or other comparable foreign regulatory authorities for their products more rapidly than we may obtain approval for ours, which could result in our competitors establishing a strong market position before we are able to enter the market. Even if palazestrant, OP-3136, or any future product candidates we may develop achieve marketing approval, they may be priced at a significant premium over competitive products if any have been approved by then, resulting in reduced competitiveness. Technological advances or products developed by our competitors may render our technologies or palazestrant, OP-3136, and any future product candidates we may develop obsolete, less competitive, or not economical. If we are unable to compete effectively, our opportunity to generate revenue from the sale of any product we may develop, if approved, would be adversely affected.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palazestrant and OP-3136 manufacturing or formulation may result in additional costs or delay.</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palazestrant and OP-3136 progress through non-clinical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and OP-3136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or OP-3136 and jeopardize our ability to commercialize palazestrant or OP-3136, if approved, and generate revenue.</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for palazestrant, OP-3136, or any future product candidates we may develop, sales of such product will depend substantially, in the United States and internationally, on the extent to which the costs of the product are covered and reimbursed by third-party payors. If reimbursement is not available, or is available only at inadequate levels, we may not be able to successfully commercialize palazestrant, OP-3136,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For example,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 Nonetheless, palazestrant, OP-3136,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European countries, Canada and other countries has and will continue to put pressure on the pricing and usage of therapeutics such as palazestrant, OP-3136, or any future product candidates we may develop. In many countries, including European Union (EU) Member States,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OP-3136,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palazestrant, OP-3136,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palazestrant, OP-3136, or any future product candidates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Government authorities promulgate regulations and guidelines directly applicable to us and to palazestrant, OP-3136,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authorities or these other groups or organizations may relate to such matters as usage, dosage, route of administration and use of concomitant therapies. Recommendations or guidelines suggesting the reduced use of palazestrant, OP-3136, or any future product candidates we may develop or the use of competitive or alternative products as the standard of care to be followed by patients and healthcare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providers could result in decreased use of palazestrant, OP-3136, or any future product candidates we may develop.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palazestrant, OP-3136, or any future product candidates we may develop.</w:t>
      </w:r>
    </w:p>
    <w:p>
      <w:pPr>
        <w:spacing w:after="0" w:line="13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Palazestrant and OP-3136 are, and any future product candidates we develop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OP-3136, or any future product candidates we may develop will progress through required clinical testing and obtain the regulatory approvals necessary for us to begin selling them.</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the European Commission, or other comparable foreign regulatory authorities use when evaluating clinical trial data can, and often do, change during drug development, which makes it difficult to predict with any certainty how they will be applied. We may also encounter unexpected delays or increased costs due to new government regulations or other actions, including future legislation or administrative action, or changes in FDA, EMA, the European Commission, or other comparable foreign regulatory authorities’ policies during the period of drug development, clinical trials and FDA, EMA, the European Commission, or other comparable foreign regulatory authorities’ regulatory review.</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palazestrant or OP-3136.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competent authorities of EU Member States, or other regulatory authority investigation of the safety and effectiveness of our product, our manufacturing processes and facilities or our marketing programs. The FDA, EMA, competent authorities of EU Member States or other regulatory authority investigations could potentially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lead to a recall of our product or more serious enforcement action, limitations on the approved indications for which it may be used or suspension, variation,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or OP-3136, if approved. Any insurance we have or may obtain may not provide sufficient coverage against potential liabilities. Furthermore, clinical trial and product liability insurance are becoming increasingly expensive. As a result, we may be unable to obtain sufficient insurance at a reasonable cost to protect us against losses caused by any product liability claims that could significantly harm our business, financial condition, results of operations, and prospects.</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Palazestrant, OP-3136, and any future product candidates we develop may cause significant adverse events, toxicities or other undesirable side effects when used alone or in combination with other approved products or investigational new drugs, which may result in a safety profile that could inhibit regulatory approval, prevent market acceptance, limit their commercial potential or result in significant negative consequences.</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is the case with pharmaceuticals generally, there have been side effects and adverse events associated with the use of palazestrant, and it is likely that there may be additional side effects and adverse events associated with the use of palazestrant, OP-3136, or any future product candidates we may develop. Results of our clinical trials could reveal a high and unacceptable severity and prevalence of side effects or unexpected characteristics. For example, the most common side effects we have seen in patients treated with palazestrant in our clinical trials are nausea, fatigue, vomiting, constipation, headaches, and neutropenia. Undesirable side effects caused by palazestrant, OP-3136, or any future product candidates we may develop could cause us or regulatory authorities to interrupt, delay or halt clinical trials and could result in a more restrictive label or the delay or denial of regulatory approval by the FDA, the European Commission, or other comparable foreign regulatory authorities. Any of these occurrences may significantly harm our business, financial condition, results of operations, and prospects.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palazestrant, OP-3136,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Palazestrant, OP-3136, or any future product candidates we may develop, may be used as chronic therapies or be used in pediatric populations, for which safety concerns may be particularly scrutinized by regulatory authorities. In addition, if palazestrant, OP-3136, or any future product candidates we may develop, are used in combination with other therapies, palazestrant, OP-3136, or any future product candidates we may develop may exacerbate adverse events associated with the therapy and it may not be possible to determine whether it was caused by our product or the one with which it was combined. Patients treated with palazestrant, OP-3136, or any future candidates we may develop, may also be undergoing surgical, radiation, and chemotherapy treatments, which can cause side effects or adverse events that are unrelated to palazestrant, OP-3136, or any future product candidates we may develop, but may still impact the success of our clinical trials. The inclusion of critically ill patients in our clinical trials may result in deaths or other adverse medical events due to many factors, including other therapies or medications that such patients may be using or due to the gravity of such patients’ illnesses.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competent authorities of EU Member States</w:t>
      </w:r>
      <w:r>
        <w:rPr>
          <w:rFonts w:ascii="Arial" w:cs="Arial" w:eastAsia="Arial" w:hAnsi="Arial"/>
          <w:sz w:val="18"/>
          <w:szCs w:val="18"/>
          <w:color w:val="000000"/>
        </w:rPr>
        <w:t>, other comparable regulatory authorities or an IRB or Ethics Committee may suspend, vary or</w:t>
      </w:r>
      <w:r>
        <w:rPr>
          <w:rFonts w:ascii="Arial" w:cs="Arial" w:eastAsia="Arial" w:hAnsi="Arial"/>
          <w:sz w:val="18"/>
          <w:szCs w:val="18"/>
          <w:color w:val="231F20"/>
        </w:rPr>
        <w:t xml:space="preserve"> </w:t>
      </w:r>
      <w:r>
        <w:rPr>
          <w:rFonts w:ascii="Arial" w:cs="Arial" w:eastAsia="Arial" w:hAnsi="Arial"/>
          <w:sz w:val="18"/>
          <w:szCs w:val="18"/>
          <w:color w:val="000000"/>
        </w:rPr>
        <w:t>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including our potential collaboration, financing, or other business opportunities. Further, if palazestrant or OP-3136 obtains marketing approval, toxicities associated with palazestrant or OP-3136 that are not seen during clinical testing may develop after such approval and lead to a requirement to conduct additional clinical safety trials, additional contraindications, addition of warnings, and precautions to the drug label, significant restrictions on the use of the product or the withdrawal of the product from the market. We cannot predict whether palazestrant or OP-3136 will cause toxicities in humans that would preclude or lead to the revocation of regulatory approval based on non-clinical studies or early-stage clinical trials.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FDA, EMA, the European Commission, and other comparable foreign regulatory authorities may not accept data from trials conducted in locations outside of their jurisdiction.</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currently plan to conduct international clinical trials and may choose to conduct additional international clinical trials in the future. The acceptance of study data by the FDA, EMA, the European Commission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the European Commission, or any applicable foreign regulatory authority will accept data from trials conducted outside of its applicable jurisdiction. If the FDA, EMA, the European Commission or any applicable foreign regulatory authority does not accept such data, it would result in the need for additional trials, which would be costly and time-consuming and delay aspects of our business plan, and which may result in palazestrant, OP-3136, or any future product candidates we may develop not receiving approval for commercialization in the applicable jurisdiction.</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regulatory approval of palazestrant, OP-3136, or any product candidate we develop in the future, in one jurisdiction does not mean that we will be successful in obtaining regulatory approval of palazestrant, OP-3136, or any product candidate we develop in the future, in other jurisdictions.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Obtaining and maintaining regulatory approval of palazestrant, OP-3136, or any product candidate we develop in the future, in one jurisdiction does not guarantee that we will be able to obtain or maintain regulatory approval in any other jurisdiction. For example, even if the FDA, the European Commission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OP-3136, or any product candidate we develop in the future, will be harmed.</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palazestrant, OP-3136, or any product candidate we develop in the future, receives regulatory approval, it will be subject to significant post-marketing regulatory requirements and oversight.</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regulatory approvals that we may receive for palazestrant, OP-3136,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the EU, or applicable foreign regulatory authorities approve palazestrant, OP-3136, or any future product candidates we may develop, the manufacturing processes, labeling, packaging, distribution, adverse event reporting, storage, advertising, promotion, importation, exportation and recordkeeping for palazestrant, OP-3136, or any future product candidates we may develop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EU or other applicable foreign regulatory requirements may subject our company to administrative or judicially imposed sanctions, including:</w:t>
      </w:r>
    </w:p>
    <w:p>
      <w:pPr>
        <w:spacing w:after="0" w:line="278"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delays in or the rejection of product approvals;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the products, manufacturers or manufacturing process;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warning letters;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civil and criminal penalties;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injunctions;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suspension, variation or withdrawal of regulatory approvals;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product seizures, detentions or import bans;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voluntary or mandatory product recalls and publicity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total or partial suspension of production;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occurrence of any event or penalty described above may inhibit our ability to commercialize palazestrant, OP-3136, or any future product candidates we may develop and to generate revenue, could require us to expend significant time and resources in response and could generate negative publicity.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palazestrant, OP-3136, or any future product candidates we may develop. If we are slow or unable to adapt to changes in existing requirements or the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adoption of new requirements or policies, or if we are not able to maintain regulatory compliance, we may lose any marketing approval that we may have obtained, and we may not achieve or sustain profitability.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authorities actively enforce the laws and regulations prohibiting the promotion of off-label uses.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palazestrant, OP-3136, or any future product candidates we may develop is approved for marketing, and we are found to have improperly promoted off-label uses of those products, we may become subject to significant liability. The FDA and other regulatory authorities strictly regulate the promotional claims that may be made about prescription products, such as palazestrant, OP-3136, or any future product candidates we may develop, if approved. In particular, a product may not be promoted for uses that are not approved by the FDA or such other regulatory authorities as reflected in the product’s approved labeling. If we receive marketing approval for palazestrant, OP-3136,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OP-3136, or any future product candidates we may develop, if approved, we could become subject to significant liability, which would significantly harm our business, financial condition, results of operations, and prospects.</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Disruptions at the FDA, EMA, the European Commission applicable foreign regulatory authorities, the SEC, and other government agencies and regulatory authorities caused by funding shortages, government shutdowns or global health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ability of the FDA, EMA, the European Commission or any applicable foreign regulatory authority to review and approve new products can be affected by a variety of factors, including, government budget and funding levels, ability to hire and retain key personnel, the acceptance and availability of user fee payments, and statutory, regulatory, and policy changes, and other events that may otherwise affect the FDA, EMA, the European Commission, or any applicable foreign regulatory authority’s ability to perform routine functions. Average review times at the authorities have fluctuated in recent years as a result and may continue to be delayed. In addition, government funding of the SEC and other government authorities on which our operations may rely, including those that fund research and development activities, is subject to the political process, which is inherently fluid and unpredictable. Any reduction, delay, or interruption in such funding, whether due to recent or future budgetary constraints, could adversely affect our ability to operate our business, comply with applicable regulatory requirements, or access the capital markets.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Disruptions at the FDA and other authorities may also slow the time necessary for new drugs to be reviewed and/or approved by necessary government authorities, which would adversely affect our business. For example, over the last several years, the U.S. government has shut down several times, including for 43 days beginning in October 2025, and certain regulatory agencies, such as the FDA, have had to furlough critical employees and stop critical activities. If a prolonged government shutdown occurs again,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may attempt to secure approval from the FDA, the European Commission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approval from the FDA, the European Commission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or comparable foreign regulatory authorities through accelerated approval pathways, if our confirmatory trials do not verify clinical benefit, or if we do not comply with rigorous post-marketing requirements, the FDA, the European Commission or comparable foreign regulatory authorities may seek to withdraw their approval.</w:t>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in the future seek approval for palazestrant, OP-3136, or any future product candidates we may develop through accelerated approval pathways.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Prior to seeking accelerated approval for palazestrant or OP-3136,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or OP-3136,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or OP-3136 would result in a longer time period to commercialization of such product candidate, could increase the cost of development of palazestrant or OP-3136 and could harm our competitive position in the marketplace.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policies, and future legislation.</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Existing regulatory policies may change, and additional regulations may be enacted that could prevent, limit, or delay regulatory approval of palazestrant, OP-3136, or any future product candidates we may develop. We cannot predict the likelihood, nature, or extent of government regulation or other action that may arise from future legislative, judicial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or face challenges in achieving or sustaining profitability.</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and amendments to certain aspects of the ACA. For example,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possible that the ACA will be subject to judicial or Congressional challenges in the future. It is unclear how any such challenges and the healthcare reform measures of the current administration will impact the ACA or our business.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Such legislative changes also included aggregate reductions to Medicare payments to providers of 2% per fiscal year, effective April 1, 2013, which, due to subsequent legislative amendments, will stay in effect until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These laws may result in additional reductions in Medicare and other healthcare funding, which could have a material adverse effect on potential customers for our drugs, if approved, and accordingly, on our business, financial condition, results of operations, and prospects.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major pharmaceutical companies that require the drug manufacturer to offer, through a direct-to-consumer platform </w:t>
      </w:r>
      <w:r>
        <w:rPr>
          <w:rFonts w:ascii="Arial" w:cs="Arial" w:eastAsia="Arial" w:hAnsi="Arial"/>
          <w:sz w:val="18"/>
          <w:szCs w:val="18"/>
          <w:u w:val="single" w:color="auto"/>
          <w:color w:val="auto"/>
        </w:rPr>
        <w:t>(</w:t>
      </w:r>
      <w:r>
        <w:rPr>
          <w:rFonts w:ascii="Arial" w:cs="Arial" w:eastAsia="Arial" w:hAnsi="Arial"/>
          <w:sz w:val="18"/>
          <w:szCs w:val="18"/>
          <w:color w:val="auto"/>
        </w:rPr>
        <w:t>TrumpRx</w:t>
      </w:r>
      <w:r>
        <w:rPr>
          <w:rFonts w:ascii="Arial" w:cs="Arial" w:eastAsia="Arial" w:hAnsi="Arial"/>
          <w:sz w:val="18"/>
          <w:szCs w:val="18"/>
          <w:u w:val="single" w:color="auto"/>
          <w:color w:val="auto"/>
        </w:rPr>
        <w:t>)</w:t>
      </w:r>
      <w:r>
        <w:rPr>
          <w:rFonts w:ascii="Arial" w:cs="Arial" w:eastAsia="Arial" w:hAnsi="Arial"/>
          <w:sz w:val="18"/>
          <w:szCs w:val="18"/>
          <w:color w:val="auto"/>
        </w:rPr>
        <w:t>, U.S. patients and Medicaid programs prescription drug Most-Favored Nation pricing equal to or lower than those paid in other developed nations, with additional mandates for direct-to-patient discounts and repatriation of foreign revenues. Other recent actions include, for example, directives to reduce agency workforce, program cuts, directing HHS to lower prescription drug costs for Medicare through a variety of initiatives, imposing tariffs on imported pharmaceutical products, and as part of the Make America Healthy Again, Commission’s recent Strategy Report,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operational costs and compliance risks.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June 2024, in </w:t>
      </w:r>
      <w:r>
        <w:rPr>
          <w:rFonts w:ascii="Arial" w:cs="Arial" w:eastAsia="Arial" w:hAnsi="Arial"/>
          <w:sz w:val="18"/>
          <w:szCs w:val="18"/>
          <w:i w:val="1"/>
          <w:iCs w:val="1"/>
          <w:color w:val="auto"/>
        </w:rPr>
        <w:t>Loper Bright Enterprises v. Raimondo</w:t>
      </w:r>
      <w:r>
        <w:rPr>
          <w:rFonts w:ascii="Arial" w:cs="Arial" w:eastAsia="Arial" w:hAnsi="Arial"/>
          <w:sz w:val="18"/>
          <w:szCs w:val="18"/>
          <w:color w:val="auto"/>
        </w:rPr>
        <w:t>,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Any such approved importation plans, when implemented, may result in lower drug prices for products covered by those programs.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likelihood, nature or extent of government regulation that may arise from future legislation or administrative action, either in the United States or abroad, is uncertain. As an example, the regulatory landscape related to clinical trials in the EU has evolved. The EU Clinical Trials Regulation (CTR), which was adopted in April 2014 and repeals the EU Clinical Trials Directive (CTD),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foresaw a three-year transition period that ended on January 31, 2025. Since this date, all new or ongoing trials are subject to the provisions of the CTR. Compliance with the CTR requirements by us and our third-party service providers, such as CROs, may impact our development plans.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The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On January 12, 2025, the HTA Regulation entered into application and has a phased implementation. The HTA Regulation is intended to boost cooperation among EU Member States in assessing health technologies, including new medicinal products, and established a framework for joint clinical assessments, joint scientific consultations, and the early identification of emerging health technologies. The HTA Regulation permits EU Member States to use common HTA tools, methodologies, and procedures across the EU and requires them to rely on EU level joint clinical assessment reports for the clinical components of their national HTA evaluations. Individual EU Member States continue to be responsible for assessing non-clinical (e.g., economic, social, ethical) aspects of health technologies, and making decisions on pricing and reimbursement.</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light of the fact that the United Kingdom has left the EU, the HTA Regulation will not apply in the United Kingdom. However, the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 There can be no assurance that we will be able to obtain or sustain favorable pricing or reimbursement in the UK under these evolving frameworks, and any such inability could materially and adversely affect our anticipated revenues and growth prospects in that market.</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Following a public consultation that began in 2022, the United Kingdom government has enacted new legislation to overhaul the clinical trials regulatory framework. In April 2025, the UK adopted an amendment to the Medicines for Human Use (Clinical Trials) Regulations 2004 intended to support a more streamlined and flexible regulation of clinical trials, remove unnecessary administrative burdens on trial sponsors, and protect the interests of trial participants. It also intends to bring the UK regulatory framework for clinical trials into closer alignment with the CTR. The amendment became applicable on April 28, 2026 following a one-year transition period. While these changes introduce efficiencies and align with some principles of the CTR, divergence between the United Kingdom and EU regulatory systems remains. Any significant divergence could affect the cost and complexity of conducting clinical trials in the United Kingdom and may impact the acceptability of United Kingdom-based trial data for seeking marketing authorizations in the EU, and vice versa.</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Legislators, policymakers and healthcare insurance funds in the EU and the United Kingdom may continue to propose and implement cost-containing measures to keep healthcare costs down, particularly due to the financial strain that the COVID-19 pandemic placed on national healthcare systems of European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 - comprised of a new directive and regulation to replace existing legislation – aims to modernize 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 The new framework is expected to enter into force in 2026 and to be subject to transitional arrangements, with full applications not anticipated before 2028.</w:t>
      </w:r>
    </w:p>
    <w:p>
      <w:pPr>
        <w:spacing w:after="0" w:line="16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our development, approval or commercialization plans may be adversely affected.</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expect that the recent reform activity,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OP-3136, or any future product candidates we may develop.</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if any, may be on the marketing approvals of palazestrant, OP-3136, or any future product candidates we may develop.</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state and foreign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for which we obtain marketing approval. Restrictions under applicable federal and state healthcare laws and regulations include the following:</w:t>
      </w:r>
    </w:p>
    <w:p>
      <w:pPr>
        <w:spacing w:after="0" w:line="212" w:lineRule="exact"/>
        <w:rPr>
          <w:sz w:val="20"/>
          <w:szCs w:val="20"/>
          <w:color w:val="auto"/>
        </w:rPr>
      </w:pPr>
    </w:p>
    <w:p>
      <w:pPr>
        <w:jc w:val="both"/>
        <w:ind w:left="760" w:hanging="378"/>
        <w:spacing w:after="0"/>
        <w:tabs>
          <w:tab w:leader="none" w:pos="760" w:val="left"/>
        </w:tabs>
        <w:numPr>
          <w:ilvl w:val="0"/>
          <w:numId w:val="34"/>
        </w:numPr>
        <w:rPr>
          <w:rFonts w:ascii="Times New Roman" w:cs="Times New Roman" w:eastAsia="Times New Roman" w:hAnsi="Times New Roman"/>
          <w:sz w:val="18"/>
          <w:szCs w:val="18"/>
          <w:color w:val="231F20"/>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183" w:lineRule="exact"/>
        <w:rPr>
          <w:rFonts w:ascii="Times New Roman" w:cs="Times New Roman" w:eastAsia="Times New Roman" w:hAnsi="Times New Roman"/>
          <w:sz w:val="18"/>
          <w:szCs w:val="18"/>
          <w:color w:val="231F20"/>
        </w:rPr>
      </w:pPr>
    </w:p>
    <w:p>
      <w:pPr>
        <w:jc w:val="both"/>
        <w:ind w:left="760" w:hanging="378"/>
        <w:spacing w:after="0" w:line="246" w:lineRule="auto"/>
        <w:tabs>
          <w:tab w:leader="none" w:pos="760" w:val="left"/>
        </w:tabs>
        <w:numPr>
          <w:ilvl w:val="0"/>
          <w:numId w:val="34"/>
        </w:numPr>
        <w:rPr>
          <w:rFonts w:ascii="Times New Roman" w:cs="Times New Roman" w:eastAsia="Times New Roman" w:hAnsi="Times New Roman"/>
          <w:sz w:val="18"/>
          <w:szCs w:val="18"/>
          <w:color w:val="231F20"/>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6" w:lineRule="exact"/>
        <w:rPr>
          <w:rFonts w:ascii="Times New Roman" w:cs="Times New Roman" w:eastAsia="Times New Roman" w:hAnsi="Times New Roman"/>
          <w:sz w:val="18"/>
          <w:szCs w:val="18"/>
          <w:color w:val="231F20"/>
        </w:rPr>
      </w:pPr>
    </w:p>
    <w:p>
      <w:pPr>
        <w:jc w:val="both"/>
        <w:ind w:left="760" w:hanging="378"/>
        <w:spacing w:after="0" w:line="246" w:lineRule="auto"/>
        <w:tabs>
          <w:tab w:leader="none" w:pos="760" w:val="left"/>
        </w:tabs>
        <w:numPr>
          <w:ilvl w:val="0"/>
          <w:numId w:val="34"/>
        </w:numPr>
        <w:rPr>
          <w:rFonts w:ascii="Times New Roman" w:cs="Times New Roman" w:eastAsia="Times New Roman" w:hAnsi="Times New Roman"/>
          <w:sz w:val="18"/>
          <w:szCs w:val="18"/>
          <w:color w:val="231F20"/>
        </w:rPr>
      </w:pPr>
      <w:r>
        <w:rPr>
          <w:rFonts w:ascii="Arial" w:cs="Arial" w:eastAsia="Arial" w:hAnsi="Arial"/>
          <w:sz w:val="18"/>
          <w:szCs w:val="18"/>
          <w:color w:val="231F20"/>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6" w:lineRule="exact"/>
        <w:rPr>
          <w:rFonts w:ascii="Times New Roman" w:cs="Times New Roman" w:eastAsia="Times New Roman" w:hAnsi="Times New Roman"/>
          <w:sz w:val="18"/>
          <w:szCs w:val="18"/>
          <w:color w:val="231F20"/>
        </w:rPr>
      </w:pPr>
    </w:p>
    <w:p>
      <w:pPr>
        <w:jc w:val="both"/>
        <w:ind w:left="760" w:hanging="378"/>
        <w:spacing w:after="0" w:line="243" w:lineRule="auto"/>
        <w:tabs>
          <w:tab w:leader="none" w:pos="760" w:val="left"/>
        </w:tabs>
        <w:numPr>
          <w:ilvl w:val="0"/>
          <w:numId w:val="34"/>
        </w:numPr>
        <w:rPr>
          <w:rFonts w:ascii="Times New Roman" w:cs="Times New Roman" w:eastAsia="Times New Roman" w:hAnsi="Times New Roman"/>
          <w:sz w:val="18"/>
          <w:szCs w:val="18"/>
          <w:color w:val="231F20"/>
        </w:rPr>
      </w:pPr>
      <w:r>
        <w:rPr>
          <w:rFonts w:ascii="Arial" w:cs="Arial" w:eastAsia="Arial" w:hAnsi="Arial"/>
          <w:sz w:val="18"/>
          <w:szCs w:val="18"/>
          <w:color w:val="231F20"/>
        </w:rPr>
        <w:t>HIPAA, as amended by the Health Information Technology for Economic and Clinical Health Act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179" w:lineRule="exact"/>
        <w:rPr>
          <w:rFonts w:ascii="Times New Roman" w:cs="Times New Roman" w:eastAsia="Times New Roman" w:hAnsi="Times New Roman"/>
          <w:sz w:val="18"/>
          <w:szCs w:val="18"/>
          <w:color w:val="231F20"/>
        </w:rPr>
      </w:pPr>
    </w:p>
    <w:p>
      <w:pPr>
        <w:jc w:val="both"/>
        <w:ind w:left="760" w:hanging="378"/>
        <w:spacing w:after="0"/>
        <w:tabs>
          <w:tab w:leader="none" w:pos="760" w:val="left"/>
        </w:tabs>
        <w:numPr>
          <w:ilvl w:val="0"/>
          <w:numId w:val="34"/>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 xml:space="preserve">doctors, dentists, optometrists, podiatrists and chiropractors), other healthcare professionals (such as physician assistants and nurse practitioners), </w:t>
      </w:r>
      <w:r>
        <w:rPr>
          <w:rFonts w:ascii="Arial" w:cs="Arial" w:eastAsia="Arial" w:hAnsi="Arial"/>
          <w:sz w:val="18"/>
          <w:szCs w:val="18"/>
          <w:color w:val="231F20"/>
        </w:rPr>
        <w:t>and teaching hospitals, as well as information regarding ownership and investment interests held by such</w:t>
      </w:r>
      <w:r>
        <w:rPr>
          <w:rFonts w:ascii="Arial" w:cs="Arial" w:eastAsia="Arial" w:hAnsi="Arial"/>
          <w:sz w:val="18"/>
          <w:szCs w:val="18"/>
          <w:color w:val="000000"/>
        </w:rPr>
        <w:t xml:space="preserve"> </w:t>
      </w:r>
      <w:r>
        <w:rPr>
          <w:rFonts w:ascii="Arial" w:cs="Arial" w:eastAsia="Arial" w:hAnsi="Arial"/>
          <w:sz w:val="18"/>
          <w:szCs w:val="18"/>
          <w:color w:val="231F20"/>
        </w:rPr>
        <w:t>physicians and their immediate family members. The information reported is publicly available on a searchable website, with disclosure required annually; and</w:t>
      </w:r>
    </w:p>
    <w:p>
      <w:pPr>
        <w:spacing w:after="0" w:line="183"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34"/>
        </w:numPr>
        <w:rPr>
          <w:rFonts w:ascii="Times New Roman" w:cs="Times New Roman" w:eastAsia="Times New Roman" w:hAnsi="Times New Roman"/>
          <w:sz w:val="18"/>
          <w:szCs w:val="18"/>
          <w:color w:val="231F20"/>
        </w:rPr>
      </w:pPr>
      <w:r>
        <w:rPr>
          <w:rFonts w:ascii="Arial" w:cs="Arial" w:eastAsia="Arial" w:hAnsi="Arial"/>
          <w:sz w:val="18"/>
          <w:szCs w:val="18"/>
          <w:color w:val="231F20"/>
        </w:rPr>
        <w:t>analogous state and foreign laws and regulations, such as state and foreign anti-kickback and false claims laws, may apply to sales or marketing arrangements and claims involving healthcare items or services reimbursed by non-governmental third-party payors, including private insurers.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example, much like the federal Anti-Kickback Statute prohibition in the United States, the provision of benefits or advantages to physicians to induce or encourage the prescription, recommendation, endorsement, purchase, supply, order or use of medicinal products is also prohibited in EU Member States. In addition, payments made to physicians in certain EU Member States must be publicly disclosed. Moreover, in some EU Member States agreements with healthcare professionals may be the subject of prior notification and approval by the healthcare professional’s public employer, his or her competent professional organization and/or the national competent regulatory authorities.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Some state and local laws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and/or the registration of pharmaceutical sales representatives in the jurisdiction. Some state and foreign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and the third parties with whom we work are subject to stringent and evolving U.S. and foreign laws, regulations, rules, contractual obligations, policies and other obligations related to data privacy and security. Our (or third parties with whom we work)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many of which differ from each other in significant ways and often are not preempted by HIPAA, thus complicating compliance efforts.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Outside the United States, an increasing number of laws, regulations, and industry standards govern data privacy and security. For example, the GDPR imposes strict requirements for processing personal data including the collection and use of health data. For example, under the GDPR, companies may face temporary or definitive bans on data processing and other corrective actions; fines of up to 20 million Euros under the EU GDPR, 17.5 million British Pounds under the UK GDPR or, in each case, 4% of annual global revenue, whichever is higher; or private litigation related to processing of personal data brought by classes of data subjects or consumer protection organizations authorized at law to represent their interests.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we may transfer personal data from Europe and other jurisdictions to the United States or other countries. In the United States,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are considered ‘inadequate’. Other jurisdictions may adopt or have already adopted similarly stringent data localization and cross-border data transfer laws.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and the UK Extension thereto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 If there is no lawful manner for us to effect or be the recipient of cross-border transfers of personal data in compliance with the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 Also in Europe,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the California Privacy Rights Act (CPRA) significantly modified the CCPA, including by expanding consumers’ rights with respect to certain sensitive personal information. The CPRA also created a new state agency that will be vested with authority to implement and enforce the CCPA and the CPRA. In addition, numerous states have passed comprehensive privacy laws that have gone or will go into effect.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also bound, and may in the future become bound, by contractual obligations related to data privacy and security, and our efforts to comply with such obligations may not be successful. Moreover, we publish privacy policies and other statements, such as compliance with certain certifications or self-regulatory principles,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at times fail, or be perceived to have failed, to comply with our data privacy and security obligations. Moreover, despite our efforts, our personnel or third parties on whom we rely may not fully comply with such obligations, which could negatively impact our business, financial condition, results of operations, and prospects.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actual or perceived failure by us or the third parties with whom we work to comply with these laws, regulations, or other obligations would lead to significant consequences, including but not limited to fines, penalties, regulatory investigations, lawsuits, significant costs for remediation, damage to our reputation, bans on processing personal data, orders to destroy or not use personal data, or other liabilities. In particular, plaintiffs have become increasingly more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will cause us to incur substantial costs or require us to change our business practices and compliance procedures in a manner adverse to our business.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inability, or perceived inability, to adequately address data privacy or security-related concerns, even if unfounded, or to comply with applicable laws, regulations, standards and other obligations relating to data privacy and security, could have a material adverse effect on our reputation, business, or financial condition, including but not limited to: interruptions or stoppages in our business operations (including, as relevant, clinical trials); an inability to process personal data or to operate in certain jurisdictions; limited ability to develop or commercialize our products; expenditure of time and resources to defend any claim or inquiry; adverse publicity; or substantial changes to our business model or operations. Although we seek to mitigate these risks, there can be no assurance that our privacy and security-related safeguards will protect us from all risks associated with the third-party processing, storage and transmission of such information.</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use artificial intelligence in certain aspects of our business, and challenges with properly managing its use could adversely affect our business.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employees and personnel use artificial intelligence (AI), including generative AI, agentic AI and machine learning technologies to perform their work, and the disclosure and use of personal information in such technologies is subject to various privacy laws and other obligations. We incorporate AI technologies into certain aspects of our business, and applications of AI may become important in our operations over time. There are risks involved in developing and deploying AI, and there can be no assurance that the use of AI will enhance the development of our product candidates or be beneficial to our business, including our efficiency or profitability. Our competitors or other third parties may incorporate AI into their businesses more quickly or more successfully than us, which could impair our ability to compete effectively and adversely affect our results of operations. If we are unable to effectively use AI, it could make our business less efficient and result in competitive disadvantages.</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Furthermore, governments have proposed, enacted, or are considering additional laws regulating AI, such as the EU AI Act and, in the U.S., the Colorado Artificial Intelligence Act, California Bot Disclosure Law, the Utah Artificial Intelligence Policy Act, and the CCPA regulations on automated decision-making technology. It remains uncertain how these and other laws will apply to AI-generated content and related activities. Our use of AI technologies could result in additional compliance costs, regulatory investigations and actions, and lawsuits, or other legal liability, ethical concerns, negative consumer perceptions as to AI, or other complications that could adversely affect our business, reputation, or financial results.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other comparable foreign regulations, provide accurate information to the FDA or other comparable regulatory authorities, comply with federal and state health care fraud and abuse laws and regulations and comparable foreign requirements,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our products and activities may be subject to U.S. and foreign export controls, trade sanctions and import laws and regulations. Governmental regulation of the import or export of our products, or our failure to obtain any required import or export authorization for our products, when applicable, could harm any potential international sales and adversely affect our future revenue, if any. Compliance with applicable regulatory requirements regarding the export of our products may create delays in the introduction of any of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approaches in the enforcement or scope of existing regulations, or in the countries, persons, or product targeted by such regulations, could result in the future in decreased use of our products by, or in our decreased ability to export our products to potential customers with international operations. Any decreased use of our products or limitation on our ability to export or sell access to our products would likely significantly harm our business, financial condition, results of operations, and prospects.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Unfavorable U.S. and global macroeconomic and geopolitical conditions could adversely affect our business, financial condition, results of operations, and prospects.</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could be adversely affected by general conditions in the U.S. and global economies, the U.S. and global financial markets and adverse geopolitical and macroeconomic developments, including economic uncertainty, market volatility, labor shortages, evolving trade and tariff policies, including related legal challenges, trade tensions, and retaliatory measures by other countries, supply chain disruptions, military conflicts, as well as any related political or economic responses and counter-responses by various global actors, inflationary pressures, monetary supply shifts, increased recession risk, and related financial instability. U.S. and global market and economic conditions have been, and continue to be, disrupted and volatile due to many factors, including component shortages and related supply chain challenges, geopolitical uncertainty and developments, including the events noted above. General business and economic conditions that could affect our business, financial condition, results of operations, and prospects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severe or prolonged global economic downturn could result in a variety of risks to our business. For example, inflation rates, particularly in the United States, have experienced periods of significant increases in the past few years, and increased inflation may result in increases in our operating costs (including our labor costs), reduced liquidity and limitations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operate in a global economy, which includes utilizing third-party suppliers in countries outside of the United States. The current international trade and regulatory environment is subject to significant ongoing uncertainty.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U.S. government has announced imposition of substantial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including legal challenges related to such tariffs,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We also rely 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specialized laboratory equipment, supplies, materials, and precursor compounds, all or part of which we believe may be ultimately sourced from multiple countries outside the United States, to advance our research and development efforts.</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Notwithstanding legal challenges related to tariffs, we expect that 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which among other factors, could negatively impact our ability to secure additional financing on favorable terms or at all. In addition, as we advance toward commercialization in the future, if approved, tariffs and trade restrictions could hinder our ability to establish cost-effective production capabilities and impact negatively our growth prospects.</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complexity of announced or future tariffs, including as a result of uncertainty surrounding related legal challenges, may also increase the risk that we or our collaborators, partners, vendors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on or increase the complexity to our business.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as well as of related legal challenges, remains uncertain and could materially and adversely affect our business, financial condition, results of operations,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"Risk Factors" section.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 our Company and may be required to expend significant financial resources in our employee recruitment and retention efforts.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OP-3136, or any future product candidates we may develop will be limited and the potential for successfully growing our business will be harmed.</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have never commercialized a product candidate before. If we are unable to establish sales, marketing, or distribution capabilities or enter into agreements with third parties to sell, market or distribute palazestrant, OP-3136, or any future product candidates we may develop, we may not be able to successfully sell, market or distribute palazestrant, OP-3136, or any future product candidate we may develop that obtain regulatory approval, if any.</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never commercialized a product candidate and we currently do not have, and have never had, a sales force, or distribution or marketing capabilities.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OP-3136, or any future product candidates we may develop. We may not be successful in accomplishing these required tasks.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palazestrant, OP-3136, or any future product candidates we may develop will be expensive and time-consuming, and will require significant attention of our executive officers to manage. Factors that may affect our ability to commercialize, if approved, palazestrant, OP-3136, or any future product candidates we may develop on our own include recruiting and retaining adequate numbers of effective sales and marketing personnel, obtaining access to and educating physicians on the benefits of prescribing or ordering palazestrant, OP-3136, or any future product candidates we may develop and other unforeseen costs associated with creating an independent sales and marketing organization. Any failure or delay in the development of our internal sales, marketing and distribution capabilities could adversely impact the commercialization of palazestrant, OP-3136, or any future product candidates we may develop that we obtain approval to market, if any,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OP-3136, or any future product candidates we may develop which may receive regulatory approval or any such commercialization may experience delays or limitations. If we are unable to successfully commercialize our approved product candidates, if any, either on our own or through collaborations with one or more third parties, we may not generate any revenue from such product candidate or be able to reach or sustain profitability, and we will incur significant additional losses.</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March 31, 2026, we had 137 full-time employees, consisting of clinical, research, operations, regulatory, and administrative personnel. 40 of our employees hold Ph.D. or M.D. degrees.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174" w:lineRule="exact"/>
        <w:rPr>
          <w:sz w:val="20"/>
          <w:szCs w:val="20"/>
          <w:color w:val="auto"/>
        </w:rPr>
      </w:pPr>
    </w:p>
    <w:p>
      <w:pPr>
        <w:ind w:left="5520" w:right="3860" w:hanging="5138"/>
        <w:spacing w:after="0" w:line="881" w:lineRule="auto"/>
        <w:tabs>
          <w:tab w:leader="none" w:pos="752" w:val="left"/>
        </w:tabs>
        <w:numPr>
          <w:ilvl w:val="0"/>
          <w:numId w:val="35"/>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identifying, recruiting, integrating, maintaining and motivating additional employees; </w:t>
      </w:r>
      <w:r>
        <w:rPr>
          <w:rFonts w:ascii="Arial" w:cs="Arial" w:eastAsia="Arial" w:hAnsi="Arial"/>
          <w:sz w:val="18"/>
          <w:szCs w:val="18"/>
          <w:color w:val="000000"/>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760" w:hanging="378"/>
        <w:spacing w:after="0" w:line="252" w:lineRule="auto"/>
        <w:tabs>
          <w:tab w:leader="none" w:pos="760" w:val="left"/>
        </w:tabs>
        <w:numPr>
          <w:ilvl w:val="0"/>
          <w:numId w:val="36"/>
        </w:numPr>
        <w:rPr>
          <w:rFonts w:ascii="Times New Roman" w:cs="Times New Roman" w:eastAsia="Times New Roman" w:hAnsi="Times New Roman"/>
          <w:sz w:val="18"/>
          <w:szCs w:val="18"/>
          <w:color w:val="231F20"/>
        </w:rPr>
      </w:pPr>
      <w:r>
        <w:rPr>
          <w:rFonts w:ascii="Arial" w:cs="Arial" w:eastAsia="Arial" w:hAnsi="Arial"/>
          <w:sz w:val="18"/>
          <w:szCs w:val="18"/>
          <w:color w:val="231F20"/>
        </w:rPr>
        <w:t>managing our internal development efforts effectively, including the clinical, FDA, EMA, and other comparable foreign regulatory authorities’ review process for palazestrant, OP-3136, and any future product candidates we may develop, while complying with any contractual obligations to contractors and other third parties we may have; and</w:t>
      </w:r>
    </w:p>
    <w:p>
      <w:pPr>
        <w:spacing w:after="0" w:line="170"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231F20"/>
        </w:rPr>
      </w:pPr>
      <w:r>
        <w:rPr>
          <w:rFonts w:ascii="Arial" w:cs="Arial" w:eastAsia="Arial" w:hAnsi="Arial"/>
          <w:sz w:val="18"/>
          <w:szCs w:val="18"/>
          <w:color w:val="231F20"/>
        </w:rPr>
        <w:t>improving our operational, financial and management controls, reporting systems and procedures.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we are conducting multiple clinical trials of palazestrant for several different indications as well as clinical trials for OP-3136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OP-3136, and any future product candidates we may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OP-3136, and any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palazestrant, OP-3136, and any future product candidates we may develop and, accordingly, may not achieve our research, development and commercialization goals.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If our information technology systems, our data or those of the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(collectively, sensitive information). Cyber-attacks, malicious internet-based activity, online and offline fraud, outages,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would be vulnerable to a heightened risk of these attacks, including retaliatory cyber-attacks, that could materially disrupt our systems and operations.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advanced persistent threat intrusions), denial-of-service attacks, credential stuffing attacks, credential harvesting, intentional misconduct or unconventional error by those with authorized access,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unavailability of, or access to our sensitive information or our information technology systems, or those of the third parties upon whom we rely. Despite the implementation of preventative and detective security measures, our internal computer systems and those of our current and any future CROs and other contractors, consultants, collaborators and third-party service providers that process our sensitive information, there can be no assurance that these measures will be effective.</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not able to anticipate all types of security incidents, and we cannot implement preventive measures effective against all such security incidents. A security incident or other interruption could disrupt our ability (and that of third parties upon whom we rely) to run our business. We could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We have in the past and may in the future be subject to security incidents. For instance, we have had company laptops containing corporate information stolen from company offices, though none of such instances have been material or caused material harm due to encryption and device security practices.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It also may be difficult and/or costly to detect, investigate, mitigate, contain, and remediate any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or OP-3136 could be delayed, and we could be subject to significant fines or penalties for any noncompliance with certain state, federal and/or international privacy and security laws.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some of our customers may be subject to the EU’s Digital Operational Resilience Act (DORA) and similar UK regulatory requirements on operational resilience. These laws may obligate our customers to impose contractual provisions on us, including certain mandatory third-party risk management provisions. If we fail to materially comply with these contractual requirements, we may be subject to investigations, audits or other adverse consequences.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Applicable data privacy and security obligations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 Member States.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intend to seek approval to market palazestrant or OP-3136 in the United States and in selected foreign jurisdictions. If we obtain approval in one or more foreign jurisdictions for palazestrant or OP-3136, we will be subject to applicable rules and regulations in those jurisdictions. In some foreign countries, particularly those in the EU, the pricing of drugs is subject to governmental control and other market regulations, which could place pressure on the pricing and usage of palazestrant or OP-3136. In these countries, pricing negotiations with governmental authorities can take a considerable amount of time following marketing approval of a product candidate. In addition, market acceptance and sales of palazestrant or OP-3136 will depend significantly on the availability of adequate coverage and reimbursement from third-party payors and may be affected by existing and future healthcare reform measures.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Moreover, in most foreign countries, including a number of EU Member States, the proposed pricing for a drug must be approved before it may be lawfully marketed. The requirements governing drug pricing and reimbursement vary widely from country to country. For example, the EU provides options for EU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An EU Member State may approve a specific price for the medicinal product,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reimbursement decisions are influenced by the HTA of the specific medicinal product currently varies between EU Member States.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Legislators, policymakers and healthcare insurance funds in the EU may continue to propose and implement cost-containing measures to keep healthcare costs down, including in response to ongoing budgetary pressures on national healthcare systems, some of which were exacerbated by the COVID-19 pandemic.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and other natural or man-made disasters or business interruptions, for which we are predominantly self-insured. The occurrence of any of these business disruptions could seriously harm our operations, increase our costs and expenses and significantly harm our business, financial condition, results of operations, and prospects.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ability to develop palazestrant, OP-3136,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net operating loss (NOL) carryforwards could expire unused and be unavailable to offset future income tax liabilities because of their limited duration or other restrictions. U.S. federal NOL carryforwards generated in tax years ending on or prior to December 31, 2017, are only permitted to be carried forward for 20 taxable years and federal NOL carryforwards generated in tax years ending after December 31, 2017, may be carried forward indefinitely, but the deductibility of such federal NOL carryforwards in a year is limited to 80% taxable income in such year. In addition, at the state level, there may be periods during which the use of NOL carryforwards is suspended or otherwise limited. For example, California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under Sections 382 and 383 of the Internal Revenue Code of 1986, as amended (the IRC), if a corporation undergoes an “ownership change” (generally defined as a cumulative change in our ownership by “5 percent shareholders” that exceeds 50 percentage points over a rolling three-year period), the corporation’s ability to use its pre-change NOL carryforwards and certain other pre-change tax attributes to offset its post-change income and taxes may be limited. Similar rules may apply under state tax laws. We may have experienced such ownership changes in the past, and we may experience ownership changes in the future as a result of subsequent shifts in our stock ownership, some of which are outside our control. We have not conducted any studies to determine annual limitations, if any, that could result from such changes in the ownership. Our ability to utilize those NOL carryforwards could be limited by an “ownership change” as described above and, consequently, we may not be able to utilize a material portion of our NOL carryforwards and certain other tax attributes, which could have a material adverse effect on our cash flows and results of operations.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 variety of risks associated with international marketing of palazestrant, OP-3136, or any future product candidates we may develop, if approved, could significantly harm our business, financial condition, results of operations, and prospects.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plan to seek regulatory approval of palazestrant, OP-3136, or any future product candidates we may develop outside of the United States and, accordingly, we expect that we will be subject to additional risks related to operating in foreign countries if we obtain the necessary approvals, including:</w:t>
      </w:r>
    </w:p>
    <w:p>
      <w:pPr>
        <w:spacing w:after="0" w:line="169"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differing regulatory requirements and reimbursement regimes in foreign countries;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unexpected changes in tariffs, trade barriers, price and exchange controls and other regulatory requirements;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economic weakness, including inflation, or political instability in particular foreign economies and markets;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compliance with tax, employment, immigration and labor laws for employees living or traveling abroad;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foreign taxes, including withholding of payroll taxes;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difficulties staffing and managing foreign operations;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workforce uncertainty in countries where labor unrest is more common than in the United States;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potential liability under the FCPA or comparable foreign regulations;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231F20"/>
        </w:rPr>
      </w:pPr>
      <w:r>
        <w:rPr>
          <w:rFonts w:ascii="Arial" w:cs="Arial" w:eastAsia="Arial" w:hAnsi="Arial"/>
          <w:sz w:val="18"/>
          <w:szCs w:val="18"/>
          <w:color w:val="231F20"/>
        </w:rPr>
        <w:t>business interruptions resulting from geopolitical actions, including war and terrorism.</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palazestrant, OP-3136 and any future product candidates that we may develop and technologies related to their various uses. We generally seek to protect our proprietary position by, among other things, filing patent applications in the United States and abroad related to palazestrant, OP-3136,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OP-3136,</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proprietary technologies and their uses, our business, financial condition, results of operations, and prospects could be significantly harmed.</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OP-3136, or any future product candidates we may develop could significantly harm our business, financial condition, results of operations, and prospects.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cannot be certain that the claims in our pending U.S. patent applications, and corresponding national patent applications, will be considered patentable by the United States Patent and Trademark Office (USPTO) courts in the United States or by the patent offices and courts in foreign countries, nor can we be certain that the claims in our issued patent(s) will not be found invalid or unenforceable if challenged.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palazestrant, OP-3136, or any future product candidates we may develop by obtaining and defending patents. These risks and uncertainties include the following:</w:t>
      </w:r>
    </w:p>
    <w:p>
      <w:pPr>
        <w:spacing w:after="0" w:line="169" w:lineRule="exact"/>
        <w:rPr>
          <w:sz w:val="20"/>
          <w:szCs w:val="20"/>
          <w:color w:val="auto"/>
        </w:rPr>
      </w:pPr>
    </w:p>
    <w:p>
      <w:pPr>
        <w:jc w:val="both"/>
        <w:ind w:left="760" w:hanging="378"/>
        <w:spacing w:after="0" w:line="252" w:lineRule="auto"/>
        <w:tabs>
          <w:tab w:leader="none" w:pos="760" w:val="left"/>
        </w:tabs>
        <w:numPr>
          <w:ilvl w:val="0"/>
          <w:numId w:val="38"/>
        </w:numPr>
        <w:rPr>
          <w:rFonts w:ascii="Times New Roman" w:cs="Times New Roman" w:eastAsia="Times New Roman" w:hAnsi="Times New Roman"/>
          <w:sz w:val="18"/>
          <w:szCs w:val="18"/>
          <w:color w:val="231F20"/>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170"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38"/>
        </w:numPr>
        <w:rPr>
          <w:rFonts w:ascii="Times New Roman" w:cs="Times New Roman" w:eastAsia="Times New Roman" w:hAnsi="Times New Roman"/>
          <w:sz w:val="18"/>
          <w:szCs w:val="18"/>
          <w:color w:val="231F20"/>
        </w:rPr>
      </w:pPr>
      <w:r>
        <w:rPr>
          <w:rFonts w:ascii="Arial" w:cs="Arial" w:eastAsia="Arial" w:hAnsi="Arial"/>
          <w:sz w:val="18"/>
          <w:szCs w:val="18"/>
          <w:color w:val="231F20"/>
        </w:rPr>
        <w:t>the USPTO and various foreign governmental patent authorities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0"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231F20"/>
        </w:rPr>
      </w:pPr>
      <w:r>
        <w:rPr>
          <w:rFonts w:ascii="Arial" w:cs="Arial" w:eastAsia="Arial" w:hAnsi="Arial"/>
          <w:sz w:val="18"/>
          <w:szCs w:val="18"/>
          <w:color w:val="231F20"/>
        </w:rPr>
        <w:t>patent applications may not result in any patents being issued;</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8"/>
        </w:numPr>
        <w:rPr>
          <w:rFonts w:ascii="Times New Roman" w:cs="Times New Roman" w:eastAsia="Times New Roman" w:hAnsi="Times New Roman"/>
          <w:sz w:val="18"/>
          <w:szCs w:val="18"/>
          <w:color w:val="231F20"/>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38"/>
        </w:numPr>
        <w:rPr>
          <w:rFonts w:ascii="Times New Roman" w:cs="Times New Roman" w:eastAsia="Times New Roman" w:hAnsi="Times New Roman"/>
          <w:sz w:val="18"/>
          <w:szCs w:val="18"/>
          <w:color w:val="231F20"/>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8"/>
        </w:numPr>
        <w:rPr>
          <w:rFonts w:ascii="Times New Roman" w:cs="Times New Roman" w:eastAsia="Times New Roman" w:hAnsi="Times New Roman"/>
          <w:sz w:val="18"/>
          <w:szCs w:val="18"/>
          <w:color w:val="231F20"/>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or carrying our work on behalf of Olema,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OP-3136 or which effectively prevent others from commercializing competitive technologies and product candidates.</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OP-3136, or any future product candidates we may develop will be or will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conduct. In addition, in the United States and certain other jurisdictions, third parties are entitled to submit prior art to patent offices for consideration during examination.</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be subject to a third-party pre-issuance submission of prior art to the USPTO or other jurisdictions, or become involved in post-grant challenges such as opposition, derivation, revocation, reexamination, post-grant review (PGR) and inter partes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OP-3136,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OP-3136,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54"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not be able to detect infringement of our issued patents;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9"/>
        </w:numPr>
        <w:rPr>
          <w:rFonts w:ascii="Times New Roman" w:cs="Times New Roman" w:eastAsia="Times New Roman" w:hAnsi="Times New Roman"/>
          <w:sz w:val="18"/>
          <w:szCs w:val="18"/>
          <w:color w:val="231F20"/>
        </w:rPr>
      </w:pPr>
      <w:r>
        <w:rPr>
          <w:rFonts w:ascii="Arial" w:cs="Arial" w:eastAsia="Arial" w:hAnsi="Arial"/>
          <w:sz w:val="18"/>
          <w:szCs w:val="18"/>
          <w:color w:val="231F20"/>
        </w:rPr>
        <w:t>others may be able to develop products that are similar to palazestrant, or any future product candidates we may develop, but that are not covered by the claims of the patents that we may in-license in the future or own;</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9"/>
        </w:numPr>
        <w:rPr>
          <w:rFonts w:ascii="Times New Roman" w:cs="Times New Roman" w:eastAsia="Times New Roman" w:hAnsi="Times New Roman"/>
          <w:sz w:val="18"/>
          <w:szCs w:val="18"/>
          <w:color w:val="231F20"/>
        </w:rPr>
      </w:pPr>
      <w:r>
        <w:rPr>
          <w:rFonts w:ascii="Arial" w:cs="Arial" w:eastAsia="Arial" w:hAnsi="Arial"/>
          <w:sz w:val="18"/>
          <w:szCs w:val="18"/>
          <w:color w:val="231F20"/>
        </w:rPr>
        <w:t>our competitors may seek or may have already obtained patents that will limit, interfere with or eliminate our ability to make, use and sell palazestrant or any future product candidates we may develop;</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378"/>
        <w:spacing w:after="0" w:line="270" w:lineRule="auto"/>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issued patents may not have sufficient term or geographic scope to provide meaningful protection;</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not develop additional proprietary technologies that are patentable;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the patents of others may have an adverse effect on our business; and</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0"/>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palazestrant, OP-3136,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may exist in the fields in which we are developing palazestrant, OP-3136, or any future product candidates we may develop. There may be third-party patents or patent applications with claims to compositions, formulations, methods of manufacture or methods for treatment related to the use or manufacture of palazestrant, OP-3136,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the biopharmaceutical industry expands and more patents are issued, the risk increases that palazestrant, OP-3136,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OP-3136,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OP-3136,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activities reasonably related to the development and submission of information to the FDA for therapeutic products under clinical development. If and when we submit an NDA, that safe harbor will expire.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212"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result in costly litigation that may cause negative publicity;</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cause development delays;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prevent us from commercializing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require us to develop non-infringing technology, which may not be possible on a cost-effective basis;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subject us to significant liability to third parties; or</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1"/>
        </w:numPr>
        <w:rPr>
          <w:rFonts w:ascii="Times New Roman" w:cs="Times New Roman" w:eastAsia="Times New Roman" w:hAnsi="Times New Roman"/>
          <w:sz w:val="18"/>
          <w:szCs w:val="18"/>
          <w:color w:val="231F20"/>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OP-3136,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palazestrant, OP-3136, or any future product candidates we may develop processes to avoid infringement, if necessary.</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palazestrant, OP-3136,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OP-3136, and future product candidates and technologies.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what we identify as necessary for palazestrant or OP-3136 through acquisitions and in-licenses.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While we may have issued patents that cover palazestrant or OP-3136, it is possible that third parties may have blocking patents that prevent us from marketing, manufacturing or commercializing our own patented products and practicing our own patented technology.</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OP-3136,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could be found invalid or unenforceable if challenged in court.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palazestrant, OP-3136,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any of our patents invalid. There is no assurance that all potentially relevant prior art relating to our patents and patent applications has been found. There is also no assurance that there is not prior art of which we are aware, but which we believe does not affect the validity or enforceability of a claim in our patent and patent applications, which may, nonetheless, ultimately be found to affect the validity or enforceability of a claim.</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a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OP-3136, or any future product candidates to market. Should any of these events occur, it could significantly harm our business, financial condition, results of operations, and prospects.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patent laws or their interpretations could increase the uncertainties and costs surrounding the prosecution of our patent applications or those of our licensors and the enforcement or defense of our issued patents or those of our licensors.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Changes in either patent laws or interpretation of patent laws in the United States or in other countries could increase the uncertainties and costs surrounding prosecution of patent applications and the enforcement or defense of issued patents. For example, on September 16, 2011, the Leahy-Smith America Invents Act (the Leahy-Smith Act) was signed into law which included a number of significant changes to U.S. patent law. These include provisions that affected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palazestrant, OP-3136, or any future product candidates we may develop or (2) invent any of the inventions claimed in the patents or patent applications.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changes to patent laws, such as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palazestrant, OP-3136, or any future product candidates we may develop.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 the U.S. Supreme Court has ruled on patent cases,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obtaining issued patents.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palazestrant, OP-3136, or any future product candidates we may develop for an adequate amount of time.</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OP-3136,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protection for certain patents in all markets due to finite availability of resources. Any of the foregoing could significantly harm our business, financial condition, results of operations, and prospects.</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for palazestrant, OP-3136, or any future product candidates we may develop, our business, financial condition, results of operations, and prospects may be significantly harmed.</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Depending upon the timing, duration and specifics of FDA marketing approval of palazestrant, OP-3136, or any future product candidates we may develop, one or more of our U.S. patents or those of our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OP-3136,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OP-3136, or any future product candidates we may develop, without any available recourse.</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not be commercially meaningful. Accordingly, our efforts to enforce our intellectual property rights around the world may be inadequate to obtain a significant commercial advantage from the intellectual property that we develop or license.</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authorities, and our patent protection could be reduced or eliminated for non-compliance with these requirements.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when such fees are due, and we rely on our outside counsel and their patent annuity service to pay these fees when due. Additionally, the USPTO and various foreign patent offices require compliance with a number of procedural, documentary, fee payment and other similar provisions during the patent application and prosecution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88" w:lineRule="exact"/>
        <w:rPr>
          <w:sz w:val="20"/>
          <w:szCs w:val="20"/>
          <w:color w:val="auto"/>
        </w:rPr>
      </w:pPr>
    </w:p>
    <w:p>
      <w:pPr>
        <w:ind w:right="840"/>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OP-3136,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palazestrant, OP-3136,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54"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of rights granted under the license agreement and other interpretation-related issues;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2"/>
        </w:numPr>
        <w:rPr>
          <w:rFonts w:ascii="Times New Roman" w:cs="Times New Roman" w:eastAsia="Times New Roman" w:hAnsi="Times New Roman"/>
          <w:sz w:val="18"/>
          <w:szCs w:val="18"/>
          <w:color w:val="231F20"/>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231F20"/>
        </w:rPr>
      </w:pPr>
      <w:r>
        <w:rPr>
          <w:rFonts w:ascii="Arial" w:cs="Arial" w:eastAsia="Arial" w:hAnsi="Arial"/>
          <w:sz w:val="18"/>
          <w:szCs w:val="18"/>
          <w:color w:val="231F20"/>
        </w:rPr>
        <w:t>our right to sublicense patents and other rights to third parties;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231F20"/>
        </w:rPr>
      </w:pPr>
      <w:r>
        <w:rPr>
          <w:rFonts w:ascii="Arial" w:cs="Arial" w:eastAsia="Arial" w:hAnsi="Arial"/>
          <w:sz w:val="18"/>
          <w:szCs w:val="18"/>
          <w:color w:val="231F20"/>
        </w:rPr>
        <w:t>our diligence obligations under the license agreement and what activities satisfy those diligence obligations;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231F20"/>
        </w:rPr>
      </w:pPr>
      <w:r>
        <w:rPr>
          <w:rFonts w:ascii="Arial" w:cs="Arial" w:eastAsia="Arial" w:hAnsi="Arial"/>
          <w:sz w:val="18"/>
          <w:szCs w:val="18"/>
          <w:color w:val="231F20"/>
        </w:rPr>
        <w:t>our right to transfer or assign the license;</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2"/>
        </w:numPr>
        <w:rPr>
          <w:rFonts w:ascii="Times New Roman" w:cs="Times New Roman" w:eastAsia="Times New Roman" w:hAnsi="Times New Roman"/>
          <w:sz w:val="18"/>
          <w:szCs w:val="18"/>
          <w:color w:val="231F20"/>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231F20"/>
        </w:rPr>
      </w:pPr>
      <w:r>
        <w:rPr>
          <w:rFonts w:ascii="Arial" w:cs="Arial" w:eastAsia="Arial" w:hAnsi="Arial"/>
          <w:sz w:val="18"/>
          <w:szCs w:val="18"/>
          <w:color w:val="231F20"/>
        </w:rPr>
        <w:t>the priority of invention of patented technology.</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could have the freedom to seek regulatory approval of, and to market, products identical to ours. This could significantly harm our competitive position, business, financial condition, and prospects.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5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or OP-3136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state or foreign fraud and abuse or false claims laws and regulations or healthcare privacy and security laws.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OP-3136,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or OP-3136. As a result, our results of operations and the commercial prospects for palazestrant or OP-3136 would be harmed, our costs could increase and our ability to generate revenues could be delayed or precluded entirely, and our business, financial condition, results of operations, and prospects could be significantly harmed.</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reasonably demonstrated that the safety of the subjects participating in our clinical trials warrants such termination, if we make a general assignment for the benefit of our creditors or if we are liquidated.</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contract with third parties for the manufacture of palazestrant and OP-3136 for non-clinical studies and our ongoing clinical trials, and expect to continue to do so for additional clinical trials and ultimately for commercialization. This reliance on third parties increases the risk that we will not have sufficient quantities of palazestrant, OP-3136, or other drugs necessary for the development or commercialization of palazestrant or OP-3136, or may not be able to obtain such quantities at an acceptable cost, which could delay, prevent, or impair our development or commercialization efforts.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currently have the infrastructure or internal capability to manufacture supplies of palazestrant or OP-3136 for use in development and commercialization. We rely, and expect to continue to rely, on third-party manufacturers for the production of palazestrant and OP-3136 for non-clinical studies and clinical trials under the guidance of members of our organization. We do not have long-term supply agreements for palazestrant. Furthermore, the raw materials for palazestrant and OP-3136 are sourced, in some cases, from a single-source supplier. If we were to experience an unexpected loss of supply of palazestrant or OP-3136 for any reason, whether as a result of manufacturing, supply or storage issues or otherwise, we could experience delays, disruptions, suspensions or terminations of, or be required to restart or repeat, any pending or ongoing clinical trials.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expect to continue to rely on third-party manufacturers for the commercial supply of palazestrant and OP-3136,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74" w:lineRule="exact"/>
        <w:rPr>
          <w:sz w:val="20"/>
          <w:szCs w:val="20"/>
          <w:color w:val="auto"/>
        </w:rPr>
      </w:pPr>
    </w:p>
    <w:p>
      <w:pPr>
        <w:jc w:val="both"/>
        <w:ind w:left="1020" w:hanging="503"/>
        <w:spacing w:after="0" w:line="252"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palazestrant or OP-3136 according to our schedule, or at all, including if our third-party contractors give greater priority to the supply of other products over palazestrant or OP-3136 or otherwise do not satisfactorily perform according to the terms of the agreements between us and them;</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disruptions resulting from the impact of public health pandemics or epidemics;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the breach by the third-party contractors of our agreements with them;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palazestrant or OP-3136 according to our specifications;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limited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EU or other foreign regulatory requirements, they will not be able to secure and/or maintain marketing approval for their manufacturing facilities. In addition, we have limited control over the ability of our contract manufacturers to maintain adequate quality control, quality assurance and qualified personnel. If the FDA, competent authorities of EU Member States or a comparable foreign regulatory authority does not approve these facilities for the manufacture of palazestrant or OP-3136, or if it withdraws any such approval in the future, we may need to find alternative manufacturing facilities, which would significantly impact our ability to develop, obtain marketing approval for or market palazestrant or OP-3136, if approved.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palazestrant, OP-3136, or other drugs necessary for the development or commercialization of palazestrant and significantly harm our business, financial condition, results of operations, and prospects.</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palazestrant or OP-3136 are unable to produce sufficient quantities for clinical trials or for commercialization of palazestrant or OP-3136, or if the cost of combination therapies are prohibitive, our development and commercialization efforts would be impaired, which would significantly harm our business, financial condition, results of operations, and prospects. For example, for our Phase 3 clinical trial of palazestrant in combination with ribociclib in ER+/HER2- frontline advanced or metastatic breast cancer, we entered into a Clinical Trial Collaboration and Supply Agreement (the 2024 Novartis Agreement), pursuant to which Novartis is manufacturing and supplying ribociclib. If Novartis is unable to timely manufacture or supply ribociclib, or if the 2024 Novartis Agreement terminates and we are unable to obtain ribociclib on comparable terms, our Phase 3 clinical trial may be delayed and our costs to conduct this trial may increase significantly. Either of these outcomes would materially harm our business, financial condition, results of operations, and prospects.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current and anticipated future dependence upon others for the manufacture of palazestrant, OP-3136, or other drugs necessary for the development or commercialization of palazestrant or OP-3136 may adversely affect our future profit margins and our ability to commercialize any product candidates that receive marketing approval, if any, on a timely and competitive basis.</w:t>
      </w:r>
    </w:p>
    <w:p>
      <w:pPr>
        <w:spacing w:after="0" w:line="3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palazestrant or OP-3136 for clinical trials or our products for patients, if approved, could be delayed or prevented.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 is discovered at the facilities of our manufacturer, such facilities may need to be closed for an extended period of time to investigate and remediate the contamination, which could delay our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if approved, as a result of these challenges, or otherwise, our development and commercialization efforts would be impaired, which would significantly harm our business, financial condition, results of operations, and prospects.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spacing w:after="0" w:line="169"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increased operating expenses and cash requirements;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the assumption of contingent liabilities;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the issuance of our equity securities;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risk of delay in receiving or the failure to receive anticipated benefits of any such transactions, or of facing unanticipated challenges;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4"/>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palazestrant. If those collaborations are not successful, we may not be able to capitalize on the market potential of palazestrant.</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p>
      <w:pPr>
        <w:spacing w:after="0" w:line="174" w:lineRule="exact"/>
        <w:rPr>
          <w:sz w:val="20"/>
          <w:szCs w:val="20"/>
          <w:color w:val="auto"/>
        </w:rPr>
      </w:pPr>
    </w:p>
    <w:p>
      <w:pPr>
        <w:ind w:left="760" w:right="20" w:hanging="378"/>
        <w:spacing w:after="0" w:line="270"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154" w:lineRule="exact"/>
        <w:rPr>
          <w:rFonts w:ascii="Times New Roman" w:cs="Times New Roman" w:eastAsia="Times New Roman" w:hAnsi="Times New Roman"/>
          <w:sz w:val="18"/>
          <w:szCs w:val="18"/>
          <w:color w:val="231F20"/>
        </w:rPr>
      </w:pPr>
    </w:p>
    <w:p>
      <w:pPr>
        <w:jc w:val="both"/>
        <w:ind w:left="1020" w:hanging="503"/>
        <w:spacing w:after="0" w:line="246" w:lineRule="auto"/>
        <w:tabs>
          <w:tab w:leader="none" w:pos="1020" w:val="left"/>
        </w:tabs>
        <w:numPr>
          <w:ilvl w:val="1"/>
          <w:numId w:val="45"/>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de-emphasize or elect not to pursue development and commercialization of palazestrant or may choose not to continue or renew development or commercialization programs based on clinical trial results, changes in the collaborators’ strategic focus, including as a result of a sale or disposition of a business unit or development function, the availability of funding or external factors such as an acquisition that diverts resources or creates competing priorities;</w:t>
      </w:r>
    </w:p>
    <w:p>
      <w:pPr>
        <w:spacing w:after="0" w:line="68"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4" w:lineRule="exact"/>
        <w:rPr>
          <w:rFonts w:ascii="Times New Roman" w:cs="Times New Roman" w:eastAsia="Times New Roman" w:hAnsi="Times New Roman"/>
          <w:sz w:val="18"/>
          <w:szCs w:val="18"/>
          <w:color w:val="231F20"/>
        </w:rPr>
      </w:pPr>
    </w:p>
    <w:p>
      <w:pPr>
        <w:jc w:val="both"/>
        <w:ind w:left="760" w:right="20" w:hanging="378"/>
        <w:spacing w:after="0" w:line="252"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154" w:lineRule="exact"/>
        <w:rPr>
          <w:rFonts w:ascii="Times New Roman" w:cs="Times New Roman" w:eastAsia="Times New Roman" w:hAnsi="Times New Roman"/>
          <w:sz w:val="18"/>
          <w:szCs w:val="18"/>
          <w:color w:val="231F20"/>
        </w:rPr>
      </w:pPr>
    </w:p>
    <w:p>
      <w:pPr>
        <w:jc w:val="both"/>
        <w:ind w:left="760" w:hanging="378"/>
        <w:spacing w:after="0" w:line="246"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property-related proceedings;</w:t>
      </w:r>
    </w:p>
    <w:p>
      <w:pPr>
        <w:spacing w:after="0" w:line="176"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disputes may arise between the collaborators and us that result in the delay or termination of the research, development or commercialization of palazestrant or that result in costly litigation or arbitration that diverts management attention and resources;</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5"/>
        </w:numPr>
        <w:rPr>
          <w:rFonts w:ascii="Times New Roman" w:cs="Times New Roman" w:eastAsia="Times New Roman" w:hAnsi="Times New Roman"/>
          <w:sz w:val="18"/>
          <w:szCs w:val="18"/>
          <w:color w:val="231F20"/>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378"/>
        <w:spacing w:after="0" w:line="270" w:lineRule="auto"/>
        <w:tabs>
          <w:tab w:leader="none" w:pos="760" w:val="left"/>
        </w:tabs>
        <w:numPr>
          <w:ilvl w:val="0"/>
          <w:numId w:val="46"/>
        </w:numPr>
        <w:rPr>
          <w:rFonts w:ascii="Times New Roman" w:cs="Times New Roman" w:eastAsia="Times New Roman" w:hAnsi="Times New Roman"/>
          <w:sz w:val="18"/>
          <w:szCs w:val="18"/>
          <w:color w:val="231F20"/>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or at all, we may have to alter our development and commercialization plans.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drug development programs and the potential commercialization of palazestrant, OP-3136,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European Commission,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palazestrant, OP-3136,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OP-3136, or any future product candidates we may develop or bring them to market and generate product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has been and may continue to be volatile, and you could lose all or part of your investment.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For example, the closing price of our common stock from January 1, 2024 to May 8, 2026 has ranged from a low of $3.06 to a high of $35.83.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Quarterly Report, these factors include:</w:t>
      </w:r>
    </w:p>
    <w:p>
      <w:pPr>
        <w:spacing w:after="0" w:line="154" w:lineRule="exact"/>
        <w:rPr>
          <w:sz w:val="20"/>
          <w:szCs w:val="20"/>
          <w:color w:val="auto"/>
        </w:rPr>
      </w:pPr>
    </w:p>
    <w:p>
      <w:pPr>
        <w:ind w:left="760" w:hanging="378"/>
        <w:spacing w:after="0" w:line="270" w:lineRule="auto"/>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results of non-clinical studies and clinical trials of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or those of our competitors;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success of competitive products or announcements by potential competitors of their product development efforts;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regulatory actions with respect to our product candidates or our competitors’ products;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actual or anticipated changes in our growth rate relative to our competitors;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regulatory or legal developments in the United States and other countries;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developments or disputes concerning patent applications, issued patents or other proprietary rights;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the recruitment or departure of key personnel;</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fluctuations in the valuation of companies perceived by investors to be comparable to us;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market conditions in the pharmaceutical and biotechnology sector;</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in the structure of healthcare payment systems;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share price and volume fluctuations attributable to inconsistent trading volume levels of our shares;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announcement or expectation of additional financing efforts;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sales of our common stock by us, our insiders or our other stockholders; and</w:t>
      </w:r>
    </w:p>
    <w:p>
      <w:pPr>
        <w:spacing w:after="0" w:line="224" w:lineRule="exact"/>
        <w:rPr>
          <w:rFonts w:ascii="Times New Roman" w:cs="Times New Roman" w:eastAsia="Times New Roman" w:hAnsi="Times New Roman"/>
          <w:sz w:val="18"/>
          <w:szCs w:val="18"/>
          <w:color w:val="231F20"/>
        </w:rPr>
      </w:pPr>
    </w:p>
    <w:p>
      <w:pPr>
        <w:jc w:val="both"/>
        <w:ind w:left="1020" w:hanging="503"/>
        <w:spacing w:after="0" w:line="243" w:lineRule="auto"/>
        <w:tabs>
          <w:tab w:leader="none" w:pos="1020" w:val="left"/>
        </w:tabs>
        <w:numPr>
          <w:ilvl w:val="1"/>
          <w:numId w:val="47"/>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the geopolitical and macroeconomic environment, generally, including geopolitical and economic uncertainty, market volatility, labor shortages, </w:t>
      </w:r>
      <w:r>
        <w:rPr>
          <w:rFonts w:ascii="Arial" w:cs="Arial" w:eastAsia="Arial" w:hAnsi="Arial"/>
          <w:sz w:val="18"/>
          <w:szCs w:val="18"/>
          <w:color w:val="000000"/>
        </w:rPr>
        <w:t>evolving trade and tariff policies</w:t>
      </w:r>
      <w:r>
        <w:rPr>
          <w:rFonts w:ascii="Arial" w:cs="Arial" w:eastAsia="Arial" w:hAnsi="Arial"/>
          <w:sz w:val="18"/>
          <w:szCs w:val="18"/>
          <w:color w:val="231F20"/>
        </w:rPr>
        <w:t>, including related legal challenges, trade tensions, retaliatory measures by other countries, supply chain disruptions, military conflicts, as well as any related political or economic responses and counter-responses by various global actors, inflationary pressures, monetary supply shifts, increased recession risk, and related financial instability.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the trading prices for common stock of biopharmaceutical companies, including ours, have been highly volatile as a result of factors unrelated to the specific company or its products or products candidates.</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8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3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54" w:lineRule="exact"/>
        <w:rPr>
          <w:sz w:val="20"/>
          <w:szCs w:val="20"/>
          <w:color w:val="auto"/>
        </w:rPr>
      </w:pPr>
    </w:p>
    <w:p>
      <w:pPr>
        <w:ind w:left="76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variations in the level of expense related to the ongoing development of palazestrant, OP-3136, or future development programs;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status of enrollment for our clinical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impacts from geopolitical and macroeconomic events on us or third parties with which we engage;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additions and departures of key personnel;</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if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receive regulatory approval, the timing and terms of such approval and market acceptance and demand for such product candidates;</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regulatory developments affecting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or those of our competitors; and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in general market and economic conditions.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As of May 7, 2026, we had </w:t>
      </w:r>
      <w:r>
        <w:rPr>
          <w:rFonts w:ascii="Arial" w:cs="Arial" w:eastAsia="Arial" w:hAnsi="Arial"/>
          <w:sz w:val="16"/>
          <w:szCs w:val="16"/>
          <w:color w:val="555555"/>
        </w:rPr>
        <w:t>87,347,471</w:t>
      </w:r>
      <w:r>
        <w:rPr>
          <w:rFonts w:ascii="Arial" w:cs="Arial" w:eastAsia="Arial" w:hAnsi="Arial"/>
          <w:sz w:val="18"/>
          <w:szCs w:val="18"/>
          <w:color w:val="auto"/>
        </w:rPr>
        <w:t xml:space="preserve"> shares of common stock and pre-funded warrants to purchase up to 13,594,149 shares of common stock outstanding (which are immediately exercisable at an exercise price of $0.0001 per share of common stock, subject to beneficial ownership limitations). Refer to Notes 2 and 12 of our notes to the condensed consolidated financial statements contained in this Quarterly Report for further information regarding the pre-funded warrants. Shares issued upon the exercise of any such pre-funded warrants as well as stock options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were obligated to file registration statements with the SEC to register all of the shares, including shares issuable upon the exercise of pre-funded warrants, issued in each of our private placement transactions for public resale, and are required to maintain effectiveness of both registration statements until the earliest of (i) the second anniversary of the effective date of such registration statement, (ii) such time as all of the shares issued in such private placement have been sold pursuant to such registration statement, or (iii) such time as the shares issued in such private placement become eligible for resale by non-affiliates without any volume limitations or other restrictions pursuant to Rule 144(b)(1)(i) under the Securities Act or any other rule of similar effect. In December 2025, we filed an automatic shelf registration statement pursuant to which we may offer and sell shares from time to time, including the shares of common stock pursuant to our at-the-market offering program currently in place.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palazestrant, OP-3136 or future product candidates we may develop on unfavorable terms to 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 the past, and may again in the future seek additional capital through a variety of means, including public or private equity offerings, debt financings or other sources, including up-front payments and milestone payments from strategic collaborations. For example, in November 2025, we completed a public offering of 11,500,000 shares of our common stock, at a public offering price of $19.00 per share, including 1,500,000 shares sold pursuant to the underwriters’ full exercise of their option to purchase additional shares. In addition, in January 2025, we terminated our previous sales agreement with Cowen and Company (the 2024 Sales Agreement) and entered into a new sales agreement with TD Cowen (as amended from time to time, the 2025 Sales Agreement), pursuant to which we may offer and sell, from time to time through TD Cowen, at our option, shares of our common stock having an aggregate offering price of up to $150.0 million. On December 11, 2025, we entered into Amendment No. 1 to the 2025 Sales Agreement, which increased the maximum aggregate offering price under the at-the-market offering program to $200.0 million. To the extent that we raise additional capital through the sale of equity or convertible debt or equity securities, including pursuant to sales under the 2025 Sales Agreement, your ownership interest will be diluted, our stock price could fall and the terms of such securities may include liquidation or other preferences that adversely affect your rights as a stockholder. Future financing activities may result in dilution to stockholders, the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OP-3136,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7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ended December 31, 2025,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The OBBBA, the IRA, the Coronavirus Aid, Relief, and Economic Security Act and legislation commonly referred to as the Tax Cuts and Jobs Act made many significant changes to the U.S. tax laws. For example, the IRA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 In addition, the pricing of our intercompany transactions may be challenged by taxing authorities, with potential increases in income and other taxes that could impact our business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resulting in unanticipated costs, taxes or non-realization of expected benefits.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may materially and adversely impact our operating activities, effective tax rate, deferred tax assets, operating income, and cash flows.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5"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classified Board of Directors such that not all members of our Board of Directors are elected at one time;</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prohibit our stockholders from calling a special meeting of our stockholders;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prohibit cumulative voting;</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70"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amended and restated certificate of incorporations or amended and restated bylaws.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(DGCL), which prohibits a person who owns 15% or more of our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4"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fiduciary duty;</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that is governed by the internal-affairs doctrine or otherwise related to our internal affairs.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restrict our ability to declare and pay dividends. Any return to stockholders will therefore be limited to any appreciation in the value of our common stock, which is not certain.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certain activities more difficult, time-consuming or costly and increase demands on our systems and resources. The Exchange Act requires, among other things, that we file annual, quarterly and current reports regarding our business and operating results. The Sarbanes-Oxley Act requires, among other things, that we maintain effective disclosure controls and procedures and internal control over financial reporting. We are also required to disclose, on a quarterly basis, any changes made to our internal control and procedures.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certain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3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In addition, 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Any such claims or litigation could result in substantial costs, and the time and resources needed to resolve them could divert our management’s attention and seriously harm our business, financial condition, results of operations, and prospects.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There were no sales of equity securities during the period covered by this report that were not registered under the Securities Act and were not previously reported in a Current Report on Form 8-K filed by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Plans or Rule 10b5-1 Trading Plans</w:t>
      </w:r>
    </w:p>
    <w:p>
      <w:pPr>
        <w:spacing w:after="0" w:line="142"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During the quarter ended March 31, 2026, our directors and officers (as defined in Rule 16a-1(f) under the Exchange Act) adopted or terminated the contracts, instructions or written plans for the purchase or sale of our securities set forth in the table below.</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380" w:type="dxa"/>
            <w:vAlign w:val="bottom"/>
            <w:tcBorders>
              <w:top w:val="single" w:sz="8" w:color="auto"/>
              <w:left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i w:val="1"/>
                <w:iCs w:val="1"/>
                <w:color w:val="auto"/>
              </w:rPr>
              <w:t>Type of Trading</w:t>
            </w:r>
          </w:p>
        </w:tc>
        <w:tc>
          <w:tcPr>
            <w:tcW w:w="1460" w:type="dxa"/>
            <w:vAlign w:val="bottom"/>
            <w:tcBorders>
              <w:top w:val="single" w:sz="8" w:color="auto"/>
              <w:right w:val="single" w:sz="8" w:color="auto"/>
            </w:tcBorders>
          </w:tcPr>
          <w:p>
            <w:pPr>
              <w:spacing w:after="0"/>
              <w:rPr>
                <w:sz w:val="17"/>
                <w:szCs w:val="17"/>
                <w:color w:val="auto"/>
              </w:rPr>
            </w:pPr>
          </w:p>
        </w:tc>
        <w:tc>
          <w:tcPr>
            <w:tcW w:w="16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Total Shares of</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b w:val="1"/>
                <w:bCs w:val="1"/>
                <w:i w:val="1"/>
                <w:iCs w:val="1"/>
                <w:color w:val="auto"/>
              </w:rPr>
              <w:t>Date of Adoption/</w:t>
            </w:r>
          </w:p>
        </w:tc>
        <w:tc>
          <w:tcPr>
            <w:tcW w:w="1120" w:type="dxa"/>
            <w:vAlign w:val="bottom"/>
            <w:vMerge w:val="restart"/>
          </w:tcPr>
          <w:p>
            <w:pPr>
              <w:spacing w:after="0" w:line="202" w:lineRule="exact"/>
              <w:rPr>
                <w:sz w:val="20"/>
                <w:szCs w:val="20"/>
                <w:color w:val="auto"/>
              </w:rPr>
            </w:pPr>
            <w:r>
              <w:rPr>
                <w:rFonts w:ascii="Arial" w:cs="Arial" w:eastAsia="Arial" w:hAnsi="Arial"/>
                <w:sz w:val="18"/>
                <w:szCs w:val="18"/>
                <w:b w:val="1"/>
                <w:bCs w:val="1"/>
                <w:i w:val="1"/>
                <w:iCs w:val="1"/>
                <w:color w:val="auto"/>
                <w:w w:val="96"/>
              </w:rPr>
              <w:t>Arrangement</w:t>
            </w:r>
          </w:p>
        </w:tc>
        <w:tc>
          <w:tcPr>
            <w:tcW w:w="124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tcBorders>
              <w:left w:val="single" w:sz="8" w:color="auto"/>
              <w:right w:val="single" w:sz="8" w:color="auto"/>
            </w:tcBorders>
            <w:vMerge w:val="restart"/>
          </w:tcPr>
          <w:p>
            <w:pPr>
              <w:ind w:left="20"/>
              <w:spacing w:after="0" w:line="202" w:lineRule="exact"/>
              <w:rPr>
                <w:sz w:val="20"/>
                <w:szCs w:val="20"/>
                <w:color w:val="auto"/>
              </w:rPr>
            </w:pPr>
            <w:r>
              <w:rPr>
                <w:rFonts w:ascii="Arial" w:cs="Arial" w:eastAsia="Arial" w:hAnsi="Arial"/>
                <w:sz w:val="18"/>
                <w:szCs w:val="18"/>
                <w:b w:val="1"/>
                <w:bCs w:val="1"/>
                <w:i w:val="1"/>
                <w:iCs w:val="1"/>
                <w:color w:val="auto"/>
              </w:rPr>
              <w:t>Name</w:t>
            </w:r>
          </w:p>
        </w:tc>
        <w:tc>
          <w:tcPr>
            <w:tcW w:w="134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b w:val="1"/>
                <w:bCs w:val="1"/>
                <w:i w:val="1"/>
                <w:iCs w:val="1"/>
                <w:color w:val="auto"/>
              </w:rPr>
              <w:t>Position</w:t>
            </w:r>
          </w:p>
        </w:tc>
        <w:tc>
          <w:tcPr>
            <w:tcW w:w="134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b w:val="1"/>
                <w:bCs w:val="1"/>
                <w:i w:val="1"/>
                <w:iCs w:val="1"/>
                <w:color w:val="auto"/>
              </w:rPr>
              <w:t>Action</w:t>
            </w: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4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b w:val="1"/>
                <w:bCs w:val="1"/>
                <w:i w:val="1"/>
                <w:iCs w:val="1"/>
                <w:color w:val="auto"/>
              </w:rPr>
              <w:t>Expiration Date</w:t>
            </w:r>
          </w:p>
        </w:tc>
        <w:tc>
          <w:tcPr>
            <w:tcW w:w="166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b w:val="1"/>
                <w:bCs w:val="1"/>
                <w:i w:val="1"/>
                <w:iCs w:val="1"/>
                <w:color w:val="auto"/>
              </w:rPr>
              <w:t>Common Stock to</w:t>
            </w:r>
          </w:p>
        </w:tc>
        <w:tc>
          <w:tcPr>
            <w:tcW w:w="0" w:type="dxa"/>
            <w:vAlign w:val="bottom"/>
          </w:tcPr>
          <w:p>
            <w:pPr>
              <w:spacing w:after="0"/>
              <w:rPr>
                <w:sz w:val="1"/>
                <w:szCs w:val="1"/>
                <w:color w:val="auto"/>
              </w:rPr>
            </w:pPr>
          </w:p>
        </w:tc>
      </w:tr>
      <w:tr>
        <w:trPr>
          <w:trHeight w:val="78"/>
        </w:trPr>
        <w:tc>
          <w:tcPr>
            <w:tcW w:w="1380" w:type="dxa"/>
            <w:vAlign w:val="bottom"/>
            <w:tcBorders>
              <w:left w:val="single" w:sz="8" w:color="auto"/>
              <w:right w:val="single" w:sz="8" w:color="auto"/>
            </w:tcBorders>
            <w:vMerge w:val="continue"/>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Termination</w:t>
            </w:r>
          </w:p>
        </w:tc>
        <w:tc>
          <w:tcPr>
            <w:tcW w:w="112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Non-Rule</w:t>
            </w:r>
          </w:p>
        </w:tc>
        <w:tc>
          <w:tcPr>
            <w:tcW w:w="146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380" w:type="dxa"/>
            <w:vAlign w:val="bottom"/>
            <w:tcBorders>
              <w:left w:val="single" w:sz="8" w:color="auto"/>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tcPr>
          <w:p>
            <w:pPr>
              <w:spacing w:after="0" w:line="179" w:lineRule="exact"/>
              <w:rPr>
                <w:sz w:val="20"/>
                <w:szCs w:val="20"/>
                <w:color w:val="auto"/>
              </w:rPr>
            </w:pPr>
            <w:r>
              <w:rPr>
                <w:rFonts w:ascii="Arial" w:cs="Arial" w:eastAsia="Arial" w:hAnsi="Arial"/>
                <w:sz w:val="18"/>
                <w:szCs w:val="18"/>
                <w:b w:val="1"/>
                <w:bCs w:val="1"/>
                <w:i w:val="1"/>
                <w:iCs w:val="1"/>
                <w:color w:val="auto"/>
                <w:w w:val="99"/>
              </w:rPr>
              <w:t>Rule 10b5-1*</w:t>
            </w:r>
          </w:p>
        </w:tc>
        <w:tc>
          <w:tcPr>
            <w:tcW w:w="1240" w:type="dxa"/>
            <w:vAlign w:val="bottom"/>
            <w:tcBorders>
              <w:right w:val="single" w:sz="8" w:color="auto"/>
            </w:tcBorders>
            <w:vMerge w:val="continue"/>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line="179" w:lineRule="exact"/>
              <w:rPr>
                <w:sz w:val="20"/>
                <w:szCs w:val="20"/>
                <w:color w:val="auto"/>
              </w:rPr>
            </w:pPr>
            <w:r>
              <w:rPr>
                <w:rFonts w:ascii="Arial" w:cs="Arial" w:eastAsia="Arial" w:hAnsi="Arial"/>
                <w:sz w:val="18"/>
                <w:szCs w:val="18"/>
                <w:b w:val="1"/>
                <w:bCs w:val="1"/>
                <w:i w:val="1"/>
                <w:iCs w:val="1"/>
                <w:color w:val="auto"/>
              </w:rPr>
              <w:t>be Sold***</w:t>
            </w:r>
          </w:p>
        </w:tc>
        <w:tc>
          <w:tcPr>
            <w:tcW w:w="0" w:type="dxa"/>
            <w:vAlign w:val="bottom"/>
          </w:tcPr>
          <w:p>
            <w:pPr>
              <w:spacing w:after="0"/>
              <w:rPr>
                <w:sz w:val="1"/>
                <w:szCs w:val="1"/>
                <w:color w:val="auto"/>
              </w:rPr>
            </w:pPr>
          </w:p>
        </w:tc>
      </w:tr>
      <w:tr>
        <w:trPr>
          <w:trHeight w:val="165"/>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line="145" w:lineRule="exact"/>
              <w:rPr>
                <w:sz w:val="20"/>
                <w:szCs w:val="20"/>
                <w:color w:val="auto"/>
              </w:rPr>
            </w:pPr>
            <w:r>
              <w:rPr>
                <w:rFonts w:ascii="Arial" w:cs="Arial" w:eastAsia="Arial" w:hAnsi="Arial"/>
                <w:sz w:val="16"/>
                <w:szCs w:val="16"/>
                <w:b w:val="1"/>
                <w:bCs w:val="1"/>
                <w:i w:val="1"/>
                <w:iCs w:val="1"/>
                <w:color w:val="auto"/>
              </w:rPr>
              <w:t>10b5-1**</w:t>
            </w:r>
          </w:p>
        </w:tc>
        <w:tc>
          <w:tcPr>
            <w:tcW w:w="14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Sean Bohen,</w:t>
            </w:r>
          </w:p>
        </w:tc>
        <w:tc>
          <w:tcPr>
            <w:tcW w:w="1340" w:type="dxa"/>
            <w:vAlign w:val="bottom"/>
            <w:tcBorders>
              <w:right w:val="single" w:sz="8" w:color="auto"/>
            </w:tcBorders>
          </w:tcPr>
          <w:p>
            <w:pPr>
              <w:spacing w:after="0" w:line="172" w:lineRule="exact"/>
              <w:rPr>
                <w:sz w:val="20"/>
                <w:szCs w:val="20"/>
                <w:color w:val="auto"/>
              </w:rPr>
            </w:pPr>
            <w:r>
              <w:rPr>
                <w:rFonts w:ascii="Times New Roman" w:cs="Times New Roman" w:eastAsia="Times New Roman" w:hAnsi="Times New Roman"/>
                <w:sz w:val="18"/>
                <w:szCs w:val="18"/>
                <w:i w:val="1"/>
                <w:iCs w:val="1"/>
                <w:color w:val="auto"/>
              </w:rPr>
              <w:t>President and</w:t>
            </w:r>
          </w:p>
        </w:tc>
        <w:tc>
          <w:tcPr>
            <w:tcW w:w="134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12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8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1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Adoption</w:t>
            </w:r>
          </w:p>
        </w:tc>
        <w:tc>
          <w:tcPr>
            <w:tcW w:w="1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March 3, 2026</w:t>
            </w:r>
          </w:p>
        </w:tc>
        <w:tc>
          <w:tcPr>
            <w:tcW w:w="11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June 8, 2027</w:t>
            </w:r>
          </w:p>
        </w:tc>
        <w:tc>
          <w:tcPr>
            <w:tcW w:w="1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Up to 705,000</w:t>
            </w:r>
          </w:p>
        </w:tc>
        <w:tc>
          <w:tcPr>
            <w:tcW w:w="0" w:type="dxa"/>
            <w:vAlign w:val="bottom"/>
          </w:tcPr>
          <w:p>
            <w:pPr>
              <w:spacing w:after="0"/>
              <w:rPr>
                <w:sz w:val="1"/>
                <w:szCs w:val="1"/>
                <w:color w:val="auto"/>
              </w:rPr>
            </w:pPr>
          </w:p>
        </w:tc>
      </w:tr>
      <w:tr>
        <w:trPr>
          <w:trHeight w:val="108"/>
        </w:trPr>
        <w:tc>
          <w:tcPr>
            <w:tcW w:w="1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M.D., Ph.D.</w:t>
            </w:r>
          </w:p>
        </w:tc>
        <w:tc>
          <w:tcPr>
            <w:tcW w:w="134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8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3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760" w:hanging="3"/>
        <w:spacing w:after="0" w:line="286" w:lineRule="auto"/>
        <w:tabs>
          <w:tab w:leader="none" w:pos="895"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Contract, instruction or written plan intended to satisfy the affirmative defense conditions of Rule 10b5-1(c) under the Exchange Act.</w:t>
      </w:r>
    </w:p>
    <w:p>
      <w:pPr>
        <w:spacing w:after="0" w:line="73" w:lineRule="exact"/>
        <w:rPr>
          <w:sz w:val="20"/>
          <w:szCs w:val="20"/>
          <w:color w:val="auto"/>
        </w:rPr>
      </w:pPr>
    </w:p>
    <w:p>
      <w:pPr>
        <w:ind w:left="940" w:hanging="183"/>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"Non-Rule 10b5-1 trading arrangement” as defined in Item 408(c) of Regulation S-K under the Exchange Act.</w:t>
      </w:r>
    </w:p>
    <w:p>
      <w:pPr>
        <w:spacing w:after="0" w:line="130" w:lineRule="exact"/>
        <w:rPr>
          <w:rFonts w:ascii="Arial" w:cs="Arial" w:eastAsia="Arial" w:hAnsi="Arial"/>
          <w:sz w:val="18"/>
          <w:szCs w:val="18"/>
          <w:color w:val="auto"/>
        </w:rPr>
      </w:pPr>
    </w:p>
    <w:p>
      <w:pPr>
        <w:ind w:left="760" w:right="20" w:hanging="3"/>
        <w:spacing w:after="0" w:line="271" w:lineRule="auto"/>
        <w:tabs>
          <w:tab w:leader="none" w:pos="10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maximum number of shares that may be sold pursuant to the 10b5-1 trading arrangement. The number of shares to be sold was dependent on the satisfaction of certain conditions as set forth in the written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6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9"/>
              </w:rPr>
              <w:t>Item 6. Exhibits.</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9"/>
        </w:trPr>
        <w:tc>
          <w:tcPr>
            <w:tcW w:w="580" w:type="dxa"/>
            <w:vAlign w:val="bottom"/>
          </w:tcPr>
          <w:p>
            <w:pPr>
              <w:spacing w:after="0"/>
              <w:rPr>
                <w:sz w:val="24"/>
                <w:szCs w:val="24"/>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Exhibit</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9"/>
              </w:rPr>
              <w:t>Incorporated by Reference</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Schedule</w:t>
            </w: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16"/>
          </w:tcPr>
          <w:p>
            <w:pPr>
              <w:ind w:left="880"/>
              <w:spacing w:after="0"/>
              <w:rPr>
                <w:sz w:val="20"/>
                <w:szCs w:val="20"/>
                <w:color w:val="auto"/>
              </w:rPr>
            </w:pPr>
            <w:r>
              <w:rPr>
                <w:rFonts w:ascii="Arial" w:cs="Arial" w:eastAsia="Arial" w:hAnsi="Arial"/>
                <w:sz w:val="18"/>
                <w:szCs w:val="18"/>
                <w:b w:val="1"/>
                <w:bCs w:val="1"/>
                <w:color w:val="auto"/>
              </w:rPr>
              <w:t>Description</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File Number</w:t>
            </w: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Exhibit</w:t>
            </w: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102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4740" w:type="dxa"/>
            <w:vAlign w:val="bottom"/>
            <w:gridSpan w:val="19"/>
          </w:tcPr>
          <w:p>
            <w:pPr>
              <w:spacing w:after="0" w:line="169" w:lineRule="exact"/>
              <w:rPr>
                <w:rFonts w:ascii="Arial" w:cs="Arial" w:eastAsia="Arial" w:hAnsi="Arial"/>
                <w:sz w:val="18"/>
                <w:szCs w:val="18"/>
                <w:color w:val="0000FF"/>
              </w:rPr>
            </w:pPr>
            <w:hyperlink r:id="rId199">
              <w:r>
                <w:rPr>
                  <w:rFonts w:ascii="Arial" w:cs="Arial" w:eastAsia="Arial" w:hAnsi="Arial"/>
                  <w:sz w:val="18"/>
                  <w:szCs w:val="18"/>
                  <w:color w:val="0000FF"/>
                </w:rPr>
                <w:t>Amended and Restated Certificate of Incorporation.</w:t>
              </w:r>
            </w:hyperlink>
          </w:p>
        </w:tc>
        <w:tc>
          <w:tcPr>
            <w:tcW w:w="940" w:type="dxa"/>
            <w:vAlign w:val="bottom"/>
          </w:tcPr>
          <w:p>
            <w:pPr>
              <w:jc w:val="center"/>
              <w:spacing w:after="0" w:line="169"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260" w:type="dxa"/>
            <w:vAlign w:val="bottom"/>
          </w:tcPr>
          <w:p>
            <w:pPr>
              <w:jc w:val="center"/>
              <w:spacing w:after="0" w:line="169"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60" w:type="dxa"/>
            <w:vAlign w:val="bottom"/>
          </w:tcPr>
          <w:p>
            <w:pPr>
              <w:jc w:val="center"/>
              <w:ind w:right="150"/>
              <w:spacing w:after="0" w:line="169" w:lineRule="exact"/>
              <w:rPr>
                <w:sz w:val="20"/>
                <w:szCs w:val="20"/>
                <w:color w:val="auto"/>
              </w:rPr>
            </w:pPr>
            <w:r>
              <w:rPr>
                <w:rFonts w:ascii="Arial" w:cs="Arial" w:eastAsia="Arial" w:hAnsi="Arial"/>
                <w:sz w:val="18"/>
                <w:szCs w:val="18"/>
                <w:color w:val="auto"/>
              </w:rPr>
              <w:t>3.1</w:t>
            </w:r>
          </w:p>
        </w:tc>
        <w:tc>
          <w:tcPr>
            <w:tcW w:w="108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20"/>
        </w:trPr>
        <w:tc>
          <w:tcPr>
            <w:tcW w:w="1600" w:type="dxa"/>
            <w:vAlign w:val="bottom"/>
            <w:tcBorders>
              <w:right w:val="single" w:sz="8" w:color="0000EE"/>
            </w:tcBorders>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2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0" w:type="dxa"/>
            <w:vAlign w:val="bottom"/>
            <w:gridSpan w:val="2"/>
          </w:tcPr>
          <w:p>
            <w:pPr>
              <w:ind w:left="580"/>
              <w:spacing w:after="0"/>
              <w:rPr>
                <w:sz w:val="20"/>
                <w:szCs w:val="20"/>
                <w:color w:val="auto"/>
              </w:rPr>
            </w:pPr>
            <w:r>
              <w:rPr>
                <w:rFonts w:ascii="Arial" w:cs="Arial" w:eastAsia="Arial" w:hAnsi="Arial"/>
                <w:sz w:val="18"/>
                <w:szCs w:val="18"/>
                <w:color w:val="auto"/>
              </w:rPr>
              <w:t>3.2</w:t>
            </w:r>
          </w:p>
        </w:tc>
        <w:tc>
          <w:tcPr>
            <w:tcW w:w="4740" w:type="dxa"/>
            <w:vAlign w:val="bottom"/>
            <w:gridSpan w:val="19"/>
          </w:tcPr>
          <w:p>
            <w:pPr>
              <w:spacing w:after="0"/>
              <w:rPr>
                <w:rFonts w:ascii="Arial" w:cs="Arial" w:eastAsia="Arial" w:hAnsi="Arial"/>
                <w:sz w:val="18"/>
                <w:szCs w:val="18"/>
                <w:color w:val="0000FF"/>
              </w:rPr>
            </w:pPr>
            <w:hyperlink r:id="rId200">
              <w:r>
                <w:rPr>
                  <w:rFonts w:ascii="Arial" w:cs="Arial" w:eastAsia="Arial" w:hAnsi="Arial"/>
                  <w:sz w:val="18"/>
                  <w:szCs w:val="18"/>
                  <w:color w:val="0000FF"/>
                </w:rPr>
                <w:t>Amended and Restated Bylaws.</w:t>
              </w:r>
            </w:hyperlink>
          </w:p>
        </w:tc>
        <w:tc>
          <w:tcPr>
            <w:tcW w:w="9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rPr>
              <w:t>3.1</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9"/>
              </w:rPr>
              <w:t>12/16/2022</w:t>
            </w:r>
          </w:p>
        </w:tc>
        <w:tc>
          <w:tcPr>
            <w:tcW w:w="0" w:type="dxa"/>
            <w:vAlign w:val="bottom"/>
          </w:tcPr>
          <w:p>
            <w:pPr>
              <w:spacing w:after="0"/>
              <w:rPr>
                <w:sz w:val="1"/>
                <w:szCs w:val="1"/>
                <w:color w:val="auto"/>
              </w:rPr>
            </w:pPr>
          </w:p>
        </w:tc>
      </w:tr>
      <w:tr>
        <w:trPr>
          <w:trHeight w:val="20"/>
        </w:trPr>
        <w:tc>
          <w:tcPr>
            <w:tcW w:w="1600" w:type="dxa"/>
            <w:vAlign w:val="bottom"/>
            <w:tcBorders>
              <w:right w:val="single" w:sz="8" w:color="0000EE"/>
            </w:tcBorders>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0" w:type="dxa"/>
            <w:vAlign w:val="bottom"/>
            <w:gridSpan w:val="2"/>
          </w:tcPr>
          <w:p>
            <w:pPr>
              <w:ind w:left="580"/>
              <w:spacing w:after="0"/>
              <w:rPr>
                <w:sz w:val="20"/>
                <w:szCs w:val="20"/>
                <w:color w:val="auto"/>
              </w:rPr>
            </w:pPr>
            <w:r>
              <w:rPr>
                <w:rFonts w:ascii="Arial" w:cs="Arial" w:eastAsia="Arial" w:hAnsi="Arial"/>
                <w:sz w:val="18"/>
                <w:szCs w:val="18"/>
                <w:color w:val="auto"/>
              </w:rPr>
              <w:t>10.1¥</w:t>
            </w:r>
          </w:p>
        </w:tc>
        <w:tc>
          <w:tcPr>
            <w:tcW w:w="4740" w:type="dxa"/>
            <w:vAlign w:val="bottom"/>
            <w:gridSpan w:val="19"/>
          </w:tcPr>
          <w:p>
            <w:pPr>
              <w:spacing w:after="0"/>
              <w:rPr>
                <w:rFonts w:ascii="Arial" w:cs="Arial" w:eastAsia="Arial" w:hAnsi="Arial"/>
                <w:sz w:val="18"/>
                <w:szCs w:val="18"/>
                <w:color w:val="0000FF"/>
              </w:rPr>
            </w:pPr>
            <w:hyperlink r:id="rId201">
              <w:r>
                <w:rPr>
                  <w:rFonts w:ascii="Arial" w:cs="Arial" w:eastAsia="Arial" w:hAnsi="Arial"/>
                  <w:sz w:val="18"/>
                  <w:szCs w:val="18"/>
                  <w:color w:val="0000FF"/>
                </w:rPr>
                <w:t>Third Amendment to Loan and Security Agreement by and</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60" w:type="dxa"/>
            <w:vAlign w:val="bottom"/>
            <w:vMerge w:val="continue"/>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rPr>
              <w:t>10.29</w:t>
            </w: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9"/>
              </w:rPr>
              <w:t>3/16/2026</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6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201">
              <w:r>
                <w:rPr>
                  <w:rFonts w:ascii="Arial" w:cs="Arial" w:eastAsia="Arial" w:hAnsi="Arial"/>
                  <w:sz w:val="18"/>
                  <w:szCs w:val="18"/>
                  <w:color w:val="0000FF"/>
                </w:rPr>
                <w:t>between the Registrant and Silicon Valley Bank, a division</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60" w:type="dxa"/>
            <w:vAlign w:val="bottom"/>
            <w:gridSpan w:val="17"/>
          </w:tcPr>
          <w:p>
            <w:pPr>
              <w:spacing w:after="0" w:line="182" w:lineRule="exact"/>
              <w:rPr>
                <w:rFonts w:ascii="Arial" w:cs="Arial" w:eastAsia="Arial" w:hAnsi="Arial"/>
                <w:sz w:val="18"/>
                <w:szCs w:val="18"/>
                <w:color w:val="0000FF"/>
              </w:rPr>
            </w:pPr>
            <w:hyperlink r:id="rId201">
              <w:r>
                <w:rPr>
                  <w:rFonts w:ascii="Arial" w:cs="Arial" w:eastAsia="Arial" w:hAnsi="Arial"/>
                  <w:sz w:val="18"/>
                  <w:szCs w:val="18"/>
                  <w:color w:val="0000FF"/>
                </w:rPr>
                <w:t>of First-Citizens Bank &amp; Trust Company, dated January</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5"/>
              </w:rPr>
            </w:pPr>
            <w:hyperlink r:id="rId201">
              <w:r>
                <w:rPr>
                  <w:rFonts w:ascii="Arial" w:cs="Arial" w:eastAsia="Arial" w:hAnsi="Arial"/>
                  <w:sz w:val="18"/>
                  <w:szCs w:val="18"/>
                  <w:color w:val="0000FF"/>
                  <w:w w:val="95"/>
                </w:rPr>
                <w:t>11, 2026.</w:t>
              </w:r>
            </w:hyperlink>
          </w:p>
        </w:tc>
        <w:tc>
          <w:tcPr>
            <w:tcW w:w="20" w:type="dxa"/>
            <w:vAlign w:val="bottom"/>
            <w:tcBorders>
              <w:top w:val="single" w:sz="8" w:color="0000FF"/>
              <w:bottom w:val="single" w:sz="8" w:color="0000EE"/>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4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600" w:type="dxa"/>
            <w:vAlign w:val="bottom"/>
            <w:gridSpan w:val="2"/>
          </w:tcPr>
          <w:p>
            <w:pPr>
              <w:ind w:left="580"/>
              <w:spacing w:after="0"/>
              <w:rPr>
                <w:sz w:val="20"/>
                <w:szCs w:val="20"/>
                <w:color w:val="auto"/>
              </w:rPr>
            </w:pPr>
            <w:r>
              <w:rPr>
                <w:rFonts w:ascii="Arial" w:cs="Arial" w:eastAsia="Arial" w:hAnsi="Arial"/>
                <w:sz w:val="18"/>
                <w:szCs w:val="18"/>
                <w:color w:val="auto"/>
              </w:rPr>
              <w:t>10.2</w:t>
            </w:r>
          </w:p>
        </w:tc>
        <w:tc>
          <w:tcPr>
            <w:tcW w:w="4740" w:type="dxa"/>
            <w:vAlign w:val="bottom"/>
            <w:gridSpan w:val="19"/>
          </w:tcPr>
          <w:p>
            <w:pPr>
              <w:spacing w:after="0"/>
              <w:rPr>
                <w:rFonts w:ascii="Arial" w:cs="Arial" w:eastAsia="Arial" w:hAnsi="Arial"/>
                <w:sz w:val="18"/>
                <w:szCs w:val="18"/>
                <w:color w:val="0000FF"/>
              </w:rPr>
            </w:pPr>
            <w:hyperlink r:id="rId202">
              <w:r>
                <w:rPr>
                  <w:rFonts w:ascii="Arial" w:cs="Arial" w:eastAsia="Arial" w:hAnsi="Arial"/>
                  <w:sz w:val="18"/>
                  <w:szCs w:val="18"/>
                  <w:color w:val="0000FF"/>
                </w:rPr>
                <w:t>Separation and Consulting Agreement by and between the</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60" w:type="dxa"/>
            <w:vAlign w:val="bottom"/>
          </w:tcPr>
          <w:p>
            <w:pPr>
              <w:jc w:val="center"/>
              <w:ind w:right="150"/>
              <w:spacing w:after="0"/>
              <w:rPr>
                <w:sz w:val="20"/>
                <w:szCs w:val="20"/>
                <w:color w:val="auto"/>
              </w:rPr>
            </w:pPr>
            <w:r>
              <w:rPr>
                <w:rFonts w:ascii="Arial" w:cs="Arial" w:eastAsia="Arial" w:hAnsi="Arial"/>
                <w:sz w:val="18"/>
                <w:szCs w:val="18"/>
                <w:color w:val="auto"/>
                <w:w w:val="96"/>
              </w:rPr>
              <w:t>10.1</w:t>
            </w: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9"/>
              </w:rPr>
              <w:t>1/30/2026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20" w:type="dxa"/>
            <w:vAlign w:val="bottom"/>
            <w:tcBorders>
              <w:right w:val="single" w:sz="8" w:color="0000EE"/>
            </w:tcBorders>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80" w:type="dxa"/>
            <w:vAlign w:val="bottom"/>
            <w:gridSpan w:val="18"/>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Company and Shane Kovacs.</w:t>
              </w:r>
            </w:hyperlink>
          </w:p>
        </w:tc>
        <w:tc>
          <w:tcPr>
            <w:tcW w:w="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right w:val="single" w:sz="8" w:color="0000EE"/>
            </w:tcBorders>
            <w:gridSpan w:val="2"/>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0" w:type="dxa"/>
            <w:vAlign w:val="bottom"/>
            <w:gridSpan w:val="2"/>
          </w:tcPr>
          <w:p>
            <w:pPr>
              <w:ind w:left="580"/>
              <w:spacing w:after="0"/>
              <w:rPr>
                <w:sz w:val="20"/>
                <w:szCs w:val="20"/>
                <w:color w:val="auto"/>
              </w:rPr>
            </w:pPr>
            <w:r>
              <w:rPr>
                <w:rFonts w:ascii="Arial" w:cs="Arial" w:eastAsia="Arial" w:hAnsi="Arial"/>
                <w:sz w:val="18"/>
                <w:szCs w:val="18"/>
                <w:color w:val="auto"/>
              </w:rPr>
              <w:t>10.3*</w:t>
            </w:r>
          </w:p>
        </w:tc>
        <w:tc>
          <w:tcPr>
            <w:tcW w:w="4740" w:type="dxa"/>
            <w:vAlign w:val="bottom"/>
            <w:gridSpan w:val="19"/>
          </w:tcPr>
          <w:p>
            <w:pPr>
              <w:spacing w:after="0"/>
              <w:rPr>
                <w:sz w:val="20"/>
                <w:szCs w:val="20"/>
                <w:color w:val="auto"/>
              </w:rPr>
            </w:pPr>
            <w:r>
              <w:rPr>
                <w:rFonts w:ascii="Arial" w:cs="Arial" w:eastAsia="Arial" w:hAnsi="Arial"/>
                <w:sz w:val="18"/>
                <w:szCs w:val="18"/>
                <w:color w:val="0000FF"/>
              </w:rPr>
              <w:t>Olema Pharmaceuticals, Inc. Amended and Restated</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8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Non-Employee Director Compensation Policy.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right w:val="single" w:sz="8" w:color="0000EE"/>
            </w:tcBorders>
            <w:gridSpan w:val="2"/>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72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0" w:type="dxa"/>
            <w:vAlign w:val="bottom"/>
            <w:gridSpan w:val="2"/>
          </w:tcPr>
          <w:p>
            <w:pPr>
              <w:ind w:left="580"/>
              <w:spacing w:after="0"/>
              <w:rPr>
                <w:sz w:val="20"/>
                <w:szCs w:val="20"/>
                <w:color w:val="auto"/>
              </w:rPr>
            </w:pPr>
            <w:r>
              <w:rPr>
                <w:rFonts w:ascii="Arial" w:cs="Arial" w:eastAsia="Arial" w:hAnsi="Arial"/>
                <w:sz w:val="18"/>
                <w:szCs w:val="18"/>
                <w:color w:val="auto"/>
              </w:rPr>
              <w:t>10.4*¥</w:t>
            </w:r>
          </w:p>
        </w:tc>
        <w:tc>
          <w:tcPr>
            <w:tcW w:w="4740" w:type="dxa"/>
            <w:vAlign w:val="bottom"/>
            <w:gridSpan w:val="19"/>
          </w:tcPr>
          <w:p>
            <w:pPr>
              <w:spacing w:after="0"/>
              <w:rPr>
                <w:sz w:val="20"/>
                <w:szCs w:val="20"/>
                <w:color w:val="auto"/>
              </w:rPr>
            </w:pPr>
            <w:r>
              <w:rPr>
                <w:rFonts w:ascii="Arial" w:cs="Arial" w:eastAsia="Arial" w:hAnsi="Arial"/>
                <w:sz w:val="18"/>
                <w:szCs w:val="18"/>
                <w:color w:val="0000FF"/>
              </w:rPr>
              <w:t>Lease Agreement, dated April 27, 2026, between KR</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40" w:type="dxa"/>
            <w:vAlign w:val="bottom"/>
            <w:tcBorders>
              <w:top w:val="single" w:sz="8" w:color="0000FF"/>
              <w:bottom w:val="single" w:sz="8" w:color="0000EE"/>
            </w:tcBorders>
            <w:gridSpan w:val="9"/>
          </w:tcPr>
          <w:p>
            <w:pPr>
              <w:spacing w:after="0" w:line="182" w:lineRule="exact"/>
              <w:rPr>
                <w:sz w:val="20"/>
                <w:szCs w:val="20"/>
                <w:color w:val="auto"/>
              </w:rPr>
            </w:pPr>
            <w:r>
              <w:rPr>
                <w:rFonts w:ascii="Arial" w:cs="Arial" w:eastAsia="Arial" w:hAnsi="Arial"/>
                <w:sz w:val="18"/>
                <w:szCs w:val="18"/>
                <w:color w:val="0000FF"/>
                <w:w w:val="98"/>
              </w:rPr>
              <w:t>Oyster Point II, LLC and Olema Pharmaceuticals, Inc.</w:t>
            </w:r>
          </w:p>
        </w:tc>
        <w:tc>
          <w:tcPr>
            <w:tcW w:w="60" w:type="dxa"/>
            <w:vAlign w:val="bottom"/>
            <w:tcBorders>
              <w:bottom w:val="single" w:sz="8" w:color="0000EE"/>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600" w:type="dxa"/>
            <w:vAlign w:val="bottom"/>
            <w:gridSpan w:val="2"/>
          </w:tcPr>
          <w:p>
            <w:pPr>
              <w:ind w:left="580"/>
              <w:spacing w:after="0"/>
              <w:rPr>
                <w:sz w:val="20"/>
                <w:szCs w:val="20"/>
                <w:color w:val="auto"/>
              </w:rPr>
            </w:pPr>
            <w:r>
              <w:rPr>
                <w:rFonts w:ascii="Arial" w:cs="Arial" w:eastAsia="Arial" w:hAnsi="Arial"/>
                <w:sz w:val="18"/>
                <w:szCs w:val="18"/>
                <w:color w:val="auto"/>
              </w:rPr>
              <w:t>31.1*</w:t>
            </w:r>
          </w:p>
        </w:tc>
        <w:tc>
          <w:tcPr>
            <w:tcW w:w="4740" w:type="dxa"/>
            <w:vAlign w:val="bottom"/>
            <w:gridSpan w:val="19"/>
          </w:tcPr>
          <w:p>
            <w:pPr>
              <w:spacing w:after="0"/>
              <w:rPr>
                <w:sz w:val="20"/>
                <w:szCs w:val="20"/>
                <w:color w:val="auto"/>
              </w:rPr>
            </w:pPr>
            <w:r>
              <w:rPr>
                <w:rFonts w:ascii="Arial" w:cs="Arial" w:eastAsia="Arial" w:hAnsi="Arial"/>
                <w:sz w:val="18"/>
                <w:szCs w:val="18"/>
                <w:color w:val="0000FF"/>
              </w:rPr>
              <w:t>Certification of Principal Executive Officer and Principal</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0" w:type="dxa"/>
            <w:vAlign w:val="bottom"/>
            <w:tcBorders>
              <w:top w:val="single" w:sz="8" w:color="0000FF"/>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Financial Officer Pursuant to Rules 13a</w:t>
            </w:r>
            <w:r>
              <w:rPr>
                <w:rFonts w:ascii="MS PGothic" w:cs="MS PGothic" w:eastAsia="MS PGothic" w:hAnsi="MS PGothic"/>
                <w:sz w:val="18"/>
                <w:szCs w:val="18"/>
                <w:color w:val="0000FF"/>
              </w:rPr>
              <w:t>‑</w:t>
            </w:r>
            <w:r>
              <w:rPr>
                <w:rFonts w:ascii="Arial" w:cs="Arial" w:eastAsia="Arial" w:hAnsi="Arial"/>
                <w:sz w:val="18"/>
                <w:szCs w:val="18"/>
                <w:color w:val="0000FF"/>
              </w:rPr>
              <w:t>14(a) and</w:t>
            </w:r>
          </w:p>
        </w:tc>
        <w:tc>
          <w:tcPr>
            <w:tcW w:w="420" w:type="dxa"/>
            <w:vAlign w:val="bottom"/>
            <w:tcBorders>
              <w:top w:val="single" w:sz="8" w:color="0000FF"/>
            </w:tcBorders>
            <w:gridSpan w:val="5"/>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740" w:type="dxa"/>
            <w:vAlign w:val="bottom"/>
            <w:gridSpan w:val="19"/>
          </w:tcPr>
          <w:p>
            <w:pPr>
              <w:spacing w:after="0" w:line="182" w:lineRule="exact"/>
              <w:rPr>
                <w:sz w:val="20"/>
                <w:szCs w:val="20"/>
                <w:color w:val="auto"/>
              </w:rPr>
            </w:pPr>
            <w:r>
              <w:rPr>
                <w:rFonts w:ascii="Arial" w:cs="Arial" w:eastAsia="Arial" w:hAnsi="Arial"/>
                <w:sz w:val="18"/>
                <w:szCs w:val="18"/>
                <w:color w:val="0000FF"/>
              </w:rPr>
              <w:t>15d</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 1934, as</w:t>
            </w: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58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Adopted Pursuant to Section 302 of the Sarbanes-Oxley</w:t>
            </w:r>
          </w:p>
        </w:tc>
        <w:tc>
          <w:tcPr>
            <w:tcW w:w="16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52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5"/>
                <w:szCs w:val="15"/>
                <w:color w:val="auto"/>
              </w:rPr>
            </w:pPr>
          </w:p>
        </w:tc>
        <w:tc>
          <w:tcPr>
            <w:tcW w:w="20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20" w:type="dxa"/>
            <w:vAlign w:val="bottom"/>
            <w:tcBorders>
              <w:right w:val="single" w:sz="8" w:color="0000EE"/>
            </w:tcBorders>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3600" w:type="dxa"/>
            <w:vAlign w:val="bottom"/>
            <w:gridSpan w:val="1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4740" w:type="dxa"/>
            <w:vAlign w:val="bottom"/>
            <w:gridSpan w:val="19"/>
          </w:tcPr>
          <w:p>
            <w:pPr>
              <w:spacing w:after="0"/>
              <w:rPr>
                <w:sz w:val="20"/>
                <w:szCs w:val="20"/>
                <w:color w:val="auto"/>
              </w:rPr>
            </w:pPr>
            <w:r>
              <w:rPr>
                <w:rFonts w:ascii="Arial" w:cs="Arial" w:eastAsia="Arial" w:hAnsi="Arial"/>
                <w:sz w:val="18"/>
                <w:szCs w:val="18"/>
                <w:color w:val="0000FF"/>
              </w:rPr>
              <w:t>Certification of Principal Executive Officer and Principal</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20" w:type="dxa"/>
            <w:vAlign w:val="bottom"/>
            <w:gridSpan w:val="1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740" w:type="dxa"/>
            <w:vAlign w:val="bottom"/>
            <w:gridSpan w:val="19"/>
          </w:tcPr>
          <w:p>
            <w:pPr>
              <w:spacing w:after="0" w:line="182" w:lineRule="exact"/>
              <w:rPr>
                <w:sz w:val="20"/>
                <w:szCs w:val="20"/>
                <w:color w:val="auto"/>
              </w:rPr>
            </w:pPr>
            <w:r>
              <w:rPr>
                <w:rFonts w:ascii="Arial" w:cs="Arial" w:eastAsia="Arial" w:hAnsi="Arial"/>
                <w:sz w:val="18"/>
                <w:szCs w:val="18"/>
                <w:color w:val="0000FF"/>
              </w:rPr>
              <w:t>Financial Officer Pursuant to 18 U.S.C. Section 1350, as</w:t>
            </w: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54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Adopted Pursuant to Section 906 of the Sarbanes-Oxley</w:t>
            </w:r>
          </w:p>
        </w:tc>
        <w:tc>
          <w:tcPr>
            <w:tcW w:w="20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52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Act of 2002.</w:t>
            </w:r>
          </w:p>
        </w:tc>
        <w:tc>
          <w:tcPr>
            <w:tcW w:w="22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20" w:type="dxa"/>
            <w:vAlign w:val="bottom"/>
            <w:tcBorders>
              <w:right w:val="single" w:sz="8" w:color="0000EE"/>
            </w:tcBorders>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3800" w:type="dxa"/>
            <w:vAlign w:val="bottom"/>
            <w:gridSpan w:val="1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4740" w:type="dxa"/>
            <w:vAlign w:val="bottom"/>
            <w:gridSpan w:val="19"/>
          </w:tcPr>
          <w:p>
            <w:pPr>
              <w:spacing w:after="0"/>
              <w:rPr>
                <w:sz w:val="20"/>
                <w:szCs w:val="20"/>
                <w:color w:val="auto"/>
              </w:rPr>
            </w:pPr>
            <w:r>
              <w:rPr>
                <w:rFonts w:ascii="Arial" w:cs="Arial" w:eastAsia="Arial" w:hAnsi="Arial"/>
                <w:sz w:val="18"/>
                <w:szCs w:val="18"/>
                <w:color w:val="auto"/>
              </w:rPr>
              <w:t>Inline XBRL Instance Document – the instance document</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740" w:type="dxa"/>
            <w:vAlign w:val="bottom"/>
            <w:gridSpan w:val="19"/>
          </w:tcPr>
          <w:p>
            <w:pPr>
              <w:spacing w:after="0" w:line="202" w:lineRule="exact"/>
              <w:rPr>
                <w:sz w:val="20"/>
                <w:szCs w:val="20"/>
                <w:color w:val="auto"/>
              </w:rPr>
            </w:pPr>
            <w:r>
              <w:rPr>
                <w:rFonts w:ascii="Arial" w:cs="Arial" w:eastAsia="Arial" w:hAnsi="Arial"/>
                <w:sz w:val="18"/>
                <w:szCs w:val="18"/>
                <w:color w:val="auto"/>
              </w:rPr>
              <w:t>does not appear in the Interactive Data File as its XBRL</w:t>
            </w: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740" w:type="dxa"/>
            <w:vAlign w:val="bottom"/>
            <w:gridSpan w:val="19"/>
          </w:tcPr>
          <w:p>
            <w:pPr>
              <w:spacing w:after="0"/>
              <w:rPr>
                <w:sz w:val="20"/>
                <w:szCs w:val="20"/>
                <w:color w:val="auto"/>
              </w:rPr>
            </w:pPr>
            <w:r>
              <w:rPr>
                <w:rFonts w:ascii="Arial" w:cs="Arial" w:eastAsia="Arial" w:hAnsi="Arial"/>
                <w:sz w:val="18"/>
                <w:szCs w:val="18"/>
                <w:color w:val="auto"/>
              </w:rPr>
              <w:t>tags are embedded within the Inline XBRL document</w:t>
            </w: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8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474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With</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40" w:type="dxa"/>
            <w:vAlign w:val="bottom"/>
            <w:gridSpan w:val="19"/>
          </w:tcPr>
          <w:p>
            <w:pPr>
              <w:spacing w:after="0"/>
              <w:rPr>
                <w:sz w:val="20"/>
                <w:szCs w:val="20"/>
                <w:color w:val="auto"/>
              </w:rPr>
            </w:pPr>
            <w:r>
              <w:rPr>
                <w:rFonts w:ascii="Arial" w:cs="Arial" w:eastAsia="Arial" w:hAnsi="Arial"/>
                <w:sz w:val="18"/>
                <w:szCs w:val="18"/>
                <w:color w:val="auto"/>
              </w:rPr>
              <w:t>Embedded Linkbase Documents</w:t>
            </w:r>
          </w:p>
        </w:tc>
        <w:tc>
          <w:tcPr>
            <w:tcW w:w="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580" w:right="5300" w:hanging="1005"/>
        <w:spacing w:after="0" w:line="250" w:lineRule="auto"/>
        <w:tabs>
          <w:tab w:leader="none" w:pos="1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15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98" w:lineRule="exact"/>
        <w:rPr>
          <w:sz w:val="20"/>
          <w:szCs w:val="20"/>
          <w:color w:val="auto"/>
        </w:rPr>
      </w:pPr>
    </w:p>
    <w:p>
      <w:pPr>
        <w:ind w:left="480" w:hanging="471"/>
        <w:spacing w:after="0" w:line="253" w:lineRule="auto"/>
        <w:tabs>
          <w:tab w:leader="none" w:pos="41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0"/>
        <w:spacing w:after="0" w:line="271" w:lineRule="auto"/>
        <w:rPr>
          <w:sz w:val="20"/>
          <w:szCs w:val="20"/>
          <w:color w:val="auto"/>
        </w:rPr>
      </w:pPr>
      <w:r>
        <w:rPr>
          <w:rFonts w:ascii="Arial" w:cs="Arial" w:eastAsia="Arial" w:hAnsi="Arial"/>
          <w:sz w:val="18"/>
          <w:szCs w:val="18"/>
          <w:color w:val="auto"/>
        </w:rPr>
        <w:t>by reference into any of the Registrant’s filings under the Securities Act, irrespective of any general incorporation language contained in any such filing.</w:t>
      </w:r>
    </w:p>
    <w:p>
      <w:pPr>
        <w:spacing w:after="0" w:line="140" w:lineRule="exact"/>
        <w:rPr>
          <w:sz w:val="20"/>
          <w:szCs w:val="20"/>
          <w:color w:val="auto"/>
        </w:rPr>
      </w:pPr>
    </w:p>
    <w:p>
      <w:pPr>
        <w:ind w:left="480" w:right="20" w:hanging="471"/>
        <w:spacing w:after="0" w:line="271" w:lineRule="auto"/>
        <w:tabs>
          <w:tab w:leader="none" w:pos="4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Pursuant to Item 601(b)(10) of Regulation S-K, portions of this exhibit have been omitted as the Registrant has determined that the omitted information is the type that the Registrant customarily and actually treats as private or confidential and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1"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Olema Pharmaceuticals, Inc.</w:t>
      </w:r>
    </w:p>
    <w:p>
      <w:pPr>
        <w:spacing w:after="0" w:line="239" w:lineRule="exact"/>
        <w:rPr>
          <w:sz w:val="20"/>
          <w:szCs w:val="20"/>
          <w:color w:val="auto"/>
        </w:rPr>
      </w:pPr>
    </w:p>
    <w:p>
      <w:pPr>
        <w:ind w:left="20"/>
        <w:spacing w:after="0"/>
        <w:tabs>
          <w:tab w:leader="none" w:pos="5840" w:val="left"/>
          <w:tab w:leader="none" w:pos="7620" w:val="left"/>
        </w:tabs>
        <w:rPr>
          <w:sz w:val="20"/>
          <w:szCs w:val="20"/>
          <w:color w:val="auto"/>
        </w:rPr>
      </w:pPr>
      <w:r>
        <w:rPr>
          <w:rFonts w:ascii="Arial" w:cs="Arial" w:eastAsia="Arial" w:hAnsi="Arial"/>
          <w:sz w:val="18"/>
          <w:szCs w:val="18"/>
          <w:color w:val="auto"/>
        </w:rPr>
        <w:t>Date: May 12,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Sean Bohen,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8890</wp:posOffset>
            </wp:positionV>
            <wp:extent cx="31375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0"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Sean Bohen, M.D., Ph.D.</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jc w:val="center"/>
        <w:ind w:left="6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 and Principal Financial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10.3</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lema</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Each member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Olema Pharmaceuticals,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who is not also serving as an employee of the Company or any of its subsidiaries (each such member,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will receive the compensation described in this Non-Employee Director Compensation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An Eligible Director may decline all or any portion of his or her compensation by giving notice to the Company prior to the date cash is to be paid or equity awards are to be granted, as the case may be. This Policy may be amended at any time in the sole discretion of the Board, or by the Compensation Committee of the Board at the recommendation of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Cash Compensation</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his or her first quarterly installment will be pro-rated based on days served in the applicable quarter. All annual cash fees are vested upon payment.</w:t>
      </w:r>
    </w:p>
    <w:p>
      <w:pPr>
        <w:spacing w:after="0" w:line="193" w:lineRule="exact"/>
        <w:rPr>
          <w:sz w:val="20"/>
          <w:szCs w:val="20"/>
          <w:color w:val="auto"/>
        </w:rPr>
      </w:pPr>
    </w:p>
    <w:p>
      <w:pPr>
        <w:ind w:left="1200" w:hanging="390"/>
        <w:spacing w:after="0"/>
        <w:tabs>
          <w:tab w:leader="none" w:pos="12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Board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Eligible Directors: $40,000 until June 30, 2026, $45,000 thereafter</w:t>
      </w:r>
    </w:p>
    <w:p>
      <w:pPr>
        <w:ind w:left="2260" w:right="20" w:hanging="754"/>
        <w:spacing w:after="0" w:line="246" w:lineRule="auto"/>
        <w:tabs>
          <w:tab w:leader="none" w:pos="1907"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Non-executive chairperson of the Board: $70,000 until June 30, 2026, $80,000 thereafter (inclusive of Annual Board Service Retainer)</w:t>
      </w:r>
    </w:p>
    <w:p>
      <w:pPr>
        <w:spacing w:after="0" w:line="19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Member (non-Chair)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900" w:hanging="394"/>
        <w:spacing w:after="0"/>
        <w:tabs>
          <w:tab w:leader="none" w:pos="190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Audit Committee: $10,000</w:t>
      </w:r>
    </w:p>
    <w:p>
      <w:pPr>
        <w:ind w:left="1900" w:hanging="394"/>
        <w:spacing w:after="0"/>
        <w:tabs>
          <w:tab w:leader="none" w:pos="190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Compensation Committee: $7,500</w:t>
      </w:r>
    </w:p>
    <w:p>
      <w:pPr>
        <w:ind w:left="1900" w:hanging="394"/>
        <w:spacing w:after="0"/>
        <w:tabs>
          <w:tab w:leader="none" w:pos="190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Nominating and Corporate Governance Committee: $5,000</w:t>
      </w:r>
    </w:p>
    <w:p>
      <w:pPr>
        <w:ind w:left="1900" w:hanging="394"/>
        <w:spacing w:after="0"/>
        <w:tabs>
          <w:tab w:leader="none" w:pos="190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Science and Technology Committee: $7,500</w:t>
      </w:r>
    </w:p>
    <w:p>
      <w:pPr>
        <w:spacing w:after="0" w:line="207"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Chair Service Retainer (inclusive of Committee Member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900" w:hanging="394"/>
        <w:spacing w:after="0"/>
        <w:tabs>
          <w:tab w:leader="none" w:pos="190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Audit Committee: $20,000</w:t>
      </w:r>
    </w:p>
    <w:p>
      <w:pPr>
        <w:ind w:left="1900" w:hanging="394"/>
        <w:spacing w:after="0"/>
        <w:tabs>
          <w:tab w:leader="none" w:pos="190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Compensation Committee: $15,000</w:t>
      </w:r>
    </w:p>
    <w:p>
      <w:pPr>
        <w:ind w:left="1900" w:hanging="395"/>
        <w:spacing w:after="0"/>
        <w:tabs>
          <w:tab w:leader="none" w:pos="190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Nominating and Corporate Governance Committee: $10,000</w:t>
      </w:r>
    </w:p>
    <w:p>
      <w:pPr>
        <w:ind w:left="1900" w:hanging="395"/>
        <w:spacing w:after="0"/>
        <w:tabs>
          <w:tab w:leader="none" w:pos="190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Chairperson of the Science and Technology Committee: $15,000</w:t>
      </w:r>
    </w:p>
    <w:p>
      <w:pPr>
        <w:spacing w:after="0" w:line="207" w:lineRule="exact"/>
        <w:rPr>
          <w:sz w:val="20"/>
          <w:szCs w:val="20"/>
          <w:color w:val="auto"/>
        </w:rPr>
      </w:pPr>
    </w:p>
    <w:p>
      <w:pPr>
        <w:jc w:val="both"/>
        <w:ind w:firstLine="409"/>
        <w:spacing w:after="0" w:line="269" w:lineRule="auto"/>
        <w:rPr>
          <w:sz w:val="20"/>
          <w:szCs w:val="20"/>
          <w:color w:val="auto"/>
        </w:rPr>
      </w:pPr>
      <w:r>
        <w:rPr>
          <w:rFonts w:ascii="Times New Roman" w:cs="Times New Roman" w:eastAsia="Times New Roman" w:hAnsi="Times New Roman"/>
          <w:sz w:val="20"/>
          <w:szCs w:val="20"/>
          <w:color w:val="auto"/>
        </w:rPr>
        <w:t>The Company will also reimburse each of the Eligible Directors for his or her travel expenses incurred in connection with his or her attendance at Board and committee meetings. Such reimbursements shall be paid on the same date as the annual cash fees are paid.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w:t>
      </w:r>
    </w:p>
    <w:p>
      <w:pPr>
        <w:spacing w:after="0" w:line="233" w:lineRule="exact"/>
        <w:rPr>
          <w:sz w:val="20"/>
          <w:szCs w:val="20"/>
          <w:color w:val="auto"/>
        </w:rPr>
      </w:pPr>
    </w:p>
    <w:p>
      <w:pPr>
        <w:jc w:val="both"/>
        <w:ind w:firstLine="396"/>
        <w:spacing w:after="0" w:line="274" w:lineRule="auto"/>
        <w:rPr>
          <w:sz w:val="20"/>
          <w:szCs w:val="20"/>
          <w:color w:val="auto"/>
        </w:rPr>
      </w:pPr>
      <w:r>
        <w:rPr>
          <w:rFonts w:ascii="Times New Roman" w:cs="Times New Roman" w:eastAsia="Times New Roman" w:hAnsi="Times New Roman"/>
          <w:sz w:val="19"/>
          <w:szCs w:val="19"/>
          <w:color w:val="auto"/>
        </w:rPr>
        <w:t>The equity compensation set forth below will be granted under the Company’s 2020 Equity Incentive Plan, as the same may be amended or restated from time to time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Capitalized terms used below not otherwise defined in this Policy shall have the meanings given to them in the Plan All stock options granted under this Policy will be nonstatutory stock options, with an exercise price per share equal</w:t>
      </w:r>
    </w:p>
    <w:p>
      <w:pPr>
        <w:spacing w:after="0" w:line="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7" w:name="page118"/>
    <w:bookmarkEnd w:id="117"/>
    <w:p>
      <w:pPr>
        <w:jc w:val="both"/>
        <w:spacing w:after="0" w:line="249" w:lineRule="auto"/>
        <w:rPr>
          <w:sz w:val="20"/>
          <w:szCs w:val="20"/>
          <w:color w:val="auto"/>
        </w:rPr>
      </w:pPr>
      <w:r>
        <w:rPr>
          <w:rFonts w:ascii="Times New Roman" w:cs="Times New Roman" w:eastAsia="Times New Roman" w:hAnsi="Times New Roman"/>
          <w:sz w:val="20"/>
          <w:szCs w:val="20"/>
          <w:color w:val="auto"/>
        </w:rPr>
        <w:t>to 100% of the Fair Market Value (as defined in the Plan) of the underlying common stock on the date of grant, a term of 10 years from the date of grant (subject to earlier termination in connection with a termination of service as provided in the Plan), and subject to all the terms, conditions and limits set forth in the Plan and the applicable award agreement. For the avoidance of doubt, the share numbers in this Policy shall be subject to adjustment as provided in the Plan.</w:t>
      </w:r>
    </w:p>
    <w:p>
      <w:pPr>
        <w:spacing w:after="0" w:line="193" w:lineRule="exact"/>
        <w:rPr>
          <w:sz w:val="20"/>
          <w:szCs w:val="20"/>
          <w:color w:val="auto"/>
        </w:rPr>
      </w:pPr>
    </w:p>
    <w:p>
      <w:pPr>
        <w:ind w:left="1500" w:hanging="690"/>
        <w:spacing w:after="0" w:line="241" w:lineRule="auto"/>
        <w:tabs>
          <w:tab w:leader="none" w:pos="120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Grant</w:t>
      </w:r>
      <w:r>
        <w:rPr>
          <w:rFonts w:ascii="Times New Roman" w:cs="Times New Roman" w:eastAsia="Times New Roman" w:hAnsi="Times New Roman"/>
          <w:sz w:val="20"/>
          <w:szCs w:val="20"/>
          <w:color w:val="auto"/>
        </w:rPr>
        <w:t>: For each Eligible Director who is first elected or appointed to the Board after the effective date of this Policy,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to purchase a number of shares of the Company’s common stock equal to 29,500 shares of the Company’s common stock. The shares subject to each such stock option will vest monthly over a three-year period, subject to the Eligible Director’s Continuous Service on each vesting date, and will vest in full upon a Change in Control, subject to the Eligible Director’s Continuous Service through such date. In addition, on the date of such Eligible Director’s initial election or appointment to the Board (or, if such date is not a market trading day, the first market trading day thereafter), such Eligible Director shall automatically, and without further action by the Board or Compensation Committee of the Board, be granted an additional stock option representing the Annual Grant (as defined below) he or she would have received had he or she been elected to the Board at the prior annual meeting of stockholders, pro-rated for the partial year of service. For example, if an Eligible Director is appointed to the Board on December 1, 2025, and the Company’s last annual meeting were on June 1, 2026, the Eligible Director would receive an additional pro-rated grant for 50% of the Annual Grant, with such pro-rated grant vesting upon the earlier of (a) the first anniversary of the date the Annual Grants to non-employee directors were last made and (b) the next annual meeting of stockholders. Such additional option will vest in full upon a Change in Control, subject to the Eligible Director’s Continuous Service through such date.</w:t>
      </w:r>
    </w:p>
    <w:p>
      <w:pPr>
        <w:spacing w:after="0" w:line="205" w:lineRule="exact"/>
        <w:rPr>
          <w:rFonts w:ascii="Times New Roman" w:cs="Times New Roman" w:eastAsia="Times New Roman" w:hAnsi="Times New Roman"/>
          <w:sz w:val="20"/>
          <w:szCs w:val="20"/>
          <w:color w:val="auto"/>
        </w:rPr>
      </w:pPr>
    </w:p>
    <w:p>
      <w:pPr>
        <w:ind w:left="1500" w:hanging="690"/>
        <w:spacing w:after="0" w:line="243" w:lineRule="auto"/>
        <w:tabs>
          <w:tab w:leader="none" w:pos="120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Grant</w:t>
      </w:r>
      <w:r>
        <w:rPr>
          <w:rFonts w:ascii="Times New Roman" w:cs="Times New Roman" w:eastAsia="Times New Roman" w:hAnsi="Times New Roman"/>
          <w:sz w:val="20"/>
          <w:szCs w:val="20"/>
          <w:color w:val="auto"/>
        </w:rPr>
        <w:t>: On the first market trading day after each annual stockholders meeting of the Company, each Eligible Director who continues to serve as a member of the Board through and following such stockholders meeting will be automatically, and without further action by the Board or Compensation Committee of the Board, granted a stock option to purchase 29,500 shares of the Company’s common stock (the “</w:t>
      </w:r>
      <w:r>
        <w:rPr>
          <w:rFonts w:ascii="Times New Roman" w:cs="Times New Roman" w:eastAsia="Times New Roman" w:hAnsi="Times New Roman"/>
          <w:sz w:val="20"/>
          <w:szCs w:val="20"/>
          <w:b w:val="1"/>
          <w:bCs w:val="1"/>
          <w:i w:val="1"/>
          <w:iCs w:val="1"/>
          <w:color w:val="auto"/>
        </w:rPr>
        <w:t>Annual Grant</w:t>
      </w:r>
      <w:r>
        <w:rPr>
          <w:rFonts w:ascii="Times New Roman" w:cs="Times New Roman" w:eastAsia="Times New Roman" w:hAnsi="Times New Roman"/>
          <w:sz w:val="20"/>
          <w:szCs w:val="20"/>
          <w:color w:val="auto"/>
        </w:rPr>
        <w:t>”). The shares subject to each such stock option will vest monthly over a one-year period following the grant date, and will vest in full on the date of the Company’s next annual stockholders meeting if such stock option is not otherwise fully vested by such date, subject to the Eligible Director’s Continuous Service on each vesting date. Such option will vest in full upon a Change in Control, subject to the Eligible Director’s Continuous Service through such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Limits</w:t>
      </w:r>
    </w:p>
    <w:p>
      <w:pPr>
        <w:spacing w:after="0" w:line="233"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Notwithstanding anything to the contrary in this Policy, all compensation payable under this Policy will be subject to any limits on the maximum amount of Eligible Director compensation set forth in the Plan, as in effect from time to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Adopted by the Board of Directors: April 1, 2026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June 18, 2026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LEASE</w:t>
      </w:r>
    </w:p>
    <w:p>
      <w:pPr>
        <w:spacing w:after="0" w:line="21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KILROY OYSTER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KR OYSTER POINT II, LLC</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as Landlord,</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OLEMA PHARMACEUTICALS, INC.</w:t>
      </w:r>
      <w:r>
        <w:rPr>
          <w:rFonts w:ascii="Times New Roman" w:cs="Times New Roman" w:eastAsia="Times New Roman" w:hAnsi="Times New Roman"/>
          <w:sz w:val="19"/>
          <w:szCs w:val="19"/>
          <w:color w:val="auto"/>
        </w:rPr>
        <w:t>,</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1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p>
      <w:pPr>
        <w:jc w:val="right"/>
        <w:spacing w:after="0" w:line="216" w:lineRule="auto"/>
        <w:rPr>
          <w:sz w:val="20"/>
          <w:szCs w:val="20"/>
          <w:color w:val="auto"/>
        </w:rPr>
      </w:pPr>
      <w:r>
        <w:rPr>
          <w:rFonts w:ascii="Times New Roman" w:cs="Times New Roman" w:eastAsia="Times New Roman" w:hAnsi="Times New Roman"/>
          <w:sz w:val="13"/>
          <w:szCs w:val="13"/>
          <w:color w:val="auto"/>
        </w:rPr>
        <w:t>[Kilroy Oyster Point]</w:t>
      </w:r>
    </w:p>
    <w:p>
      <w:pPr>
        <w:jc w:val="right"/>
        <w:spacing w:after="0"/>
        <w:rPr>
          <w:sz w:val="20"/>
          <w:szCs w:val="20"/>
          <w:color w:val="auto"/>
        </w:rPr>
      </w:pPr>
      <w:r>
        <w:rPr>
          <w:rFonts w:ascii="Times New Roman" w:cs="Times New Roman" w:eastAsia="Times New Roman" w:hAnsi="Times New Roman"/>
          <w:sz w:val="13"/>
          <w:szCs w:val="13"/>
          <w:color w:val="auto"/>
        </w:rPr>
        <w:t>[365 Oyster Point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366395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1</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PREMISES, BUILDING, PROJECT, AND COMMON AREAS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2</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LEASE TERM</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3</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BASE RENT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4</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ADDITIONAL RENT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5</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USE OF PREMISES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6</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SERVICES AND UTILITIES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7</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REPAIRS AND MAINTENANCE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8</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ADDITIONS AND ALTERATIONS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9</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COVENANT AGAINST LIENS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10</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INDEMNIFICATION AND INSURANCE</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11</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DAMAGE AND DESTRUCTION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12</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NONWAIVER</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13</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CONDEMNATION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14</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ASSIGNMENT AND SUBLETTING</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3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15</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SURRENDER OF PREMISES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16</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HOLDING OVER</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17</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ESTOPPEL CERTIFICATES; FINANCIAL STATEMENTS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18</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SUBORDINATION AND MORTGAGEES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19</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EVENTS OF DEFAULT; REMEDIES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20</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COVENANT OF QUIET ENJOYMENT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21</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SECURITY DEPOSIT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22</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SUBSTITUTION OF OTHER PREMISES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23</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SIGNS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24</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COMPLIANCE WITH LAW</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25</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LATE CHARGES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26</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LANDLORD'S RIGHT TO CURE DEFAULT; PAYMENTS BY TENANT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27</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ENTRY BY LANDLORD</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28</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TENANT PARKING AND TRANSPORTATION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37"/>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29</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SUSTAINABILITY AND WELLNESS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338"/>
        </w:trPr>
        <w:tc>
          <w:tcPr>
            <w:tcW w:w="1380" w:type="dxa"/>
            <w:vAlign w:val="bottom"/>
          </w:tcPr>
          <w:p>
            <w:pPr>
              <w:spacing w:after="0"/>
              <w:rPr>
                <w:sz w:val="20"/>
                <w:szCs w:val="20"/>
                <w:color w:val="auto"/>
              </w:rPr>
            </w:pPr>
            <w:r>
              <w:rPr>
                <w:rFonts w:ascii="Times New Roman" w:cs="Times New Roman" w:eastAsia="Times New Roman" w:hAnsi="Times New Roman"/>
                <w:sz w:val="20"/>
                <w:szCs w:val="20"/>
                <w:color w:val="auto"/>
              </w:rPr>
              <w:t>ARTICLE 30</w:t>
            </w:r>
          </w:p>
        </w:tc>
        <w:tc>
          <w:tcPr>
            <w:tcW w:w="79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MISCELLANEOUS PROVISIONS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p>
    <w:p>
      <w:pPr>
        <w:spacing w:after="0" w:line="216"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A-1</w:t>
      </w:r>
      <w:r>
        <w:rPr>
          <w:sz w:val="20"/>
          <w:szCs w:val="20"/>
          <w:color w:val="auto"/>
        </w:rPr>
        <w:tab/>
      </w:r>
      <w:r>
        <w:rPr>
          <w:rFonts w:ascii="Times New Roman" w:cs="Times New Roman" w:eastAsia="Times New Roman" w:hAnsi="Times New Roman"/>
          <w:sz w:val="19"/>
          <w:szCs w:val="19"/>
          <w:color w:val="auto"/>
        </w:rPr>
        <w:t>OUTLINE OF PREMISES</w:t>
      </w:r>
    </w:p>
    <w:p>
      <w:pPr>
        <w:spacing w:after="0" w:line="21"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A-2</w:t>
      </w:r>
      <w:r>
        <w:rPr>
          <w:sz w:val="20"/>
          <w:szCs w:val="20"/>
          <w:color w:val="auto"/>
        </w:rPr>
        <w:tab/>
      </w:r>
      <w:r>
        <w:rPr>
          <w:rFonts w:ascii="Times New Roman" w:cs="Times New Roman" w:eastAsia="Times New Roman" w:hAnsi="Times New Roman"/>
          <w:sz w:val="19"/>
          <w:szCs w:val="19"/>
          <w:color w:val="auto"/>
        </w:rPr>
        <w:t>OUTLINE OF PROJECT AND PROJECT PHASES</w:t>
      </w: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A-3</w:t>
      </w:r>
      <w:r>
        <w:rPr>
          <w:sz w:val="20"/>
          <w:szCs w:val="20"/>
          <w:color w:val="auto"/>
        </w:rPr>
        <w:tab/>
      </w:r>
      <w:r>
        <w:rPr>
          <w:rFonts w:ascii="Times New Roman" w:cs="Times New Roman" w:eastAsia="Times New Roman" w:hAnsi="Times New Roman"/>
          <w:sz w:val="19"/>
          <w:szCs w:val="19"/>
          <w:color w:val="auto"/>
        </w:rPr>
        <w:t>BAY TRAIL OWNERSHIP MAP</w:t>
      </w: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WORK LETTER</w:t>
      </w: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NOTICE OF LEASE TERM DATES</w:t>
      </w: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RULES AND REGULATIONS</w:t>
      </w: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TENANT'S ESTOPPEL CERTIFICATE</w:t>
      </w: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EXTENSION OPTION</w:t>
      </w: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ENVIRONMENTAL QUESTIONNAIRE</w:t>
      </w: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H</w:t>
      </w:r>
      <w:r>
        <w:rPr>
          <w:sz w:val="20"/>
          <w:szCs w:val="20"/>
          <w:color w:val="auto"/>
        </w:rPr>
        <w:tab/>
      </w:r>
      <w:r>
        <w:rPr>
          <w:rFonts w:ascii="Times New Roman" w:cs="Times New Roman" w:eastAsia="Times New Roman" w:hAnsi="Times New Roman"/>
          <w:sz w:val="19"/>
          <w:szCs w:val="19"/>
          <w:color w:val="auto"/>
        </w:rPr>
        <w:t>EXISTING UNDERLYING DOCUMENTS</w:t>
      </w: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 I</w:t>
      </w:r>
      <w:r>
        <w:rPr>
          <w:sz w:val="20"/>
          <w:szCs w:val="20"/>
          <w:color w:val="auto"/>
        </w:rPr>
        <w:tab/>
      </w:r>
      <w:r>
        <w:rPr>
          <w:rFonts w:ascii="Times New Roman" w:cs="Times New Roman" w:eastAsia="Times New Roman" w:hAnsi="Times New Roman"/>
          <w:sz w:val="19"/>
          <w:szCs w:val="19"/>
          <w:color w:val="auto"/>
        </w:rPr>
        <w:t>RIGHT OF FIRST OFFER</w:t>
      </w:r>
    </w:p>
    <w:p>
      <w:pPr>
        <w:spacing w:after="0" w:line="200" w:lineRule="exact"/>
        <w:rPr>
          <w:sz w:val="20"/>
          <w:szCs w:val="20"/>
          <w:color w:val="auto"/>
        </w:rPr>
      </w:pPr>
    </w:p>
    <w:p>
      <w:pPr>
        <w:spacing w:after="0" w:line="375" w:lineRule="exact"/>
        <w:rPr>
          <w:sz w:val="20"/>
          <w:szCs w:val="20"/>
          <w:color w:val="auto"/>
        </w:rPr>
      </w:pPr>
    </w:p>
    <w:tbl>
      <w:tblPr>
        <w:tblLayout w:type="fixed"/>
        <w:tblInd w:w="554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p>
        </w:tc>
        <w:tc>
          <w:tcPr>
            <w:tcW w:w="3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2180" w:type="dxa"/>
            <w:vAlign w:val="bottom"/>
            <w:vMerge w:val="continue"/>
          </w:tcPr>
          <w:p>
            <w:pPr>
              <w:spacing w:after="0"/>
              <w:rPr>
                <w:sz w:val="14"/>
                <w:szCs w:val="14"/>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365760</wp:posOffset>
            </wp:positionV>
            <wp:extent cx="33655" cy="10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33655" cy="10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365760</wp:posOffset>
            </wp:positionV>
            <wp:extent cx="34290" cy="10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34290" cy="10160"/>
                    </a:xfrm>
                    <a:prstGeom prst="rect">
                      <a:avLst/>
                    </a:prstGeom>
                    <a:noFill/>
                  </pic:spPr>
                </pic:pic>
              </a:graphicData>
            </a:graphic>
          </wp:anchor>
        </w:drawing>
      </w:r>
    </w:p>
    <w:p>
      <w:pPr>
        <w:sectPr>
          <w:pgSz w:w="11900" w:h="16838" w:orient="portrait"/>
          <w:cols w:equalWidth="0" w:num="1">
            <w:col w:w="11240"/>
          </w:cols>
          <w:pgMar w:left="320" w:top="761" w:right="339" w:bottom="166"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57720"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LEASE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This Lease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xml:space="preserve">"), dated as of the Effective Date set forth in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of the Summary of Basic Lease Information below (the "</w:t>
      </w:r>
      <w:r>
        <w:rPr>
          <w:rFonts w:ascii="Times New Roman" w:cs="Times New Roman" w:eastAsia="Times New Roman" w:hAnsi="Times New Roman"/>
          <w:sz w:val="20"/>
          <w:szCs w:val="20"/>
          <w:b w:val="1"/>
          <w:bCs w:val="1"/>
          <w:color w:val="auto"/>
        </w:rPr>
        <w:t>Summary</w:t>
      </w:r>
      <w:r>
        <w:rPr>
          <w:rFonts w:ascii="Times New Roman" w:cs="Times New Roman" w:eastAsia="Times New Roman" w:hAnsi="Times New Roman"/>
          <w:sz w:val="20"/>
          <w:szCs w:val="20"/>
          <w:color w:val="auto"/>
        </w:rPr>
        <w:t xml:space="preserve">"), is made by and between </w:t>
      </w:r>
      <w:r>
        <w:rPr>
          <w:rFonts w:ascii="Times New Roman" w:cs="Times New Roman" w:eastAsia="Times New Roman" w:hAnsi="Times New Roman"/>
          <w:sz w:val="20"/>
          <w:szCs w:val="20"/>
          <w:b w:val="1"/>
          <w:bCs w:val="1"/>
          <w:color w:val="auto"/>
        </w:rPr>
        <w:t>KR OYSTER POINT II,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OLEMA PHARMACEUTICALS,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The Tenant originally named in the foregoing sentence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referred to in this Lease as the "</w:t>
      </w:r>
      <w:r>
        <w:rPr>
          <w:rFonts w:ascii="Times New Roman" w:cs="Times New Roman" w:eastAsia="Times New Roman" w:hAnsi="Times New Roman"/>
          <w:sz w:val="20"/>
          <w:szCs w:val="20"/>
          <w:b w:val="1"/>
          <w:bCs w:val="1"/>
          <w:color w:val="auto"/>
        </w:rPr>
        <w:t>Original Tenant</w:t>
      </w:r>
      <w:r>
        <w:rPr>
          <w:rFonts w:ascii="Times New Roman" w:cs="Times New Roman" w:eastAsia="Times New Roman" w:hAnsi="Times New Roman"/>
          <w:sz w:val="20"/>
          <w:szCs w:val="20"/>
          <w:color w:val="auto"/>
        </w:rPr>
        <w:t>".</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8"/>
              </w:rPr>
              <w:t>SUMMARY OF BASIC LEASE INFORMATION</w:t>
            </w:r>
          </w:p>
        </w:tc>
      </w:tr>
      <w:tr>
        <w:trPr>
          <w:trHeight w:val="426"/>
        </w:trPr>
        <w:tc>
          <w:tcPr>
            <w:tcW w:w="340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TERMS OF LEASE</w:t>
            </w:r>
          </w:p>
        </w:tc>
        <w:tc>
          <w:tcPr>
            <w:tcW w:w="4260" w:type="dxa"/>
            <w:vAlign w:val="bottom"/>
            <w:gridSpan w:val="3"/>
          </w:tcPr>
          <w:p>
            <w:pPr>
              <w:ind w:left="1780"/>
              <w:spacing w:after="0"/>
              <w:rPr>
                <w:sz w:val="20"/>
                <w:szCs w:val="20"/>
                <w:color w:val="auto"/>
              </w:rPr>
            </w:pPr>
            <w:r>
              <w:rPr>
                <w:rFonts w:ascii="Times New Roman" w:cs="Times New Roman" w:eastAsia="Times New Roman" w:hAnsi="Times New Roman"/>
                <w:sz w:val="20"/>
                <w:szCs w:val="20"/>
                <w:color w:val="auto"/>
              </w:rPr>
              <w:t>DESCRIPTION</w:t>
            </w:r>
          </w:p>
        </w:tc>
      </w:tr>
      <w:tr>
        <w:trPr>
          <w:trHeight w:val="20"/>
        </w:trPr>
        <w:tc>
          <w:tcPr>
            <w:tcW w:w="3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72"/>
        </w:trPr>
        <w:tc>
          <w:tcPr>
            <w:tcW w:w="3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tc>
        <w:tc>
          <w:tcPr>
            <w:tcW w:w="4260" w:type="dxa"/>
            <w:vAlign w:val="bottom"/>
            <w:gridSpan w:val="3"/>
          </w:tcPr>
          <w:p>
            <w:pPr>
              <w:ind w:left="1780"/>
              <w:spacing w:after="0"/>
              <w:rPr>
                <w:sz w:val="20"/>
                <w:szCs w:val="20"/>
                <w:color w:val="auto"/>
              </w:rPr>
            </w:pPr>
            <w:r>
              <w:rPr>
                <w:rFonts w:ascii="Times New Roman" w:cs="Times New Roman" w:eastAsia="Times New Roman" w:hAnsi="Times New Roman"/>
                <w:sz w:val="20"/>
                <w:szCs w:val="20"/>
                <w:color w:val="auto"/>
              </w:rPr>
              <w:t>April 27, 2026.</w:t>
            </w:r>
          </w:p>
        </w:tc>
      </w:tr>
    </w:tbl>
    <w:p>
      <w:pPr>
        <w:spacing w:after="0" w:line="187" w:lineRule="exact"/>
        <w:rPr>
          <w:sz w:val="20"/>
          <w:szCs w:val="20"/>
          <w:color w:val="auto"/>
        </w:rPr>
      </w:pPr>
    </w:p>
    <w:p>
      <w:pPr>
        <w:ind w:left="160" w:right="8500" w:hanging="55"/>
        <w:spacing w:after="0" w:line="269" w:lineRule="auto"/>
        <w:tabs>
          <w:tab w:leader="none" w:pos="50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Premises; Building; Project: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w:t>
      </w:r>
    </w:p>
    <w:p>
      <w:pPr>
        <w:spacing w:after="0" w:line="13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2.1</w:t>
            </w:r>
          </w:p>
        </w:tc>
        <w:tc>
          <w:tcPr>
            <w:tcW w:w="4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w:t>
            </w:r>
          </w:p>
        </w:tc>
        <w:tc>
          <w:tcPr>
            <w:tcW w:w="5860" w:type="dxa"/>
            <w:vAlign w:val="bottom"/>
            <w:gridSpan w:val="15"/>
          </w:tcPr>
          <w:p>
            <w:pPr>
              <w:ind w:left="260"/>
              <w:spacing w:after="0"/>
              <w:rPr>
                <w:sz w:val="20"/>
                <w:szCs w:val="20"/>
                <w:color w:val="auto"/>
              </w:rPr>
            </w:pPr>
            <w:r>
              <w:rPr>
                <w:rFonts w:ascii="Times New Roman" w:cs="Times New Roman" w:eastAsia="Times New Roman" w:hAnsi="Times New Roman"/>
                <w:sz w:val="20"/>
                <w:szCs w:val="20"/>
                <w:color w:val="auto"/>
                <w:w w:val="99"/>
              </w:rPr>
              <w:t>An aggregate of 38,176 rentable square feet of space, consisting of (i)</w:t>
            </w:r>
          </w:p>
        </w:tc>
      </w:tr>
      <w:tr>
        <w:trPr>
          <w:trHeight w:val="254"/>
        </w:trPr>
        <w:tc>
          <w:tcPr>
            <w:tcW w:w="3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860" w:type="dxa"/>
            <w:vAlign w:val="bottom"/>
            <w:gridSpan w:val="15"/>
          </w:tcPr>
          <w:p>
            <w:pPr>
              <w:ind w:left="260"/>
              <w:spacing w:after="0" w:line="253" w:lineRule="exact"/>
              <w:rPr>
                <w:sz w:val="20"/>
                <w:szCs w:val="20"/>
                <w:color w:val="auto"/>
              </w:rPr>
            </w:pPr>
            <w:r>
              <w:rPr>
                <w:rFonts w:ascii="Times New Roman" w:cs="Times New Roman" w:eastAsia="Times New Roman" w:hAnsi="Times New Roman"/>
                <w:sz w:val="20"/>
                <w:szCs w:val="20"/>
                <w:color w:val="auto"/>
                <w:w w:val="98"/>
              </w:rPr>
              <w:t>25,048 rentable square feet of space located on the fourth (4</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20"/>
                <w:szCs w:val="20"/>
                <w:color w:val="auto"/>
                <w:w w:val="98"/>
              </w:rPr>
              <w:t>) floor of</w:t>
            </w:r>
          </w:p>
        </w:tc>
      </w:tr>
      <w:tr>
        <w:trPr>
          <w:trHeight w:val="230"/>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gridSpan w:val="15"/>
          </w:tcPr>
          <w:p>
            <w:pPr>
              <w:ind w:left="260"/>
              <w:spacing w:after="0"/>
              <w:rPr>
                <w:sz w:val="20"/>
                <w:szCs w:val="20"/>
                <w:color w:val="auto"/>
              </w:rPr>
            </w:pPr>
            <w:r>
              <w:rPr>
                <w:rFonts w:ascii="Times New Roman" w:cs="Times New Roman" w:eastAsia="Times New Roman" w:hAnsi="Times New Roman"/>
                <w:sz w:val="20"/>
                <w:szCs w:val="20"/>
                <w:color w:val="auto"/>
              </w:rPr>
              <w:t>the Building and commonly known as Suite 400 ("</w:t>
            </w:r>
            <w:r>
              <w:rPr>
                <w:rFonts w:ascii="Times New Roman" w:cs="Times New Roman" w:eastAsia="Times New Roman" w:hAnsi="Times New Roman"/>
                <w:sz w:val="20"/>
                <w:szCs w:val="20"/>
                <w:b w:val="1"/>
                <w:bCs w:val="1"/>
                <w:color w:val="auto"/>
              </w:rPr>
              <w:t>Phase I</w:t>
            </w:r>
          </w:p>
        </w:tc>
      </w:tr>
      <w:tr>
        <w:trPr>
          <w:trHeight w:val="205"/>
        </w:trPr>
        <w:tc>
          <w:tcPr>
            <w:tcW w:w="3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5860" w:type="dxa"/>
            <w:vAlign w:val="bottom"/>
            <w:gridSpan w:val="15"/>
          </w:tcPr>
          <w:p>
            <w:pPr>
              <w:ind w:left="260"/>
              <w:spacing w:after="0" w:line="206" w:lineRule="exact"/>
              <w:rPr>
                <w:sz w:val="20"/>
                <w:szCs w:val="20"/>
                <w:color w:val="auto"/>
              </w:rPr>
            </w:pP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and (ii) 13,128 rentable square feet of space located on</w:t>
            </w:r>
          </w:p>
        </w:tc>
      </w:tr>
      <w:tr>
        <w:trPr>
          <w:trHeight w:val="254"/>
        </w:trPr>
        <w:tc>
          <w:tcPr>
            <w:tcW w:w="3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860" w:type="dxa"/>
            <w:vAlign w:val="bottom"/>
            <w:gridSpan w:val="15"/>
          </w:tcPr>
          <w:p>
            <w:pPr>
              <w:ind w:left="260"/>
              <w:spacing w:after="0" w:line="253" w:lineRule="exact"/>
              <w:rPr>
                <w:sz w:val="20"/>
                <w:szCs w:val="20"/>
                <w:color w:val="auto"/>
              </w:rPr>
            </w:pPr>
            <w:r>
              <w:rPr>
                <w:rFonts w:ascii="Times New Roman" w:cs="Times New Roman" w:eastAsia="Times New Roman" w:hAnsi="Times New Roman"/>
                <w:sz w:val="20"/>
                <w:szCs w:val="20"/>
                <w:color w:val="auto"/>
                <w:w w:val="99"/>
              </w:rPr>
              <w:t>the fifth (5</w:t>
            </w:r>
            <w:r>
              <w:rPr>
                <w:rFonts w:ascii="Times New Roman" w:cs="Times New Roman" w:eastAsia="Times New Roman" w:hAnsi="Times New Roman"/>
                <w:sz w:val="26"/>
                <w:szCs w:val="26"/>
                <w:color w:val="auto"/>
                <w:w w:val="99"/>
                <w:vertAlign w:val="superscript"/>
              </w:rPr>
              <w:t>th</w:t>
            </w:r>
            <w:r>
              <w:rPr>
                <w:rFonts w:ascii="Times New Roman" w:cs="Times New Roman" w:eastAsia="Times New Roman" w:hAnsi="Times New Roman"/>
                <w:sz w:val="20"/>
                <w:szCs w:val="20"/>
                <w:color w:val="auto"/>
                <w:w w:val="99"/>
              </w:rPr>
              <w:t>) floor of the Building and commonly known as Suite 525</w:t>
            </w:r>
          </w:p>
        </w:tc>
      </w:tr>
      <w:tr>
        <w:trPr>
          <w:trHeight w:val="216"/>
        </w:trPr>
        <w:tc>
          <w:tcPr>
            <w:tcW w:w="3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860" w:type="dxa"/>
            <w:vAlign w:val="bottom"/>
            <w:gridSpan w:val="15"/>
          </w:tcPr>
          <w:p>
            <w:pPr>
              <w:ind w:left="260"/>
              <w:spacing w:after="0" w:line="21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Phase II Premises</w:t>
            </w:r>
            <w:r>
              <w:rPr>
                <w:rFonts w:ascii="Times New Roman" w:cs="Times New Roman" w:eastAsia="Times New Roman" w:hAnsi="Times New Roman"/>
                <w:sz w:val="20"/>
                <w:szCs w:val="20"/>
                <w:color w:val="auto"/>
              </w:rPr>
              <w:t xml:space="preserve">"), each as further depicted on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to this</w:t>
            </w:r>
          </w:p>
        </w:tc>
      </w:tr>
      <w:tr>
        <w:trPr>
          <w:trHeight w:val="20"/>
        </w:trPr>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860" w:type="dxa"/>
            <w:vAlign w:val="bottom"/>
            <w:gridSpan w:val="15"/>
          </w:tcPr>
          <w:p>
            <w:pPr>
              <w:ind w:left="260"/>
              <w:spacing w:after="0" w:line="209" w:lineRule="exact"/>
              <w:rPr>
                <w:sz w:val="20"/>
                <w:szCs w:val="20"/>
                <w:color w:val="auto"/>
              </w:rPr>
            </w:pPr>
            <w:r>
              <w:rPr>
                <w:rFonts w:ascii="Times New Roman" w:cs="Times New Roman" w:eastAsia="Times New Roman" w:hAnsi="Times New Roman"/>
                <w:sz w:val="20"/>
                <w:szCs w:val="20"/>
                <w:color w:val="auto"/>
                <w:w w:val="99"/>
              </w:rPr>
              <w:t>Lease and described in Section 1.1.1 below. The Phase I Premises and</w:t>
            </w:r>
          </w:p>
        </w:tc>
      </w:tr>
      <w:tr>
        <w:trPr>
          <w:trHeight w:val="20"/>
        </w:trPr>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6"/>
        </w:trPr>
        <w:tc>
          <w:tcPr>
            <w:tcW w:w="3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860" w:type="dxa"/>
            <w:vAlign w:val="bottom"/>
            <w:gridSpan w:val="15"/>
          </w:tcPr>
          <w:p>
            <w:pPr>
              <w:ind w:left="260"/>
              <w:spacing w:after="0"/>
              <w:rPr>
                <w:sz w:val="20"/>
                <w:szCs w:val="20"/>
                <w:color w:val="auto"/>
              </w:rPr>
            </w:pPr>
            <w:r>
              <w:rPr>
                <w:rFonts w:ascii="Times New Roman" w:cs="Times New Roman" w:eastAsia="Times New Roman" w:hAnsi="Times New Roman"/>
                <w:sz w:val="20"/>
                <w:szCs w:val="20"/>
                <w:color w:val="auto"/>
              </w:rPr>
              <w:t>the Phase II Premises are each a "</w:t>
            </w:r>
            <w:r>
              <w:rPr>
                <w:rFonts w:ascii="Times New Roman" w:cs="Times New Roman" w:eastAsia="Times New Roman" w:hAnsi="Times New Roman"/>
                <w:sz w:val="20"/>
                <w:szCs w:val="20"/>
                <w:b w:val="1"/>
                <w:bCs w:val="1"/>
                <w:color w:val="auto"/>
              </w:rPr>
              <w:t>Phase</w:t>
            </w:r>
            <w:r>
              <w:rPr>
                <w:rFonts w:ascii="Times New Roman" w:cs="Times New Roman" w:eastAsia="Times New Roman" w:hAnsi="Times New Roman"/>
                <w:sz w:val="20"/>
                <w:szCs w:val="20"/>
                <w:color w:val="auto"/>
              </w:rPr>
              <w:t>".</w:t>
            </w:r>
          </w:p>
        </w:tc>
      </w:tr>
      <w:tr>
        <w:trPr>
          <w:trHeight w:val="417"/>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4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w:t>
            </w:r>
          </w:p>
        </w:tc>
        <w:tc>
          <w:tcPr>
            <w:tcW w:w="586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That certain building commonly known as "Building F" with the street</w:t>
            </w:r>
          </w:p>
        </w:tc>
      </w:tr>
      <w:tr>
        <w:trPr>
          <w:trHeight w:val="229"/>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address of 365 Oyster Point Blvd., South San Francisco, California. The</w:t>
            </w:r>
          </w:p>
        </w:tc>
      </w:tr>
      <w:tr>
        <w:trPr>
          <w:trHeight w:val="258"/>
        </w:trPr>
        <w:tc>
          <w:tcPr>
            <w:tcW w:w="3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86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Building contains approximately 272,333 rentable square feet of space.</w:t>
            </w:r>
          </w:p>
        </w:tc>
      </w:tr>
      <w:tr>
        <w:trPr>
          <w:trHeight w:val="413"/>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4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Project</w:t>
            </w:r>
            <w:r>
              <w:rPr>
                <w:rFonts w:ascii="Times New Roman" w:cs="Times New Roman" w:eastAsia="Times New Roman" w:hAnsi="Times New Roman"/>
                <w:sz w:val="20"/>
                <w:szCs w:val="20"/>
                <w:color w:val="auto"/>
              </w:rPr>
              <w:t>":</w:t>
            </w:r>
          </w:p>
        </w:tc>
        <w:tc>
          <w:tcPr>
            <w:tcW w:w="5860" w:type="dxa"/>
            <w:vAlign w:val="bottom"/>
            <w:gridSpan w:val="15"/>
          </w:tcPr>
          <w:p>
            <w:pPr>
              <w:spacing w:after="0" w:line="230" w:lineRule="exact"/>
              <w:rPr>
                <w:sz w:val="20"/>
                <w:szCs w:val="20"/>
                <w:color w:val="auto"/>
              </w:rPr>
            </w:pPr>
            <w:r>
              <w:rPr>
                <w:rFonts w:ascii="Times New Roman" w:cs="Times New Roman" w:eastAsia="Times New Roman" w:hAnsi="Times New Roman"/>
                <w:sz w:val="20"/>
                <w:szCs w:val="20"/>
                <w:color w:val="auto"/>
              </w:rPr>
              <w:t xml:space="preserve">That certain project within the area depicted on </w:t>
            </w:r>
            <w:r>
              <w:rPr>
                <w:rFonts w:ascii="Times New Roman" w:cs="Times New Roman" w:eastAsia="Times New Roman" w:hAnsi="Times New Roman"/>
                <w:sz w:val="20"/>
                <w:szCs w:val="20"/>
                <w:b w:val="1"/>
                <w:bCs w:val="1"/>
                <w:color w:val="auto"/>
              </w:rPr>
              <w:t>Exhibit 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color w:val="auto"/>
              </w:rPr>
              <w:t xml:space="preserve"> attached</w:t>
            </w:r>
          </w:p>
        </w:tc>
      </w:tr>
      <w:tr>
        <w:trPr>
          <w:trHeight w:val="20"/>
        </w:trPr>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gridSpan w:val="15"/>
          </w:tcPr>
          <w:p>
            <w:pPr>
              <w:spacing w:after="0" w:line="228" w:lineRule="exact"/>
              <w:rPr>
                <w:sz w:val="20"/>
                <w:szCs w:val="20"/>
                <w:color w:val="auto"/>
              </w:rPr>
            </w:pPr>
            <w:r>
              <w:rPr>
                <w:rFonts w:ascii="Times New Roman" w:cs="Times New Roman" w:eastAsia="Times New Roman" w:hAnsi="Times New Roman"/>
                <w:sz w:val="20"/>
                <w:szCs w:val="20"/>
                <w:color w:val="auto"/>
              </w:rPr>
              <w:t>hereto (the "</w:t>
            </w:r>
            <w:r>
              <w:rPr>
                <w:rFonts w:ascii="Times New Roman" w:cs="Times New Roman" w:eastAsia="Times New Roman" w:hAnsi="Times New Roman"/>
                <w:sz w:val="20"/>
                <w:szCs w:val="20"/>
                <w:b w:val="1"/>
                <w:bCs w:val="1"/>
                <w:color w:val="auto"/>
              </w:rPr>
              <w:t>Project</w:t>
            </w:r>
            <w:r>
              <w:rPr>
                <w:rFonts w:ascii="Times New Roman" w:cs="Times New Roman" w:eastAsia="Times New Roman" w:hAnsi="Times New Roman"/>
                <w:sz w:val="20"/>
                <w:szCs w:val="20"/>
                <w:color w:val="auto"/>
              </w:rPr>
              <w:t>") commonly known as "Oyster Point" located in</w:t>
            </w:r>
          </w:p>
        </w:tc>
      </w:tr>
      <w:tr>
        <w:trPr>
          <w:trHeight w:val="198"/>
        </w:trPr>
        <w:tc>
          <w:tcPr>
            <w:tcW w:w="3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5860" w:type="dxa"/>
            <w:vAlign w:val="bottom"/>
            <w:gridSpan w:val="15"/>
          </w:tcPr>
          <w:p>
            <w:pPr>
              <w:spacing w:after="0" w:line="198" w:lineRule="exact"/>
              <w:rPr>
                <w:sz w:val="20"/>
                <w:szCs w:val="20"/>
                <w:color w:val="auto"/>
              </w:rPr>
            </w:pPr>
            <w:r>
              <w:rPr>
                <w:rFonts w:ascii="Times New Roman" w:cs="Times New Roman" w:eastAsia="Times New Roman" w:hAnsi="Times New Roman"/>
                <w:sz w:val="20"/>
                <w:szCs w:val="20"/>
                <w:color w:val="auto"/>
              </w:rPr>
              <w:t>South San Francisco, California, which is comprised of (i) up to five (5)</w:t>
            </w:r>
          </w:p>
        </w:tc>
      </w:tr>
      <w:tr>
        <w:trPr>
          <w:trHeight w:val="257"/>
        </w:trPr>
        <w:tc>
          <w:tcPr>
            <w:tcW w:w="3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860" w:type="dxa"/>
            <w:vAlign w:val="bottom"/>
            <w:gridSpan w:val="15"/>
          </w:tcPr>
          <w:p>
            <w:pPr>
              <w:spacing w:after="0" w:line="230" w:lineRule="exact"/>
              <w:rPr>
                <w:sz w:val="20"/>
                <w:szCs w:val="20"/>
                <w:color w:val="auto"/>
              </w:rPr>
            </w:pPr>
            <w:r>
              <w:rPr>
                <w:rFonts w:ascii="Times New Roman" w:cs="Times New Roman" w:eastAsia="Times New Roman" w:hAnsi="Times New Roman"/>
                <w:sz w:val="20"/>
                <w:szCs w:val="20"/>
                <w:color w:val="auto"/>
                <w:w w:val="99"/>
              </w:rPr>
              <w:t xml:space="preserve">phases each as depicted on </w:t>
            </w:r>
            <w:r>
              <w:rPr>
                <w:rFonts w:ascii="Times New Roman" w:cs="Times New Roman" w:eastAsia="Times New Roman" w:hAnsi="Times New Roman"/>
                <w:sz w:val="20"/>
                <w:szCs w:val="20"/>
                <w:b w:val="1"/>
                <w:bCs w:val="1"/>
                <w:color w:val="auto"/>
                <w:w w:val="99"/>
              </w:rPr>
              <w:t>Exhibit A</w:t>
            </w:r>
            <w:r>
              <w:rPr>
                <w:rFonts w:ascii="MS PGothic" w:cs="MS PGothic" w:eastAsia="MS PGothic" w:hAnsi="MS PGothic"/>
                <w:sz w:val="20"/>
                <w:szCs w:val="20"/>
                <w:color w:val="auto"/>
                <w:strike w:val="1"/>
                <w:w w:val="99"/>
              </w:rPr>
              <w:t>‑</w:t>
            </w:r>
            <w:r>
              <w:rPr>
                <w:rFonts w:ascii="Times New Roman" w:cs="Times New Roman" w:eastAsia="Times New Roman" w:hAnsi="Times New Roman"/>
                <w:sz w:val="20"/>
                <w:szCs w:val="20"/>
                <w:b w:val="1"/>
                <w:bCs w:val="1"/>
                <w:color w:val="auto"/>
                <w:w w:val="99"/>
              </w:rPr>
              <w:t>2</w:t>
            </w:r>
            <w:r>
              <w:rPr>
                <w:rFonts w:ascii="Times New Roman" w:cs="Times New Roman" w:eastAsia="Times New Roman" w:hAnsi="Times New Roman"/>
                <w:sz w:val="20"/>
                <w:szCs w:val="20"/>
                <w:color w:val="auto"/>
                <w:w w:val="99"/>
              </w:rPr>
              <w:t xml:space="preserve"> attached hereto (each, a "</w:t>
            </w:r>
            <w:r>
              <w:rPr>
                <w:rFonts w:ascii="Times New Roman" w:cs="Times New Roman" w:eastAsia="Times New Roman" w:hAnsi="Times New Roman"/>
                <w:sz w:val="20"/>
                <w:szCs w:val="20"/>
                <w:b w:val="1"/>
                <w:bCs w:val="1"/>
                <w:color w:val="auto"/>
                <w:w w:val="99"/>
              </w:rPr>
              <w:t>Project</w:t>
            </w:r>
          </w:p>
        </w:tc>
      </w:tr>
      <w:tr>
        <w:trPr>
          <w:trHeight w:val="20"/>
        </w:trPr>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7"/>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gridSpan w:val="15"/>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Phase</w:t>
            </w:r>
            <w:r>
              <w:rPr>
                <w:rFonts w:ascii="Times New Roman" w:cs="Times New Roman" w:eastAsia="Times New Roman" w:hAnsi="Times New Roman"/>
                <w:sz w:val="20"/>
                <w:szCs w:val="20"/>
                <w:color w:val="auto"/>
              </w:rPr>
              <w:t>"), (ii) the buildings and improvements within each Project Phase,</w:t>
            </w:r>
          </w:p>
        </w:tc>
      </w:tr>
      <w:tr>
        <w:trPr>
          <w:trHeight w:val="226"/>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gridSpan w:val="15"/>
          </w:tcPr>
          <w:p>
            <w:pPr>
              <w:spacing w:after="0" w:line="226" w:lineRule="exact"/>
              <w:rPr>
                <w:sz w:val="20"/>
                <w:szCs w:val="20"/>
                <w:color w:val="auto"/>
              </w:rPr>
            </w:pPr>
            <w:r>
              <w:rPr>
                <w:rFonts w:ascii="Times New Roman" w:cs="Times New Roman" w:eastAsia="Times New Roman" w:hAnsi="Times New Roman"/>
                <w:sz w:val="20"/>
                <w:szCs w:val="20"/>
                <w:color w:val="auto"/>
              </w:rPr>
              <w:t>comprised of (a) the three (3) buildings and improvements located in</w:t>
            </w:r>
          </w:p>
        </w:tc>
      </w:tr>
      <w:tr>
        <w:trPr>
          <w:trHeight w:val="233"/>
        </w:trPr>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586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Project Phase 2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Building (as defined herein), Parking Facilities</w:t>
            </w:r>
          </w:p>
        </w:tc>
      </w:tr>
      <w:tr>
        <w:trPr>
          <w:trHeight w:val="198"/>
        </w:trPr>
        <w:tc>
          <w:tcPr>
            <w:tcW w:w="3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5860" w:type="dxa"/>
            <w:vAlign w:val="bottom"/>
            <w:gridSpan w:val="15"/>
          </w:tcPr>
          <w:p>
            <w:pPr>
              <w:spacing w:after="0" w:line="198" w:lineRule="exact"/>
              <w:rPr>
                <w:sz w:val="20"/>
                <w:szCs w:val="20"/>
                <w:color w:val="auto"/>
              </w:rPr>
            </w:pPr>
            <w:r>
              <w:rPr>
                <w:rFonts w:ascii="Times New Roman" w:cs="Times New Roman" w:eastAsia="Times New Roman" w:hAnsi="Times New Roman"/>
                <w:sz w:val="20"/>
                <w:szCs w:val="20"/>
                <w:color w:val="auto"/>
              </w:rPr>
              <w:t>(as defined herein), and Building D and Building E (each as defined</w:t>
            </w:r>
          </w:p>
        </w:tc>
      </w:tr>
      <w:tr>
        <w:trPr>
          <w:trHeight w:val="257"/>
        </w:trPr>
        <w:tc>
          <w:tcPr>
            <w:tcW w:w="3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860" w:type="dxa"/>
            <w:vAlign w:val="bottom"/>
            <w:gridSpan w:val="15"/>
          </w:tcPr>
          <w:p>
            <w:pPr>
              <w:spacing w:after="0" w:line="230" w:lineRule="exact"/>
              <w:rPr>
                <w:sz w:val="20"/>
                <w:szCs w:val="20"/>
                <w:color w:val="auto"/>
              </w:rPr>
            </w:pPr>
            <w:r>
              <w:rPr>
                <w:rFonts w:ascii="Times New Roman" w:cs="Times New Roman" w:eastAsia="Times New Roman" w:hAnsi="Times New Roman"/>
                <w:sz w:val="20"/>
                <w:szCs w:val="20"/>
                <w:color w:val="auto"/>
                <w:w w:val="98"/>
              </w:rPr>
              <w:t xml:space="preserve">herein)) each as depicted on </w:t>
            </w:r>
            <w:r>
              <w:rPr>
                <w:rFonts w:ascii="Times New Roman" w:cs="Times New Roman" w:eastAsia="Times New Roman" w:hAnsi="Times New Roman"/>
                <w:sz w:val="20"/>
                <w:szCs w:val="20"/>
                <w:b w:val="1"/>
                <w:bCs w:val="1"/>
                <w:color w:val="auto"/>
                <w:w w:val="98"/>
              </w:rPr>
              <w:t>Exhibit A</w:t>
            </w:r>
            <w:r>
              <w:rPr>
                <w:rFonts w:ascii="MS PGothic" w:cs="MS PGothic" w:eastAsia="MS PGothic" w:hAnsi="MS PGothic"/>
                <w:sz w:val="20"/>
                <w:szCs w:val="20"/>
                <w:color w:val="auto"/>
                <w:strike w:val="1"/>
                <w:w w:val="98"/>
              </w:rPr>
              <w:t>‑</w:t>
            </w:r>
            <w:r>
              <w:rPr>
                <w:rFonts w:ascii="Times New Roman" w:cs="Times New Roman" w:eastAsia="Times New Roman" w:hAnsi="Times New Roman"/>
                <w:sz w:val="20"/>
                <w:szCs w:val="20"/>
                <w:b w:val="1"/>
                <w:bCs w:val="1"/>
                <w:color w:val="auto"/>
                <w:w w:val="98"/>
              </w:rPr>
              <w:t>2</w:t>
            </w:r>
            <w:r>
              <w:rPr>
                <w:rFonts w:ascii="Times New Roman" w:cs="Times New Roman" w:eastAsia="Times New Roman" w:hAnsi="Times New Roman"/>
                <w:sz w:val="20"/>
                <w:szCs w:val="20"/>
                <w:color w:val="auto"/>
                <w:w w:val="98"/>
              </w:rPr>
              <w:t xml:space="preserve"> attached hereto (Building D and</w:t>
            </w:r>
          </w:p>
        </w:tc>
      </w:tr>
      <w:tr>
        <w:trPr>
          <w:trHeight w:val="20"/>
        </w:trPr>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gridSpan w:val="15"/>
          </w:tcPr>
          <w:p>
            <w:pPr>
              <w:spacing w:after="0" w:line="223" w:lineRule="exact"/>
              <w:rPr>
                <w:sz w:val="20"/>
                <w:szCs w:val="20"/>
                <w:color w:val="auto"/>
              </w:rPr>
            </w:pPr>
            <w:r>
              <w:rPr>
                <w:rFonts w:ascii="Times New Roman" w:cs="Times New Roman" w:eastAsia="Times New Roman" w:hAnsi="Times New Roman"/>
                <w:sz w:val="20"/>
                <w:szCs w:val="20"/>
                <w:color w:val="auto"/>
              </w:rPr>
              <w:t>Building E of Project Phase 2 are, together, the "</w:t>
            </w:r>
            <w:r>
              <w:rPr>
                <w:rFonts w:ascii="Times New Roman" w:cs="Times New Roman" w:eastAsia="Times New Roman" w:hAnsi="Times New Roman"/>
                <w:sz w:val="20"/>
                <w:szCs w:val="20"/>
                <w:b w:val="1"/>
                <w:bCs w:val="1"/>
                <w:color w:val="auto"/>
              </w:rPr>
              <w:t>Other Phase</w:t>
            </w:r>
          </w:p>
        </w:tc>
      </w:tr>
      <w:tr>
        <w:trPr>
          <w:trHeight w:val="230"/>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gridSpan w:val="15"/>
          </w:tcPr>
          <w:p>
            <w:pPr>
              <w:spacing w:after="0"/>
              <w:rPr>
                <w:sz w:val="20"/>
                <w:szCs w:val="20"/>
                <w:color w:val="auto"/>
              </w:rPr>
            </w:pPr>
            <w:r>
              <w:rPr>
                <w:rFonts w:ascii="Times New Roman" w:cs="Times New Roman" w:eastAsia="Times New Roman" w:hAnsi="Times New Roman"/>
                <w:sz w:val="20"/>
                <w:szCs w:val="20"/>
                <w:b w:val="1"/>
                <w:bCs w:val="1"/>
                <w:color w:val="auto"/>
                <w:w w:val="98"/>
              </w:rPr>
              <w:t>Buildings</w:t>
            </w:r>
            <w:r>
              <w:rPr>
                <w:rFonts w:ascii="Times New Roman" w:cs="Times New Roman" w:eastAsia="Times New Roman" w:hAnsi="Times New Roman"/>
                <w:sz w:val="20"/>
                <w:szCs w:val="20"/>
                <w:color w:val="auto"/>
                <w:w w:val="98"/>
              </w:rPr>
              <w:t>"); and (b) the other buildings and improvements located within</w:t>
            </w:r>
          </w:p>
        </w:tc>
      </w:tr>
      <w:tr>
        <w:trPr>
          <w:trHeight w:val="230"/>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the other Project Phases which are not owned by Landlord (the "</w:t>
            </w:r>
            <w:r>
              <w:rPr>
                <w:rFonts w:ascii="Times New Roman" w:cs="Times New Roman" w:eastAsia="Times New Roman" w:hAnsi="Times New Roman"/>
                <w:sz w:val="20"/>
                <w:szCs w:val="20"/>
                <w:b w:val="1"/>
                <w:bCs w:val="1"/>
                <w:color w:val="auto"/>
              </w:rPr>
              <w:t>Other</w:t>
            </w:r>
          </w:p>
        </w:tc>
      </w:tr>
      <w:tr>
        <w:trPr>
          <w:trHeight w:val="233"/>
        </w:trPr>
        <w:tc>
          <w:tcPr>
            <w:tcW w:w="3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5860" w:type="dxa"/>
            <w:vAlign w:val="bottom"/>
            <w:gridSpan w:val="15"/>
          </w:tcPr>
          <w:p>
            <w:pPr>
              <w:spacing w:after="0"/>
              <w:rPr>
                <w:sz w:val="20"/>
                <w:szCs w:val="20"/>
                <w:color w:val="auto"/>
              </w:rPr>
            </w:pPr>
            <w:r>
              <w:rPr>
                <w:rFonts w:ascii="Times New Roman" w:cs="Times New Roman" w:eastAsia="Times New Roman" w:hAnsi="Times New Roman"/>
                <w:sz w:val="20"/>
                <w:szCs w:val="20"/>
                <w:b w:val="1"/>
                <w:bCs w:val="1"/>
                <w:color w:val="auto"/>
              </w:rPr>
              <w:t>Project Buildings</w:t>
            </w:r>
            <w:r>
              <w:rPr>
                <w:rFonts w:ascii="Times New Roman" w:cs="Times New Roman" w:eastAsia="Times New Roman" w:hAnsi="Times New Roman"/>
                <w:sz w:val="20"/>
                <w:szCs w:val="20"/>
                <w:color w:val="auto"/>
              </w:rPr>
              <w:t>"), (iii) any outside plaza areas, walkways, driveways,</w:t>
            </w:r>
          </w:p>
        </w:tc>
      </w:tr>
      <w:tr>
        <w:trPr>
          <w:trHeight w:val="229"/>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courtyards, public and private streets (including New Oyster Point</w:t>
            </w:r>
          </w:p>
        </w:tc>
      </w:tr>
      <w:tr>
        <w:trPr>
          <w:trHeight w:val="212"/>
        </w:trPr>
        <w:tc>
          <w:tcPr>
            <w:tcW w:w="3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860" w:type="dxa"/>
            <w:vAlign w:val="bottom"/>
            <w:gridSpan w:val="15"/>
          </w:tcPr>
          <w:p>
            <w:pPr>
              <w:spacing w:after="0" w:line="212" w:lineRule="exact"/>
              <w:rPr>
                <w:sz w:val="20"/>
                <w:szCs w:val="20"/>
                <w:color w:val="auto"/>
              </w:rPr>
            </w:pPr>
            <w:r>
              <w:rPr>
                <w:rFonts w:ascii="Times New Roman" w:cs="Times New Roman" w:eastAsia="Times New Roman" w:hAnsi="Times New Roman"/>
                <w:sz w:val="20"/>
                <w:szCs w:val="20"/>
                <w:color w:val="auto"/>
              </w:rPr>
              <w:t>Boulevard and Marina Boulevard), the Bay Trail (as defined in Section</w:t>
            </w:r>
          </w:p>
        </w:tc>
      </w:tr>
      <w:tr>
        <w:trPr>
          <w:trHeight w:val="20"/>
        </w:trPr>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40" w:type="dxa"/>
            <w:vAlign w:val="bottom"/>
            <w:gridSpan w:val="1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86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4, below), parking areas, and shuttle stops, transportation facilitation</w:t>
            </w:r>
          </w:p>
        </w:tc>
      </w:tr>
      <w:tr>
        <w:trPr>
          <w:trHeight w:val="20"/>
        </w:trPr>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60" w:type="dxa"/>
            <w:vAlign w:val="bottom"/>
            <w:gridSpan w:val="13"/>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5860" w:type="dxa"/>
            <w:vAlign w:val="bottom"/>
            <w:gridSpan w:val="15"/>
          </w:tcPr>
          <w:p>
            <w:pPr>
              <w:spacing w:after="0" w:line="196" w:lineRule="exact"/>
              <w:rPr>
                <w:sz w:val="20"/>
                <w:szCs w:val="20"/>
                <w:color w:val="auto"/>
              </w:rPr>
            </w:pPr>
            <w:r>
              <w:rPr>
                <w:rFonts w:ascii="Times New Roman" w:cs="Times New Roman" w:eastAsia="Times New Roman" w:hAnsi="Times New Roman"/>
                <w:sz w:val="20"/>
                <w:szCs w:val="20"/>
                <w:color w:val="auto"/>
              </w:rPr>
              <w:t>areas and other improvements, amenities and facilities, as depicted on</w:t>
            </w:r>
          </w:p>
        </w:tc>
      </w:tr>
      <w:tr>
        <w:trPr>
          <w:trHeight w:val="256"/>
        </w:trPr>
        <w:tc>
          <w:tcPr>
            <w:tcW w:w="3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860" w:type="dxa"/>
            <w:vAlign w:val="bottom"/>
            <w:gridSpan w:val="15"/>
          </w:tcPr>
          <w:p>
            <w:pPr>
              <w:spacing w:after="0" w:line="230" w:lineRule="exact"/>
              <w:rPr>
                <w:sz w:val="20"/>
                <w:szCs w:val="20"/>
                <w:color w:val="auto"/>
              </w:rPr>
            </w:pPr>
            <w:r>
              <w:rPr>
                <w:rFonts w:ascii="Times New Roman" w:cs="Times New Roman" w:eastAsia="Times New Roman" w:hAnsi="Times New Roman"/>
                <w:sz w:val="20"/>
                <w:szCs w:val="20"/>
                <w:b w:val="1"/>
                <w:bCs w:val="1"/>
                <w:color w:val="auto"/>
              </w:rPr>
              <w:t>Exhibit 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 xml:space="preserve">2 </w:t>
            </w:r>
            <w:r>
              <w:rPr>
                <w:rFonts w:ascii="Times New Roman" w:cs="Times New Roman" w:eastAsia="Times New Roman" w:hAnsi="Times New Roman"/>
                <w:sz w:val="20"/>
                <w:szCs w:val="20"/>
                <w:color w:val="auto"/>
              </w:rPr>
              <w:t>attached hereto (other than Public Areas (defined below)</w:t>
            </w:r>
          </w:p>
        </w:tc>
      </w:tr>
      <w:tr>
        <w:trPr>
          <w:trHeight w:val="20"/>
        </w:trPr>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860" w:type="dxa"/>
            <w:vAlign w:val="bottom"/>
            <w:gridSpan w:val="13"/>
          </w:tcPr>
          <w:p>
            <w:pPr>
              <w:spacing w:after="0" w:line="20" w:lineRule="exact"/>
              <w:rPr>
                <w:sz w:val="1"/>
                <w:szCs w:val="1"/>
                <w:color w:val="auto"/>
              </w:rPr>
            </w:pPr>
          </w:p>
        </w:tc>
      </w:tr>
      <w:tr>
        <w:trPr>
          <w:trHeight w:val="227"/>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gridSpan w:val="15"/>
          </w:tcPr>
          <w:p>
            <w:pPr>
              <w:spacing w:after="0" w:line="228" w:lineRule="exact"/>
              <w:rPr>
                <w:sz w:val="20"/>
                <w:szCs w:val="20"/>
                <w:color w:val="auto"/>
              </w:rPr>
            </w:pPr>
            <w:r>
              <w:rPr>
                <w:rFonts w:ascii="Times New Roman" w:cs="Times New Roman" w:eastAsia="Times New Roman" w:hAnsi="Times New Roman"/>
                <w:sz w:val="20"/>
                <w:szCs w:val="20"/>
                <w:color w:val="auto"/>
              </w:rPr>
              <w:t>following dedication); and (iv) the land upon which any of the foregoing</w:t>
            </w:r>
          </w:p>
        </w:tc>
      </w:tr>
      <w:tr>
        <w:trPr>
          <w:trHeight w:val="258"/>
        </w:trPr>
        <w:tc>
          <w:tcPr>
            <w:tcW w:w="3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86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are situated.</w:t>
            </w:r>
          </w:p>
        </w:tc>
      </w:tr>
      <w:tr>
        <w:trPr>
          <w:trHeight w:val="417"/>
        </w:trPr>
        <w:tc>
          <w:tcPr>
            <w:tcW w:w="3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86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Project Phase 2</w:t>
            </w:r>
            <w:r>
              <w:rPr>
                <w:rFonts w:ascii="Times New Roman" w:cs="Times New Roman" w:eastAsia="Times New Roman" w:hAnsi="Times New Roman"/>
                <w:sz w:val="20"/>
                <w:szCs w:val="20"/>
                <w:color w:val="auto"/>
              </w:rPr>
              <w:t>" consists of (i) the Building, (ii) that certain building</w:t>
            </w:r>
          </w:p>
        </w:tc>
      </w:tr>
      <w:tr>
        <w:trPr>
          <w:trHeight w:val="225"/>
        </w:trPr>
        <w:tc>
          <w:tcPr>
            <w:tcW w:w="3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860" w:type="dxa"/>
            <w:vAlign w:val="bottom"/>
            <w:gridSpan w:val="15"/>
          </w:tcPr>
          <w:p>
            <w:pPr>
              <w:spacing w:after="0" w:line="226" w:lineRule="exact"/>
              <w:rPr>
                <w:sz w:val="20"/>
                <w:szCs w:val="20"/>
                <w:color w:val="auto"/>
              </w:rPr>
            </w:pPr>
            <w:r>
              <w:rPr>
                <w:rFonts w:ascii="Times New Roman" w:cs="Times New Roman" w:eastAsia="Times New Roman" w:hAnsi="Times New Roman"/>
                <w:sz w:val="20"/>
                <w:szCs w:val="20"/>
                <w:color w:val="auto"/>
                <w:w w:val="98"/>
              </w:rPr>
              <w:t>commonly known as Building D with a street address of 363 Oyster Point</w:t>
            </w:r>
          </w:p>
        </w:tc>
      </w:tr>
      <w:tr>
        <w:trPr>
          <w:trHeight w:val="262"/>
        </w:trPr>
        <w:tc>
          <w:tcPr>
            <w:tcW w:w="3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5860" w:type="dxa"/>
            <w:vAlign w:val="bottom"/>
            <w:gridSpan w:val="15"/>
          </w:tcPr>
          <w:p>
            <w:pPr>
              <w:spacing w:after="0"/>
              <w:rPr>
                <w:sz w:val="20"/>
                <w:szCs w:val="20"/>
                <w:color w:val="auto"/>
              </w:rPr>
            </w:pPr>
            <w:r>
              <w:rPr>
                <w:rFonts w:ascii="Times New Roman" w:cs="Times New Roman" w:eastAsia="Times New Roman" w:hAnsi="Times New Roman"/>
                <w:sz w:val="20"/>
                <w:szCs w:val="20"/>
                <w:color w:val="auto"/>
              </w:rPr>
              <w:t>Blvd., South San Francisco, California ("</w:t>
            </w:r>
            <w:r>
              <w:rPr>
                <w:rFonts w:ascii="Times New Roman" w:cs="Times New Roman" w:eastAsia="Times New Roman" w:hAnsi="Times New Roman"/>
                <w:sz w:val="20"/>
                <w:szCs w:val="20"/>
                <w:b w:val="1"/>
                <w:bCs w:val="1"/>
                <w:color w:val="auto"/>
              </w:rPr>
              <w:t>Building D</w:t>
            </w:r>
            <w:r>
              <w:rPr>
                <w:rFonts w:ascii="Times New Roman" w:cs="Times New Roman" w:eastAsia="Times New Roman" w:hAnsi="Times New Roman"/>
                <w:sz w:val="20"/>
                <w:szCs w:val="20"/>
                <w:color w:val="auto"/>
              </w:rPr>
              <w:t>"), (iii) that certain</w:t>
            </w: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2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-2-</w:t>
            </w:r>
          </w:p>
        </w:tc>
        <w:tc>
          <w:tcPr>
            <w:tcW w:w="3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20" w:type="dxa"/>
            <w:vAlign w:val="bottom"/>
            <w:vMerge w:val="continue"/>
          </w:tcPr>
          <w:p>
            <w:pPr>
              <w:spacing w:after="0"/>
              <w:rPr>
                <w:sz w:val="14"/>
                <w:szCs w:val="14"/>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95" w:gutter="0" w:footer="0" w:header="0"/>
        </w:sectPr>
      </w:pPr>
    </w:p>
    <w:bookmarkStart w:id="122" w:name="page123"/>
    <w:bookmarkEnd w:id="122"/>
    <w:p>
      <w:pPr>
        <w:ind w:left="5280" w:right="200"/>
        <w:spacing w:after="0" w:line="246" w:lineRule="auto"/>
        <w:rPr>
          <w:sz w:val="20"/>
          <w:szCs w:val="20"/>
          <w:color w:val="auto"/>
        </w:rPr>
      </w:pPr>
      <w:r>
        <w:rPr>
          <w:rFonts w:ascii="Times New Roman" w:cs="Times New Roman" w:eastAsia="Times New Roman" w:hAnsi="Times New Roman"/>
          <w:sz w:val="20"/>
          <w:szCs w:val="20"/>
          <w:color w:val="auto"/>
        </w:rPr>
        <w:t>building commonly known as Building E with a street address of 369 Oyster Point Blvd., South San Francisco, California ("</w:t>
      </w:r>
      <w:r>
        <w:rPr>
          <w:rFonts w:ascii="Times New Roman" w:cs="Times New Roman" w:eastAsia="Times New Roman" w:hAnsi="Times New Roman"/>
          <w:sz w:val="20"/>
          <w:szCs w:val="20"/>
          <w:b w:val="1"/>
          <w:bCs w:val="1"/>
          <w:color w:val="auto"/>
        </w:rPr>
        <w:t>Building E</w:t>
      </w:r>
      <w:r>
        <w:rPr>
          <w:rFonts w:ascii="Times New Roman" w:cs="Times New Roman" w:eastAsia="Times New Roman" w:hAnsi="Times New Roman"/>
          <w:sz w:val="20"/>
          <w:szCs w:val="20"/>
          <w:color w:val="auto"/>
        </w:rPr>
        <w:t>"), (iv) the parking facilities located within Phase 2 of the Project (the "</w:t>
      </w:r>
      <w:r>
        <w:rPr>
          <w:rFonts w:ascii="Times New Roman" w:cs="Times New Roman" w:eastAsia="Times New Roman" w:hAnsi="Times New Roman"/>
          <w:sz w:val="20"/>
          <w:szCs w:val="20"/>
          <w:b w:val="1"/>
          <w:bCs w:val="1"/>
          <w:color w:val="auto"/>
        </w:rPr>
        <w:t>Parking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Facilities</w:t>
      </w:r>
      <w:r>
        <w:rPr>
          <w:rFonts w:ascii="Times New Roman" w:cs="Times New Roman" w:eastAsia="Times New Roman" w:hAnsi="Times New Roman"/>
          <w:sz w:val="20"/>
          <w:szCs w:val="20"/>
          <w:color w:val="auto"/>
        </w:rPr>
        <w:t>"), and (v) the Common Areas (as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within Phase 2 of the Project.</w:t>
      </w:r>
    </w:p>
    <w:p>
      <w:pPr>
        <w:spacing w:after="0" w:line="185" w:lineRule="exact"/>
        <w:rPr>
          <w:sz w:val="20"/>
          <w:szCs w:val="20"/>
          <w:color w:val="auto"/>
        </w:rPr>
      </w:pPr>
    </w:p>
    <w:p>
      <w:pPr>
        <w:ind w:left="440" w:right="9800" w:hanging="335"/>
        <w:spacing w:after="0" w:line="295" w:lineRule="auto"/>
        <w:tabs>
          <w:tab w:leader="none" w:pos="503"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 Term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w:t>
      </w:r>
    </w:p>
    <w:p>
      <w:pPr>
        <w:spacing w:after="0" w:line="134"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6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3.1</w:t>
            </w: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Lease Term</w:t>
            </w:r>
            <w:r>
              <w:rPr>
                <w:rFonts w:ascii="Times New Roman" w:cs="Times New Roman" w:eastAsia="Times New Roman" w:hAnsi="Times New Roman"/>
                <w:sz w:val="20"/>
                <w:szCs w:val="20"/>
                <w:color w:val="auto"/>
              </w:rPr>
              <w:t>":</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The period of seven (7) years beginning on the Phase I Commencement</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Date (as defined below) and ending on the Lease Expiration Date (as</w:t>
            </w:r>
          </w:p>
        </w:tc>
        <w:tc>
          <w:tcPr>
            <w:tcW w:w="0" w:type="dxa"/>
            <w:vAlign w:val="bottom"/>
          </w:tcPr>
          <w:p>
            <w:pPr>
              <w:spacing w:after="0"/>
              <w:rPr>
                <w:sz w:val="1"/>
                <w:szCs w:val="1"/>
                <w:color w:val="auto"/>
              </w:rPr>
            </w:pPr>
          </w:p>
        </w:tc>
      </w:tr>
      <w:tr>
        <w:trPr>
          <w:trHeight w:val="258"/>
        </w:trPr>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340" w:type="dxa"/>
            <w:vAlign w:val="bottom"/>
            <w:gridSpan w:val="7"/>
          </w:tcPr>
          <w:p>
            <w:pPr>
              <w:ind w:left="320"/>
              <w:spacing w:after="0"/>
              <w:rPr>
                <w:sz w:val="20"/>
                <w:szCs w:val="20"/>
                <w:color w:val="auto"/>
              </w:rPr>
            </w:pPr>
            <w:r>
              <w:rPr>
                <w:rFonts w:ascii="Times New Roman" w:cs="Times New Roman" w:eastAsia="Times New Roman" w:hAnsi="Times New Roman"/>
                <w:sz w:val="20"/>
                <w:szCs w:val="20"/>
                <w:color w:val="auto"/>
              </w:rPr>
              <w:t>defined below).</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68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3.2</w:t>
            </w: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Commencement Date:</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w w:val="99"/>
              </w:rPr>
              <w:t>The Phase I Commencement Date and Phase II Commencement Date are</w:t>
            </w:r>
          </w:p>
        </w:tc>
        <w:tc>
          <w:tcPr>
            <w:tcW w:w="0" w:type="dxa"/>
            <w:vAlign w:val="bottom"/>
          </w:tcPr>
          <w:p>
            <w:pPr>
              <w:spacing w:after="0"/>
              <w:rPr>
                <w:sz w:val="1"/>
                <w:szCs w:val="1"/>
                <w:color w:val="auto"/>
              </w:rPr>
            </w:pPr>
          </w:p>
        </w:tc>
      </w:tr>
      <w:tr>
        <w:trPr>
          <w:trHeight w:val="262"/>
        </w:trPr>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340" w:type="dxa"/>
            <w:vAlign w:val="bottom"/>
            <w:gridSpan w:val="7"/>
          </w:tcPr>
          <w:p>
            <w:pPr>
              <w:ind w:left="320"/>
              <w:spacing w:after="0"/>
              <w:rPr>
                <w:sz w:val="20"/>
                <w:szCs w:val="20"/>
                <w:color w:val="auto"/>
              </w:rPr>
            </w:pPr>
            <w:r>
              <w:rPr>
                <w:rFonts w:ascii="Times New Roman" w:cs="Times New Roman" w:eastAsia="Times New Roman" w:hAnsi="Times New Roman"/>
                <w:sz w:val="20"/>
                <w:szCs w:val="20"/>
                <w:color w:val="auto"/>
              </w:rPr>
              <w:t>each a "</w:t>
            </w: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Phase I Commencement Date</w:t>
            </w:r>
            <w:r>
              <w:rPr>
                <w:rFonts w:ascii="Times New Roman" w:cs="Times New Roman" w:eastAsia="Times New Roman" w:hAnsi="Times New Roman"/>
                <w:sz w:val="20"/>
                <w:szCs w:val="20"/>
                <w:color w:val="auto"/>
              </w:rPr>
              <w:t>” shall be the earlier to occur of (i)</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the date upon which Tenant first commences to conduct business in the</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Phase I Premises, and (ii) the date that Landlord delivers exclusive</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80" w:type="dxa"/>
            <w:vAlign w:val="bottom"/>
            <w:gridSpan w:val="15"/>
          </w:tcPr>
          <w:p>
            <w:pPr>
              <w:ind w:left="320"/>
              <w:spacing w:after="0" w:line="226" w:lineRule="exact"/>
              <w:rPr>
                <w:sz w:val="20"/>
                <w:szCs w:val="20"/>
                <w:color w:val="auto"/>
              </w:rPr>
            </w:pPr>
            <w:r>
              <w:rPr>
                <w:rFonts w:ascii="Times New Roman" w:cs="Times New Roman" w:eastAsia="Times New Roman" w:hAnsi="Times New Roman"/>
                <w:sz w:val="20"/>
                <w:szCs w:val="20"/>
                <w:color w:val="auto"/>
              </w:rPr>
              <w:t>possession of the Phase I Premises to Tenant in the Delivery Condition</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180" w:type="dxa"/>
            <w:vAlign w:val="bottom"/>
            <w:gridSpan w:val="15"/>
          </w:tcPr>
          <w:p>
            <w:pPr>
              <w:ind w:left="320"/>
              <w:spacing w:after="0" w:line="216" w:lineRule="exact"/>
              <w:rPr>
                <w:sz w:val="20"/>
                <w:szCs w:val="20"/>
                <w:color w:val="auto"/>
              </w:rPr>
            </w:pPr>
            <w:r>
              <w:rPr>
                <w:rFonts w:ascii="Times New Roman" w:cs="Times New Roman" w:eastAsia="Times New Roman" w:hAnsi="Times New Roman"/>
                <w:sz w:val="20"/>
                <w:szCs w:val="20"/>
                <w:color w:val="auto"/>
              </w:rPr>
              <w:t>(as defined in Section 1.1.2 below). The "</w:t>
            </w:r>
            <w:r>
              <w:rPr>
                <w:rFonts w:ascii="Times New Roman" w:cs="Times New Roman" w:eastAsia="Times New Roman" w:hAnsi="Times New Roman"/>
                <w:sz w:val="20"/>
                <w:szCs w:val="20"/>
                <w:b w:val="1"/>
                <w:bCs w:val="1"/>
                <w:color w:val="auto"/>
              </w:rPr>
              <w:t>Target Phase I</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 shall be September 15, 2026.</w:t>
            </w:r>
          </w:p>
        </w:tc>
        <w:tc>
          <w:tcPr>
            <w:tcW w:w="0" w:type="dxa"/>
            <w:vAlign w:val="bottom"/>
          </w:tcPr>
          <w:p>
            <w:pPr>
              <w:spacing w:after="0"/>
              <w:rPr>
                <w:sz w:val="1"/>
                <w:szCs w:val="1"/>
                <w:color w:val="auto"/>
              </w:rPr>
            </w:pPr>
          </w:p>
        </w:tc>
      </w:tr>
      <w:tr>
        <w:trPr>
          <w:trHeight w:val="417"/>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Phase II Commencement Date</w:t>
            </w:r>
            <w:r>
              <w:rPr>
                <w:rFonts w:ascii="Times New Roman" w:cs="Times New Roman" w:eastAsia="Times New Roman" w:hAnsi="Times New Roman"/>
                <w:sz w:val="20"/>
                <w:szCs w:val="20"/>
                <w:color w:val="auto"/>
              </w:rPr>
              <w:t>” shall be the earlier to occur of (i)</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the date upon which Tenant first commences to conduct business in the</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Phase II Premises, and (ii) the date that Landlord delivers exclusive</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80" w:type="dxa"/>
            <w:vAlign w:val="bottom"/>
            <w:gridSpan w:val="15"/>
          </w:tcPr>
          <w:p>
            <w:pPr>
              <w:ind w:left="320"/>
              <w:spacing w:after="0" w:line="226" w:lineRule="exact"/>
              <w:rPr>
                <w:sz w:val="20"/>
                <w:szCs w:val="20"/>
                <w:color w:val="auto"/>
              </w:rPr>
            </w:pPr>
            <w:r>
              <w:rPr>
                <w:rFonts w:ascii="Times New Roman" w:cs="Times New Roman" w:eastAsia="Times New Roman" w:hAnsi="Times New Roman"/>
                <w:sz w:val="20"/>
                <w:szCs w:val="20"/>
                <w:color w:val="auto"/>
              </w:rPr>
              <w:t>possession of the Phase II Premises to Tenant in the Delivery Condition.</w:t>
            </w: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Target Phase II Commencement Date</w:t>
            </w:r>
            <w:r>
              <w:rPr>
                <w:rFonts w:ascii="Times New Roman" w:cs="Times New Roman" w:eastAsia="Times New Roman" w:hAnsi="Times New Roman"/>
                <w:sz w:val="20"/>
                <w:szCs w:val="20"/>
                <w:color w:val="auto"/>
              </w:rPr>
              <w:t>" shall be December 1,</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80" w:type="dxa"/>
            <w:vAlign w:val="bottom"/>
            <w:gridSpan w:val="15"/>
          </w:tcPr>
          <w:p>
            <w:pPr>
              <w:ind w:left="320"/>
              <w:spacing w:after="0" w:line="226" w:lineRule="exact"/>
              <w:rPr>
                <w:sz w:val="20"/>
                <w:szCs w:val="20"/>
                <w:color w:val="auto"/>
              </w:rPr>
            </w:pPr>
            <w:r>
              <w:rPr>
                <w:rFonts w:ascii="Times New Roman" w:cs="Times New Roman" w:eastAsia="Times New Roman" w:hAnsi="Times New Roman"/>
                <w:sz w:val="20"/>
                <w:szCs w:val="20"/>
                <w:color w:val="auto"/>
              </w:rPr>
              <w:t>2026. The Target Phase I Commencement Date and Target Phase II</w:t>
            </w:r>
          </w:p>
        </w:tc>
        <w:tc>
          <w:tcPr>
            <w:tcW w:w="0" w:type="dxa"/>
            <w:vAlign w:val="bottom"/>
          </w:tcPr>
          <w:p>
            <w:pPr>
              <w:spacing w:after="0"/>
              <w:rPr>
                <w:sz w:val="1"/>
                <w:szCs w:val="1"/>
                <w:color w:val="auto"/>
              </w:rPr>
            </w:pPr>
          </w:p>
        </w:tc>
      </w:tr>
      <w:tr>
        <w:trPr>
          <w:trHeight w:val="262"/>
        </w:trPr>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Commencement Date are each a "</w:t>
            </w:r>
            <w:r>
              <w:rPr>
                <w:rFonts w:ascii="Times New Roman" w:cs="Times New Roman" w:eastAsia="Times New Roman" w:hAnsi="Times New Roman"/>
                <w:sz w:val="20"/>
                <w:szCs w:val="20"/>
                <w:b w:val="1"/>
                <w:bCs w:val="1"/>
                <w:color w:val="auto"/>
              </w:rPr>
              <w:t>Target Commencement Date</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417"/>
        </w:trPr>
        <w:tc>
          <w:tcPr>
            <w:tcW w:w="6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3.3</w:t>
            </w: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Lease Expiration Date</w:t>
            </w:r>
            <w:r>
              <w:rPr>
                <w:rFonts w:ascii="Times New Roman" w:cs="Times New Roman" w:eastAsia="Times New Roman" w:hAnsi="Times New Roman"/>
                <w:sz w:val="20"/>
                <w:szCs w:val="20"/>
                <w:color w:val="auto"/>
              </w:rPr>
              <w:t>":</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w w:val="99"/>
              </w:rPr>
              <w:t>The last day of the eighty-fourth (84</w:t>
            </w:r>
            <w:r>
              <w:rPr>
                <w:rFonts w:ascii="Times New Roman" w:cs="Times New Roman" w:eastAsia="Times New Roman" w:hAnsi="Times New Roman"/>
                <w:sz w:val="26"/>
                <w:szCs w:val="26"/>
                <w:color w:val="auto"/>
                <w:w w:val="99"/>
                <w:vertAlign w:val="superscript"/>
              </w:rPr>
              <w:t>th</w:t>
            </w:r>
            <w:r>
              <w:rPr>
                <w:rFonts w:ascii="Times New Roman" w:cs="Times New Roman" w:eastAsia="Times New Roman" w:hAnsi="Times New Roman"/>
                <w:sz w:val="20"/>
                <w:szCs w:val="20"/>
                <w:color w:val="auto"/>
                <w:w w:val="99"/>
              </w:rPr>
              <w:t>) Lease Month following the Phase</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180" w:type="dxa"/>
            <w:vAlign w:val="bottom"/>
            <w:gridSpan w:val="15"/>
          </w:tcPr>
          <w:p>
            <w:pPr>
              <w:ind w:left="320"/>
              <w:spacing w:after="0" w:line="212" w:lineRule="exact"/>
              <w:rPr>
                <w:sz w:val="20"/>
                <w:szCs w:val="20"/>
                <w:color w:val="auto"/>
              </w:rPr>
            </w:pPr>
            <w:r>
              <w:rPr>
                <w:rFonts w:ascii="Times New Roman" w:cs="Times New Roman" w:eastAsia="Times New Roman" w:hAnsi="Times New Roman"/>
                <w:sz w:val="20"/>
                <w:szCs w:val="20"/>
                <w:color w:val="auto"/>
              </w:rPr>
              <w:t>I Commencement Date (as defined in Section 2.1 of this Lease).</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8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3.4</w:t>
            </w:r>
          </w:p>
        </w:tc>
        <w:tc>
          <w:tcPr>
            <w:tcW w:w="2440" w:type="dxa"/>
            <w:vAlign w:val="bottom"/>
            <w:gridSpan w:val="4"/>
          </w:tcPr>
          <w:p>
            <w:pPr>
              <w:jc w:val="center"/>
              <w:ind w:right="1040"/>
              <w:spacing w:after="0"/>
              <w:rPr>
                <w:sz w:val="20"/>
                <w:szCs w:val="20"/>
                <w:color w:val="auto"/>
              </w:rPr>
            </w:pPr>
            <w:r>
              <w:rPr>
                <w:rFonts w:ascii="Times New Roman" w:cs="Times New Roman" w:eastAsia="Times New Roman" w:hAnsi="Times New Roman"/>
                <w:sz w:val="20"/>
                <w:szCs w:val="20"/>
                <w:color w:val="auto"/>
                <w:w w:val="98"/>
              </w:rPr>
              <w:t>Option Term(s):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Tenant has one (1) option (the "</w:t>
            </w:r>
            <w:r>
              <w:rPr>
                <w:rFonts w:ascii="Times New Roman" w:cs="Times New Roman" w:eastAsia="Times New Roman" w:hAnsi="Times New Roman"/>
                <w:sz w:val="20"/>
                <w:szCs w:val="20"/>
                <w:b w:val="1"/>
                <w:bCs w:val="1"/>
                <w:color w:val="auto"/>
              </w:rPr>
              <w:t>Extension Option</w:t>
            </w:r>
            <w:r>
              <w:rPr>
                <w:rFonts w:ascii="Times New Roman" w:cs="Times New Roman" w:eastAsia="Times New Roman" w:hAnsi="Times New Roman"/>
                <w:sz w:val="20"/>
                <w:szCs w:val="20"/>
                <w:color w:val="auto"/>
              </w:rPr>
              <w:t>") to extend the Lease</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Term for a period of five (5)-years (the "</w:t>
            </w:r>
            <w:r>
              <w:rPr>
                <w:rFonts w:ascii="Times New Roman" w:cs="Times New Roman" w:eastAsia="Times New Roman" w:hAnsi="Times New Roman"/>
                <w:sz w:val="20"/>
                <w:szCs w:val="20"/>
                <w:b w:val="1"/>
                <w:bCs w:val="1"/>
                <w:color w:val="auto"/>
              </w:rPr>
              <w:t>Option Term</w:t>
            </w:r>
            <w:r>
              <w:rPr>
                <w:rFonts w:ascii="Times New Roman" w:cs="Times New Roman" w:eastAsia="Times New Roman" w:hAnsi="Times New Roman"/>
                <w:sz w:val="20"/>
                <w:szCs w:val="20"/>
                <w:color w:val="auto"/>
              </w:rPr>
              <w:t>"), as more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180" w:type="dxa"/>
            <w:vAlign w:val="bottom"/>
            <w:gridSpan w:val="15"/>
          </w:tcPr>
          <w:p>
            <w:pPr>
              <w:ind w:left="320"/>
              <w:spacing w:after="0" w:line="216" w:lineRule="exact"/>
              <w:rPr>
                <w:sz w:val="20"/>
                <w:szCs w:val="20"/>
                <w:color w:val="auto"/>
              </w:rPr>
            </w:pPr>
            <w:r>
              <w:rPr>
                <w:rFonts w:ascii="Times New Roman" w:cs="Times New Roman" w:eastAsia="Times New Roman" w:hAnsi="Times New Roman"/>
                <w:sz w:val="20"/>
                <w:szCs w:val="20"/>
                <w:color w:val="auto"/>
              </w:rPr>
              <w:t xml:space="preserve">particularly set forth in Section 2.2 and </w:t>
            </w:r>
            <w:r>
              <w:rPr>
                <w:rFonts w:ascii="Times New Roman" w:cs="Times New Roman" w:eastAsia="Times New Roman" w:hAnsi="Times New Roman"/>
                <w:sz w:val="20"/>
                <w:szCs w:val="20"/>
                <w:b w:val="1"/>
                <w:bCs w:val="1"/>
                <w:color w:val="auto"/>
              </w:rPr>
              <w:t>Exhibit F</w:t>
            </w:r>
            <w:r>
              <w:rPr>
                <w:rFonts w:ascii="Times New Roman" w:cs="Times New Roman" w:eastAsia="Times New Roman" w:hAnsi="Times New Roman"/>
                <w:sz w:val="20"/>
                <w:szCs w:val="20"/>
                <w:color w:val="auto"/>
              </w:rPr>
              <w:t xml:space="preserve"> of this Lease.</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12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4.   Base Rent</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For the avoidance of doubt, subject to the terms of Section 3.2, below,</w:t>
            </w:r>
          </w:p>
        </w:tc>
        <w:tc>
          <w:tcPr>
            <w:tcW w:w="0" w:type="dxa"/>
            <w:vAlign w:val="bottom"/>
          </w:tcPr>
          <w:p>
            <w:pPr>
              <w:spacing w:after="0"/>
              <w:rPr>
                <w:sz w:val="1"/>
                <w:szCs w:val="1"/>
                <w:color w:val="auto"/>
              </w:rPr>
            </w:pPr>
          </w:p>
        </w:tc>
      </w:tr>
      <w:tr>
        <w:trPr>
          <w:trHeight w:val="20"/>
        </w:trPr>
        <w:tc>
          <w:tcPr>
            <w:tcW w:w="3120" w:type="dxa"/>
            <w:vAlign w:val="bottom"/>
            <w:gridSpan w:val="7"/>
            <w:vMerge w:val="restart"/>
          </w:tcPr>
          <w:p>
            <w:pPr>
              <w:ind w:left="340"/>
              <w:spacing w:after="0"/>
              <w:rPr>
                <w:sz w:val="20"/>
                <w:szCs w:val="20"/>
                <w:color w:val="auto"/>
              </w:rPr>
            </w:pPr>
            <w:r>
              <w:rPr>
                <w:rFonts w:ascii="Times New Roman" w:cs="Times New Roman" w:eastAsia="Times New Roman" w:hAnsi="Times New Roman"/>
                <w:sz w:val="20"/>
                <w:szCs w:val="20"/>
                <w:color w:val="auto"/>
              </w:rPr>
              <w:t>(Article 3):</w:t>
            </w: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gridSpan w:val="7"/>
            <w:vMerge w:val="continue"/>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180" w:type="dxa"/>
            <w:vAlign w:val="bottom"/>
            <w:gridSpan w:val="15"/>
          </w:tcPr>
          <w:p>
            <w:pPr>
              <w:ind w:left="320"/>
              <w:spacing w:after="0" w:line="209" w:lineRule="exact"/>
              <w:rPr>
                <w:sz w:val="20"/>
                <w:szCs w:val="20"/>
                <w:color w:val="auto"/>
              </w:rPr>
            </w:pPr>
            <w:r>
              <w:rPr>
                <w:rFonts w:ascii="Times New Roman" w:cs="Times New Roman" w:eastAsia="Times New Roman" w:hAnsi="Times New Roman"/>
                <w:sz w:val="20"/>
                <w:szCs w:val="20"/>
                <w:color w:val="auto"/>
              </w:rPr>
              <w:t>Tenant shall commence payment of Base Rent for (i) the Phase I</w:t>
            </w:r>
          </w:p>
        </w:tc>
        <w:tc>
          <w:tcPr>
            <w:tcW w:w="0" w:type="dxa"/>
            <w:vAlign w:val="bottom"/>
          </w:tcPr>
          <w:p>
            <w:pPr>
              <w:spacing w:after="0"/>
              <w:rPr>
                <w:sz w:val="1"/>
                <w:szCs w:val="1"/>
                <w:color w:val="auto"/>
              </w:rPr>
            </w:pPr>
          </w:p>
        </w:tc>
      </w:tr>
      <w:tr>
        <w:trPr>
          <w:trHeight w:val="227"/>
        </w:trPr>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180" w:type="dxa"/>
            <w:vAlign w:val="bottom"/>
            <w:gridSpan w:val="15"/>
          </w:tcPr>
          <w:p>
            <w:pPr>
              <w:ind w:left="320"/>
              <w:spacing w:after="0" w:line="228" w:lineRule="exact"/>
              <w:rPr>
                <w:sz w:val="20"/>
                <w:szCs w:val="20"/>
                <w:color w:val="auto"/>
              </w:rPr>
            </w:pPr>
            <w:r>
              <w:rPr>
                <w:rFonts w:ascii="Times New Roman" w:cs="Times New Roman" w:eastAsia="Times New Roman" w:hAnsi="Times New Roman"/>
                <w:sz w:val="20"/>
                <w:szCs w:val="20"/>
                <w:color w:val="auto"/>
              </w:rPr>
              <w:t>Premises as of the Phase I Commencement Date, and (ii) the Phase II</w:t>
            </w:r>
          </w:p>
        </w:tc>
        <w:tc>
          <w:tcPr>
            <w:tcW w:w="0" w:type="dxa"/>
            <w:vAlign w:val="bottom"/>
          </w:tcPr>
          <w:p>
            <w:pPr>
              <w:spacing w:after="0"/>
              <w:rPr>
                <w:sz w:val="1"/>
                <w:szCs w:val="1"/>
                <w:color w:val="auto"/>
              </w:rPr>
            </w:pPr>
          </w:p>
        </w:tc>
      </w:tr>
      <w:tr>
        <w:trPr>
          <w:trHeight w:val="258"/>
        </w:trPr>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180" w:type="dxa"/>
            <w:vAlign w:val="bottom"/>
            <w:gridSpan w:val="15"/>
          </w:tcPr>
          <w:p>
            <w:pPr>
              <w:ind w:left="320"/>
              <w:spacing w:after="0"/>
              <w:rPr>
                <w:sz w:val="20"/>
                <w:szCs w:val="20"/>
                <w:color w:val="auto"/>
              </w:rPr>
            </w:pPr>
            <w:r>
              <w:rPr>
                <w:rFonts w:ascii="Times New Roman" w:cs="Times New Roman" w:eastAsia="Times New Roman" w:hAnsi="Times New Roman"/>
                <w:sz w:val="20"/>
                <w:szCs w:val="20"/>
                <w:color w:val="auto"/>
              </w:rPr>
              <w:t>Premises as of the Phase II Commencement Date.</w:t>
            </w:r>
          </w:p>
        </w:tc>
        <w:tc>
          <w:tcPr>
            <w:tcW w:w="0" w:type="dxa"/>
            <w:vAlign w:val="bottom"/>
          </w:tcPr>
          <w:p>
            <w:pPr>
              <w:spacing w:after="0"/>
              <w:rPr>
                <w:sz w:val="1"/>
                <w:szCs w:val="1"/>
                <w:color w:val="auto"/>
              </w:rPr>
            </w:pPr>
          </w:p>
        </w:tc>
      </w:tr>
      <w:tr>
        <w:trPr>
          <w:trHeight w:val="615"/>
        </w:trPr>
        <w:tc>
          <w:tcPr>
            <w:tcW w:w="312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Phase I Premises Base Rent</w:t>
            </w:r>
            <w:r>
              <w:rPr>
                <w:rFonts w:ascii="Times New Roman" w:cs="Times New Roman" w:eastAsia="Times New Roman" w:hAnsi="Times New Roman"/>
                <w:sz w:val="20"/>
                <w:szCs w:val="20"/>
                <w:color w:val="auto"/>
              </w:rPr>
              <w:t>:</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5"/>
            <w:vMerge w:val="restart"/>
          </w:tcPr>
          <w:p>
            <w:pPr>
              <w:jc w:val="center"/>
              <w:ind w:right="1080"/>
              <w:spacing w:after="0"/>
              <w:rPr>
                <w:sz w:val="20"/>
                <w:szCs w:val="20"/>
                <w:color w:val="auto"/>
              </w:rPr>
            </w:pPr>
            <w:r>
              <w:rPr>
                <w:rFonts w:ascii="Times New Roman" w:cs="Times New Roman" w:eastAsia="Times New Roman" w:hAnsi="Times New Roman"/>
                <w:sz w:val="20"/>
                <w:szCs w:val="20"/>
                <w:color w:val="auto"/>
                <w:w w:val="98"/>
              </w:rPr>
              <w:t>Monthly</w:t>
            </w:r>
          </w:p>
        </w:tc>
        <w:tc>
          <w:tcPr>
            <w:tcW w:w="140" w:type="dxa"/>
            <w:vAlign w:val="bottom"/>
          </w:tcPr>
          <w:p>
            <w:pPr>
              <w:spacing w:after="0"/>
              <w:rPr>
                <w:sz w:val="24"/>
                <w:szCs w:val="24"/>
                <w:color w:val="auto"/>
              </w:rPr>
            </w:pPr>
          </w:p>
        </w:tc>
        <w:tc>
          <w:tcPr>
            <w:tcW w:w="2700" w:type="dxa"/>
            <w:vAlign w:val="bottom"/>
            <w:gridSpan w:val="7"/>
            <w:vMerge w:val="restart"/>
          </w:tcPr>
          <w:p>
            <w:pPr>
              <w:jc w:val="center"/>
              <w:ind w:left="21"/>
              <w:spacing w:after="0"/>
              <w:rPr>
                <w:sz w:val="20"/>
                <w:szCs w:val="20"/>
                <w:color w:val="auto"/>
              </w:rPr>
            </w:pPr>
            <w:r>
              <w:rPr>
                <w:rFonts w:ascii="Times New Roman" w:cs="Times New Roman" w:eastAsia="Times New Roman" w:hAnsi="Times New Roman"/>
                <w:sz w:val="20"/>
                <w:szCs w:val="20"/>
                <w:color w:val="auto"/>
                <w:w w:val="98"/>
              </w:rPr>
              <w:t>Monthly Rental Rate</w:t>
            </w:r>
          </w:p>
        </w:tc>
        <w:tc>
          <w:tcPr>
            <w:tcW w:w="0" w:type="dxa"/>
            <w:vAlign w:val="bottom"/>
          </w:tcPr>
          <w:p>
            <w:pPr>
              <w:spacing w:after="0"/>
              <w:rPr>
                <w:sz w:val="1"/>
                <w:szCs w:val="1"/>
                <w:color w:val="auto"/>
              </w:rPr>
            </w:pPr>
          </w:p>
        </w:tc>
      </w:tr>
      <w:tr>
        <w:trPr>
          <w:trHeight w:val="227"/>
        </w:trPr>
        <w:tc>
          <w:tcPr>
            <w:tcW w:w="4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Annualized</w:t>
            </w:r>
          </w:p>
        </w:tc>
        <w:tc>
          <w:tcPr>
            <w:tcW w:w="1340" w:type="dxa"/>
            <w:vAlign w:val="bottom"/>
          </w:tcPr>
          <w:p>
            <w:pPr>
              <w:spacing w:after="0"/>
              <w:rPr>
                <w:sz w:val="19"/>
                <w:szCs w:val="19"/>
                <w:color w:val="auto"/>
              </w:rPr>
            </w:pPr>
          </w:p>
        </w:tc>
        <w:tc>
          <w:tcPr>
            <w:tcW w:w="2000" w:type="dxa"/>
            <w:vAlign w:val="bottom"/>
            <w:gridSpan w:val="6"/>
          </w:tcPr>
          <w:p>
            <w:pPr>
              <w:jc w:val="center"/>
              <w:ind w:right="960"/>
              <w:spacing w:after="0"/>
              <w:rPr>
                <w:sz w:val="20"/>
                <w:szCs w:val="20"/>
                <w:color w:val="auto"/>
              </w:rPr>
            </w:pPr>
            <w:r>
              <w:rPr>
                <w:rFonts w:ascii="Times New Roman" w:cs="Times New Roman" w:eastAsia="Times New Roman" w:hAnsi="Times New Roman"/>
                <w:sz w:val="20"/>
                <w:szCs w:val="20"/>
                <w:color w:val="auto"/>
                <w:w w:val="97"/>
              </w:rPr>
              <w:t>Installment</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4"/>
          </w:tcPr>
          <w:p>
            <w:pPr>
              <w:jc w:val="center"/>
              <w:ind w:right="780"/>
              <w:spacing w:after="0"/>
              <w:rPr>
                <w:sz w:val="20"/>
                <w:szCs w:val="20"/>
                <w:color w:val="auto"/>
              </w:rPr>
            </w:pPr>
            <w:r>
              <w:rPr>
                <w:rFonts w:ascii="Times New Roman" w:cs="Times New Roman" w:eastAsia="Times New Roman" w:hAnsi="Times New Roman"/>
                <w:sz w:val="20"/>
                <w:szCs w:val="20"/>
                <w:color w:val="auto"/>
                <w:w w:val="98"/>
              </w:rPr>
              <w:t>per Rentable</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center"/>
              <w:ind w:right="880"/>
              <w:spacing w:after="0" w:line="212" w:lineRule="exact"/>
              <w:rPr>
                <w:sz w:val="20"/>
                <w:szCs w:val="20"/>
                <w:color w:val="auto"/>
              </w:rPr>
            </w:pPr>
            <w:r>
              <w:rPr>
                <w:rFonts w:ascii="Times New Roman" w:cs="Times New Roman" w:eastAsia="Times New Roman" w:hAnsi="Times New Roman"/>
                <w:sz w:val="20"/>
                <w:szCs w:val="20"/>
                <w:color w:val="auto"/>
                <w:w w:val="98"/>
              </w:rPr>
              <w:t>Period of Lease Term</w:t>
            </w:r>
          </w:p>
        </w:tc>
        <w:tc>
          <w:tcPr>
            <w:tcW w:w="460" w:type="dxa"/>
            <w:vAlign w:val="bottom"/>
          </w:tcPr>
          <w:p>
            <w:pPr>
              <w:spacing w:after="0"/>
              <w:rPr>
                <w:sz w:val="18"/>
                <w:szCs w:val="18"/>
                <w:color w:val="auto"/>
              </w:rPr>
            </w:pPr>
          </w:p>
        </w:tc>
        <w:tc>
          <w:tcPr>
            <w:tcW w:w="1280" w:type="dxa"/>
            <w:vAlign w:val="bottom"/>
            <w:gridSpan w:val="2"/>
          </w:tcPr>
          <w:p>
            <w:pPr>
              <w:jc w:val="center"/>
              <w:ind w:right="480"/>
              <w:spacing w:after="0" w:line="212" w:lineRule="exact"/>
              <w:rPr>
                <w:sz w:val="20"/>
                <w:szCs w:val="20"/>
                <w:color w:val="auto"/>
              </w:rPr>
            </w:pPr>
            <w:r>
              <w:rPr>
                <w:rFonts w:ascii="Times New Roman" w:cs="Times New Roman" w:eastAsia="Times New Roman" w:hAnsi="Times New Roman"/>
                <w:sz w:val="20"/>
                <w:szCs w:val="20"/>
                <w:color w:val="auto"/>
                <w:w w:val="97"/>
              </w:rPr>
              <w:t>Base Rent</w:t>
            </w:r>
          </w:p>
        </w:tc>
        <w:tc>
          <w:tcPr>
            <w:tcW w:w="3340" w:type="dxa"/>
            <w:vAlign w:val="bottom"/>
            <w:gridSpan w:val="7"/>
          </w:tcPr>
          <w:p>
            <w:pPr>
              <w:jc w:val="center"/>
              <w:ind w:left="261"/>
              <w:spacing w:after="0" w:line="212" w:lineRule="exact"/>
              <w:rPr>
                <w:sz w:val="20"/>
                <w:szCs w:val="20"/>
                <w:color w:val="auto"/>
              </w:rPr>
            </w:pPr>
            <w:r>
              <w:rPr>
                <w:rFonts w:ascii="Times New Roman" w:cs="Times New Roman" w:eastAsia="Times New Roman" w:hAnsi="Times New Roman"/>
                <w:sz w:val="20"/>
                <w:szCs w:val="20"/>
                <w:color w:val="auto"/>
                <w:w w:val="98"/>
              </w:rPr>
              <w:t>of Base Rent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gridSpan w:val="5"/>
          </w:tcPr>
          <w:p>
            <w:pPr>
              <w:jc w:val="center"/>
              <w:ind w:right="660"/>
              <w:spacing w:after="0" w:line="212" w:lineRule="exact"/>
              <w:rPr>
                <w:sz w:val="20"/>
                <w:szCs w:val="20"/>
                <w:color w:val="auto"/>
              </w:rPr>
            </w:pPr>
            <w:r>
              <w:rPr>
                <w:rFonts w:ascii="Times New Roman" w:cs="Times New Roman" w:eastAsia="Times New Roman" w:hAnsi="Times New Roman"/>
                <w:sz w:val="20"/>
                <w:szCs w:val="20"/>
                <w:color w:val="auto"/>
                <w:w w:val="98"/>
              </w:rPr>
              <w:t>Square Foot*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00" w:type="dxa"/>
            <w:vAlign w:val="bottom"/>
          </w:tcPr>
          <w:p>
            <w:pPr>
              <w:spacing w:after="0"/>
              <w:rPr>
                <w:sz w:val="24"/>
                <w:szCs w:val="24"/>
                <w:color w:val="auto"/>
              </w:rPr>
            </w:pPr>
          </w:p>
        </w:tc>
        <w:tc>
          <w:tcPr>
            <w:tcW w:w="2720" w:type="dxa"/>
            <w:vAlign w:val="bottom"/>
            <w:gridSpan w:val="6"/>
          </w:tcPr>
          <w:p>
            <w:pPr>
              <w:jc w:val="center"/>
              <w:ind w:right="700"/>
              <w:spacing w:after="0"/>
              <w:rPr>
                <w:sz w:val="20"/>
                <w:szCs w:val="20"/>
                <w:color w:val="auto"/>
              </w:rPr>
            </w:pPr>
            <w:r>
              <w:rPr>
                <w:rFonts w:ascii="Times New Roman" w:cs="Times New Roman" w:eastAsia="Times New Roman" w:hAnsi="Times New Roman"/>
                <w:sz w:val="20"/>
                <w:szCs w:val="20"/>
                <w:color w:val="auto"/>
                <w:w w:val="99"/>
              </w:rPr>
              <w:t>Lease Months 1 – 12**</w:t>
            </w:r>
          </w:p>
        </w:tc>
        <w:tc>
          <w:tcPr>
            <w:tcW w:w="17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$1,698,254.40</w:t>
            </w:r>
          </w:p>
        </w:tc>
        <w:tc>
          <w:tcPr>
            <w:tcW w:w="2360" w:type="dxa"/>
            <w:vAlign w:val="bottom"/>
            <w:gridSpan w:val="4"/>
          </w:tcPr>
          <w:p>
            <w:pPr>
              <w:jc w:val="center"/>
              <w:ind w:left="1261"/>
              <w:spacing w:after="0"/>
              <w:rPr>
                <w:sz w:val="20"/>
                <w:szCs w:val="20"/>
                <w:color w:val="auto"/>
              </w:rPr>
            </w:pPr>
            <w:r>
              <w:rPr>
                <w:rFonts w:ascii="Times New Roman" w:cs="Times New Roman" w:eastAsia="Times New Roman" w:hAnsi="Times New Roman"/>
                <w:sz w:val="20"/>
                <w:szCs w:val="20"/>
                <w:color w:val="auto"/>
                <w:w w:val="99"/>
              </w:rPr>
              <w:t>$141,521.20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6"/>
          </w:tcPr>
          <w:p>
            <w:pPr>
              <w:jc w:val="center"/>
              <w:ind w:left="901"/>
              <w:spacing w:after="0"/>
              <w:rPr>
                <w:sz w:val="20"/>
                <w:szCs w:val="20"/>
                <w:color w:val="auto"/>
              </w:rPr>
            </w:pPr>
            <w:r>
              <w:rPr>
                <w:rFonts w:ascii="Times New Roman" w:cs="Times New Roman" w:eastAsia="Times New Roman" w:hAnsi="Times New Roman"/>
                <w:sz w:val="20"/>
                <w:szCs w:val="20"/>
                <w:color w:val="auto"/>
                <w:w w:val="97"/>
              </w:rPr>
              <w:t>$5.65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2720" w:type="dxa"/>
            <w:vAlign w:val="bottom"/>
            <w:gridSpan w:val="6"/>
          </w:tcPr>
          <w:p>
            <w:pPr>
              <w:jc w:val="center"/>
              <w:ind w:right="760"/>
              <w:spacing w:after="0"/>
              <w:rPr>
                <w:sz w:val="20"/>
                <w:szCs w:val="20"/>
                <w:color w:val="auto"/>
              </w:rPr>
            </w:pPr>
            <w:r>
              <w:rPr>
                <w:rFonts w:ascii="Times New Roman" w:cs="Times New Roman" w:eastAsia="Times New Roman" w:hAnsi="Times New Roman"/>
                <w:sz w:val="20"/>
                <w:szCs w:val="20"/>
                <w:color w:val="auto"/>
                <w:w w:val="98"/>
              </w:rPr>
              <w:t>Lease Months 13 – 24</w:t>
            </w:r>
          </w:p>
        </w:tc>
        <w:tc>
          <w:tcPr>
            <w:tcW w:w="17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$1,758,369.60</w:t>
            </w:r>
          </w:p>
        </w:tc>
        <w:tc>
          <w:tcPr>
            <w:tcW w:w="2360" w:type="dxa"/>
            <w:vAlign w:val="bottom"/>
            <w:gridSpan w:val="4"/>
          </w:tcPr>
          <w:p>
            <w:pPr>
              <w:jc w:val="center"/>
              <w:ind w:left="1261"/>
              <w:spacing w:after="0"/>
              <w:rPr>
                <w:sz w:val="20"/>
                <w:szCs w:val="20"/>
                <w:color w:val="auto"/>
              </w:rPr>
            </w:pPr>
            <w:r>
              <w:rPr>
                <w:rFonts w:ascii="Times New Roman" w:cs="Times New Roman" w:eastAsia="Times New Roman" w:hAnsi="Times New Roman"/>
                <w:sz w:val="20"/>
                <w:szCs w:val="20"/>
                <w:color w:val="auto"/>
                <w:w w:val="99"/>
              </w:rPr>
              <w:t>$146,530.80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6"/>
          </w:tcPr>
          <w:p>
            <w:pPr>
              <w:jc w:val="center"/>
              <w:ind w:left="901"/>
              <w:spacing w:after="0"/>
              <w:rPr>
                <w:sz w:val="20"/>
                <w:szCs w:val="20"/>
                <w:color w:val="auto"/>
              </w:rPr>
            </w:pPr>
            <w:r>
              <w:rPr>
                <w:rFonts w:ascii="Times New Roman" w:cs="Times New Roman" w:eastAsia="Times New Roman" w:hAnsi="Times New Roman"/>
                <w:sz w:val="20"/>
                <w:szCs w:val="20"/>
                <w:color w:val="auto"/>
                <w:w w:val="97"/>
              </w:rPr>
              <w:t>$5.85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00" w:type="dxa"/>
            <w:vAlign w:val="bottom"/>
          </w:tcPr>
          <w:p>
            <w:pPr>
              <w:spacing w:after="0"/>
              <w:rPr>
                <w:sz w:val="24"/>
                <w:szCs w:val="24"/>
                <w:color w:val="auto"/>
              </w:rPr>
            </w:pPr>
          </w:p>
        </w:tc>
        <w:tc>
          <w:tcPr>
            <w:tcW w:w="2720" w:type="dxa"/>
            <w:vAlign w:val="bottom"/>
            <w:gridSpan w:val="6"/>
          </w:tcPr>
          <w:p>
            <w:pPr>
              <w:jc w:val="center"/>
              <w:ind w:right="760"/>
              <w:spacing w:after="0"/>
              <w:rPr>
                <w:sz w:val="20"/>
                <w:szCs w:val="20"/>
                <w:color w:val="auto"/>
              </w:rPr>
            </w:pPr>
            <w:r>
              <w:rPr>
                <w:rFonts w:ascii="Times New Roman" w:cs="Times New Roman" w:eastAsia="Times New Roman" w:hAnsi="Times New Roman"/>
                <w:sz w:val="20"/>
                <w:szCs w:val="20"/>
                <w:color w:val="auto"/>
                <w:w w:val="98"/>
              </w:rPr>
              <w:t>Lease Months 25 – 36</w:t>
            </w:r>
          </w:p>
        </w:tc>
        <w:tc>
          <w:tcPr>
            <w:tcW w:w="17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$1,818,484.80</w:t>
            </w:r>
          </w:p>
        </w:tc>
        <w:tc>
          <w:tcPr>
            <w:tcW w:w="2360" w:type="dxa"/>
            <w:vAlign w:val="bottom"/>
            <w:gridSpan w:val="4"/>
          </w:tcPr>
          <w:p>
            <w:pPr>
              <w:jc w:val="center"/>
              <w:ind w:left="1261"/>
              <w:spacing w:after="0"/>
              <w:rPr>
                <w:sz w:val="20"/>
                <w:szCs w:val="20"/>
                <w:color w:val="auto"/>
              </w:rPr>
            </w:pPr>
            <w:r>
              <w:rPr>
                <w:rFonts w:ascii="Times New Roman" w:cs="Times New Roman" w:eastAsia="Times New Roman" w:hAnsi="Times New Roman"/>
                <w:sz w:val="20"/>
                <w:szCs w:val="20"/>
                <w:color w:val="auto"/>
                <w:w w:val="99"/>
              </w:rPr>
              <w:t>$151,540.40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6"/>
          </w:tcPr>
          <w:p>
            <w:pPr>
              <w:jc w:val="center"/>
              <w:ind w:left="901"/>
              <w:spacing w:after="0"/>
              <w:rPr>
                <w:sz w:val="20"/>
                <w:szCs w:val="20"/>
                <w:color w:val="auto"/>
              </w:rPr>
            </w:pPr>
            <w:r>
              <w:rPr>
                <w:rFonts w:ascii="Times New Roman" w:cs="Times New Roman" w:eastAsia="Times New Roman" w:hAnsi="Times New Roman"/>
                <w:sz w:val="20"/>
                <w:szCs w:val="20"/>
                <w:color w:val="auto"/>
                <w:w w:val="97"/>
              </w:rPr>
              <w:t>$6.05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2720" w:type="dxa"/>
            <w:vAlign w:val="bottom"/>
            <w:gridSpan w:val="6"/>
          </w:tcPr>
          <w:p>
            <w:pPr>
              <w:jc w:val="center"/>
              <w:ind w:right="760"/>
              <w:spacing w:after="0"/>
              <w:rPr>
                <w:sz w:val="20"/>
                <w:szCs w:val="20"/>
                <w:color w:val="auto"/>
              </w:rPr>
            </w:pPr>
            <w:r>
              <w:rPr>
                <w:rFonts w:ascii="Times New Roman" w:cs="Times New Roman" w:eastAsia="Times New Roman" w:hAnsi="Times New Roman"/>
                <w:sz w:val="20"/>
                <w:szCs w:val="20"/>
                <w:color w:val="auto"/>
                <w:w w:val="98"/>
              </w:rPr>
              <w:t>Lease Months 37 – 48</w:t>
            </w:r>
          </w:p>
        </w:tc>
        <w:tc>
          <w:tcPr>
            <w:tcW w:w="17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$1,881,605.76</w:t>
            </w:r>
          </w:p>
        </w:tc>
        <w:tc>
          <w:tcPr>
            <w:tcW w:w="2360" w:type="dxa"/>
            <w:vAlign w:val="bottom"/>
            <w:gridSpan w:val="4"/>
          </w:tcPr>
          <w:p>
            <w:pPr>
              <w:jc w:val="center"/>
              <w:ind w:left="1261"/>
              <w:spacing w:after="0"/>
              <w:rPr>
                <w:sz w:val="20"/>
                <w:szCs w:val="20"/>
                <w:color w:val="auto"/>
              </w:rPr>
            </w:pPr>
            <w:r>
              <w:rPr>
                <w:rFonts w:ascii="Times New Roman" w:cs="Times New Roman" w:eastAsia="Times New Roman" w:hAnsi="Times New Roman"/>
                <w:sz w:val="20"/>
                <w:szCs w:val="20"/>
                <w:color w:val="auto"/>
                <w:w w:val="99"/>
              </w:rPr>
              <w:t>$156,800.48</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6"/>
          </w:tcPr>
          <w:p>
            <w:pPr>
              <w:jc w:val="center"/>
              <w:ind w:left="901"/>
              <w:spacing w:after="0"/>
              <w:rPr>
                <w:sz w:val="20"/>
                <w:szCs w:val="20"/>
                <w:color w:val="auto"/>
              </w:rPr>
            </w:pPr>
            <w:r>
              <w:rPr>
                <w:rFonts w:ascii="Times New Roman" w:cs="Times New Roman" w:eastAsia="Times New Roman" w:hAnsi="Times New Roman"/>
                <w:sz w:val="20"/>
                <w:szCs w:val="20"/>
                <w:color w:val="auto"/>
                <w:w w:val="97"/>
              </w:rPr>
              <w:t>$6.26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2720" w:type="dxa"/>
            <w:vAlign w:val="bottom"/>
            <w:gridSpan w:val="6"/>
          </w:tcPr>
          <w:p>
            <w:pPr>
              <w:jc w:val="center"/>
              <w:ind w:right="760"/>
              <w:spacing w:after="0"/>
              <w:rPr>
                <w:sz w:val="20"/>
                <w:szCs w:val="20"/>
                <w:color w:val="auto"/>
              </w:rPr>
            </w:pPr>
            <w:r>
              <w:rPr>
                <w:rFonts w:ascii="Times New Roman" w:cs="Times New Roman" w:eastAsia="Times New Roman" w:hAnsi="Times New Roman"/>
                <w:sz w:val="20"/>
                <w:szCs w:val="20"/>
                <w:color w:val="auto"/>
                <w:w w:val="98"/>
              </w:rPr>
              <w:t>Lease Months 49 – 60</w:t>
            </w:r>
          </w:p>
        </w:tc>
        <w:tc>
          <w:tcPr>
            <w:tcW w:w="17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$1,947,732.48</w:t>
            </w:r>
          </w:p>
        </w:tc>
        <w:tc>
          <w:tcPr>
            <w:tcW w:w="2360" w:type="dxa"/>
            <w:vAlign w:val="bottom"/>
            <w:gridSpan w:val="4"/>
          </w:tcPr>
          <w:p>
            <w:pPr>
              <w:jc w:val="center"/>
              <w:ind w:left="1261"/>
              <w:spacing w:after="0"/>
              <w:rPr>
                <w:sz w:val="20"/>
                <w:szCs w:val="20"/>
                <w:color w:val="auto"/>
              </w:rPr>
            </w:pPr>
            <w:r>
              <w:rPr>
                <w:rFonts w:ascii="Times New Roman" w:cs="Times New Roman" w:eastAsia="Times New Roman" w:hAnsi="Times New Roman"/>
                <w:sz w:val="20"/>
                <w:szCs w:val="20"/>
                <w:color w:val="auto"/>
                <w:w w:val="99"/>
              </w:rPr>
              <w:t>$162,311.04</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6"/>
          </w:tcPr>
          <w:p>
            <w:pPr>
              <w:jc w:val="center"/>
              <w:ind w:left="901"/>
              <w:spacing w:after="0"/>
              <w:rPr>
                <w:sz w:val="20"/>
                <w:szCs w:val="20"/>
                <w:color w:val="auto"/>
              </w:rPr>
            </w:pPr>
            <w:r>
              <w:rPr>
                <w:rFonts w:ascii="Times New Roman" w:cs="Times New Roman" w:eastAsia="Times New Roman" w:hAnsi="Times New Roman"/>
                <w:sz w:val="20"/>
                <w:szCs w:val="20"/>
                <w:color w:val="auto"/>
                <w:w w:val="97"/>
              </w:rPr>
              <w:t>$6.48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2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-3-</w:t>
            </w:r>
          </w:p>
        </w:tc>
        <w:tc>
          <w:tcPr>
            <w:tcW w:w="3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20" w:type="dxa"/>
            <w:vAlign w:val="bottom"/>
            <w:vMerge w:val="continue"/>
          </w:tcPr>
          <w:p>
            <w:pPr>
              <w:spacing w:after="0"/>
              <w:rPr>
                <w:sz w:val="14"/>
                <w:szCs w:val="14"/>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298" w:gutter="0" w:footer="0" w:header="0"/>
        </w:sectPr>
      </w:pPr>
    </w:p>
    <w:bookmarkStart w:id="123" w:name="page124"/>
    <w:bookmarkEnd w:id="123"/>
    <w:p>
      <w:pPr>
        <w:spacing w:after="0" w:line="189" w:lineRule="exact"/>
        <w:rPr>
          <w:sz w:val="20"/>
          <w:szCs w:val="20"/>
          <w:color w:val="auto"/>
        </w:rPr>
      </w:pPr>
    </w:p>
    <w:tbl>
      <w:tblPr>
        <w:tblLayout w:type="fixed"/>
        <w:tblInd w:w="500" w:type="dxa"/>
        <w:tblCellMar>
          <w:top w:w="0" w:type="dxa"/>
          <w:left w:w="0" w:type="dxa"/>
          <w:bottom w:w="0" w:type="dxa"/>
          <w:right w:w="0" w:type="dxa"/>
        </w:tblCellMar>
      </w:tblPr>
      <w:tr>
        <w:trPr>
          <w:trHeight w:val="258"/>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Lease Months 61 – 72</w:t>
            </w:r>
          </w:p>
        </w:tc>
        <w:tc>
          <w:tcPr>
            <w:tcW w:w="254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$2,016,864.96</w:t>
            </w:r>
          </w:p>
        </w:tc>
        <w:tc>
          <w:tcPr>
            <w:tcW w:w="2980" w:type="dxa"/>
            <w:vAlign w:val="bottom"/>
          </w:tcPr>
          <w:p>
            <w:pPr>
              <w:jc w:val="right"/>
              <w:ind w:right="1041"/>
              <w:spacing w:after="0"/>
              <w:rPr>
                <w:sz w:val="20"/>
                <w:szCs w:val="20"/>
                <w:color w:val="auto"/>
              </w:rPr>
            </w:pPr>
            <w:r>
              <w:rPr>
                <w:rFonts w:ascii="Times New Roman" w:cs="Times New Roman" w:eastAsia="Times New Roman" w:hAnsi="Times New Roman"/>
                <w:sz w:val="20"/>
                <w:szCs w:val="20"/>
                <w:color w:val="auto"/>
              </w:rPr>
              <w:t>$168,072.08</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w:t>
            </w:r>
          </w:p>
        </w:tc>
      </w:tr>
      <w:tr>
        <w:trPr>
          <w:trHeight w:val="445"/>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Lease Months 73 – 84</w:t>
            </w:r>
          </w:p>
        </w:tc>
        <w:tc>
          <w:tcPr>
            <w:tcW w:w="254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$2,089,003.20</w:t>
            </w:r>
          </w:p>
        </w:tc>
        <w:tc>
          <w:tcPr>
            <w:tcW w:w="2980" w:type="dxa"/>
            <w:vAlign w:val="bottom"/>
          </w:tcPr>
          <w:p>
            <w:pPr>
              <w:jc w:val="right"/>
              <w:ind w:right="1041"/>
              <w:spacing w:after="0"/>
              <w:rPr>
                <w:sz w:val="20"/>
                <w:szCs w:val="20"/>
                <w:color w:val="auto"/>
              </w:rPr>
            </w:pPr>
            <w:r>
              <w:rPr>
                <w:rFonts w:ascii="Times New Roman" w:cs="Times New Roman" w:eastAsia="Times New Roman" w:hAnsi="Times New Roman"/>
                <w:sz w:val="20"/>
                <w:szCs w:val="20"/>
                <w:color w:val="auto"/>
              </w:rPr>
              <w:t>$174,083.60</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w:t>
            </w:r>
          </w:p>
        </w:tc>
      </w:tr>
    </w:tbl>
    <w:p>
      <w:pPr>
        <w:spacing w:after="0" w:line="79" w:lineRule="exact"/>
        <w:rPr>
          <w:sz w:val="20"/>
          <w:szCs w:val="20"/>
          <w:color w:val="auto"/>
        </w:rPr>
      </w:pPr>
    </w:p>
    <w:p>
      <w:pPr>
        <w:jc w:val="both"/>
        <w:ind w:left="380" w:right="100" w:hanging="375"/>
        <w:spacing w:after="0" w:line="254" w:lineRule="auto"/>
        <w:tabs>
          <w:tab w:leader="none" w:pos="40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identified in the column entitled "Monthly Rental Rate per Rentable Square Foot" are rounded amounts and are provided for informational purposes only. The amounts identified in the columns entitled "Annual Base Rent" and "Monthly Installment of Base Rent" shall control.</w:t>
      </w:r>
    </w:p>
    <w:p>
      <w:pPr>
        <w:spacing w:after="0" w:line="66" w:lineRule="exact"/>
        <w:rPr>
          <w:sz w:val="20"/>
          <w:szCs w:val="20"/>
          <w:color w:val="auto"/>
        </w:rPr>
      </w:pPr>
    </w:p>
    <w:p>
      <w:pPr>
        <w:jc w:val="both"/>
        <w:ind w:left="380" w:right="100" w:hanging="375"/>
        <w:spacing w:after="0" w:line="229" w:lineRule="auto"/>
        <w:tabs>
          <w:tab w:leader="none" w:pos="40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of this Lease, the Base Rent attributable to the six (6) full calendar month period commencing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day of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full calendar month of the Lease Term and ending on the last day of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full calendar month of the Lease Term shall be fully abated, providing a total abatement of $849,127.20 (“</w:t>
      </w:r>
      <w:r>
        <w:rPr>
          <w:rFonts w:ascii="Times New Roman" w:cs="Times New Roman" w:eastAsia="Times New Roman" w:hAnsi="Times New Roman"/>
          <w:sz w:val="20"/>
          <w:szCs w:val="20"/>
          <w:b w:val="1"/>
          <w:bCs w:val="1"/>
          <w:color w:val="auto"/>
        </w:rPr>
        <w:t>Phase I Premises Base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Rent Abatement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Phase II Premises Base Rent</w:t>
            </w:r>
            <w:r>
              <w:rPr>
                <w:rFonts w:ascii="Times New Roman" w:cs="Times New Roman" w:eastAsia="Times New Roman" w:hAnsi="Times New Roman"/>
                <w:sz w:val="20"/>
                <w:szCs w:val="20"/>
                <w:color w:val="auto"/>
              </w:rPr>
              <w:t>:</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20"/>
                <w:szCs w:val="20"/>
                <w:color w:val="auto"/>
                <w:w w:val="98"/>
              </w:rPr>
              <w:t>Monthly</w:t>
            </w:r>
          </w:p>
        </w:tc>
        <w:tc>
          <w:tcPr>
            <w:tcW w:w="2500" w:type="dxa"/>
            <w:vAlign w:val="bottom"/>
            <w:gridSpan w:val="3"/>
            <w:vMerge w:val="restart"/>
          </w:tcPr>
          <w:p>
            <w:pPr>
              <w:jc w:val="center"/>
              <w:ind w:left="741"/>
              <w:spacing w:after="0"/>
              <w:rPr>
                <w:sz w:val="20"/>
                <w:szCs w:val="20"/>
                <w:color w:val="auto"/>
              </w:rPr>
            </w:pPr>
            <w:r>
              <w:rPr>
                <w:rFonts w:ascii="Times New Roman" w:cs="Times New Roman" w:eastAsia="Times New Roman" w:hAnsi="Times New Roman"/>
                <w:sz w:val="20"/>
                <w:szCs w:val="20"/>
                <w:color w:val="auto"/>
                <w:w w:val="98"/>
              </w:rPr>
              <w:t>Monthly Rental Rate</w:t>
            </w:r>
          </w:p>
        </w:tc>
        <w:tc>
          <w:tcPr>
            <w:tcW w:w="0" w:type="dxa"/>
            <w:vAlign w:val="bottom"/>
          </w:tcPr>
          <w:p>
            <w:pPr>
              <w:spacing w:after="0"/>
              <w:rPr>
                <w:sz w:val="1"/>
                <w:szCs w:val="1"/>
                <w:color w:val="auto"/>
              </w:rPr>
            </w:pPr>
          </w:p>
        </w:tc>
      </w:tr>
      <w:tr>
        <w:trPr>
          <w:trHeight w:val="227"/>
        </w:trPr>
        <w:tc>
          <w:tcPr>
            <w:tcW w:w="5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25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340" w:type="dxa"/>
            <w:vAlign w:val="bottom"/>
            <w:gridSpan w:val="3"/>
          </w:tcPr>
          <w:p>
            <w:pPr>
              <w:jc w:val="center"/>
              <w:ind w:right="460"/>
              <w:spacing w:after="0"/>
              <w:rPr>
                <w:sz w:val="20"/>
                <w:szCs w:val="20"/>
                <w:color w:val="auto"/>
              </w:rPr>
            </w:pPr>
            <w:r>
              <w:rPr>
                <w:rFonts w:ascii="Times New Roman" w:cs="Times New Roman" w:eastAsia="Times New Roman" w:hAnsi="Times New Roman"/>
                <w:sz w:val="20"/>
                <w:szCs w:val="20"/>
                <w:color w:val="auto"/>
                <w:w w:val="99"/>
              </w:rPr>
              <w:t>Annualized</w:t>
            </w:r>
          </w:p>
        </w:tc>
        <w:tc>
          <w:tcPr>
            <w:tcW w:w="820" w:type="dxa"/>
            <w:vAlign w:val="bottom"/>
          </w:tcPr>
          <w:p>
            <w:pPr>
              <w:spacing w:after="0"/>
              <w:rPr>
                <w:sz w:val="19"/>
                <w:szCs w:val="19"/>
                <w:color w:val="auto"/>
              </w:rPr>
            </w:pPr>
          </w:p>
        </w:tc>
        <w:tc>
          <w:tcPr>
            <w:tcW w:w="1880" w:type="dxa"/>
            <w:vAlign w:val="bottom"/>
            <w:gridSpan w:val="2"/>
          </w:tcPr>
          <w:p>
            <w:pPr>
              <w:jc w:val="center"/>
              <w:ind w:right="840"/>
              <w:spacing w:after="0"/>
              <w:rPr>
                <w:sz w:val="20"/>
                <w:szCs w:val="20"/>
                <w:color w:val="auto"/>
              </w:rPr>
            </w:pPr>
            <w:r>
              <w:rPr>
                <w:rFonts w:ascii="Times New Roman" w:cs="Times New Roman" w:eastAsia="Times New Roman" w:hAnsi="Times New Roman"/>
                <w:sz w:val="20"/>
                <w:szCs w:val="20"/>
                <w:color w:val="auto"/>
                <w:w w:val="97"/>
              </w:rPr>
              <w:t>Installment</w:t>
            </w:r>
          </w:p>
        </w:tc>
        <w:tc>
          <w:tcPr>
            <w:tcW w:w="114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20"/>
                <w:szCs w:val="20"/>
                <w:color w:val="auto"/>
                <w:w w:val="98"/>
              </w:rPr>
              <w:t>per Rentable</w:t>
            </w: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2520" w:type="dxa"/>
            <w:vAlign w:val="bottom"/>
            <w:gridSpan w:val="3"/>
          </w:tcPr>
          <w:p>
            <w:pPr>
              <w:jc w:val="center"/>
              <w:ind w:right="800"/>
              <w:spacing w:after="0" w:line="212" w:lineRule="exact"/>
              <w:rPr>
                <w:sz w:val="20"/>
                <w:szCs w:val="20"/>
                <w:color w:val="auto"/>
              </w:rPr>
            </w:pPr>
            <w:r>
              <w:rPr>
                <w:rFonts w:ascii="Times New Roman" w:cs="Times New Roman" w:eastAsia="Times New Roman" w:hAnsi="Times New Roman"/>
                <w:sz w:val="20"/>
                <w:szCs w:val="20"/>
                <w:color w:val="auto"/>
                <w:w w:val="98"/>
              </w:rPr>
              <w:t>Period of Lease Term</w:t>
            </w:r>
          </w:p>
        </w:tc>
        <w:tc>
          <w:tcPr>
            <w:tcW w:w="540" w:type="dxa"/>
            <w:vAlign w:val="bottom"/>
          </w:tcPr>
          <w:p>
            <w:pPr>
              <w:spacing w:after="0"/>
              <w:rPr>
                <w:sz w:val="18"/>
                <w:szCs w:val="18"/>
                <w:color w:val="auto"/>
              </w:rPr>
            </w:pPr>
          </w:p>
        </w:tc>
        <w:tc>
          <w:tcPr>
            <w:tcW w:w="1800" w:type="dxa"/>
            <w:vAlign w:val="bottom"/>
            <w:gridSpan w:val="2"/>
          </w:tcPr>
          <w:p>
            <w:pPr>
              <w:jc w:val="center"/>
              <w:ind w:right="1000"/>
              <w:spacing w:after="0" w:line="212" w:lineRule="exact"/>
              <w:rPr>
                <w:sz w:val="20"/>
                <w:szCs w:val="20"/>
                <w:color w:val="auto"/>
              </w:rPr>
            </w:pPr>
            <w:r>
              <w:rPr>
                <w:rFonts w:ascii="Times New Roman" w:cs="Times New Roman" w:eastAsia="Times New Roman" w:hAnsi="Times New Roman"/>
                <w:sz w:val="20"/>
                <w:szCs w:val="20"/>
                <w:color w:val="auto"/>
                <w:w w:val="97"/>
              </w:rPr>
              <w:t>Base Rent</w:t>
            </w:r>
          </w:p>
        </w:tc>
        <w:tc>
          <w:tcPr>
            <w:tcW w:w="2700" w:type="dxa"/>
            <w:vAlign w:val="bottom"/>
            <w:gridSpan w:val="3"/>
          </w:tcPr>
          <w:p>
            <w:pPr>
              <w:jc w:val="center"/>
              <w:ind w:right="40"/>
              <w:spacing w:after="0" w:line="212" w:lineRule="exact"/>
              <w:rPr>
                <w:sz w:val="20"/>
                <w:szCs w:val="20"/>
                <w:color w:val="auto"/>
              </w:rPr>
            </w:pPr>
            <w:r>
              <w:rPr>
                <w:rFonts w:ascii="Times New Roman" w:cs="Times New Roman" w:eastAsia="Times New Roman" w:hAnsi="Times New Roman"/>
                <w:sz w:val="20"/>
                <w:szCs w:val="20"/>
                <w:color w:val="auto"/>
                <w:w w:val="98"/>
              </w:rPr>
              <w:t>of Base Rent</w:t>
            </w:r>
          </w:p>
        </w:tc>
        <w:tc>
          <w:tcPr>
            <w:tcW w:w="2500" w:type="dxa"/>
            <w:vAlign w:val="bottom"/>
            <w:gridSpan w:val="3"/>
          </w:tcPr>
          <w:p>
            <w:pPr>
              <w:jc w:val="center"/>
              <w:ind w:left="741"/>
              <w:spacing w:after="0" w:line="212" w:lineRule="exact"/>
              <w:rPr>
                <w:sz w:val="20"/>
                <w:szCs w:val="20"/>
                <w:color w:val="auto"/>
              </w:rPr>
            </w:pPr>
            <w:r>
              <w:rPr>
                <w:rFonts w:ascii="Times New Roman" w:cs="Times New Roman" w:eastAsia="Times New Roman" w:hAnsi="Times New Roman"/>
                <w:sz w:val="20"/>
                <w:szCs w:val="20"/>
                <w:color w:val="auto"/>
                <w:w w:val="98"/>
              </w:rPr>
              <w:t>Square Foot*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04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color w:val="auto"/>
                <w:w w:val="98"/>
              </w:rPr>
              <w:t>Phase II Commencement Date -</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 w:type="dxa"/>
            <w:vAlign w:val="bottom"/>
          </w:tcPr>
          <w:p>
            <w:pPr>
              <w:spacing w:after="0"/>
              <w:rPr>
                <w:sz w:val="22"/>
                <w:szCs w:val="22"/>
                <w:color w:val="auto"/>
              </w:rPr>
            </w:pPr>
          </w:p>
        </w:tc>
        <w:tc>
          <w:tcPr>
            <w:tcW w:w="2520" w:type="dxa"/>
            <w:vAlign w:val="bottom"/>
            <w:gridSpan w:val="3"/>
          </w:tcPr>
          <w:p>
            <w:pPr>
              <w:jc w:val="center"/>
              <w:ind w:right="760"/>
              <w:spacing w:after="0"/>
              <w:rPr>
                <w:sz w:val="20"/>
                <w:szCs w:val="20"/>
                <w:color w:val="auto"/>
              </w:rPr>
            </w:pPr>
            <w:r>
              <w:rPr>
                <w:rFonts w:ascii="Times New Roman" w:cs="Times New Roman" w:eastAsia="Times New Roman" w:hAnsi="Times New Roman"/>
                <w:sz w:val="20"/>
                <w:szCs w:val="20"/>
                <w:color w:val="auto"/>
                <w:w w:val="98"/>
              </w:rPr>
              <w:t>Lease Months 12^•</w:t>
            </w:r>
          </w:p>
        </w:tc>
        <w:tc>
          <w:tcPr>
            <w:tcW w:w="2340" w:type="dxa"/>
            <w:vAlign w:val="bottom"/>
            <w:gridSpan w:val="3"/>
          </w:tcPr>
          <w:p>
            <w:pPr>
              <w:jc w:val="center"/>
              <w:ind w:right="460"/>
              <w:spacing w:after="0"/>
              <w:rPr>
                <w:sz w:val="20"/>
                <w:szCs w:val="20"/>
                <w:color w:val="auto"/>
              </w:rPr>
            </w:pPr>
            <w:r>
              <w:rPr>
                <w:rFonts w:ascii="Times New Roman" w:cs="Times New Roman" w:eastAsia="Times New Roman" w:hAnsi="Times New Roman"/>
                <w:sz w:val="20"/>
                <w:szCs w:val="20"/>
                <w:color w:val="auto"/>
                <w:w w:val="99"/>
              </w:rPr>
              <w:t>$890,078.40</w:t>
            </w:r>
          </w:p>
        </w:tc>
        <w:tc>
          <w:tcPr>
            <w:tcW w:w="1840" w:type="dxa"/>
            <w:vAlign w:val="bottom"/>
            <w:gridSpan w:val="2"/>
          </w:tcPr>
          <w:p>
            <w:pPr>
              <w:jc w:val="center"/>
              <w:ind w:left="741"/>
              <w:spacing w:after="0"/>
              <w:rPr>
                <w:sz w:val="20"/>
                <w:szCs w:val="20"/>
                <w:color w:val="auto"/>
              </w:rPr>
            </w:pPr>
            <w:r>
              <w:rPr>
                <w:rFonts w:ascii="Times New Roman" w:cs="Times New Roman" w:eastAsia="Times New Roman" w:hAnsi="Times New Roman"/>
                <w:sz w:val="20"/>
                <w:szCs w:val="20"/>
                <w:color w:val="auto"/>
                <w:w w:val="97"/>
              </w:rPr>
              <w:t>$74,173.20</w:t>
            </w:r>
          </w:p>
        </w:tc>
        <w:tc>
          <w:tcPr>
            <w:tcW w:w="860" w:type="dxa"/>
            <w:vAlign w:val="bottom"/>
          </w:tcPr>
          <w:p>
            <w:pPr>
              <w:spacing w:after="0"/>
              <w:rPr>
                <w:sz w:val="22"/>
                <w:szCs w:val="22"/>
                <w:color w:val="auto"/>
              </w:rPr>
            </w:pPr>
          </w:p>
        </w:tc>
        <w:tc>
          <w:tcPr>
            <w:tcW w:w="2200" w:type="dxa"/>
            <w:vAlign w:val="bottom"/>
            <w:gridSpan w:val="2"/>
          </w:tcPr>
          <w:p>
            <w:pPr>
              <w:jc w:val="center"/>
              <w:ind w:left="1021"/>
              <w:spacing w:after="0"/>
              <w:rPr>
                <w:sz w:val="20"/>
                <w:szCs w:val="20"/>
                <w:color w:val="auto"/>
              </w:rPr>
            </w:pPr>
            <w:r>
              <w:rPr>
                <w:rFonts w:ascii="Times New Roman" w:cs="Times New Roman" w:eastAsia="Times New Roman" w:hAnsi="Times New Roman"/>
                <w:sz w:val="20"/>
                <w:szCs w:val="20"/>
                <w:color w:val="auto"/>
                <w:w w:val="97"/>
              </w:rPr>
              <w:t>$5.65</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304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color w:val="auto"/>
                <w:w w:val="98"/>
              </w:rPr>
              <w:t>Lease Months 13 – 24</w:t>
            </w:r>
          </w:p>
        </w:tc>
        <w:tc>
          <w:tcPr>
            <w:tcW w:w="2340" w:type="dxa"/>
            <w:vAlign w:val="bottom"/>
            <w:gridSpan w:val="3"/>
          </w:tcPr>
          <w:p>
            <w:pPr>
              <w:jc w:val="center"/>
              <w:ind w:right="460"/>
              <w:spacing w:after="0"/>
              <w:rPr>
                <w:sz w:val="20"/>
                <w:szCs w:val="20"/>
                <w:color w:val="auto"/>
              </w:rPr>
            </w:pPr>
            <w:r>
              <w:rPr>
                <w:rFonts w:ascii="Times New Roman" w:cs="Times New Roman" w:eastAsia="Times New Roman" w:hAnsi="Times New Roman"/>
                <w:sz w:val="20"/>
                <w:szCs w:val="20"/>
                <w:color w:val="auto"/>
                <w:w w:val="99"/>
              </w:rPr>
              <w:t>$921,231.12</w:t>
            </w:r>
          </w:p>
        </w:tc>
        <w:tc>
          <w:tcPr>
            <w:tcW w:w="1840" w:type="dxa"/>
            <w:vAlign w:val="bottom"/>
            <w:gridSpan w:val="2"/>
          </w:tcPr>
          <w:p>
            <w:pPr>
              <w:jc w:val="center"/>
              <w:ind w:left="741"/>
              <w:spacing w:after="0"/>
              <w:rPr>
                <w:sz w:val="20"/>
                <w:szCs w:val="20"/>
                <w:color w:val="auto"/>
              </w:rPr>
            </w:pPr>
            <w:r>
              <w:rPr>
                <w:rFonts w:ascii="Times New Roman" w:cs="Times New Roman" w:eastAsia="Times New Roman" w:hAnsi="Times New Roman"/>
                <w:sz w:val="20"/>
                <w:szCs w:val="20"/>
                <w:color w:val="auto"/>
                <w:w w:val="97"/>
              </w:rPr>
              <w:t>$76,769.26</w:t>
            </w:r>
          </w:p>
        </w:tc>
        <w:tc>
          <w:tcPr>
            <w:tcW w:w="860" w:type="dxa"/>
            <w:vAlign w:val="bottom"/>
          </w:tcPr>
          <w:p>
            <w:pPr>
              <w:spacing w:after="0"/>
              <w:rPr>
                <w:sz w:val="24"/>
                <w:szCs w:val="24"/>
                <w:color w:val="auto"/>
              </w:rPr>
            </w:pPr>
          </w:p>
        </w:tc>
        <w:tc>
          <w:tcPr>
            <w:tcW w:w="2200" w:type="dxa"/>
            <w:vAlign w:val="bottom"/>
            <w:gridSpan w:val="2"/>
          </w:tcPr>
          <w:p>
            <w:pPr>
              <w:jc w:val="center"/>
              <w:ind w:left="1021"/>
              <w:spacing w:after="0"/>
              <w:rPr>
                <w:sz w:val="20"/>
                <w:szCs w:val="20"/>
                <w:color w:val="auto"/>
              </w:rPr>
            </w:pPr>
            <w:r>
              <w:rPr>
                <w:rFonts w:ascii="Times New Roman" w:cs="Times New Roman" w:eastAsia="Times New Roman" w:hAnsi="Times New Roman"/>
                <w:sz w:val="20"/>
                <w:szCs w:val="20"/>
                <w:color w:val="auto"/>
                <w:w w:val="97"/>
              </w:rPr>
              <w:t>$5.85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4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color w:val="auto"/>
                <w:w w:val="98"/>
              </w:rPr>
              <w:t>Lease Months 25 – 36</w:t>
            </w:r>
          </w:p>
        </w:tc>
        <w:tc>
          <w:tcPr>
            <w:tcW w:w="2340" w:type="dxa"/>
            <w:vAlign w:val="bottom"/>
            <w:gridSpan w:val="3"/>
          </w:tcPr>
          <w:p>
            <w:pPr>
              <w:jc w:val="center"/>
              <w:ind w:right="460"/>
              <w:spacing w:after="0"/>
              <w:rPr>
                <w:sz w:val="20"/>
                <w:szCs w:val="20"/>
                <w:color w:val="auto"/>
              </w:rPr>
            </w:pPr>
            <w:r>
              <w:rPr>
                <w:rFonts w:ascii="Times New Roman" w:cs="Times New Roman" w:eastAsia="Times New Roman" w:hAnsi="Times New Roman"/>
                <w:sz w:val="20"/>
                <w:szCs w:val="20"/>
                <w:color w:val="auto"/>
                <w:w w:val="99"/>
              </w:rPr>
              <w:t>$953,474.16</w:t>
            </w:r>
          </w:p>
        </w:tc>
        <w:tc>
          <w:tcPr>
            <w:tcW w:w="1840" w:type="dxa"/>
            <w:vAlign w:val="bottom"/>
            <w:gridSpan w:val="2"/>
          </w:tcPr>
          <w:p>
            <w:pPr>
              <w:jc w:val="center"/>
              <w:ind w:left="741"/>
              <w:spacing w:after="0"/>
              <w:rPr>
                <w:sz w:val="20"/>
                <w:szCs w:val="20"/>
                <w:color w:val="auto"/>
              </w:rPr>
            </w:pPr>
            <w:r>
              <w:rPr>
                <w:rFonts w:ascii="Times New Roman" w:cs="Times New Roman" w:eastAsia="Times New Roman" w:hAnsi="Times New Roman"/>
                <w:sz w:val="20"/>
                <w:szCs w:val="20"/>
                <w:color w:val="auto"/>
                <w:w w:val="97"/>
              </w:rPr>
              <w:t>$79,456.18</w:t>
            </w:r>
          </w:p>
        </w:tc>
        <w:tc>
          <w:tcPr>
            <w:tcW w:w="860" w:type="dxa"/>
            <w:vAlign w:val="bottom"/>
          </w:tcPr>
          <w:p>
            <w:pPr>
              <w:spacing w:after="0"/>
              <w:rPr>
                <w:sz w:val="24"/>
                <w:szCs w:val="24"/>
                <w:color w:val="auto"/>
              </w:rPr>
            </w:pPr>
          </w:p>
        </w:tc>
        <w:tc>
          <w:tcPr>
            <w:tcW w:w="2200" w:type="dxa"/>
            <w:vAlign w:val="bottom"/>
            <w:gridSpan w:val="2"/>
          </w:tcPr>
          <w:p>
            <w:pPr>
              <w:jc w:val="center"/>
              <w:ind w:left="1021"/>
              <w:spacing w:after="0"/>
              <w:rPr>
                <w:sz w:val="20"/>
                <w:szCs w:val="20"/>
                <w:color w:val="auto"/>
              </w:rPr>
            </w:pPr>
            <w:r>
              <w:rPr>
                <w:rFonts w:ascii="Times New Roman" w:cs="Times New Roman" w:eastAsia="Times New Roman" w:hAnsi="Times New Roman"/>
                <w:sz w:val="20"/>
                <w:szCs w:val="20"/>
                <w:color w:val="auto"/>
                <w:w w:val="97"/>
              </w:rPr>
              <w:t>$6.05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4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color w:val="auto"/>
                <w:w w:val="98"/>
              </w:rPr>
              <w:t>Lease Months 37 – 48</w:t>
            </w:r>
          </w:p>
        </w:tc>
        <w:tc>
          <w:tcPr>
            <w:tcW w:w="2340" w:type="dxa"/>
            <w:vAlign w:val="bottom"/>
            <w:gridSpan w:val="3"/>
          </w:tcPr>
          <w:p>
            <w:pPr>
              <w:jc w:val="center"/>
              <w:ind w:right="460"/>
              <w:spacing w:after="0"/>
              <w:rPr>
                <w:sz w:val="20"/>
                <w:szCs w:val="20"/>
                <w:color w:val="auto"/>
              </w:rPr>
            </w:pPr>
            <w:r>
              <w:rPr>
                <w:rFonts w:ascii="Times New Roman" w:cs="Times New Roman" w:eastAsia="Times New Roman" w:hAnsi="Times New Roman"/>
                <w:sz w:val="20"/>
                <w:szCs w:val="20"/>
                <w:color w:val="auto"/>
                <w:w w:val="99"/>
              </w:rPr>
              <w:t>$986,845.80</w:t>
            </w:r>
          </w:p>
        </w:tc>
        <w:tc>
          <w:tcPr>
            <w:tcW w:w="1840" w:type="dxa"/>
            <w:vAlign w:val="bottom"/>
            <w:gridSpan w:val="2"/>
          </w:tcPr>
          <w:p>
            <w:pPr>
              <w:jc w:val="center"/>
              <w:ind w:left="741"/>
              <w:spacing w:after="0"/>
              <w:rPr>
                <w:sz w:val="20"/>
                <w:szCs w:val="20"/>
                <w:color w:val="auto"/>
              </w:rPr>
            </w:pPr>
            <w:r>
              <w:rPr>
                <w:rFonts w:ascii="Times New Roman" w:cs="Times New Roman" w:eastAsia="Times New Roman" w:hAnsi="Times New Roman"/>
                <w:sz w:val="20"/>
                <w:szCs w:val="20"/>
                <w:color w:val="auto"/>
                <w:w w:val="97"/>
              </w:rPr>
              <w:t>$82,237.15</w:t>
            </w:r>
          </w:p>
        </w:tc>
        <w:tc>
          <w:tcPr>
            <w:tcW w:w="860" w:type="dxa"/>
            <w:vAlign w:val="bottom"/>
          </w:tcPr>
          <w:p>
            <w:pPr>
              <w:spacing w:after="0"/>
              <w:rPr>
                <w:sz w:val="24"/>
                <w:szCs w:val="24"/>
                <w:color w:val="auto"/>
              </w:rPr>
            </w:pPr>
          </w:p>
        </w:tc>
        <w:tc>
          <w:tcPr>
            <w:tcW w:w="2200" w:type="dxa"/>
            <w:vAlign w:val="bottom"/>
            <w:gridSpan w:val="2"/>
          </w:tcPr>
          <w:p>
            <w:pPr>
              <w:jc w:val="center"/>
              <w:ind w:left="1021"/>
              <w:spacing w:after="0"/>
              <w:rPr>
                <w:sz w:val="20"/>
                <w:szCs w:val="20"/>
                <w:color w:val="auto"/>
              </w:rPr>
            </w:pPr>
            <w:r>
              <w:rPr>
                <w:rFonts w:ascii="Times New Roman" w:cs="Times New Roman" w:eastAsia="Times New Roman" w:hAnsi="Times New Roman"/>
                <w:sz w:val="20"/>
                <w:szCs w:val="20"/>
                <w:color w:val="auto"/>
                <w:w w:val="97"/>
              </w:rPr>
              <w:t>$6.26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4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color w:val="auto"/>
                <w:w w:val="98"/>
              </w:rPr>
              <w:t>Lease Months 49 – 60</w:t>
            </w:r>
          </w:p>
        </w:tc>
        <w:tc>
          <w:tcPr>
            <w:tcW w:w="2340" w:type="dxa"/>
            <w:vAlign w:val="bottom"/>
            <w:gridSpan w:val="3"/>
          </w:tcPr>
          <w:p>
            <w:pPr>
              <w:jc w:val="center"/>
              <w:ind w:right="480"/>
              <w:spacing w:after="0"/>
              <w:rPr>
                <w:sz w:val="20"/>
                <w:szCs w:val="20"/>
                <w:color w:val="auto"/>
              </w:rPr>
            </w:pPr>
            <w:r>
              <w:rPr>
                <w:rFonts w:ascii="Times New Roman" w:cs="Times New Roman" w:eastAsia="Times New Roman" w:hAnsi="Times New Roman"/>
                <w:sz w:val="20"/>
                <w:szCs w:val="20"/>
                <w:color w:val="auto"/>
                <w:w w:val="99"/>
              </w:rPr>
              <w:t>$1,021,385.40</w:t>
            </w:r>
          </w:p>
        </w:tc>
        <w:tc>
          <w:tcPr>
            <w:tcW w:w="1840" w:type="dxa"/>
            <w:vAlign w:val="bottom"/>
            <w:gridSpan w:val="2"/>
          </w:tcPr>
          <w:p>
            <w:pPr>
              <w:jc w:val="center"/>
              <w:ind w:left="741"/>
              <w:spacing w:after="0"/>
              <w:rPr>
                <w:sz w:val="20"/>
                <w:szCs w:val="20"/>
                <w:color w:val="auto"/>
              </w:rPr>
            </w:pPr>
            <w:r>
              <w:rPr>
                <w:rFonts w:ascii="Times New Roman" w:cs="Times New Roman" w:eastAsia="Times New Roman" w:hAnsi="Times New Roman"/>
                <w:sz w:val="20"/>
                <w:szCs w:val="20"/>
                <w:color w:val="auto"/>
                <w:w w:val="97"/>
              </w:rPr>
              <w:t>$85,115.45</w:t>
            </w:r>
          </w:p>
        </w:tc>
        <w:tc>
          <w:tcPr>
            <w:tcW w:w="860" w:type="dxa"/>
            <w:vAlign w:val="bottom"/>
          </w:tcPr>
          <w:p>
            <w:pPr>
              <w:spacing w:after="0"/>
              <w:rPr>
                <w:sz w:val="24"/>
                <w:szCs w:val="24"/>
                <w:color w:val="auto"/>
              </w:rPr>
            </w:pPr>
          </w:p>
        </w:tc>
        <w:tc>
          <w:tcPr>
            <w:tcW w:w="2200" w:type="dxa"/>
            <w:vAlign w:val="bottom"/>
            <w:gridSpan w:val="2"/>
          </w:tcPr>
          <w:p>
            <w:pPr>
              <w:jc w:val="center"/>
              <w:ind w:left="1021"/>
              <w:spacing w:after="0"/>
              <w:rPr>
                <w:sz w:val="20"/>
                <w:szCs w:val="20"/>
                <w:color w:val="auto"/>
              </w:rPr>
            </w:pPr>
            <w:r>
              <w:rPr>
                <w:rFonts w:ascii="Times New Roman" w:cs="Times New Roman" w:eastAsia="Times New Roman" w:hAnsi="Times New Roman"/>
                <w:sz w:val="20"/>
                <w:szCs w:val="20"/>
                <w:color w:val="auto"/>
                <w:w w:val="97"/>
              </w:rPr>
              <w:t>$6.48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4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color w:val="auto"/>
                <w:w w:val="98"/>
              </w:rPr>
              <w:t>Lease Months 61 – 72</w:t>
            </w:r>
          </w:p>
        </w:tc>
        <w:tc>
          <w:tcPr>
            <w:tcW w:w="2340" w:type="dxa"/>
            <w:vAlign w:val="bottom"/>
            <w:gridSpan w:val="3"/>
          </w:tcPr>
          <w:p>
            <w:pPr>
              <w:jc w:val="center"/>
              <w:ind w:right="480"/>
              <w:spacing w:after="0"/>
              <w:rPr>
                <w:sz w:val="20"/>
                <w:szCs w:val="20"/>
                <w:color w:val="auto"/>
              </w:rPr>
            </w:pPr>
            <w:r>
              <w:rPr>
                <w:rFonts w:ascii="Times New Roman" w:cs="Times New Roman" w:eastAsia="Times New Roman" w:hAnsi="Times New Roman"/>
                <w:sz w:val="20"/>
                <w:szCs w:val="20"/>
                <w:color w:val="auto"/>
                <w:w w:val="99"/>
              </w:rPr>
              <w:t>$1,057,133.88</w:t>
            </w:r>
          </w:p>
        </w:tc>
        <w:tc>
          <w:tcPr>
            <w:tcW w:w="1840" w:type="dxa"/>
            <w:vAlign w:val="bottom"/>
            <w:gridSpan w:val="2"/>
          </w:tcPr>
          <w:p>
            <w:pPr>
              <w:jc w:val="center"/>
              <w:ind w:left="741"/>
              <w:spacing w:after="0"/>
              <w:rPr>
                <w:sz w:val="20"/>
                <w:szCs w:val="20"/>
                <w:color w:val="auto"/>
              </w:rPr>
            </w:pPr>
            <w:r>
              <w:rPr>
                <w:rFonts w:ascii="Times New Roman" w:cs="Times New Roman" w:eastAsia="Times New Roman" w:hAnsi="Times New Roman"/>
                <w:sz w:val="20"/>
                <w:szCs w:val="20"/>
                <w:color w:val="auto"/>
                <w:w w:val="97"/>
              </w:rPr>
              <w:t>$88,094.49</w:t>
            </w:r>
          </w:p>
        </w:tc>
        <w:tc>
          <w:tcPr>
            <w:tcW w:w="860" w:type="dxa"/>
            <w:vAlign w:val="bottom"/>
          </w:tcPr>
          <w:p>
            <w:pPr>
              <w:spacing w:after="0"/>
              <w:rPr>
                <w:sz w:val="24"/>
                <w:szCs w:val="24"/>
                <w:color w:val="auto"/>
              </w:rPr>
            </w:pPr>
          </w:p>
        </w:tc>
        <w:tc>
          <w:tcPr>
            <w:tcW w:w="2200" w:type="dxa"/>
            <w:vAlign w:val="bottom"/>
            <w:gridSpan w:val="2"/>
          </w:tcPr>
          <w:p>
            <w:pPr>
              <w:jc w:val="center"/>
              <w:ind w:left="1021"/>
              <w:spacing w:after="0"/>
              <w:rPr>
                <w:sz w:val="20"/>
                <w:szCs w:val="20"/>
                <w:color w:val="auto"/>
              </w:rPr>
            </w:pPr>
            <w:r>
              <w:rPr>
                <w:rFonts w:ascii="Times New Roman" w:cs="Times New Roman" w:eastAsia="Times New Roman" w:hAnsi="Times New Roman"/>
                <w:sz w:val="20"/>
                <w:szCs w:val="20"/>
                <w:color w:val="auto"/>
                <w:w w:val="97"/>
              </w:rPr>
              <w:t>$6.71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4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color w:val="auto"/>
                <w:w w:val="98"/>
              </w:rPr>
              <w:t>Lease Months 73 – 84</w:t>
            </w:r>
          </w:p>
        </w:tc>
        <w:tc>
          <w:tcPr>
            <w:tcW w:w="2340" w:type="dxa"/>
            <w:vAlign w:val="bottom"/>
            <w:gridSpan w:val="3"/>
          </w:tcPr>
          <w:p>
            <w:pPr>
              <w:jc w:val="center"/>
              <w:ind w:right="480"/>
              <w:spacing w:after="0"/>
              <w:rPr>
                <w:sz w:val="20"/>
                <w:szCs w:val="20"/>
                <w:color w:val="auto"/>
              </w:rPr>
            </w:pPr>
            <w:r>
              <w:rPr>
                <w:rFonts w:ascii="Times New Roman" w:cs="Times New Roman" w:eastAsia="Times New Roman" w:hAnsi="Times New Roman"/>
                <w:sz w:val="20"/>
                <w:szCs w:val="20"/>
                <w:color w:val="auto"/>
                <w:w w:val="99"/>
              </w:rPr>
              <w:t>$1,094,133.60</w:t>
            </w:r>
          </w:p>
        </w:tc>
        <w:tc>
          <w:tcPr>
            <w:tcW w:w="1840" w:type="dxa"/>
            <w:vAlign w:val="bottom"/>
            <w:gridSpan w:val="2"/>
          </w:tcPr>
          <w:p>
            <w:pPr>
              <w:jc w:val="center"/>
              <w:ind w:left="741"/>
              <w:spacing w:after="0"/>
              <w:rPr>
                <w:sz w:val="20"/>
                <w:szCs w:val="20"/>
                <w:color w:val="auto"/>
              </w:rPr>
            </w:pPr>
            <w:r>
              <w:rPr>
                <w:rFonts w:ascii="Times New Roman" w:cs="Times New Roman" w:eastAsia="Times New Roman" w:hAnsi="Times New Roman"/>
                <w:sz w:val="20"/>
                <w:szCs w:val="20"/>
                <w:color w:val="auto"/>
                <w:w w:val="97"/>
              </w:rPr>
              <w:t>$91,177.80</w:t>
            </w:r>
          </w:p>
        </w:tc>
        <w:tc>
          <w:tcPr>
            <w:tcW w:w="860" w:type="dxa"/>
            <w:vAlign w:val="bottom"/>
          </w:tcPr>
          <w:p>
            <w:pPr>
              <w:spacing w:after="0"/>
              <w:rPr>
                <w:sz w:val="24"/>
                <w:szCs w:val="24"/>
                <w:color w:val="auto"/>
              </w:rPr>
            </w:pPr>
          </w:p>
        </w:tc>
        <w:tc>
          <w:tcPr>
            <w:tcW w:w="2200" w:type="dxa"/>
            <w:vAlign w:val="bottom"/>
            <w:gridSpan w:val="2"/>
          </w:tcPr>
          <w:p>
            <w:pPr>
              <w:jc w:val="center"/>
              <w:ind w:left="1021"/>
              <w:spacing w:after="0"/>
              <w:rPr>
                <w:sz w:val="20"/>
                <w:szCs w:val="20"/>
                <w:color w:val="auto"/>
              </w:rPr>
            </w:pPr>
            <w:r>
              <w:rPr>
                <w:rFonts w:ascii="Times New Roman" w:cs="Times New Roman" w:eastAsia="Times New Roman" w:hAnsi="Times New Roman"/>
                <w:sz w:val="20"/>
                <w:szCs w:val="20"/>
                <w:color w:val="auto"/>
                <w:w w:val="97"/>
              </w:rPr>
              <w:t>$6.95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380" w:right="100" w:hanging="375"/>
        <w:spacing w:after="0" w:line="231" w:lineRule="auto"/>
        <w:tabs>
          <w:tab w:leader="none" w:pos="40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set forth in Section 3.2 of this Lease, the Base Rent attributable to the ten and five-tenths (10.5) full calendar month period commencing on the first day of the first full calendar month commencing on or after the Phase II Commencement Date and ending on the date of the eleventh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full calendar month thereafter that is the number of days in such eleventh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full calendar month divided by two (2) shall be fully abated, providing a total abatement of $778,818.60 ("</w:t>
      </w:r>
      <w:r>
        <w:rPr>
          <w:rFonts w:ascii="Times New Roman" w:cs="Times New Roman" w:eastAsia="Times New Roman" w:hAnsi="Times New Roman"/>
          <w:sz w:val="20"/>
          <w:szCs w:val="20"/>
          <w:b w:val="1"/>
          <w:bCs w:val="1"/>
          <w:color w:val="auto"/>
        </w:rPr>
        <w:t>Phase II Premises Base Rent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Abatement</w:t>
      </w:r>
      <w:r>
        <w:rPr>
          <w:rFonts w:ascii="Times New Roman" w:cs="Times New Roman" w:eastAsia="Times New Roman" w:hAnsi="Times New Roman"/>
          <w:sz w:val="20"/>
          <w:szCs w:val="20"/>
          <w:color w:val="auto"/>
        </w:rPr>
        <w:t>").</w:t>
      </w:r>
    </w:p>
    <w:p>
      <w:pPr>
        <w:spacing w:after="0" w:line="82" w:lineRule="exact"/>
        <w:rPr>
          <w:sz w:val="20"/>
          <w:szCs w:val="20"/>
          <w:color w:val="auto"/>
        </w:rPr>
      </w:pPr>
    </w:p>
    <w:p>
      <w:pPr>
        <w:jc w:val="both"/>
        <w:ind w:left="380" w:right="100" w:hanging="375"/>
        <w:spacing w:after="0" w:line="254" w:lineRule="auto"/>
        <w:tabs>
          <w:tab w:leader="none" w:pos="40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Phase II Commencement Date occurs after Lease Month 12, then the first row of the table above shall not apply, and the Phase II Premises Base Rent Abatement shall continue to apply for the full ten and five-tenths (10.5) calendar month period commencing on the first day of the first full calendar month on or after the Phase II Commencement Date.</w:t>
      </w:r>
    </w:p>
    <w:p>
      <w:pPr>
        <w:sectPr>
          <w:pgSz w:w="11900" w:h="16838" w:orient="portrait"/>
          <w:cols w:equalWidth="0" w:num="1">
            <w:col w:w="11140"/>
          </w:cols>
          <w:pgMar w:left="420" w:top="1440" w:right="339" w:bottom="584" w:gutter="0" w:footer="0" w:header="0"/>
        </w:sectPr>
      </w:pPr>
    </w:p>
    <w:p>
      <w:pPr>
        <w:spacing w:after="0" w:line="174" w:lineRule="exact"/>
        <w:rPr>
          <w:sz w:val="20"/>
          <w:szCs w:val="20"/>
          <w:color w:val="auto"/>
        </w:rPr>
      </w:pPr>
    </w:p>
    <w:p>
      <w:pPr>
        <w:ind w:left="340" w:right="980" w:hanging="335"/>
        <w:spacing w:after="0" w:line="269" w:lineRule="auto"/>
        <w:tabs>
          <w:tab w:leader="none" w:pos="40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Expenses and Tax Expenses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0"/>
          <w:szCs w:val="20"/>
          <w:color w:val="auto"/>
        </w:rPr>
        <w:t>This is a "</w:t>
      </w:r>
      <w:r>
        <w:rPr>
          <w:rFonts w:ascii="Times New Roman" w:cs="Times New Roman" w:eastAsia="Times New Roman" w:hAnsi="Times New Roman"/>
          <w:sz w:val="20"/>
          <w:szCs w:val="20"/>
          <w:b w:val="1"/>
          <w:bCs w:val="1"/>
          <w:color w:val="auto"/>
        </w:rPr>
        <w:t>TRIPLE NET</w:t>
      </w:r>
      <w:r>
        <w:rPr>
          <w:rFonts w:ascii="Times New Roman" w:cs="Times New Roman" w:eastAsia="Times New Roman" w:hAnsi="Times New Roman"/>
          <w:sz w:val="20"/>
          <w:szCs w:val="20"/>
          <w:color w:val="auto"/>
        </w:rPr>
        <w:t>" lease and as such, except as otherwise provided to the contrary in this Lease, the provisions contained in this Lease are intended to pass on to Tenant and reimburse Landlord for Tenant's Share of the costs and expenses reasonably associated with this Lease and the Project, and Tenant's operation therefrom, subject to the express terms and conditions of this Lease. To the extent such costs and expenses payable by Tenant cannot be charged directly to, and paid by, Tenant, such costs and expenses shall be paid by Landlord but reimbursed by Tenant as Additional Rent, subject to the express terms and conditions of this Lease.</w:t>
      </w:r>
    </w:p>
    <w:p>
      <w:pPr>
        <w:spacing w:after="0" w:line="168" w:lineRule="exact"/>
        <w:rPr>
          <w:sz w:val="20"/>
          <w:szCs w:val="20"/>
          <w:color w:val="auto"/>
        </w:rPr>
      </w:pPr>
    </w:p>
    <w:p>
      <w:pPr>
        <w:sectPr>
          <w:pgSz w:w="11900" w:h="16838" w:orient="portrait"/>
          <w:cols w:equalWidth="0" w:num="2">
            <w:col w:w="4460" w:space="720"/>
            <w:col w:w="5960"/>
          </w:cols>
          <w:pgMar w:left="420" w:top="1440" w:right="339" w:bottom="584"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6.   "</w:t>
            </w:r>
            <w:r>
              <w:rPr>
                <w:rFonts w:ascii="Times New Roman" w:cs="Times New Roman" w:eastAsia="Times New Roman" w:hAnsi="Times New Roman"/>
                <w:sz w:val="20"/>
                <w:szCs w:val="20"/>
                <w:b w:val="1"/>
                <w:bCs w:val="1"/>
                <w:color w:val="auto"/>
              </w:rPr>
              <w:t>Tenant's Share</w:t>
            </w:r>
            <w:r>
              <w:rPr>
                <w:rFonts w:ascii="Times New Roman" w:cs="Times New Roman" w:eastAsia="Times New Roman" w:hAnsi="Times New Roman"/>
                <w:sz w:val="20"/>
                <w:szCs w:val="20"/>
                <w:color w:val="auto"/>
              </w:rPr>
              <w:t>"</w:t>
            </w:r>
          </w:p>
        </w:tc>
        <w:tc>
          <w:tcPr>
            <w:tcW w:w="58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Entire Premises: Tenant's Share of the Building for the entire Premises is</w:t>
            </w: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ind w:left="340"/>
              <w:spacing w:after="0"/>
              <w:rPr>
                <w:sz w:val="20"/>
                <w:szCs w:val="20"/>
                <w:color w:val="auto"/>
              </w:rPr>
            </w:pPr>
            <w:r>
              <w:rPr>
                <w:rFonts w:ascii="Times New Roman" w:cs="Times New Roman" w:eastAsia="Times New Roman" w:hAnsi="Times New Roman"/>
                <w:sz w:val="20"/>
                <w:szCs w:val="20"/>
                <w:color w:val="auto"/>
              </w:rPr>
              <w:t>(Article 4):</w:t>
            </w: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3"/>
            <w:vMerge w:val="continue"/>
          </w:tcPr>
          <w:p>
            <w:pPr>
              <w:spacing w:after="0"/>
              <w:rPr>
                <w:sz w:val="18"/>
                <w:szCs w:val="18"/>
                <w:color w:val="auto"/>
              </w:rPr>
            </w:pPr>
          </w:p>
        </w:tc>
        <w:tc>
          <w:tcPr>
            <w:tcW w:w="582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auto"/>
              </w:rPr>
              <w:t>approximately 13.89%</w:t>
            </w:r>
          </w:p>
        </w:tc>
        <w:tc>
          <w:tcPr>
            <w:tcW w:w="0" w:type="dxa"/>
            <w:vAlign w:val="bottom"/>
          </w:tcPr>
          <w:p>
            <w:pPr>
              <w:spacing w:after="0"/>
              <w:rPr>
                <w:sz w:val="1"/>
                <w:szCs w:val="1"/>
                <w:color w:val="auto"/>
              </w:rPr>
            </w:pPr>
          </w:p>
        </w:tc>
      </w:tr>
      <w:tr>
        <w:trPr>
          <w:trHeight w:val="426"/>
        </w:trPr>
        <w:tc>
          <w:tcPr>
            <w:tcW w:w="4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Phase I Premises: Tenant's Share of the Building for the Phase I Premises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is approximately 9.20% of the Building.</w:t>
            </w:r>
          </w:p>
        </w:tc>
        <w:tc>
          <w:tcPr>
            <w:tcW w:w="0" w:type="dxa"/>
            <w:vAlign w:val="bottom"/>
          </w:tcPr>
          <w:p>
            <w:pPr>
              <w:spacing w:after="0"/>
              <w:rPr>
                <w:sz w:val="1"/>
                <w:szCs w:val="1"/>
                <w:color w:val="auto"/>
              </w:rPr>
            </w:pPr>
          </w:p>
        </w:tc>
      </w:tr>
    </w:tbl>
    <w:p>
      <w:pPr>
        <w:spacing w:after="0" w:line="353" w:lineRule="exact"/>
        <w:rPr>
          <w:sz w:val="20"/>
          <w:szCs w:val="20"/>
          <w:color w:val="auto"/>
        </w:rPr>
      </w:pPr>
    </w:p>
    <w:tbl>
      <w:tblPr>
        <w:tblLayout w:type="fixed"/>
        <w:tblInd w:w="542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220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w w:val="95"/>
              </w:rPr>
              <w:t>-4-</w:t>
            </w:r>
          </w:p>
        </w:tc>
        <w:tc>
          <w:tcPr>
            <w:tcW w:w="3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2200" w:type="dxa"/>
            <w:vAlign w:val="bottom"/>
            <w:vMerge w:val="continue"/>
          </w:tcPr>
          <w:p>
            <w:pPr>
              <w:spacing w:after="0"/>
              <w:rPr>
                <w:sz w:val="14"/>
                <w:szCs w:val="14"/>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365760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584" w:gutter="0" w:footer="0" w:header="0"/>
          <w:type w:val="continuous"/>
        </w:sectPr>
      </w:pPr>
    </w:p>
    <w:bookmarkStart w:id="124" w:name="page125"/>
    <w:bookmarkEnd w:id="124"/>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96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Phase II Premises: Tenant's Share of the Building for the Phase II</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Premises is approximately 4.82% of the Building.</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rPr>
              <w:t>7.</w:t>
            </w:r>
          </w:p>
        </w:tc>
        <w:tc>
          <w:tcPr>
            <w:tcW w:w="48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Permitted Use</w:t>
            </w:r>
          </w:p>
        </w:tc>
        <w:tc>
          <w:tcPr>
            <w:tcW w:w="596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Tenant shall use the Premises solely for general office, research and</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880" w:type="dxa"/>
            <w:vAlign w:val="bottom"/>
            <w:gridSpan w:val="6"/>
          </w:tcPr>
          <w:p>
            <w:pPr>
              <w:ind w:left="40"/>
              <w:spacing w:after="0" w:line="212" w:lineRule="exact"/>
              <w:rPr>
                <w:sz w:val="20"/>
                <w:szCs w:val="20"/>
                <w:color w:val="auto"/>
              </w:rPr>
            </w:pPr>
            <w:r>
              <w:rPr>
                <w:rFonts w:ascii="Times New Roman" w:cs="Times New Roman" w:eastAsia="Times New Roman" w:hAnsi="Times New Roman"/>
                <w:sz w:val="20"/>
                <w:szCs w:val="20"/>
                <w:color w:val="auto"/>
              </w:rPr>
              <w:t>(Article 5):</w:t>
            </w:r>
          </w:p>
        </w:tc>
        <w:tc>
          <w:tcPr>
            <w:tcW w:w="5960" w:type="dxa"/>
            <w:vAlign w:val="bottom"/>
            <w:gridSpan w:val="10"/>
          </w:tcPr>
          <w:p>
            <w:pPr>
              <w:spacing w:after="0" w:line="212" w:lineRule="exact"/>
              <w:rPr>
                <w:sz w:val="20"/>
                <w:szCs w:val="20"/>
                <w:color w:val="auto"/>
              </w:rPr>
            </w:pPr>
            <w:r>
              <w:rPr>
                <w:rFonts w:ascii="Times New Roman" w:cs="Times New Roman" w:eastAsia="Times New Roman" w:hAnsi="Times New Roman"/>
                <w:sz w:val="20"/>
                <w:szCs w:val="20"/>
                <w:color w:val="auto"/>
              </w:rPr>
              <w:t>development, engineering, laboratory, storage and/or warehouse uses</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960" w:type="dxa"/>
            <w:vAlign w:val="bottom"/>
            <w:gridSpan w:val="10"/>
          </w:tcPr>
          <w:p>
            <w:pPr>
              <w:spacing w:after="0" w:line="228" w:lineRule="exact"/>
              <w:rPr>
                <w:sz w:val="20"/>
                <w:szCs w:val="20"/>
                <w:color w:val="auto"/>
              </w:rPr>
            </w:pPr>
            <w:r>
              <w:rPr>
                <w:rFonts w:ascii="Times New Roman" w:cs="Times New Roman" w:eastAsia="Times New Roman" w:hAnsi="Times New Roman"/>
                <w:sz w:val="20"/>
                <w:szCs w:val="20"/>
                <w:color w:val="auto"/>
              </w:rPr>
              <w:t>consistent with biosafety levels ("</w:t>
            </w:r>
            <w:r>
              <w:rPr>
                <w:rFonts w:ascii="Times New Roman" w:cs="Times New Roman" w:eastAsia="Times New Roman" w:hAnsi="Times New Roman"/>
                <w:sz w:val="20"/>
                <w:szCs w:val="20"/>
                <w:b w:val="1"/>
                <w:bCs w:val="1"/>
                <w:color w:val="auto"/>
              </w:rPr>
              <w:t>BSL</w:t>
            </w:r>
            <w:r>
              <w:rPr>
                <w:rFonts w:ascii="Times New Roman" w:cs="Times New Roman" w:eastAsia="Times New Roman" w:hAnsi="Times New Roman"/>
                <w:sz w:val="20"/>
                <w:szCs w:val="20"/>
                <w:color w:val="auto"/>
              </w:rPr>
              <w:t>") 1 or 2, and other ancillary uses,</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960" w:type="dxa"/>
            <w:vAlign w:val="bottom"/>
            <w:gridSpan w:val="10"/>
          </w:tcPr>
          <w:p>
            <w:pPr>
              <w:spacing w:after="0" w:line="226" w:lineRule="exact"/>
              <w:rPr>
                <w:sz w:val="20"/>
                <w:szCs w:val="20"/>
                <w:color w:val="auto"/>
              </w:rPr>
            </w:pPr>
            <w:r>
              <w:rPr>
                <w:rFonts w:ascii="Times New Roman" w:cs="Times New Roman" w:eastAsia="Times New Roman" w:hAnsi="Times New Roman"/>
                <w:sz w:val="20"/>
                <w:szCs w:val="20"/>
                <w:color w:val="auto"/>
              </w:rPr>
              <w:t>consistent with first class life sciences projects in South San Francisco</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96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Comparable Life Sciences Projects</w:t>
            </w:r>
            <w:r>
              <w:rPr>
                <w:rFonts w:ascii="Times New Roman" w:cs="Times New Roman" w:eastAsia="Times New Roman" w:hAnsi="Times New Roman"/>
                <w:sz w:val="20"/>
                <w:szCs w:val="20"/>
                <w:color w:val="auto"/>
              </w:rPr>
              <w:t>"), Applicable Laws and the terms</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960" w:type="dxa"/>
            <w:vAlign w:val="bottom"/>
            <w:gridSpan w:val="10"/>
          </w:tcPr>
          <w:p>
            <w:pPr>
              <w:spacing w:after="0" w:line="226" w:lineRule="exact"/>
              <w:rPr>
                <w:sz w:val="20"/>
                <w:szCs w:val="20"/>
                <w:color w:val="auto"/>
              </w:rPr>
            </w:pPr>
            <w:r>
              <w:rPr>
                <w:rFonts w:ascii="Times New Roman" w:cs="Times New Roman" w:eastAsia="Times New Roman" w:hAnsi="Times New Roman"/>
                <w:sz w:val="20"/>
                <w:szCs w:val="20"/>
                <w:color w:val="auto"/>
              </w:rPr>
              <w:t>and conditions of this Lease and for no other use or purpose (the</w:t>
            </w:r>
          </w:p>
        </w:tc>
        <w:tc>
          <w:tcPr>
            <w:tcW w:w="0" w:type="dxa"/>
            <w:vAlign w:val="bottom"/>
          </w:tcPr>
          <w:p>
            <w:pPr>
              <w:spacing w:after="0"/>
              <w:rPr>
                <w:sz w:val="1"/>
                <w:szCs w:val="1"/>
                <w:color w:val="auto"/>
              </w:rPr>
            </w:pPr>
          </w:p>
        </w:tc>
      </w:tr>
      <w:tr>
        <w:trPr>
          <w:trHeight w:val="262"/>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Use</w:t>
            </w:r>
            <w:r>
              <w:rPr>
                <w:rFonts w:ascii="Times New Roman" w:cs="Times New Roman" w:eastAsia="Times New Roman" w:hAnsi="Times New Roman"/>
                <w:sz w:val="20"/>
                <w:szCs w:val="20"/>
                <w:color w:val="auto"/>
              </w:rPr>
              <w:t>").</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48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Security Deposit</w:t>
            </w:r>
          </w:p>
        </w:tc>
        <w:tc>
          <w:tcPr>
            <w:tcW w:w="1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$427,546.80</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880" w:type="dxa"/>
            <w:vAlign w:val="bottom"/>
            <w:gridSpan w:val="6"/>
          </w:tcPr>
          <w:p>
            <w:pPr>
              <w:ind w:left="40"/>
              <w:spacing w:after="0" w:line="212" w:lineRule="exact"/>
              <w:rPr>
                <w:sz w:val="20"/>
                <w:szCs w:val="20"/>
                <w:color w:val="auto"/>
              </w:rPr>
            </w:pPr>
            <w:r>
              <w:rPr>
                <w:rFonts w:ascii="Times New Roman" w:cs="Times New Roman" w:eastAsia="Times New Roman" w:hAnsi="Times New Roman"/>
                <w:sz w:val="20"/>
                <w:szCs w:val="20"/>
                <w:color w:val="auto"/>
              </w:rPr>
              <w:t>(Article 21):</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48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Parking Pass Ratio</w:t>
            </w:r>
          </w:p>
        </w:tc>
        <w:tc>
          <w:tcPr>
            <w:tcW w:w="596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2.5 parking passes for every 1,000 rentable square feet of the Premises</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880" w:type="dxa"/>
            <w:vAlign w:val="bottom"/>
            <w:gridSpan w:val="6"/>
          </w:tcPr>
          <w:p>
            <w:pPr>
              <w:ind w:left="40"/>
              <w:spacing w:after="0" w:line="212" w:lineRule="exact"/>
              <w:rPr>
                <w:sz w:val="20"/>
                <w:szCs w:val="20"/>
                <w:color w:val="auto"/>
              </w:rPr>
            </w:pPr>
            <w:r>
              <w:rPr>
                <w:rFonts w:ascii="Times New Roman" w:cs="Times New Roman" w:eastAsia="Times New Roman" w:hAnsi="Times New Roman"/>
                <w:sz w:val="20"/>
                <w:szCs w:val="20"/>
                <w:color w:val="auto"/>
              </w:rPr>
              <w:t>(Article 28):</w:t>
            </w:r>
          </w:p>
        </w:tc>
        <w:tc>
          <w:tcPr>
            <w:tcW w:w="5960" w:type="dxa"/>
            <w:vAlign w:val="bottom"/>
            <w:gridSpan w:val="10"/>
          </w:tcPr>
          <w:p>
            <w:pPr>
              <w:spacing w:after="0" w:line="212" w:lineRule="exact"/>
              <w:rPr>
                <w:sz w:val="20"/>
                <w:szCs w:val="20"/>
                <w:color w:val="auto"/>
              </w:rPr>
            </w:pPr>
            <w:r>
              <w:rPr>
                <w:rFonts w:ascii="Times New Roman" w:cs="Times New Roman" w:eastAsia="Times New Roman" w:hAnsi="Times New Roman"/>
                <w:sz w:val="20"/>
                <w:szCs w:val="20"/>
                <w:color w:val="auto"/>
              </w:rPr>
              <w:t>(i.e., a total of ninety-five (95) parking passes), of which five (5) parking</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960" w:type="dxa"/>
            <w:vAlign w:val="bottom"/>
            <w:gridSpan w:val="10"/>
          </w:tcPr>
          <w:p>
            <w:pPr>
              <w:spacing w:after="0" w:line="228" w:lineRule="exact"/>
              <w:rPr>
                <w:sz w:val="20"/>
                <w:szCs w:val="20"/>
                <w:color w:val="auto"/>
              </w:rPr>
            </w:pPr>
            <w:r>
              <w:rPr>
                <w:rFonts w:ascii="Times New Roman" w:cs="Times New Roman" w:eastAsia="Times New Roman" w:hAnsi="Times New Roman"/>
                <w:sz w:val="20"/>
                <w:szCs w:val="20"/>
                <w:color w:val="auto"/>
              </w:rPr>
              <w:t>passes shall be for reserved parking and ninety (90) parking passes shall</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960" w:type="dxa"/>
            <w:vAlign w:val="bottom"/>
            <w:gridSpan w:val="10"/>
          </w:tcPr>
          <w:p>
            <w:pPr>
              <w:spacing w:after="0" w:line="212" w:lineRule="exact"/>
              <w:rPr>
                <w:sz w:val="20"/>
                <w:szCs w:val="20"/>
                <w:color w:val="auto"/>
              </w:rPr>
            </w:pPr>
            <w:r>
              <w:rPr>
                <w:rFonts w:ascii="Times New Roman" w:cs="Times New Roman" w:eastAsia="Times New Roman" w:hAnsi="Times New Roman"/>
                <w:sz w:val="20"/>
                <w:szCs w:val="20"/>
                <w:color w:val="auto"/>
              </w:rPr>
              <w:t>be for unreserved parking, in all cases subject to the TCCs of Article</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200" w:type="dxa"/>
            <w:vAlign w:val="bottom"/>
            <w:gridSpan w:val="5"/>
          </w:tcPr>
          <w:p>
            <w:pPr>
              <w:spacing w:after="0" w:line="209" w:lineRule="exact"/>
              <w:rPr>
                <w:sz w:val="20"/>
                <w:szCs w:val="20"/>
                <w:color w:val="auto"/>
              </w:rPr>
            </w:pPr>
            <w:r>
              <w:rPr>
                <w:rFonts w:ascii="Times New Roman" w:cs="Times New Roman" w:eastAsia="Times New Roman" w:hAnsi="Times New Roman"/>
                <w:sz w:val="20"/>
                <w:szCs w:val="20"/>
                <w:color w:val="auto"/>
              </w:rPr>
              <w:t>28 of this Lease.</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48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Address of Tenant</w:t>
            </w: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Prior to Phase I Commencement Date:</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4880" w:type="dxa"/>
            <w:vAlign w:val="bottom"/>
            <w:gridSpan w:val="6"/>
          </w:tcPr>
          <w:p>
            <w:pPr>
              <w:ind w:left="40"/>
              <w:spacing w:after="0" w:line="212" w:lineRule="exact"/>
              <w:rPr>
                <w:sz w:val="20"/>
                <w:szCs w:val="20"/>
                <w:color w:val="auto"/>
              </w:rPr>
            </w:pPr>
            <w:r>
              <w:rPr>
                <w:rFonts w:ascii="Times New Roman" w:cs="Times New Roman" w:eastAsia="Times New Roman" w:hAnsi="Times New Roman"/>
                <w:sz w:val="20"/>
                <w:szCs w:val="20"/>
                <w:color w:val="auto"/>
              </w:rPr>
              <w:t>(Section 30.14):</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Olema Pharmaceuticals, Inc.</w:t>
            </w:r>
          </w:p>
        </w:tc>
        <w:tc>
          <w:tcPr>
            <w:tcW w:w="130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20"/>
                <w:szCs w:val="20"/>
                <w:color w:val="auto"/>
              </w:rPr>
              <w:t>780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200" w:type="dxa"/>
            <w:vAlign w:val="bottom"/>
            <w:tcBorders>
              <w:top w:val="single" w:sz="8" w:color="auto"/>
            </w:tcBorders>
            <w:gridSpan w:val="5"/>
          </w:tcPr>
          <w:p>
            <w:pPr>
              <w:spacing w:after="0" w:line="228" w:lineRule="exact"/>
              <w:rPr>
                <w:sz w:val="20"/>
                <w:szCs w:val="20"/>
                <w:color w:val="auto"/>
              </w:rPr>
            </w:pPr>
            <w:r>
              <w:rPr>
                <w:rFonts w:ascii="Times New Roman" w:cs="Times New Roman" w:eastAsia="Times New Roman" w:hAnsi="Times New Roman"/>
                <w:sz w:val="20"/>
                <w:szCs w:val="20"/>
                <w:color w:val="auto"/>
              </w:rPr>
              <w:t>Brannan St.</w:t>
            </w:r>
          </w:p>
        </w:tc>
        <w:tc>
          <w:tcPr>
            <w:tcW w:w="6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San Francisco, California 94103</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Attention: Facilities Head</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Telephone Number: [ * ]</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E-mail: [ * ]</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With copies to:</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Olema Pharmaceuticals, Inc.</w:t>
            </w:r>
          </w:p>
        </w:tc>
        <w:tc>
          <w:tcPr>
            <w:tcW w:w="130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20"/>
                <w:szCs w:val="20"/>
                <w:color w:val="auto"/>
              </w:rPr>
              <w:t>780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200" w:type="dxa"/>
            <w:vAlign w:val="bottom"/>
            <w:tcBorders>
              <w:top w:val="single" w:sz="8" w:color="auto"/>
            </w:tcBorders>
            <w:gridSpan w:val="5"/>
          </w:tcPr>
          <w:p>
            <w:pPr>
              <w:spacing w:after="0" w:line="228" w:lineRule="exact"/>
              <w:rPr>
                <w:sz w:val="20"/>
                <w:szCs w:val="20"/>
                <w:color w:val="auto"/>
              </w:rPr>
            </w:pPr>
            <w:r>
              <w:rPr>
                <w:rFonts w:ascii="Times New Roman" w:cs="Times New Roman" w:eastAsia="Times New Roman" w:hAnsi="Times New Roman"/>
                <w:sz w:val="20"/>
                <w:szCs w:val="20"/>
                <w:color w:val="auto"/>
              </w:rPr>
              <w:t>Brannan St.</w:t>
            </w: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San Francisco, California 94103</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Attention: Legal Department</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Telephone Number: [ * ]</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E-mail: [ * ]</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8"/>
              </w:rPr>
              <w:t>and an email copy to:</w:t>
            </w:r>
          </w:p>
        </w:tc>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Valence LLP</w:t>
            </w:r>
          </w:p>
        </w:tc>
        <w:tc>
          <w:tcPr>
            <w:tcW w:w="31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200" w:type="dxa"/>
            <w:vAlign w:val="bottom"/>
            <w:gridSpan w:val="5"/>
          </w:tcPr>
          <w:p>
            <w:pPr>
              <w:spacing w:after="0" w:line="223" w:lineRule="exact"/>
              <w:rPr>
                <w:sz w:val="20"/>
                <w:szCs w:val="20"/>
                <w:color w:val="auto"/>
              </w:rPr>
            </w:pPr>
            <w:r>
              <w:rPr>
                <w:rFonts w:ascii="Times New Roman" w:cs="Times New Roman" w:eastAsia="Times New Roman" w:hAnsi="Times New Roman"/>
                <w:sz w:val="20"/>
                <w:szCs w:val="20"/>
                <w:color w:val="auto"/>
              </w:rPr>
              <w:t>Email: [ * ]</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 xml:space="preserve">Attention: </w:t>
            </w:r>
            <w:r>
              <w:rPr>
                <w:rFonts w:ascii="Times New Roman" w:cs="Times New Roman" w:eastAsia="Times New Roman" w:hAnsi="Times New Roman"/>
                <w:sz w:val="21"/>
                <w:szCs w:val="21"/>
                <w:color w:val="auto"/>
              </w:rPr>
              <w:t>[ * ]</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From and after Phase I Commencement Date:</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Olema Pharmaceuticals, Inc.</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365 Oyster Point Boulevard, Suite 400</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South San Francisco, California</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Attention: Facilities Head</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gridSpan w:val="4"/>
          </w:tcPr>
          <w:p>
            <w:pPr>
              <w:ind w:left="60"/>
              <w:spacing w:after="0" w:line="225" w:lineRule="exact"/>
              <w:rPr>
                <w:sz w:val="20"/>
                <w:szCs w:val="20"/>
                <w:color w:val="auto"/>
              </w:rPr>
            </w:pPr>
            <w:r>
              <w:rPr>
                <w:rFonts w:ascii="Times New Roman" w:cs="Times New Roman" w:eastAsia="Times New Roman" w:hAnsi="Times New Roman"/>
                <w:sz w:val="20"/>
                <w:szCs w:val="20"/>
                <w:color w:val="auto"/>
              </w:rPr>
              <w:t>Telephone Number: [ * ]</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 * ]</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with copies to:</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w w:val="97"/>
              </w:rPr>
              <w:t>[Kilroy Oyster Point]</w:t>
            </w:r>
          </w:p>
        </w:tc>
        <w:tc>
          <w:tcPr>
            <w:tcW w:w="0" w:type="dxa"/>
            <w:vAlign w:val="bottom"/>
          </w:tcPr>
          <w:p>
            <w:pPr>
              <w:spacing w:after="0"/>
              <w:rPr>
                <w:sz w:val="1"/>
                <w:szCs w:val="1"/>
                <w:color w:val="auto"/>
              </w:rPr>
            </w:pPr>
          </w:p>
        </w:tc>
      </w:tr>
      <w:tr>
        <w:trPr>
          <w:trHeight w:val="164"/>
        </w:trPr>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365760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584" w:gutter="0" w:footer="0" w:header="0"/>
        </w:sectPr>
      </w:pPr>
    </w:p>
    <w:bookmarkStart w:id="125" w:name="page126"/>
    <w:bookmarkEnd w:id="125"/>
    <w:p>
      <w:pPr>
        <w:spacing w:after="0" w:line="189"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74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Olema Pharmaceuticals, Inc.</w:t>
            </w:r>
          </w:p>
        </w:tc>
      </w:t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74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365 Oyster Point Boulevard, Suite 400</w:t>
            </w:r>
          </w:p>
        </w:tc>
      </w:tr>
      <w:tr>
        <w:trPr>
          <w:trHeight w:val="229"/>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74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South San Francisco, California</w:t>
            </w:r>
          </w:p>
        </w:tc>
      </w:t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74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Attention: Legal Department</w:t>
            </w:r>
          </w:p>
        </w:tc>
      </w:tr>
      <w:tr>
        <w:trPr>
          <w:trHeight w:val="225"/>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740" w:type="dxa"/>
            <w:vAlign w:val="bottom"/>
            <w:gridSpan w:val="3"/>
          </w:tcPr>
          <w:p>
            <w:pPr>
              <w:ind w:left="1180"/>
              <w:spacing w:after="0" w:line="225" w:lineRule="exact"/>
              <w:rPr>
                <w:sz w:val="20"/>
                <w:szCs w:val="20"/>
                <w:color w:val="auto"/>
              </w:rPr>
            </w:pPr>
            <w:r>
              <w:rPr>
                <w:rFonts w:ascii="Times New Roman" w:cs="Times New Roman" w:eastAsia="Times New Roman" w:hAnsi="Times New Roman"/>
                <w:sz w:val="20"/>
                <w:szCs w:val="20"/>
                <w:color w:val="auto"/>
              </w:rPr>
              <w:t>Telephone Number: [ * ]</w:t>
            </w:r>
          </w:p>
        </w:tc>
      </w:tr>
      <w:tr>
        <w:trPr>
          <w:trHeight w:val="282"/>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74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 * ]</w:t>
            </w:r>
          </w:p>
        </w:tc>
      </w:tr>
      <w:tr>
        <w:trPr>
          <w:trHeight w:val="453"/>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74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and an email copy to:</w:t>
            </w:r>
          </w:p>
        </w:tc>
      </w:tr>
      <w:tr>
        <w:trPr>
          <w:trHeight w:val="430"/>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74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Valence LLP</w:t>
            </w:r>
          </w:p>
        </w:tc>
      </w:tr>
      <w:tr>
        <w:trPr>
          <w:trHeight w:val="229"/>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74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Email: [ * ]</w:t>
            </w:r>
          </w:p>
        </w:tc>
      </w:tr>
      <w:tr>
        <w:trPr>
          <w:trHeight w:val="258"/>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740" w:type="dxa"/>
            <w:vAlign w:val="bottom"/>
            <w:gridSpan w:val="3"/>
          </w:tcPr>
          <w:p>
            <w:pPr>
              <w:ind w:left="1180"/>
              <w:spacing w:after="0"/>
              <w:rPr>
                <w:sz w:val="20"/>
                <w:szCs w:val="20"/>
                <w:color w:val="auto"/>
              </w:rPr>
            </w:pPr>
            <w:r>
              <w:rPr>
                <w:rFonts w:ascii="Times New Roman" w:cs="Times New Roman" w:eastAsia="Times New Roman" w:hAnsi="Times New Roman"/>
                <w:sz w:val="20"/>
                <w:szCs w:val="20"/>
                <w:color w:val="auto"/>
              </w:rPr>
              <w:t>Attention: [ * ]</w:t>
            </w:r>
          </w:p>
        </w:tc>
      </w:tr>
      <w:tr>
        <w:trPr>
          <w:trHeight w:val="417"/>
        </w:trPr>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11.</w:t>
            </w:r>
          </w:p>
        </w:tc>
        <w:tc>
          <w:tcPr>
            <w:tcW w:w="396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Address of Landlord</w:t>
            </w: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Kilroy Oyster Point II, LLC</w:t>
            </w:r>
          </w:p>
        </w:tc>
      </w:tr>
      <w:tr>
        <w:trPr>
          <w:trHeight w:val="212"/>
        </w:trPr>
        <w:tc>
          <w:tcPr>
            <w:tcW w:w="300" w:type="dxa"/>
            <w:vAlign w:val="bottom"/>
          </w:tcPr>
          <w:p>
            <w:pPr>
              <w:spacing w:after="0"/>
              <w:rPr>
                <w:sz w:val="18"/>
                <w:szCs w:val="18"/>
                <w:color w:val="auto"/>
              </w:rPr>
            </w:pPr>
          </w:p>
        </w:tc>
        <w:tc>
          <w:tcPr>
            <w:tcW w:w="3960" w:type="dxa"/>
            <w:vAlign w:val="bottom"/>
            <w:gridSpan w:val="4"/>
          </w:tcPr>
          <w:p>
            <w:pPr>
              <w:ind w:left="40"/>
              <w:spacing w:after="0" w:line="212" w:lineRule="exact"/>
              <w:rPr>
                <w:sz w:val="20"/>
                <w:szCs w:val="20"/>
                <w:color w:val="auto"/>
              </w:rPr>
            </w:pPr>
            <w:r>
              <w:rPr>
                <w:rFonts w:ascii="Times New Roman" w:cs="Times New Roman" w:eastAsia="Times New Roman" w:hAnsi="Times New Roman"/>
                <w:sz w:val="20"/>
                <w:szCs w:val="20"/>
                <w:color w:val="auto"/>
              </w:rPr>
              <w:t>(Section 30.14):</w:t>
            </w:r>
          </w:p>
        </w:tc>
        <w:tc>
          <w:tcPr>
            <w:tcW w:w="2920" w:type="dxa"/>
            <w:vAlign w:val="bottom"/>
          </w:tcPr>
          <w:p>
            <w:pPr>
              <w:ind w:left="920"/>
              <w:spacing w:after="0" w:line="212" w:lineRule="exact"/>
              <w:rPr>
                <w:sz w:val="20"/>
                <w:szCs w:val="20"/>
                <w:color w:val="auto"/>
              </w:rPr>
            </w:pPr>
            <w:r>
              <w:rPr>
                <w:rFonts w:ascii="Times New Roman" w:cs="Times New Roman" w:eastAsia="Times New Roman" w:hAnsi="Times New Roman"/>
                <w:sz w:val="20"/>
                <w:szCs w:val="20"/>
                <w:color w:val="auto"/>
              </w:rPr>
              <w:t>[ * ]</w:t>
            </w:r>
          </w:p>
        </w:tc>
        <w:tc>
          <w:tcPr>
            <w:tcW w:w="80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56"/>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760" w:type="dxa"/>
            <w:vAlign w:val="bottom"/>
          </w:tcPr>
          <w:p>
            <w:pPr>
              <w:spacing w:after="0"/>
              <w:rPr>
                <w:sz w:val="22"/>
                <w:szCs w:val="22"/>
                <w:color w:val="auto"/>
              </w:rPr>
            </w:pP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Attention: Legal Department</w:t>
            </w:r>
          </w:p>
        </w:tc>
      </w:tr>
      <w:tr>
        <w:trPr>
          <w:trHeight w:val="445"/>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with copies to:</w:t>
            </w:r>
          </w:p>
        </w:tc>
      </w:tr>
      <w:tr>
        <w:trPr>
          <w:trHeight w:val="417"/>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Kilroy Oyster Point II, LLC</w:t>
            </w:r>
          </w:p>
        </w:tc>
      </w:t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9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 * ]</w:t>
            </w:r>
          </w:p>
        </w:tc>
        <w:tc>
          <w:tcPr>
            <w:tcW w:w="80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Attention: [ * ]</w:t>
            </w:r>
          </w:p>
        </w:tc>
      </w:tr>
      <w:tr>
        <w:trPr>
          <w:trHeight w:val="417"/>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and</w:t>
            </w:r>
          </w:p>
        </w:tc>
      </w:t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Kilroy Oyster Point II, LLC</w:t>
            </w:r>
          </w:p>
        </w:tc>
      </w:tr>
      <w:tr>
        <w:trPr>
          <w:trHeight w:val="23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92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 * ]</w:t>
            </w:r>
          </w:p>
        </w:tc>
        <w:tc>
          <w:tcPr>
            <w:tcW w:w="80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58"/>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Attention: [ * ]</w:t>
            </w:r>
          </w:p>
        </w:tc>
      </w:tr>
      <w:tr>
        <w:trPr>
          <w:trHeight w:val="417"/>
        </w:trPr>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w:t>
            </w:r>
          </w:p>
        </w:tc>
        <w:tc>
          <w:tcPr>
            <w:tcW w:w="396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Brokers</w:t>
            </w: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Representing Landlord:</w:t>
            </w:r>
          </w:p>
        </w:tc>
      </w:tr>
      <w:tr>
        <w:trPr>
          <w:trHeight w:val="212"/>
        </w:trPr>
        <w:tc>
          <w:tcPr>
            <w:tcW w:w="300" w:type="dxa"/>
            <w:vAlign w:val="bottom"/>
          </w:tcPr>
          <w:p>
            <w:pPr>
              <w:spacing w:after="0"/>
              <w:rPr>
                <w:sz w:val="18"/>
                <w:szCs w:val="18"/>
                <w:color w:val="auto"/>
              </w:rPr>
            </w:pPr>
          </w:p>
        </w:tc>
        <w:tc>
          <w:tcPr>
            <w:tcW w:w="3960" w:type="dxa"/>
            <w:vAlign w:val="bottom"/>
            <w:gridSpan w:val="4"/>
          </w:tcPr>
          <w:p>
            <w:pPr>
              <w:ind w:left="40"/>
              <w:spacing w:after="0" w:line="192" w:lineRule="exact"/>
              <w:rPr>
                <w:sz w:val="20"/>
                <w:szCs w:val="20"/>
                <w:color w:val="auto"/>
              </w:rPr>
            </w:pPr>
            <w:r>
              <w:rPr>
                <w:rFonts w:ascii="Times New Roman" w:cs="Times New Roman" w:eastAsia="Times New Roman" w:hAnsi="Times New Roman"/>
                <w:sz w:val="20"/>
                <w:szCs w:val="20"/>
                <w:color w:val="auto"/>
              </w:rPr>
              <w:t>(Section 30.20):</w:t>
            </w:r>
          </w:p>
        </w:tc>
        <w:tc>
          <w:tcPr>
            <w:tcW w:w="6740" w:type="dxa"/>
            <w:vAlign w:val="bottom"/>
            <w:gridSpan w:val="3"/>
          </w:tcPr>
          <w:p>
            <w:pPr>
              <w:ind w:left="920"/>
              <w:spacing w:after="0" w:line="192" w:lineRule="exact"/>
              <w:rPr>
                <w:sz w:val="20"/>
                <w:szCs w:val="20"/>
                <w:color w:val="auto"/>
              </w:rPr>
            </w:pPr>
            <w:r>
              <w:rPr>
                <w:rFonts w:ascii="Times New Roman" w:cs="Times New Roman" w:eastAsia="Times New Roman" w:hAnsi="Times New Roman"/>
                <w:sz w:val="20"/>
                <w:szCs w:val="20"/>
                <w:color w:val="auto"/>
              </w:rPr>
              <w:t>Jones Lang LaSalle Brokerage</w:t>
            </w:r>
          </w:p>
        </w:tc>
      </w:tr>
      <w:tr>
        <w:trPr>
          <w:trHeight w:val="470"/>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6740" w:type="dxa"/>
            <w:vAlign w:val="bottom"/>
            <w:gridSpan w:val="3"/>
          </w:tcPr>
          <w:p>
            <w:pPr>
              <w:ind w:left="940"/>
              <w:spacing w:after="0"/>
              <w:rPr>
                <w:sz w:val="20"/>
                <w:szCs w:val="20"/>
                <w:color w:val="auto"/>
              </w:rPr>
            </w:pPr>
            <w:r>
              <w:rPr>
                <w:rFonts w:ascii="Times New Roman" w:cs="Times New Roman" w:eastAsia="Times New Roman" w:hAnsi="Times New Roman"/>
                <w:sz w:val="20"/>
                <w:szCs w:val="20"/>
                <w:color w:val="auto"/>
              </w:rPr>
              <w:t>Representing Tenant:</w:t>
            </w:r>
          </w:p>
        </w:tc>
      </w:tr>
      <w:tr>
        <w:trPr>
          <w:trHeight w:val="258"/>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Jones Lang LaSalle Brokerage</w:t>
            </w:r>
          </w:p>
        </w:tc>
      </w:tr>
      <w:tr>
        <w:trPr>
          <w:trHeight w:val="413"/>
        </w:trPr>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13.</w:t>
            </w:r>
          </w:p>
        </w:tc>
        <w:tc>
          <w:tcPr>
            <w:tcW w:w="396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Improvements</w:t>
            </w:r>
          </w:p>
        </w:tc>
        <w:tc>
          <w:tcPr>
            <w:tcW w:w="6740" w:type="dxa"/>
            <w:vAlign w:val="bottom"/>
            <w:gridSpan w:val="3"/>
          </w:tcPr>
          <w:p>
            <w:pPr>
              <w:ind w:left="920"/>
              <w:spacing w:after="0" w:line="230" w:lineRule="exact"/>
              <w:rPr>
                <w:sz w:val="20"/>
                <w:szCs w:val="20"/>
                <w:color w:val="auto"/>
              </w:rPr>
            </w:pPr>
            <w:r>
              <w:rPr>
                <w:rFonts w:ascii="Times New Roman" w:cs="Times New Roman" w:eastAsia="Times New Roman" w:hAnsi="Times New Roman"/>
                <w:sz w:val="20"/>
                <w:szCs w:val="20"/>
                <w:color w:val="auto"/>
                <w:w w:val="98"/>
              </w:rPr>
              <w:t>Improvements to be constructed on a turn</w:t>
            </w:r>
            <w:r>
              <w:rPr>
                <w:rFonts w:ascii="MS PGothic" w:cs="MS PGothic" w:eastAsia="MS PGothic" w:hAnsi="MS PGothic"/>
                <w:sz w:val="20"/>
                <w:szCs w:val="20"/>
                <w:color w:val="auto"/>
                <w:w w:val="98"/>
              </w:rPr>
              <w:t>‑</w:t>
            </w:r>
            <w:r>
              <w:rPr>
                <w:rFonts w:ascii="Times New Roman" w:cs="Times New Roman" w:eastAsia="Times New Roman" w:hAnsi="Times New Roman"/>
                <w:sz w:val="20"/>
                <w:szCs w:val="20"/>
                <w:color w:val="auto"/>
                <w:w w:val="98"/>
              </w:rPr>
              <w:t>key basis pursuant to the Work</w:t>
            </w:r>
          </w:p>
        </w:tc>
      </w:tr>
      <w:tr>
        <w:trPr>
          <w:trHeight w:val="216"/>
        </w:trPr>
        <w:tc>
          <w:tcPr>
            <w:tcW w:w="300" w:type="dxa"/>
            <w:vAlign w:val="bottom"/>
          </w:tcPr>
          <w:p>
            <w:pPr>
              <w:spacing w:after="0"/>
              <w:rPr>
                <w:sz w:val="18"/>
                <w:szCs w:val="18"/>
                <w:color w:val="auto"/>
              </w:rPr>
            </w:pPr>
          </w:p>
        </w:tc>
        <w:tc>
          <w:tcPr>
            <w:tcW w:w="396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w:t>
            </w:r>
          </w:p>
        </w:tc>
        <w:tc>
          <w:tcPr>
            <w:tcW w:w="6740" w:type="dxa"/>
            <w:vAlign w:val="bottom"/>
            <w:gridSpan w:val="3"/>
          </w:tcPr>
          <w:p>
            <w:pPr>
              <w:ind w:left="920"/>
              <w:spacing w:after="0" w:line="196" w:lineRule="exact"/>
              <w:rPr>
                <w:sz w:val="20"/>
                <w:szCs w:val="20"/>
                <w:color w:val="auto"/>
              </w:rPr>
            </w:pPr>
            <w:r>
              <w:rPr>
                <w:rFonts w:ascii="Times New Roman" w:cs="Times New Roman" w:eastAsia="Times New Roman" w:hAnsi="Times New Roman"/>
                <w:sz w:val="20"/>
                <w:szCs w:val="20"/>
                <w:color w:val="auto"/>
              </w:rPr>
              <w:t xml:space="preserve">Letter attached hereto as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Work Letter</w:t>
            </w:r>
            <w:r>
              <w:rPr>
                <w:rFonts w:ascii="Times New Roman" w:cs="Times New Roman" w:eastAsia="Times New Roman" w:hAnsi="Times New Roman"/>
                <w:sz w:val="20"/>
                <w:szCs w:val="20"/>
                <w:color w:val="auto"/>
              </w:rPr>
              <w:t>").</w:t>
            </w:r>
          </w:p>
        </w:tc>
      </w:tr>
      <w:tr>
        <w:trPr>
          <w:trHeight w:val="27"/>
        </w:trPr>
        <w:tc>
          <w:tcPr>
            <w:tcW w:w="300" w:type="dxa"/>
            <w:vAlign w:val="bottom"/>
          </w:tcPr>
          <w:p>
            <w:pPr>
              <w:spacing w:after="0"/>
              <w:rPr>
                <w:sz w:val="2"/>
                <w:szCs w:val="2"/>
                <w:color w:val="auto"/>
              </w:rPr>
            </w:pPr>
          </w:p>
        </w:tc>
        <w:tc>
          <w:tcPr>
            <w:tcW w:w="3960" w:type="dxa"/>
            <w:vAlign w:val="bottom"/>
            <w:gridSpan w:val="4"/>
          </w:tcPr>
          <w:p>
            <w:pPr>
              <w:spacing w:after="0"/>
              <w:rPr>
                <w:sz w:val="2"/>
                <w:szCs w:val="2"/>
                <w:color w:val="auto"/>
              </w:rPr>
            </w:pPr>
          </w:p>
        </w:tc>
        <w:tc>
          <w:tcPr>
            <w:tcW w:w="2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20" w:type="dxa"/>
            <w:vAlign w:val="bottom"/>
          </w:tcPr>
          <w:p>
            <w:pPr>
              <w:spacing w:after="0"/>
              <w:rPr>
                <w:sz w:val="2"/>
                <w:szCs w:val="2"/>
                <w:color w:val="auto"/>
              </w:rPr>
            </w:pPr>
          </w:p>
        </w:tc>
      </w:tr>
      <w:tr>
        <w:trPr>
          <w:trHeight w:val="478"/>
        </w:trPr>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14.</w:t>
            </w:r>
          </w:p>
        </w:tc>
        <w:tc>
          <w:tcPr>
            <w:tcW w:w="396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Amount Due Upon Lease Execution:</w:t>
            </w: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$213,773.40, as first month's Base Rent for entire Premises</w:t>
            </w:r>
          </w:p>
        </w:tc>
      </w:tr>
      <w:tr>
        <w:trPr>
          <w:trHeight w:val="445"/>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$76,050.36, as first month's estimated Direct Expenses</w:t>
            </w:r>
          </w:p>
        </w:tc>
      </w:tr>
      <w:tr>
        <w:trPr>
          <w:trHeight w:val="446"/>
        </w:trPr>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740" w:type="dxa"/>
            <w:vAlign w:val="bottom"/>
            <w:gridSpan w:val="3"/>
          </w:tcPr>
          <w:p>
            <w:pPr>
              <w:ind w:left="920"/>
              <w:spacing w:after="0"/>
              <w:rPr>
                <w:sz w:val="20"/>
                <w:szCs w:val="20"/>
                <w:color w:val="auto"/>
              </w:rPr>
            </w:pPr>
            <w:r>
              <w:rPr>
                <w:rFonts w:ascii="Times New Roman" w:cs="Times New Roman" w:eastAsia="Times New Roman" w:hAnsi="Times New Roman"/>
                <w:sz w:val="20"/>
                <w:szCs w:val="20"/>
                <w:color w:val="auto"/>
              </w:rPr>
              <w:t>$289,823.76 Total</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2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-6-</w:t>
            </w:r>
          </w:p>
        </w:tc>
        <w:tc>
          <w:tcPr>
            <w:tcW w:w="3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20" w:type="dxa"/>
            <w:vAlign w:val="bottom"/>
            <w:vMerge w:val="continue"/>
          </w:tcPr>
          <w:p>
            <w:pPr>
              <w:spacing w:after="0"/>
              <w:rPr>
                <w:sz w:val="14"/>
                <w:szCs w:val="14"/>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4"/>
        </w:trPr>
        <w:tc>
          <w:tcPr>
            <w:tcW w:w="77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u w:val="single" w:color="auto"/>
          <w:color w:val="auto"/>
        </w:rPr>
        <w:t>ARTICLE 1</w:t>
      </w:r>
    </w:p>
    <w:p>
      <w:pPr>
        <w:spacing w:after="0" w:line="200" w:lineRule="exact"/>
        <w:rPr>
          <w:sz w:val="20"/>
          <w:szCs w:val="20"/>
          <w:color w:val="auto"/>
        </w:rPr>
      </w:pPr>
    </w:p>
    <w:p>
      <w:pPr>
        <w:spacing w:after="0" w:line="400"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390525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[Olema Pharmaceuticals, Inc.]</w:t>
      </w:r>
    </w:p>
    <w:p>
      <w:pPr>
        <w:jc w:val="right"/>
        <w:spacing w:after="0" w:line="234" w:lineRule="auto"/>
        <w:rPr>
          <w:sz w:val="20"/>
          <w:szCs w:val="20"/>
          <w:color w:val="auto"/>
        </w:rPr>
      </w:pPr>
      <w:r>
        <w:rPr>
          <w:rFonts w:ascii="Times New Roman" w:cs="Times New Roman" w:eastAsia="Times New Roman" w:hAnsi="Times New Roman"/>
          <w:sz w:val="13"/>
          <w:szCs w:val="13"/>
          <w:color w:val="auto"/>
        </w:rPr>
        <w:t>[Kilroy Oyster Point]</w:t>
      </w:r>
    </w:p>
    <w:p>
      <w:pPr>
        <w:jc w:val="right"/>
        <w:spacing w:after="0"/>
        <w:rPr>
          <w:sz w:val="20"/>
          <w:szCs w:val="20"/>
          <w:color w:val="auto"/>
        </w:rPr>
      </w:pPr>
      <w:r>
        <w:rPr>
          <w:rFonts w:ascii="Times New Roman" w:cs="Times New Roman" w:eastAsia="Times New Roman" w:hAnsi="Times New Roman"/>
          <w:sz w:val="13"/>
          <w:szCs w:val="13"/>
          <w:color w:val="auto"/>
        </w:rPr>
        <w:t>[365 Oyster Point Blvd.]</w:t>
      </w:r>
    </w:p>
    <w:p>
      <w:pPr>
        <w:sectPr>
          <w:pgSz w:w="11900" w:h="16838" w:orient="portrait"/>
          <w:cols w:equalWidth="0" w:num="2">
            <w:col w:w="7860" w:space="720"/>
            <w:col w:w="1540"/>
          </w:cols>
          <w:pgMar w:left="1440" w:top="1440" w:right="33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u w:val="single" w:color="auto"/>
          <w:color w:val="auto"/>
        </w:rPr>
        <w:t>PREMISES, BUILDING, PROJECT, AND COMMON AREAS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b w:val="1"/>
          <w:bCs w:val="1"/>
          <w:u w:val="single" w:color="auto"/>
          <w:color w:val="auto"/>
        </w:rPr>
        <w:t>Premises, Building, Project and Common Areas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u w:val="single" w:color="auto"/>
          <w:color w:val="auto"/>
        </w:rPr>
        <w:t>The Premises and Building</w:t>
      </w:r>
      <w:r>
        <w:rPr>
          <w:rFonts w:ascii="Times New Roman" w:cs="Times New Roman" w:eastAsia="Times New Roman" w:hAnsi="Times New Roman"/>
          <w:sz w:val="20"/>
          <w:szCs w:val="20"/>
          <w:color w:val="auto"/>
        </w:rPr>
        <w:t xml:space="preserve">. Landlord hereby leases to Tenant and Tenant hereby leases from Landlord the Premises. The outline of the Premises is set forth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attached hereto. The parties hereto agree that the lease of the Premises is upon and subject to the terms, covenants and conditions (the "</w:t>
      </w:r>
      <w:r>
        <w:rPr>
          <w:rFonts w:ascii="Times New Roman" w:cs="Times New Roman" w:eastAsia="Times New Roman" w:hAnsi="Times New Roman"/>
          <w:sz w:val="20"/>
          <w:szCs w:val="20"/>
          <w:b w:val="1"/>
          <w:bCs w:val="1"/>
          <w:color w:val="auto"/>
        </w:rPr>
        <w:t>TCCs</w:t>
      </w:r>
      <w:r>
        <w:rPr>
          <w:rFonts w:ascii="Times New Roman" w:cs="Times New Roman" w:eastAsia="Times New Roman" w:hAnsi="Times New Roman"/>
          <w:sz w:val="20"/>
          <w:szCs w:val="20"/>
          <w:color w:val="auto"/>
        </w:rPr>
        <w:t xml:space="preserve">") herein set forth, and each party covenants as a material part of the consideration for this Lease to keep and perform each and all of such TCCs by it to be kept and performed and that this Lease is made upon the condition of such performance. For purposes of this Lease, the rentable square feet of the Premises shall be stipulated as set forth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of the Summary (and shall not be subject to remeasurement by either party, except due to physical changes (e.g., due to Casualty or condemnation), during the Lease Term or the Option Term for the purpose of recalculating Base Rent, Tenant's Share or any other amount under this Lease which is a function of the rentable square footage of the Premises) and the rentable square feet of the Building shall be stipulated as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of the Summary. The portion of the Building located at and above the ground floor of the Building which is programmed for and serving office uses (i.e. excluding the Laboratory Portion) is the "</w:t>
      </w:r>
      <w:r>
        <w:rPr>
          <w:rFonts w:ascii="Times New Roman" w:cs="Times New Roman" w:eastAsia="Times New Roman" w:hAnsi="Times New Roman"/>
          <w:sz w:val="20"/>
          <w:szCs w:val="20"/>
          <w:b w:val="1"/>
          <w:bCs w:val="1"/>
          <w:color w:val="auto"/>
        </w:rPr>
        <w:t>Office Portion</w:t>
      </w:r>
      <w:r>
        <w:rPr>
          <w:rFonts w:ascii="Times New Roman" w:cs="Times New Roman" w:eastAsia="Times New Roman" w:hAnsi="Times New Roman"/>
          <w:sz w:val="20"/>
          <w:szCs w:val="20"/>
          <w:color w:val="auto"/>
        </w:rPr>
        <w:t>" and the portion of the Building which is leased to tenants for laboratory uses is the "</w:t>
      </w:r>
      <w:r>
        <w:rPr>
          <w:rFonts w:ascii="Times New Roman" w:cs="Times New Roman" w:eastAsia="Times New Roman" w:hAnsi="Times New Roman"/>
          <w:sz w:val="20"/>
          <w:szCs w:val="20"/>
          <w:b w:val="1"/>
          <w:bCs w:val="1"/>
          <w:color w:val="auto"/>
        </w:rPr>
        <w:t>Laboratory Portion</w:t>
      </w:r>
      <w:r>
        <w:rPr>
          <w:rFonts w:ascii="Times New Roman" w:cs="Times New Roman" w:eastAsia="Times New Roman" w:hAnsi="Times New Roman"/>
          <w:sz w:val="20"/>
          <w:szCs w:val="20"/>
          <w:color w:val="auto"/>
        </w:rPr>
        <w:t>". Landlord represents and warrants to Tenant that, as of the Effective Date, Landlord is the fee owner of the Building.</w:t>
      </w:r>
    </w:p>
    <w:p>
      <w:pPr>
        <w:spacing w:after="0" w:line="187"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b w:val="1"/>
          <w:bCs w:val="1"/>
          <w:u w:val="single" w:color="auto"/>
          <w:color w:val="auto"/>
        </w:rPr>
        <w:t>Delivery of Possession</w:t>
      </w:r>
      <w:r>
        <w:rPr>
          <w:rFonts w:ascii="Times New Roman" w:cs="Times New Roman" w:eastAsia="Times New Roman" w:hAnsi="Times New Roman"/>
          <w:sz w:val="20"/>
          <w:szCs w:val="20"/>
          <w:color w:val="auto"/>
        </w:rPr>
        <w:t>. Except as specifically set forth in this Lease and in the Work Letter, Landlord shall tender exclusive possession of each Phase of the Premises to Tenant in the Delivery Condition on or before the applicable Commencement Date for such Phase. The "</w:t>
      </w:r>
      <w:r>
        <w:rPr>
          <w:rFonts w:ascii="Times New Roman" w:cs="Times New Roman" w:eastAsia="Times New Roman" w:hAnsi="Times New Roman"/>
          <w:sz w:val="20"/>
          <w:szCs w:val="20"/>
          <w:b w:val="1"/>
          <w:bCs w:val="1"/>
          <w:color w:val="auto"/>
        </w:rPr>
        <w:t>Delivery Condition</w:t>
      </w:r>
      <w:r>
        <w:rPr>
          <w:rFonts w:ascii="Times New Roman" w:cs="Times New Roman" w:eastAsia="Times New Roman" w:hAnsi="Times New Roman"/>
          <w:sz w:val="20"/>
          <w:szCs w:val="20"/>
          <w:color w:val="auto"/>
        </w:rPr>
        <w:t>" shall mean for each Phase that (i) the Substantial Completion of the Improvements within the Phase has occurred, (ii) the Phase is broom clean, vacant, and (iii) the Phase is free from Hazardous Materials in violation of Environmental Laws. Landlord shall keep Tenant reasonably apprised of the expected date on which the Delivery Condition will occur for each Phase. Landlord shall provide Tenant with at least five (5) full business days' prior written notice (the "</w:t>
      </w:r>
      <w:r>
        <w:rPr>
          <w:rFonts w:ascii="Times New Roman" w:cs="Times New Roman" w:eastAsia="Times New Roman" w:hAnsi="Times New Roman"/>
          <w:sz w:val="20"/>
          <w:szCs w:val="20"/>
          <w:b w:val="1"/>
          <w:bCs w:val="1"/>
          <w:color w:val="auto"/>
        </w:rPr>
        <w:t>Delivery Notice</w:t>
      </w:r>
      <w:r>
        <w:rPr>
          <w:rFonts w:ascii="Times New Roman" w:cs="Times New Roman" w:eastAsia="Times New Roman" w:hAnsi="Times New Roman"/>
          <w:sz w:val="20"/>
          <w:szCs w:val="20"/>
          <w:color w:val="auto"/>
        </w:rPr>
        <w:t>") that the number of keys or access cards necessary to accommodate the occupants of such Phase of the Premises will be available for pickup, which notice shall specify the date (the "</w:t>
      </w:r>
      <w:r>
        <w:rPr>
          <w:rFonts w:ascii="Times New Roman" w:cs="Times New Roman" w:eastAsia="Times New Roman" w:hAnsi="Times New Roman"/>
          <w:sz w:val="20"/>
          <w:szCs w:val="20"/>
          <w:b w:val="1"/>
          <w:bCs w:val="1"/>
          <w:color w:val="auto"/>
        </w:rPr>
        <w:t>Availability Date</w:t>
      </w:r>
      <w:r>
        <w:rPr>
          <w:rFonts w:ascii="Times New Roman" w:cs="Times New Roman" w:eastAsia="Times New Roman" w:hAnsi="Times New Roman"/>
          <w:sz w:val="20"/>
          <w:szCs w:val="20"/>
          <w:color w:val="auto"/>
        </w:rPr>
        <w:t xml:space="preserve">") on which such keys or access cards will be made available. Provided Landlord has complied with the foregoing, Landlord shall be deemed to have tendered possession of the applicable Phase of the Premises to Tenant on the Availability Date set forth in such Delivery Notice, but only if and to the extent that, as of such Availability Date, Landlord makes such keys or access cards to such Phase of the Premises available to Tenant for Tenant to pick up from the Building management office (or otherwise from a representative of Landlord) during Building Hours and such Phase is in fact in the Delivery Condition on the Availability Date. Notwithstanding the foregoing or anything to the contrary herein, Landlord shall not be required to tender possession of any Phase of the Premises to Tenant on the Availability Date if Tenant has not delivered to Landlord (i) certificates of insurance required to be carried by Tenant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below for such Phase of the Premises, and (ii) all amounts due upon Lease execution as set forth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of the Summary (such items (i) and (ii), collectively, the "</w:t>
      </w:r>
      <w:r>
        <w:rPr>
          <w:rFonts w:ascii="Times New Roman" w:cs="Times New Roman" w:eastAsia="Times New Roman" w:hAnsi="Times New Roman"/>
          <w:sz w:val="20"/>
          <w:szCs w:val="20"/>
          <w:b w:val="1"/>
          <w:bCs w:val="1"/>
          <w:color w:val="auto"/>
        </w:rPr>
        <w:t>Possession Requirements</w:t>
      </w:r>
      <w:r>
        <w:rPr>
          <w:rFonts w:ascii="Times New Roman" w:cs="Times New Roman" w:eastAsia="Times New Roman" w:hAnsi="Times New Roman"/>
          <w:sz w:val="20"/>
          <w:szCs w:val="20"/>
          <w:color w:val="auto"/>
        </w:rPr>
        <w:t xml:space="preserve">"). In such event, the Phase I Commencement Date or Phase II Commencement Date, as applicable, will still occur as 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of the Summary (although Tenant shall not actually be granted possession of the applicable Phase of the Premises until Tenant has satisfied the Possession Requirements) provided Landlord is prepared to deliver exclusive possession of such Phase of the Premises to Tenant but for the failure of the Possession Requirements and has complied with the notice requirements herein. Notwithstanding anything in this Lease to the contrary, if Tenant, on or before the date that occurs twelve (12) months following the Phase II Commencement Date (the "</w:t>
      </w:r>
      <w:r>
        <w:rPr>
          <w:rFonts w:ascii="Times New Roman" w:cs="Times New Roman" w:eastAsia="Times New Roman" w:hAnsi="Times New Roman"/>
          <w:sz w:val="20"/>
          <w:szCs w:val="20"/>
          <w:b w:val="1"/>
          <w:bCs w:val="1"/>
          <w:color w:val="auto"/>
        </w:rPr>
        <w:t>Warranty Period</w:t>
      </w:r>
      <w:r>
        <w:rPr>
          <w:rFonts w:ascii="Times New Roman" w:cs="Times New Roman" w:eastAsia="Times New Roman" w:hAnsi="Times New Roman"/>
          <w:sz w:val="20"/>
          <w:szCs w:val="20"/>
          <w:color w:val="auto"/>
        </w:rPr>
        <w:t xml:space="preserve">"), notifies Landlord that the Building Structure and/or Building Systems (as such terms are defined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Warrantied Systems</w:t>
      </w:r>
      <w:r>
        <w:rPr>
          <w:rFonts w:ascii="Times New Roman" w:cs="Times New Roman" w:eastAsia="Times New Roman" w:hAnsi="Times New Roman"/>
          <w:sz w:val="20"/>
          <w:szCs w:val="20"/>
          <w:color w:val="auto"/>
        </w:rPr>
        <w:t>") are not in good working condition and repair, then Landlord shall, at Landlord's sole cost and expense (which cost shall not be deemed an Operating Expense and shall not otherwise be passed through to Tenant), promptly repair or replace any failed or inoperable portion of the Warrantied Systems, provided that the need to repair or replace such portion of the Warrantied Systems was not caused by the misuse, misconduct, negligent omission, and/or negligence of Tenant, its agents, employees, subtenants and/or assignees, or by any Alterations performed by Tenant that materially and adversely affect such Warrantied Systems (collectively, "</w:t>
      </w:r>
      <w:r>
        <w:rPr>
          <w:rFonts w:ascii="Times New Roman" w:cs="Times New Roman" w:eastAsia="Times New Roman" w:hAnsi="Times New Roman"/>
          <w:sz w:val="20"/>
          <w:szCs w:val="20"/>
          <w:b w:val="1"/>
          <w:bCs w:val="1"/>
          <w:color w:val="auto"/>
        </w:rPr>
        <w:t>Tenant Damage</w:t>
      </w:r>
      <w:r>
        <w:rPr>
          <w:rFonts w:ascii="Times New Roman" w:cs="Times New Roman" w:eastAsia="Times New Roman" w:hAnsi="Times New Roman"/>
          <w:sz w:val="20"/>
          <w:szCs w:val="20"/>
          <w:color w:val="auto"/>
        </w:rPr>
        <w:t xml:space="preserve">"); provided further, however, that if damage to the Warrantied Systems was caused by Casualty, then the provisions of Article 11 of this Lease shall govern. To the extent repairs which Landlord is required to make pursuant to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are necessitated in part by Tenant Damage, then Tenant shall reimburse Landlord for an equitable portion of the actual, reasonable, and documented cost of such repair directly attributable to such Tenant Damage. If it is determined that any portion of the Warrantied Systems was not in good working condition and repair prior to the expiration of the Warranty Period, then except as otherwise provided in this Lease, Landlord shall not be liable to Tenant for any damages, and Landlord, at no cost to Tenant, shall promptly commence such work or take such other action as may be necessary to place the same in good working condition and repair, and shall thereafter diligently pursue the same to completion. Neither Landlord nor any agent of Landlord has made any representation or warranty regarding the condition of the Premises, the Building or the Project or with</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2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-8-</w:t>
            </w:r>
          </w:p>
        </w:tc>
        <w:tc>
          <w:tcPr>
            <w:tcW w:w="3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20" w:type="dxa"/>
            <w:vAlign w:val="bottom"/>
            <w:vMerge w:val="continue"/>
          </w:tcPr>
          <w:p>
            <w:pPr>
              <w:spacing w:after="0"/>
              <w:rPr>
                <w:sz w:val="14"/>
                <w:szCs w:val="14"/>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38" w:gutter="0" w:footer="0" w:header="0"/>
        </w:sectPr>
      </w:pPr>
    </w:p>
    <w:bookmarkStart w:id="128" w:name="page129"/>
    <w:bookmarkEnd w:id="128"/>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respect to the suitability of any of the foregoing for the conduct of Tenant's business, except as specifically set forth in this Lease and the Work Letter. Furthermore, notwithstanding anything herein to the contrary, Landlord represents and warrants to Tenant, as of the Effective Date: (i) the Premises is not subject to any rights of first refusal, rights of first offer, options or other preferential rights to lease or occupy that have not been waived or cleared; and (ii) the Building is not encumbered by any Mortgage.</w:t>
      </w:r>
    </w:p>
    <w:p>
      <w:pPr>
        <w:spacing w:after="0" w:line="17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 xml:space="preserve">1.1.3 </w:t>
      </w:r>
      <w:r>
        <w:rPr>
          <w:rFonts w:ascii="Times New Roman" w:cs="Times New Roman" w:eastAsia="Times New Roman" w:hAnsi="Times New Roman"/>
          <w:sz w:val="19"/>
          <w:szCs w:val="19"/>
          <w:b w:val="1"/>
          <w:bCs w:val="1"/>
          <w:u w:val="single" w:color="auto"/>
          <w:color w:val="auto"/>
        </w:rPr>
        <w:t>Common Areas</w:t>
      </w:r>
      <w:r>
        <w:rPr>
          <w:rFonts w:ascii="Times New Roman" w:cs="Times New Roman" w:eastAsia="Times New Roman" w:hAnsi="Times New Roman"/>
          <w:sz w:val="19"/>
          <w:szCs w:val="19"/>
          <w:color w:val="auto"/>
        </w:rPr>
        <w:t>. Tenant shall have the non-exclusive right to use in common with other tenants in the Other Phase Buildings ("</w:t>
      </w:r>
      <w:r>
        <w:rPr>
          <w:rFonts w:ascii="Times New Roman" w:cs="Times New Roman" w:eastAsia="Times New Roman" w:hAnsi="Times New Roman"/>
          <w:sz w:val="19"/>
          <w:szCs w:val="19"/>
          <w:b w:val="1"/>
          <w:bCs w:val="1"/>
          <w:color w:val="auto"/>
        </w:rPr>
        <w:t>Other Phase Tenant(s)</w:t>
      </w:r>
      <w:r>
        <w:rPr>
          <w:rFonts w:ascii="Times New Roman" w:cs="Times New Roman" w:eastAsia="Times New Roman" w:hAnsi="Times New Roman"/>
          <w:sz w:val="19"/>
          <w:szCs w:val="19"/>
          <w:color w:val="auto"/>
        </w:rPr>
        <w:t>") and other tenants of the Other Project Buildings, and subject to the Rules and Regulations (as defined below), those portions of the Project which are provided, from time to time, for use in common by Landlord, Tenant and other tenants and visitors of the Project (such areas, together with such other portions of the Project designated by Landlord from time-to-time, in its discretion, including certain areas to be shared by Landlord and other tenants, are collectively referred to herein as the "</w:t>
      </w:r>
      <w:r>
        <w:rPr>
          <w:rFonts w:ascii="Times New Roman" w:cs="Times New Roman" w:eastAsia="Times New Roman" w:hAnsi="Times New Roman"/>
          <w:sz w:val="19"/>
          <w:szCs w:val="19"/>
          <w:b w:val="1"/>
          <w:bCs w:val="1"/>
          <w:color w:val="auto"/>
        </w:rPr>
        <w:t>Common Areas</w:t>
      </w:r>
      <w:r>
        <w:rPr>
          <w:rFonts w:ascii="Times New Roman" w:cs="Times New Roman" w:eastAsia="Times New Roman" w:hAnsi="Times New Roman"/>
          <w:sz w:val="19"/>
          <w:szCs w:val="19"/>
          <w:color w:val="auto"/>
        </w:rPr>
        <w:t>"). Certain Common Areas shall be available for use only by Tenant and the tenant(s) of the Other Phase Buildings as reasonably designated by Landlord, and certain other Common Areas may be available for use by Tenant and other tenant(s) of the Other Project Buildings as designated by the owners or landlords of the portions of the Project outside of Project Phase 2 (the "</w:t>
      </w:r>
      <w:r>
        <w:rPr>
          <w:rFonts w:ascii="Times New Roman" w:cs="Times New Roman" w:eastAsia="Times New Roman" w:hAnsi="Times New Roman"/>
          <w:sz w:val="19"/>
          <w:szCs w:val="19"/>
          <w:b w:val="1"/>
          <w:bCs w:val="1"/>
          <w:color w:val="auto"/>
        </w:rPr>
        <w:t>Other Project Owners</w:t>
      </w:r>
      <w:r>
        <w:rPr>
          <w:rFonts w:ascii="Times New Roman" w:cs="Times New Roman" w:eastAsia="Times New Roman" w:hAnsi="Times New Roman"/>
          <w:sz w:val="19"/>
          <w:szCs w:val="19"/>
          <w:color w:val="auto"/>
        </w:rPr>
        <w:t>"), in such Other Project Owners' sole discretion. In addition, the Project may include certain common areas that are exclusive to a particular Project Phase (other than Project Phase 2) or Other Project Building, and such areas will not be available for use by Tenant or part of the definition of "Common Areas" for purposes of this Lease. At Landlord's election from time to time, the Common Areas may include certain shared use facilities that are under Landlord's management and control, such as, but not limited to, fitness centers, conference and meeting rooms, visitors' centers, autoclave and glass washing rooms, cafés, cafeterias, and/or other food service operations, bicycle storage areas and/or bathroom and shower facilities (collectively, "</w:t>
      </w:r>
      <w:r>
        <w:rPr>
          <w:rFonts w:ascii="Times New Roman" w:cs="Times New Roman" w:eastAsia="Times New Roman" w:hAnsi="Times New Roman"/>
          <w:sz w:val="19"/>
          <w:szCs w:val="19"/>
          <w:b w:val="1"/>
          <w:bCs w:val="1"/>
          <w:color w:val="auto"/>
        </w:rPr>
        <w:t>Shared Use Facilities</w:t>
      </w:r>
      <w:r>
        <w:rPr>
          <w:rFonts w:ascii="Times New Roman" w:cs="Times New Roman" w:eastAsia="Times New Roman" w:hAnsi="Times New Roman"/>
          <w:sz w:val="19"/>
          <w:szCs w:val="19"/>
          <w:color w:val="auto"/>
        </w:rPr>
        <w:t>"). Notwithstanding anything to the contrary in this Lease, Landlord covenants and agrees that, throughout the Lease Term, the following Shared Use Facilities shall be available to Tenant and maintained by Landlord as part of Landlord's Repair Obligations: (i) fitness center(s), and (ii) conference center (collectively, the "</w:t>
      </w:r>
      <w:r>
        <w:rPr>
          <w:rFonts w:ascii="Times New Roman" w:cs="Times New Roman" w:eastAsia="Times New Roman" w:hAnsi="Times New Roman"/>
          <w:sz w:val="19"/>
          <w:szCs w:val="19"/>
          <w:b w:val="1"/>
          <w:bCs w:val="1"/>
          <w:color w:val="auto"/>
        </w:rPr>
        <w:t>Required Shared Use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Facilities</w:t>
      </w:r>
      <w:r>
        <w:rPr>
          <w:rFonts w:ascii="Times New Roman" w:cs="Times New Roman" w:eastAsia="Times New Roman" w:hAnsi="Times New Roman"/>
          <w:sz w:val="19"/>
          <w:szCs w:val="19"/>
          <w:color w:val="auto"/>
        </w:rPr>
        <w:t>"). Landlord shall not discontinue, materially reduce, or permanently close any of the Required Shared Use Facilities,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Landlord's obligation to maintain the Required Shared Use Facilities shall include providing all necessary equipment, furnishings, and systems in a manner consistent with the amenities and standards offered at Comparable Buildings. Landlord shall have the right to reasonably require, as a condition to use of any of such Shared Use Facilities, that Tenant's employees and other users of any such Shared Use Facilities sign a commercially reasonable form of waiver and release of liability as deemed appropriate by Landlord in its reasonable discretion.</w:t>
      </w:r>
    </w:p>
    <w:p>
      <w:pPr>
        <w:spacing w:after="0" w:line="200" w:lineRule="exact"/>
        <w:rPr>
          <w:sz w:val="20"/>
          <w:szCs w:val="20"/>
          <w:color w:val="auto"/>
        </w:rPr>
      </w:pPr>
    </w:p>
    <w:p>
      <w:pPr>
        <w:spacing w:after="0" w:line="211" w:lineRule="exact"/>
        <w:rPr>
          <w:sz w:val="20"/>
          <w:szCs w:val="20"/>
          <w:color w:val="auto"/>
        </w:rPr>
      </w:pPr>
    </w:p>
    <w:p>
      <w:pPr>
        <w:jc w:val="both"/>
        <w:ind w:firstLine="1497"/>
        <w:spacing w:after="0" w:line="234" w:lineRule="exact"/>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b w:val="1"/>
          <w:bCs w:val="1"/>
          <w:u w:val="single" w:color="auto"/>
          <w:color w:val="auto"/>
        </w:rPr>
        <w:t>Public Areas</w:t>
      </w:r>
      <w:r>
        <w:rPr>
          <w:rFonts w:ascii="Times New Roman" w:cs="Times New Roman" w:eastAsia="Times New Roman" w:hAnsi="Times New Roman"/>
          <w:sz w:val="20"/>
          <w:szCs w:val="20"/>
          <w:color w:val="auto"/>
        </w:rPr>
        <w:t>. Certain accessways, driveways, and streets (including New Oyster Point Boulevard and Marina Boulevard) (collectively, "</w:t>
      </w:r>
      <w:r>
        <w:rPr>
          <w:rFonts w:ascii="Times New Roman" w:cs="Times New Roman" w:eastAsia="Times New Roman" w:hAnsi="Times New Roman"/>
          <w:sz w:val="20"/>
          <w:szCs w:val="20"/>
          <w:b w:val="1"/>
          <w:bCs w:val="1"/>
          <w:color w:val="auto"/>
        </w:rPr>
        <w:t>Public Areas</w:t>
      </w:r>
      <w:r>
        <w:rPr>
          <w:rFonts w:ascii="Times New Roman" w:cs="Times New Roman" w:eastAsia="Times New Roman" w:hAnsi="Times New Roman"/>
          <w:sz w:val="20"/>
          <w:szCs w:val="20"/>
          <w:color w:val="auto"/>
        </w:rPr>
        <w:t xml:space="preserve">") are being constructed by Landlord and Other Project Owners on land that is currently part of the Project and owned by Landlord or Other Project Owners. After completion of construction, these Public Areas will be dedicated to the City of South San Francisco for public use, and no longer considered part of the Project. Similarly, the bay trail, as shown on </w:t>
      </w:r>
      <w:r>
        <w:rPr>
          <w:rFonts w:ascii="Times New Roman" w:cs="Times New Roman" w:eastAsia="Times New Roman" w:hAnsi="Times New Roman"/>
          <w:sz w:val="20"/>
          <w:szCs w:val="20"/>
          <w:b w:val="1"/>
          <w:bCs w:val="1"/>
          <w:u w:val="single" w:color="auto"/>
          <w:color w:val="auto"/>
        </w:rPr>
        <w:t>Exhibit A</w:t>
      </w:r>
      <w:r>
        <w:rPr>
          <w:rFonts w:ascii="MS PGothic" w:cs="MS PGothic" w:eastAsia="MS PGothic" w:hAnsi="MS PGothic"/>
          <w:sz w:val="20"/>
          <w:szCs w:val="20"/>
          <w:u w:val="single" w:color="auto"/>
          <w:color w:val="auto"/>
          <w:strike w:val="1"/>
        </w:rPr>
        <w:t>‑</w:t>
      </w:r>
      <w:r>
        <w:rPr>
          <w:rFonts w:ascii="Times New Roman" w:cs="Times New Roman" w:eastAsia="Times New Roman" w:hAnsi="Times New Roman"/>
          <w:sz w:val="20"/>
          <w:szCs w:val="20"/>
          <w:b w:val="1"/>
          <w:bCs w:val="1"/>
          <w:u w:val="single" w:color="auto"/>
          <w:color w:val="auto"/>
        </w:rPr>
        <w:t>3</w:t>
      </w:r>
      <w:r>
        <w:rPr>
          <w:rFonts w:ascii="Times New Roman" w:cs="Times New Roman" w:eastAsia="Times New Roman" w:hAnsi="Times New Roman"/>
          <w:sz w:val="20"/>
          <w:szCs w:val="20"/>
          <w:color w:val="auto"/>
        </w:rPr>
        <w:t xml:space="preserve">, runs through the Project, but is public and required by Project Approvals and Applicable Laws to remain open and accessible to the public. Landlord shall construct certain improvements to the portion of the bay trail shown on </w:t>
      </w:r>
      <w:r>
        <w:rPr>
          <w:rFonts w:ascii="Times New Roman" w:cs="Times New Roman" w:eastAsia="Times New Roman" w:hAnsi="Times New Roman"/>
          <w:sz w:val="20"/>
          <w:szCs w:val="20"/>
          <w:b w:val="1"/>
          <w:bCs w:val="1"/>
          <w:u w:val="single" w:color="auto"/>
          <w:color w:val="auto"/>
        </w:rPr>
        <w:t>Exhibit A-3</w:t>
      </w:r>
      <w:r>
        <w:rPr>
          <w:rFonts w:ascii="Times New Roman" w:cs="Times New Roman" w:eastAsia="Times New Roman" w:hAnsi="Times New Roman"/>
          <w:sz w:val="20"/>
          <w:szCs w:val="20"/>
          <w:color w:val="auto"/>
        </w:rPr>
        <w:t xml:space="preserve"> as maintained by "Kilroy" (such portion, the "</w:t>
      </w:r>
      <w:r>
        <w:rPr>
          <w:rFonts w:ascii="Times New Roman" w:cs="Times New Roman" w:eastAsia="Times New Roman" w:hAnsi="Times New Roman"/>
          <w:sz w:val="20"/>
          <w:szCs w:val="20"/>
          <w:b w:val="1"/>
          <w:bCs w:val="1"/>
          <w:color w:val="auto"/>
        </w:rPr>
        <w:t>Bay Trail</w:t>
      </w:r>
      <w:r>
        <w:rPr>
          <w:rFonts w:ascii="Times New Roman" w:cs="Times New Roman" w:eastAsia="Times New Roman" w:hAnsi="Times New Roman"/>
          <w:sz w:val="20"/>
          <w:szCs w:val="20"/>
          <w:color w:val="auto"/>
        </w:rPr>
        <w:t>") in accordance with any and all development approvals, entitlements, permits or other discretionary approvals that are necessary, appropriate or beneficial for the development, construction, use, occupancy or operation of Project Phase 2 or any other portion of the Project, including, without limitation, the Existing Underlying Documents (collectively, the "</w:t>
      </w:r>
      <w:r>
        <w:rPr>
          <w:rFonts w:ascii="Times New Roman" w:cs="Times New Roman" w:eastAsia="Times New Roman" w:hAnsi="Times New Roman"/>
          <w:sz w:val="20"/>
          <w:szCs w:val="20"/>
          <w:b w:val="1"/>
          <w:bCs w:val="1"/>
          <w:color w:val="auto"/>
        </w:rPr>
        <w:t>Project Approvals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b w:val="1"/>
          <w:bCs w:val="1"/>
          <w:u w:val="single" w:color="auto"/>
          <w:color w:val="auto"/>
        </w:rPr>
        <w:t>Right of First Offer</w:t>
      </w:r>
      <w:r>
        <w:rPr>
          <w:rFonts w:ascii="Times New Roman" w:cs="Times New Roman" w:eastAsia="Times New Roman" w:hAnsi="Times New Roman"/>
          <w:sz w:val="19"/>
          <w:szCs w:val="19"/>
          <w:color w:val="auto"/>
        </w:rPr>
        <w:t>. Tenant's Right of First Offer shall be as provided in accordance with the terms of</w:t>
      </w:r>
      <w:r>
        <w:rPr>
          <w:rFonts w:ascii="Times New Roman" w:cs="Times New Roman" w:eastAsia="Times New Roman" w:hAnsi="Times New Roman"/>
          <w:sz w:val="19"/>
          <w:szCs w:val="19"/>
          <w:b w:val="1"/>
          <w:bCs w:val="1"/>
          <w:u w:val="single" w:color="auto"/>
          <w:color w:val="auto"/>
        </w:rPr>
        <w:t xml:space="preserve"> Exhibit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LEASE TERM</w:t>
      </w:r>
    </w:p>
    <w:p>
      <w:pPr>
        <w:spacing w:after="0" w:line="21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u w:val="single" w:color="auto"/>
          <w:color w:val="auto"/>
        </w:rPr>
        <w:t>Initial Lease Term</w:t>
      </w:r>
      <w:r>
        <w:rPr>
          <w:rFonts w:ascii="Times New Roman" w:cs="Times New Roman" w:eastAsia="Times New Roman" w:hAnsi="Times New Roman"/>
          <w:sz w:val="20"/>
          <w:szCs w:val="20"/>
          <w:color w:val="auto"/>
        </w:rPr>
        <w:t>. The TCCs and provisions of this Lease shall be effective as of the Effective Date. The term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Year</w:t>
      </w:r>
      <w:r>
        <w:rPr>
          <w:rFonts w:ascii="Times New Roman" w:cs="Times New Roman" w:eastAsia="Times New Roman" w:hAnsi="Times New Roman"/>
          <w:sz w:val="20"/>
          <w:szCs w:val="20"/>
          <w:color w:val="auto"/>
        </w:rPr>
        <w:t>" shall mean each consecutive twelve (12) calendar month period during the Lease Term; provided, however, that the first Lease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commence on the Phase I Commencement Date and end on the last day of the month in which the first anniversary of the Phase I Commencement Date occurs (or if the Phase I Commencement Date is the first day of a calendar month, then the first Lease Year shall commence on the Phase I Commencement Date and end on the day immediately preceding the first anniversary of the Phase I Commencement Date), and the second and each succeeding Lease Year shall commence on the first day of the next calendar month; and further provided that the last Lease Year shall end on the Lease Expiration Date. The term "</w:t>
      </w:r>
      <w:r>
        <w:rPr>
          <w:rFonts w:ascii="Times New Roman" w:cs="Times New Roman" w:eastAsia="Times New Roman" w:hAnsi="Times New Roman"/>
          <w:sz w:val="20"/>
          <w:szCs w:val="20"/>
          <w:b w:val="1"/>
          <w:bCs w:val="1"/>
          <w:color w:val="auto"/>
        </w:rPr>
        <w:t>Lease Month</w:t>
      </w:r>
      <w:r>
        <w:rPr>
          <w:rFonts w:ascii="Times New Roman" w:cs="Times New Roman" w:eastAsia="Times New Roman" w:hAnsi="Times New Roman"/>
          <w:sz w:val="20"/>
          <w:szCs w:val="20"/>
          <w:color w:val="auto"/>
        </w:rPr>
        <w:t>" shall mean each succeeding calendar month during the Lease Term; provided, however, that the first Lease Month shall commence on the Phase I Commencement Date and shall end on the last day of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full calendar month of the Lease Term (or if the Phase I Commencement Date is the first day of a calendar month, then the first Lease Month shall be that calendar month) and that the last Lease Month shall expire on the Lease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2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-9-</w:t>
            </w:r>
          </w:p>
        </w:tc>
        <w:tc>
          <w:tcPr>
            <w:tcW w:w="3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20" w:type="dxa"/>
            <w:vAlign w:val="bottom"/>
            <w:vMerge w:val="continue"/>
          </w:tcPr>
          <w:p>
            <w:pPr>
              <w:spacing w:after="0"/>
              <w:rPr>
                <w:sz w:val="14"/>
                <w:szCs w:val="14"/>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38" w:gutter="0" w:footer="0" w:header="0"/>
        </w:sectPr>
      </w:pPr>
    </w:p>
    <w:bookmarkStart w:id="129" w:name="page130"/>
    <w:bookmarkEnd w:id="129"/>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Expiration Date. At any time during the Lease Term, Landlord may deliver to Tenant a Notice of Lease Term Dates substantially in the form set forth in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attached hereto, as a confirmation only of the information set forth therein, which Tenant shall execute and return (or provide comments with respect thereto) to Landlord within ten (10) business days of receipt thereof.</w:t>
      </w:r>
    </w:p>
    <w:p>
      <w:pPr>
        <w:spacing w:after="0" w:line="17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u w:val="single" w:color="auto"/>
          <w:color w:val="auto"/>
        </w:rPr>
        <w:t>Extension Option</w:t>
      </w:r>
      <w:r>
        <w:rPr>
          <w:rFonts w:ascii="Times New Roman" w:cs="Times New Roman" w:eastAsia="Times New Roman" w:hAnsi="Times New Roman"/>
          <w:sz w:val="20"/>
          <w:szCs w:val="20"/>
          <w:color w:val="auto"/>
        </w:rPr>
        <w:t xml:space="preserve">. Tenant's Extension Option shall be as provided in accordance with the terms and conditions of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xml:space="preserve"> attached hereto.</w:t>
      </w:r>
    </w:p>
    <w:p>
      <w:pPr>
        <w:spacing w:after="0" w:line="15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9"/>
          <w:szCs w:val="19"/>
          <w:color w:val="auto"/>
        </w:rPr>
        <w:t xml:space="preserve">2.3 </w:t>
      </w:r>
      <w:r>
        <w:rPr>
          <w:rFonts w:ascii="Times New Roman" w:cs="Times New Roman" w:eastAsia="Times New Roman" w:hAnsi="Times New Roman"/>
          <w:sz w:val="19"/>
          <w:szCs w:val="19"/>
          <w:b w:val="1"/>
          <w:bCs w:val="1"/>
          <w:u w:val="single" w:color="auto"/>
          <w:color w:val="auto"/>
        </w:rPr>
        <w:t>Early Termination Option</w:t>
      </w:r>
      <w:r>
        <w:rPr>
          <w:rFonts w:ascii="Times New Roman" w:cs="Times New Roman" w:eastAsia="Times New Roman" w:hAnsi="Times New Roman"/>
          <w:sz w:val="19"/>
          <w:szCs w:val="19"/>
          <w:color w:val="auto"/>
        </w:rPr>
        <w:t>. Tenant has the one-time option ("</w:t>
      </w:r>
      <w:r>
        <w:rPr>
          <w:rFonts w:ascii="Times New Roman" w:cs="Times New Roman" w:eastAsia="Times New Roman" w:hAnsi="Times New Roman"/>
          <w:sz w:val="19"/>
          <w:szCs w:val="19"/>
          <w:b w:val="1"/>
          <w:bCs w:val="1"/>
          <w:color w:val="auto"/>
        </w:rPr>
        <w:t>Termination Option</w:t>
      </w:r>
      <w:r>
        <w:rPr>
          <w:rFonts w:ascii="Times New Roman" w:cs="Times New Roman" w:eastAsia="Times New Roman" w:hAnsi="Times New Roman"/>
          <w:sz w:val="19"/>
          <w:szCs w:val="19"/>
          <w:color w:val="auto"/>
        </w:rPr>
        <w:t>") to terminate this Lease effective upon the last day of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Lease Month (the "</w:t>
      </w:r>
      <w:r>
        <w:rPr>
          <w:rFonts w:ascii="Times New Roman" w:cs="Times New Roman" w:eastAsia="Times New Roman" w:hAnsi="Times New Roman"/>
          <w:sz w:val="19"/>
          <w:szCs w:val="19"/>
          <w:b w:val="1"/>
          <w:bCs w:val="1"/>
          <w:color w:val="auto"/>
        </w:rPr>
        <w:t>Termination Date</w:t>
      </w:r>
      <w:r>
        <w:rPr>
          <w:rFonts w:ascii="Times New Roman" w:cs="Times New Roman" w:eastAsia="Times New Roman" w:hAnsi="Times New Roman"/>
          <w:sz w:val="19"/>
          <w:szCs w:val="19"/>
          <w:color w:val="auto"/>
        </w:rPr>
        <w:t>"). In order to exercise the Termination Option, Tenant must fully and completely satisfy each of the following conditions: (i) Tenant must give Landlord written notice ("</w:t>
      </w:r>
      <w:r>
        <w:rPr>
          <w:rFonts w:ascii="Times New Roman" w:cs="Times New Roman" w:eastAsia="Times New Roman" w:hAnsi="Times New Roman"/>
          <w:sz w:val="19"/>
          <w:szCs w:val="19"/>
          <w:b w:val="1"/>
          <w:bCs w:val="1"/>
          <w:color w:val="auto"/>
        </w:rPr>
        <w:t>Termination Notice</w:t>
      </w:r>
      <w:r>
        <w:rPr>
          <w:rFonts w:ascii="Times New Roman" w:cs="Times New Roman" w:eastAsia="Times New Roman" w:hAnsi="Times New Roman"/>
          <w:sz w:val="19"/>
          <w:szCs w:val="19"/>
          <w:color w:val="auto"/>
        </w:rPr>
        <w:t>") at least twelve</w:t>
      </w:r>
    </w:p>
    <w:p>
      <w:pPr>
        <w:spacing w:after="0" w:line="1" w:lineRule="exact"/>
        <w:rPr>
          <w:sz w:val="20"/>
          <w:szCs w:val="20"/>
          <w:color w:val="auto"/>
        </w:rPr>
      </w:pPr>
    </w:p>
    <w:p>
      <w:pPr>
        <w:jc w:val="both"/>
        <w:ind w:firstLine="8"/>
        <w:spacing w:after="0"/>
        <w:tabs>
          <w:tab w:leader="none" w:pos="38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prior to the Termination Date, and (ii) at the time of Tenant's delivery of the Termination Notice, Tenant shall not have received notice of a default under this Lease that remains uncured. On or before the Termination Date, Tenant shall pay to Landlord a termination fee equal to $1,716,240.96 (the "</w:t>
      </w:r>
      <w:r>
        <w:rPr>
          <w:rFonts w:ascii="Times New Roman" w:cs="Times New Roman" w:eastAsia="Times New Roman" w:hAnsi="Times New Roman"/>
          <w:sz w:val="20"/>
          <w:szCs w:val="20"/>
          <w:b w:val="1"/>
          <w:bCs w:val="1"/>
          <w:color w:val="auto"/>
        </w:rPr>
        <w:t>Termination Fee</w:t>
      </w:r>
      <w:r>
        <w:rPr>
          <w:rFonts w:ascii="Times New Roman" w:cs="Times New Roman" w:eastAsia="Times New Roman" w:hAnsi="Times New Roman"/>
          <w:sz w:val="20"/>
          <w:szCs w:val="20"/>
          <w:color w:val="auto"/>
        </w:rPr>
        <w:t xml:space="preserve">"). Tenant's failure to deliver the Termination Fee on or before the Termination Date shall, at Landlord's sole option, render the Termination Notice and the Termination Option null and void and this Lease shall continue in full force and effect. Upon Tenant's delivery of the First Offer Exercise Notice (as that term is defined in </w:t>
      </w:r>
      <w:r>
        <w:rPr>
          <w:rFonts w:ascii="Times New Roman" w:cs="Times New Roman" w:eastAsia="Times New Roman" w:hAnsi="Times New Roman"/>
          <w:sz w:val="20"/>
          <w:szCs w:val="20"/>
          <w:b w:val="1"/>
          <w:bCs w:val="1"/>
          <w:u w:val="single" w:color="auto"/>
          <w:color w:val="auto"/>
        </w:rPr>
        <w:t>Exhibit I</w:t>
      </w:r>
      <w:r>
        <w:rPr>
          <w:rFonts w:ascii="Times New Roman" w:cs="Times New Roman" w:eastAsia="Times New Roman" w:hAnsi="Times New Roman"/>
          <w:sz w:val="20"/>
          <w:szCs w:val="20"/>
          <w:color w:val="auto"/>
        </w:rPr>
        <w:t>), the Termination Option shall automatically terminate and be of no further force and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BASE RENT</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u w:val="single" w:color="auto"/>
          <w:color w:val="auto"/>
        </w:rPr>
        <w:t>In General</w:t>
      </w:r>
      <w:r>
        <w:rPr>
          <w:rFonts w:ascii="Times New Roman" w:cs="Times New Roman" w:eastAsia="Times New Roman" w:hAnsi="Times New Roman"/>
          <w:sz w:val="20"/>
          <w:szCs w:val="20"/>
          <w:color w:val="auto"/>
        </w:rPr>
        <w:t>. Subject to the Base Rent Abatement for each Phase of the Premises, Tenant shall pay to Landlord, without prior notice or demand, base rent ("</w:t>
      </w:r>
      <w:r>
        <w:rPr>
          <w:rFonts w:ascii="Times New Roman" w:cs="Times New Roman" w:eastAsia="Times New Roman" w:hAnsi="Times New Roman"/>
          <w:sz w:val="20"/>
          <w:szCs w:val="20"/>
          <w:b w:val="1"/>
          <w:bCs w:val="1"/>
          <w:color w:val="auto"/>
        </w:rPr>
        <w:t>Base Rent</w:t>
      </w:r>
      <w:r>
        <w:rPr>
          <w:rFonts w:ascii="Times New Roman" w:cs="Times New Roman" w:eastAsia="Times New Roman" w:hAnsi="Times New Roman"/>
          <w:sz w:val="20"/>
          <w:szCs w:val="20"/>
          <w:color w:val="auto"/>
        </w:rPr>
        <w:t xml:space="preserve">") as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the Summary, payable in monthly installments as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the Summary in advance on or before the first day of each and every calendar month during the Lease Term commencing on the Phase I Commencement Date with respect to the Phase I Premises and on the Phase II Commencement Date with respect to the Phase II Premises, without any setoff or deduction whatsoever, except as otherwise set forth in this Lease. In accordance with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the Summary, any increases in Base Rent shall occur on the first day of the applicable Lease Month. However, if the first Lease Month pertains to a period longer than one (1) calendar month, then Base Rent for such first Lease Month shall be equal to one (1) calendar month's Base Rent plus prorated Base Rent for the partial calendar month also included in such first Lease Month. The prepaid Base Rent set forth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of the Summary shall be paid at the time of Tenant's execution and delivery of this Lease and shall be applied to the first month's Base Rent payable hereunder. If any payment of Rent is for a period which is shorter than one month, the Rent for any such fractional month shall accrue on a daily basis during such fractional month and shall total an amount equal to the product of (i) a fraction, the numerator of which is the number of days in such fractional month and the denominator of which is the actual number of days occurring in such calendar month, and (ii) the then-applicable installment of Rent for the month. All payments required to be made by Tenant to Landlord hereunder (including, without limitation, Base Rent) shall be paid to Landlord or Landlord's agent, at Landlord's option, by wire transfer, Electronic Funds Transfer, at the management office of the Project or at such other place or method as Landlord may from time to time designate in writing (by notice delivered not less than thirty (30) days prior to the date such change is effective), in immediately available funds that, at the time of payment, are legal tender for private or public debts in the United States of America. If no time period for payment is specified in this Lease, Tenant shall make all required payments within thirty (30) days of Tenant's receipt of an invoice. For any Additional Rent, including Direct Expenses, Tenant may request reasonable supporting documentation from Landlord for all such Additional Rent in accordance with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below.</w:t>
      </w:r>
    </w:p>
    <w:p>
      <w:pPr>
        <w:spacing w:after="0" w:line="187" w:lineRule="exact"/>
        <w:rPr>
          <w:sz w:val="20"/>
          <w:szCs w:val="20"/>
          <w:color w:val="auto"/>
        </w:rPr>
      </w:pPr>
    </w:p>
    <w:p>
      <w:pPr>
        <w:jc w:val="both"/>
        <w:ind w:firstLine="749"/>
        <w:spacing w:after="0" w:line="212"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u w:val="single" w:color="auto"/>
          <w:color w:val="auto"/>
        </w:rPr>
        <w:t>Base Rent Abatement</w:t>
      </w:r>
      <w:r>
        <w:rPr>
          <w:rFonts w:ascii="Times New Roman" w:cs="Times New Roman" w:eastAsia="Times New Roman" w:hAnsi="Times New Roman"/>
          <w:sz w:val="20"/>
          <w:szCs w:val="20"/>
          <w:color w:val="auto"/>
        </w:rPr>
        <w:t>. Notwithstanding anything to the contrary in this Lease, Tenant shall not be obligated to pay (i) any Base Rent otherwise attributable to the Phase I Premises with respect to the six (6) full calendar month period commencing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day of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full calendar month of the Lease Term and ending on the last day of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full calendar month of the Lease Term providing a total abatement of $849,127.20, and (ii) any Base Rent otherwise attributable to the Phase II Premises with respect to the ten and five-tenths (10.5) full calendar month period commencing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day of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full calendar month on or after the Phase II Commencement Date and ending on the date of the eleventh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full calendar month thereafter that is the number of days in such eleventh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full calendar month divided by two (2) shall be fully abated, providing a total abatement of $778,818.60 (each such period, a "</w:t>
      </w:r>
      <w:r>
        <w:rPr>
          <w:rFonts w:ascii="Times New Roman" w:cs="Times New Roman" w:eastAsia="Times New Roman" w:hAnsi="Times New Roman"/>
          <w:sz w:val="20"/>
          <w:szCs w:val="20"/>
          <w:b w:val="1"/>
          <w:bCs w:val="1"/>
          <w:color w:val="auto"/>
        </w:rPr>
        <w:t>Base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Rent Abatement Period</w:t>
      </w:r>
      <w:r>
        <w:rPr>
          <w:rFonts w:ascii="Times New Roman" w:cs="Times New Roman" w:eastAsia="Times New Roman" w:hAnsi="Times New Roman"/>
          <w:sz w:val="20"/>
          <w:szCs w:val="20"/>
          <w:color w:val="auto"/>
        </w:rPr>
        <w:t>", and such abated amount, collectively, the "</w:t>
      </w:r>
      <w:r>
        <w:rPr>
          <w:rFonts w:ascii="Times New Roman" w:cs="Times New Roman" w:eastAsia="Times New Roman" w:hAnsi="Times New Roman"/>
          <w:sz w:val="20"/>
          <w:szCs w:val="20"/>
          <w:b w:val="1"/>
          <w:bCs w:val="1"/>
          <w:color w:val="auto"/>
        </w:rPr>
        <w:t>Base Rent Abatement</w:t>
      </w:r>
      <w:r>
        <w:rPr>
          <w:rFonts w:ascii="Times New Roman" w:cs="Times New Roman" w:eastAsia="Times New Roman" w:hAnsi="Times New Roman"/>
          <w:sz w:val="20"/>
          <w:szCs w:val="20"/>
          <w:color w:val="auto"/>
        </w:rPr>
        <w: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-10-</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RENT</w:t>
      </w:r>
    </w:p>
    <w:p>
      <w:pPr>
        <w:spacing w:after="0" w:line="2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b w:val="1"/>
          <w:bCs w:val="1"/>
          <w:u w:val="single" w:color="auto"/>
          <w:color w:val="auto"/>
        </w:rPr>
        <w:t>In General</w:t>
      </w:r>
      <w:r>
        <w:rPr>
          <w:rFonts w:ascii="Times New Roman" w:cs="Times New Roman" w:eastAsia="Times New Roman" w:hAnsi="Times New Roman"/>
          <w:sz w:val="19"/>
          <w:szCs w:val="19"/>
          <w:color w:val="auto"/>
        </w:rPr>
        <w:t xml:space="preserve">. In addition to paying the Base Rent specified in </w:t>
      </w:r>
      <w:r>
        <w:rPr>
          <w:rFonts w:ascii="Times New Roman" w:cs="Times New Roman" w:eastAsia="Times New Roman" w:hAnsi="Times New Roman"/>
          <w:sz w:val="19"/>
          <w:szCs w:val="19"/>
          <w:u w:val="single" w:color="auto"/>
          <w:color w:val="auto"/>
        </w:rPr>
        <w:t>Article 3</w:t>
      </w:r>
      <w:r>
        <w:rPr>
          <w:rFonts w:ascii="Times New Roman" w:cs="Times New Roman" w:eastAsia="Times New Roman" w:hAnsi="Times New Roman"/>
          <w:sz w:val="19"/>
          <w:szCs w:val="19"/>
          <w:color w:val="auto"/>
        </w:rPr>
        <w:t xml:space="preserve"> of this Lease, (i) with respect to the Phase I Premises, commencing on the Phase I Commencement Date, Tenant shall pay Tenant's Share for the Phase I Premises of the annual Direct Expenses (as defined in </w:t>
      </w:r>
      <w:r>
        <w:rPr>
          <w:rFonts w:ascii="Times New Roman" w:cs="Times New Roman" w:eastAsia="Times New Roman" w:hAnsi="Times New Roman"/>
          <w:sz w:val="19"/>
          <w:szCs w:val="19"/>
          <w:u w:val="single" w:color="auto"/>
          <w:color w:val="auto"/>
        </w:rPr>
        <w:t>Section 4.2.1</w:t>
      </w:r>
      <w:r>
        <w:rPr>
          <w:rFonts w:ascii="Times New Roman" w:cs="Times New Roman" w:eastAsia="Times New Roman" w:hAnsi="Times New Roman"/>
          <w:sz w:val="19"/>
          <w:szCs w:val="19"/>
          <w:color w:val="auto"/>
        </w:rPr>
        <w:t xml:space="preserve"> below), and (ii) with respect to the Phase II Premises, commencing on the Phase II Commencement Date, Tenant shall pay Tenant's Share for the Phase II Premises of the annual Direct Expenses. Such payments by Tenant, together with any and all other amounts payable by Tenant to Landlord pursuant to the TCCs of this Lease other than Base Rent, are hereinafter collectively referred to as the "</w:t>
      </w:r>
      <w:r>
        <w:rPr>
          <w:rFonts w:ascii="Times New Roman" w:cs="Times New Roman" w:eastAsia="Times New Roman" w:hAnsi="Times New Roman"/>
          <w:sz w:val="19"/>
          <w:szCs w:val="19"/>
          <w:b w:val="1"/>
          <w:bCs w:val="1"/>
          <w:color w:val="auto"/>
        </w:rPr>
        <w:t>Additional Rent</w:t>
      </w:r>
      <w:r>
        <w:rPr>
          <w:rFonts w:ascii="Times New Roman" w:cs="Times New Roman" w:eastAsia="Times New Roman" w:hAnsi="Times New Roman"/>
          <w:sz w:val="19"/>
          <w:szCs w:val="19"/>
          <w:color w:val="auto"/>
        </w:rPr>
        <w:t>," and the Base Rent and the Additional Rent are herein collectively referred to as "</w:t>
      </w:r>
      <w:r>
        <w:rPr>
          <w:rFonts w:ascii="Times New Roman" w:cs="Times New Roman" w:eastAsia="Times New Roman" w:hAnsi="Times New Roman"/>
          <w:sz w:val="19"/>
          <w:szCs w:val="19"/>
          <w:b w:val="1"/>
          <w:bCs w:val="1"/>
          <w:color w:val="auto"/>
        </w:rPr>
        <w:t>Rent</w:t>
      </w:r>
      <w:r>
        <w:rPr>
          <w:rFonts w:ascii="Times New Roman" w:cs="Times New Roman" w:eastAsia="Times New Roman" w:hAnsi="Times New Roman"/>
          <w:sz w:val="19"/>
          <w:szCs w:val="19"/>
          <w:color w:val="auto"/>
        </w:rPr>
        <w:t xml:space="preserve">." All amounts due under this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xml:space="preserve"> as Additional Rent shall be payable for the same periods and in the same manner as the Base Rent. Without limitation on other obligations which survive the expiration of the Lease Term, the obligations of Tenant to pay, and the obligations of Landlord to reconcile and refund excess payment of, the Additional Rent provided for in this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xml:space="preserve"> shall survive the expiration of the Lease Term.</w:t>
      </w:r>
    </w:p>
    <w:p>
      <w:pPr>
        <w:spacing w:after="0" w:line="16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u w:val="single" w:color="auto"/>
          <w:color w:val="auto"/>
        </w:rPr>
        <w:t>Definitions of Key Terms Relating to Additional Rent</w:t>
      </w:r>
      <w:r>
        <w:rPr>
          <w:rFonts w:ascii="Times New Roman" w:cs="Times New Roman" w:eastAsia="Times New Roman" w:hAnsi="Times New Roman"/>
          <w:sz w:val="20"/>
          <w:szCs w:val="20"/>
          <w:color w:val="auto"/>
        </w:rPr>
        <w:t xml:space="preserve">. As used in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the following terms shall have the meanings hereinafter set forth:</w:t>
      </w:r>
    </w:p>
    <w:p>
      <w:pPr>
        <w:spacing w:after="0" w:line="152"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Direct Expenses</w:t>
      </w:r>
      <w:r>
        <w:rPr>
          <w:rFonts w:ascii="Times New Roman" w:cs="Times New Roman" w:eastAsia="Times New Roman" w:hAnsi="Times New Roman"/>
          <w:sz w:val="19"/>
          <w:szCs w:val="19"/>
          <w:color w:val="auto"/>
        </w:rPr>
        <w:t>" shall mean Operating Expenses and Tax Expenses.</w:t>
      </w:r>
    </w:p>
    <w:p>
      <w:pPr>
        <w:spacing w:after="0" w:line="216"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 xml:space="preserve">4.2.2 " </w:t>
      </w:r>
      <w:r>
        <w:rPr>
          <w:rFonts w:ascii="Times New Roman" w:cs="Times New Roman" w:eastAsia="Times New Roman" w:hAnsi="Times New Roman"/>
          <w:sz w:val="20"/>
          <w:szCs w:val="20"/>
          <w:b w:val="1"/>
          <w:bCs w:val="1"/>
          <w:color w:val="auto"/>
        </w:rPr>
        <w:t>Expense Year</w:t>
      </w:r>
      <w:r>
        <w:rPr>
          <w:rFonts w:ascii="Times New Roman" w:cs="Times New Roman" w:eastAsia="Times New Roman" w:hAnsi="Times New Roman"/>
          <w:sz w:val="20"/>
          <w:szCs w:val="20"/>
          <w:color w:val="auto"/>
        </w:rPr>
        <w:t>" shall mean each calendar year in which any portion of the Lease Term falls, through and including the calendar year in which the Lease Term expires.</w:t>
      </w:r>
    </w:p>
    <w:p>
      <w:pPr>
        <w:spacing w:after="0" w:line="152"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9"/>
          <w:szCs w:val="19"/>
          <w:color w:val="auto"/>
        </w:rPr>
        <w:t>4.2.3 "</w:t>
      </w:r>
      <w:r>
        <w:rPr>
          <w:rFonts w:ascii="Times New Roman" w:cs="Times New Roman" w:eastAsia="Times New Roman" w:hAnsi="Times New Roman"/>
          <w:sz w:val="19"/>
          <w:szCs w:val="19"/>
          <w:b w:val="1"/>
          <w:bCs w:val="1"/>
          <w:color w:val="auto"/>
        </w:rPr>
        <w:t>Operating Expenses</w:t>
      </w:r>
      <w:r>
        <w:rPr>
          <w:rFonts w:ascii="Times New Roman" w:cs="Times New Roman" w:eastAsia="Times New Roman" w:hAnsi="Times New Roman"/>
          <w:sz w:val="19"/>
          <w:szCs w:val="19"/>
          <w:color w:val="auto"/>
        </w:rPr>
        <w:t xml:space="preserve">" shall mean all expenses, costs and amounts of every kind and nature which Landlord pays, accrues, or amortizes during any Expense Year because of or in connection with the ownership, management, maintenance, security, repair, replacement, restoration or operation of the Project, or any portion thereof (including, without limitation, all Common Areas), in accordance with sound real estate management and accounting practices, consistently applied. Without limiting the generality of the foregoing, Operating Expenses shall specifically include any and all of the following: (i) the cost of supplying all utilities (but excluding the cost of any utilities consumed in the premises of other tenants of the Project, or consumed in the Premises to the extent that Tenant is separately paying for the cost of such utilities pursuant to this Lease); (ii) the cost of operating, repairing, and maintaining, the utility, telephone, mechanical, sanitary, storm drainage, and elevator systems, and the cost of maintenance and service contracts in connection therewith; (iii) the cost of licenses, certificates, permits and inspections and the cost of contesting any governmental enactments which may affect Operating Expenses, and the costs incurred in connection with a governmentally mandated transportation system management program or similar governmentally mandated program; (iv) the cost of all insurance carried by Landlord in connection with the Project as reasonably determined by Landlord, and as permitted by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(v) the cost of landscaping, relamping, and all supplies, tools, equipment and materials used in the operation, repair and maintenance of the Project, or any portion thereof; (vi) costs incurred in connection with the Parking Facilities, as well as costs incurred in connection with the provision of any shuttle service serving the Project for the purpose of facilitating access to public transportation; (vii) subject to the Management Fee Cap (as that term is defined below), a management fee and other reasonable costs, including consulting fees, legal fees and accounting fees, of all contractors and consultants in connection with the management, operation, maintenance, and repair of the Project; (viii) payments under any equipment rental agreements and the fair rental value of any management office space (and if such management office is shared with other projects owned by Landlord and/or Landlord's affiliates, then such fair rental value shall be equitably prorated between the Project and such other projects); provided that the size of any such management office space shall be comparable to the size of the management offices of the prudent institutional landlords of the Comparable Buildings; (ix) subject to item (f) below, wages, salaries and other compensation and benefits, including taxes levied thereon, of all persons (other than persons generally considered to be higher in rank than the position of "Senior Director"or a person, regardless of title, who supervises property managers of the Project or other projects of Landlord and/or affiliates of Landlord) engaged in the operation, maintenance and security of the Project; (x) Intentionally Deleted; (xi) the cost of janitorial, alarm, security, sewer and other services (but excluding the cost of any services utilized in the premises of other tenants or occupants of the Project, or utilized in the Premises to the extent that Tenant is separately paying for the cost of such services pursuant this Lease); (xii) the cost of operation, repair, and maintenance of all Building Systems (including Laboratory Systems) and other systems and equipment and components thereof of the Project or otherwise serving the Project or any portions thereof; (xiii) the cost of operation, repair, maintenance, and replacement of the Common Areas and all elements and components thereof (including, without limitation, replacement, restoration and repair of wall and floor coverings, ceiling tiles and fixtures in Common Areas, and maintenance, replacement, repair and restoration of curbs and walkways); (xiv) repair to roofs and re-roofing; (xv) amortization of the cost of acquiring or the rental expense of personal property used in the maintenance, operation and repair of the Project, or any portion thereof (which shall be amortized over its useful life in accordance with sound real estate management and accounting practices, consistently applied and which amortization calculation shall include interest at the Interest Rate (as defined</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-11-</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4"/>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36" w:gutter="0" w:footer="0" w:header="0"/>
        </w:sectPr>
      </w:pPr>
    </w:p>
    <w:bookmarkStart w:id="131" w:name="page132"/>
    <w:bookmarkEnd w:id="131"/>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in </w:t>
      </w:r>
      <w:r>
        <w:rPr>
          <w:rFonts w:ascii="Times New Roman" w:cs="Times New Roman" w:eastAsia="Times New Roman" w:hAnsi="Times New Roman"/>
          <w:sz w:val="19"/>
          <w:szCs w:val="19"/>
          <w:u w:val="single" w:color="auto"/>
          <w:color w:val="auto"/>
        </w:rPr>
        <w:t>Article 25</w:t>
      </w:r>
      <w:r>
        <w:rPr>
          <w:rFonts w:ascii="Times New Roman" w:cs="Times New Roman" w:eastAsia="Times New Roman" w:hAnsi="Times New Roman"/>
          <w:sz w:val="19"/>
          <w:szCs w:val="19"/>
          <w:color w:val="auto"/>
        </w:rPr>
        <w:t xml:space="preserve"> of this Lease)); (xvi) the cost of capital improvements or capital expenditures incurred in connection with the Project, including, without limitation, those that are (each, a "</w:t>
      </w:r>
      <w:r>
        <w:rPr>
          <w:rFonts w:ascii="Times New Roman" w:cs="Times New Roman" w:eastAsia="Times New Roman" w:hAnsi="Times New Roman"/>
          <w:sz w:val="19"/>
          <w:szCs w:val="19"/>
          <w:b w:val="1"/>
          <w:bCs w:val="1"/>
          <w:color w:val="auto"/>
        </w:rPr>
        <w:t>Permitted Capital Cost</w:t>
      </w:r>
      <w:r>
        <w:rPr>
          <w:rFonts w:ascii="Times New Roman" w:cs="Times New Roman" w:eastAsia="Times New Roman" w:hAnsi="Times New Roman"/>
          <w:sz w:val="19"/>
          <w:szCs w:val="19"/>
          <w:color w:val="auto"/>
        </w:rPr>
        <w:t xml:space="preserve">") (A) reasonably anticipated to increase operating efficiencies and reduce Operating Expenses (but only to the extent the annual amortized cost thereof does not exceed the reasonably anticipated annual net savings in Operating Expenses on a net basis), (B) required to comply with mandatory conservation programs, (C) incurred by Landlord in connection with performing Landlord's Repair Obligations with respect to Building Systems (including Laboratory Systems), including replacement costs, (D) required under any Applicable Laws (as defined in </w:t>
      </w:r>
      <w:r>
        <w:rPr>
          <w:rFonts w:ascii="Times New Roman" w:cs="Times New Roman" w:eastAsia="Times New Roman" w:hAnsi="Times New Roman"/>
          <w:sz w:val="19"/>
          <w:szCs w:val="19"/>
          <w:u w:val="single" w:color="auto"/>
          <w:color w:val="auto"/>
        </w:rPr>
        <w:t>Section 24.1</w:t>
      </w:r>
      <w:r>
        <w:rPr>
          <w:rFonts w:ascii="Times New Roman" w:cs="Times New Roman" w:eastAsia="Times New Roman" w:hAnsi="Times New Roman"/>
          <w:sz w:val="19"/>
          <w:szCs w:val="19"/>
          <w:color w:val="auto"/>
        </w:rPr>
        <w:t xml:space="preserve"> of this Lease), except for capital repairs, replacements or other improvements to remedy a condition existing prior to the Phase I Commencement Date which an applicable governmental authority, if it had knowledge of such condition prior to the Phase I Commencement Date, would have then required to be remedied pursuant to then-current Applicable Laws in their form existing as of the Phase I Commencement Date and pursuant to the then-current interpretation of such Applicable Laws as of the Phase I Commencement Date, (F) reasonably required to address the safety or security of the Project, or (E) replacements or modifications of equipment or other items located in or serving the Common Areas required to keep the Common Areas in good order or condition; provided, however, that any such capital expenditure shall be amortized, together with interest at the Interest Rate, over its useful life as determined in accordance with sound real estate management and accounting practices, consistently applied (provided, however, that with respect to those items included under item (A) above, Landlord shall have the right to amortize the same over their recovery/payback period as reasonably determined by Landlord in accordance with sound real estate management and accounting practices, consistently applied), provided that in no event will Tenant be subject to a payback period less than the useful life or cumulatively pay more than the amount paid by Landlord for the actual capital expenditure; (xvii) costs, fees, charges or assessments imposed by, or resulting from any mandate imposed on Landlord by, any federal, state or local government for fire and police protection, trash removal, community services, or other services which do not constitute Tax Expenses as defined in </w:t>
      </w:r>
      <w:r>
        <w:rPr>
          <w:rFonts w:ascii="Times New Roman" w:cs="Times New Roman" w:eastAsia="Times New Roman" w:hAnsi="Times New Roman"/>
          <w:sz w:val="19"/>
          <w:szCs w:val="19"/>
          <w:u w:val="single" w:color="auto"/>
          <w:color w:val="auto"/>
        </w:rPr>
        <w:t>Section 4.2.4.1</w:t>
      </w:r>
      <w:r>
        <w:rPr>
          <w:rFonts w:ascii="Times New Roman" w:cs="Times New Roman" w:eastAsia="Times New Roman" w:hAnsi="Times New Roman"/>
          <w:sz w:val="19"/>
          <w:szCs w:val="19"/>
          <w:color w:val="auto"/>
        </w:rPr>
        <w:t xml:space="preserve"> below; (xviii) payments under any Underlying Documents to the extent such payments are of a type or category that would otherwise by includable in Operating Expenses if incurred directly by Landlord; and (xix) costs of any additional services not provided to the Project as of the Phase I Commencement Date but which are thereafter provided by Landlord in connection with its prudent and commercially reasonable management of the Project.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Notwithstanding the foregoing or anything to the contrary in this Lease, Operating Expenses shall not, however, include:</w:t>
      </w:r>
    </w:p>
    <w:p>
      <w:pPr>
        <w:spacing w:after="0" w:line="216" w:lineRule="exact"/>
        <w:rPr>
          <w:sz w:val="20"/>
          <w:szCs w:val="20"/>
          <w:color w:val="auto"/>
        </w:rPr>
      </w:pPr>
    </w:p>
    <w:p>
      <w:pPr>
        <w:jc w:val="both"/>
        <w:ind w:firstLine="3003"/>
        <w:spacing w:after="0" w:line="245" w:lineRule="auto"/>
        <w:tabs>
          <w:tab w:leader="none" w:pos="33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including marketing costs, legal fees, space planners' fees, advertising and promotional expenses, and brokerage fees incurred in connection with the original construction or development, or original or future leasing of the Project (including incurred in connection with any disputes with tenants or other occupants in the Project), and costs, including permit, license and inspection costs, incurred with respect to the installation of improvements made for new tenants or occupants occupying space in the Project or incurred in renovating or otherwise improving, decorating, painting or redecorating vacant or occupied space for tenants or other occupants of the Project (including tenant improvement allowances);</w:t>
      </w:r>
    </w:p>
    <w:p>
      <w:pPr>
        <w:spacing w:after="0" w:line="184" w:lineRule="exact"/>
        <w:rPr>
          <w:rFonts w:ascii="Times New Roman" w:cs="Times New Roman" w:eastAsia="Times New Roman" w:hAnsi="Times New Roman"/>
          <w:sz w:val="20"/>
          <w:szCs w:val="20"/>
          <w:color w:val="auto"/>
        </w:rPr>
      </w:pPr>
    </w:p>
    <w:p>
      <w:pPr>
        <w:jc w:val="both"/>
        <w:ind w:right="20" w:firstLine="3003"/>
        <w:spacing w:after="0" w:line="254" w:lineRule="auto"/>
        <w:tabs>
          <w:tab w:leader="none" w:pos="33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connection with Permitted Capital Costs, depreciation, interest, principal payments and any other payments on mortgages and other debt costs, if any, including penalties and interest, and costs of capital repairs and alterations, and costs of capital improvements, expenditures and equipment;</w:t>
      </w:r>
    </w:p>
    <w:p>
      <w:pPr>
        <w:spacing w:after="0" w:line="174" w:lineRule="exact"/>
        <w:rPr>
          <w:rFonts w:ascii="Times New Roman" w:cs="Times New Roman" w:eastAsia="Times New Roman" w:hAnsi="Times New Roman"/>
          <w:sz w:val="20"/>
          <w:szCs w:val="20"/>
          <w:color w:val="auto"/>
        </w:rPr>
      </w:pPr>
    </w:p>
    <w:p>
      <w:pPr>
        <w:jc w:val="both"/>
        <w:ind w:firstLine="3003"/>
        <w:spacing w:after="0" w:line="244" w:lineRule="auto"/>
        <w:tabs>
          <w:tab w:leader="none" w:pos="33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costs for which the Landlord is reimbursed by any tenant or occupant of the Project or by insurance by its carrier or any tenant's carrier or by anyone else or which would have been reimbursed by insurance required to be carried by Landlord under this Lease, or which are reimbursed (or would have been reimbursed) by any tenant or occupant pursuant to the terms of its lease or occupancy agreement or by insurance required to be carried by such tenant or occupant pursuant thereto; (except to the extent of commercially reasonable deductibles with respect to Landlord’s insurance, subject to </w:t>
      </w:r>
      <w:r>
        <w:rPr>
          <w:rFonts w:ascii="Times New Roman" w:cs="Times New Roman" w:eastAsia="Times New Roman" w:hAnsi="Times New Roman"/>
          <w:sz w:val="20"/>
          <w:szCs w:val="20"/>
          <w:u w:val="single" w:color="auto"/>
          <w:color w:val="auto"/>
        </w:rPr>
        <w:t>Section 4.2.3(cc)</w:t>
      </w:r>
      <w:r>
        <w:rPr>
          <w:rFonts w:ascii="Times New Roman" w:cs="Times New Roman" w:eastAsia="Times New Roman" w:hAnsi="Times New Roman"/>
          <w:sz w:val="20"/>
          <w:szCs w:val="20"/>
          <w:color w:val="auto"/>
        </w:rPr>
        <w:t xml:space="preserve"> with respect to deductibles for earthquake insurance), and electric power costs for which any tenant or occupant directly contracts with the local public service company or costs of other utilities or services for which any tenant or occupant is separately charged;</w:t>
      </w:r>
    </w:p>
    <w:p>
      <w:pPr>
        <w:spacing w:after="0" w:line="185"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bad debt loss, rent loss, or reserves of any kind;</w:t>
      </w:r>
    </w:p>
    <w:p>
      <w:pPr>
        <w:spacing w:after="0" w:line="215" w:lineRule="exact"/>
        <w:rPr>
          <w:rFonts w:ascii="Times New Roman" w:cs="Times New Roman" w:eastAsia="Times New Roman" w:hAnsi="Times New Roman"/>
          <w:sz w:val="20"/>
          <w:szCs w:val="20"/>
          <w:color w:val="auto"/>
        </w:rPr>
      </w:pPr>
    </w:p>
    <w:p>
      <w:pPr>
        <w:jc w:val="both"/>
        <w:ind w:firstLine="3003"/>
        <w:spacing w:after="0" w:line="244" w:lineRule="auto"/>
        <w:tabs>
          <w:tab w:leader="none" w:pos="33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the operation of the business of the partnership or entity which constitutes the Landlord, as the same are distinguished from the costs of operation of the Project (which shall specifically include, but not be limited to, reasonable accounting costs associated with the operation of the Project except to the extent excluded pursuant to this Lease).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-12-</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108" w:gutter="0" w:footer="0" w:header="0"/>
        </w:sectPr>
      </w:pPr>
    </w:p>
    <w:bookmarkStart w:id="132" w:name="page133"/>
    <w:bookmarkEnd w:id="132"/>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between Landlord and other tenants or occupants, and Landlord's general corporate overhead and general and administrative expenses;</w:t>
      </w:r>
    </w:p>
    <w:p>
      <w:pPr>
        <w:spacing w:after="0" w:line="216" w:lineRule="exact"/>
        <w:rPr>
          <w:sz w:val="20"/>
          <w:szCs w:val="20"/>
          <w:color w:val="auto"/>
        </w:rPr>
      </w:pPr>
    </w:p>
    <w:p>
      <w:pPr>
        <w:jc w:val="both"/>
        <w:ind w:firstLine="3003"/>
        <w:spacing w:after="0" w:line="245" w:lineRule="auto"/>
        <w:tabs>
          <w:tab w:leader="none" w:pos="33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wages, benefits and other compensation of any employee who does not devote substantially all of his or her employed time to the Project unless such wages, benefits and other compensation are prorated to reflect time spent on operating and managing the Project vis-a-vis time spent on matters unrelated to operating and managing the Project; provided, that in no event shall Operating Expenses include wages, benefits and/or compensation attributable to personnel above the level of Senior Portfolio Manager and/or personnel considered to be higher in rank than the position of a person, regardless of title, who supervises property managers of the Project or other projects of Landlord or affiliates of Landlord;</w:t>
      </w:r>
    </w:p>
    <w:p>
      <w:pPr>
        <w:spacing w:after="0" w:line="184" w:lineRule="exact"/>
        <w:rPr>
          <w:rFonts w:ascii="Times New Roman" w:cs="Times New Roman" w:eastAsia="Times New Roman" w:hAnsi="Times New Roman"/>
          <w:sz w:val="20"/>
          <w:szCs w:val="20"/>
          <w:color w:val="auto"/>
        </w:rPr>
      </w:pPr>
    </w:p>
    <w:p>
      <w:pPr>
        <w:ind w:firstLine="3003"/>
        <w:spacing w:after="0" w:line="269" w:lineRule="auto"/>
        <w:tabs>
          <w:tab w:leader="none" w:pos="33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paid as ground rental for the Project by the Landlord including without limitation principal payments, late charges, penalties, liquidated damages, and interest related to such ground rental;</w:t>
      </w:r>
    </w:p>
    <w:p>
      <w:pPr>
        <w:spacing w:after="0" w:line="159" w:lineRule="exact"/>
        <w:rPr>
          <w:rFonts w:ascii="Times New Roman" w:cs="Times New Roman" w:eastAsia="Times New Roman" w:hAnsi="Times New Roman"/>
          <w:sz w:val="20"/>
          <w:szCs w:val="20"/>
          <w:color w:val="auto"/>
        </w:rPr>
      </w:pPr>
    </w:p>
    <w:p>
      <w:pPr>
        <w:jc w:val="both"/>
        <w:ind w:right="20" w:firstLine="3003"/>
        <w:spacing w:after="0" w:line="254" w:lineRule="auto"/>
        <w:tabs>
          <w:tab w:leader="none" w:pos="33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compensation paid to clerks, attendants or other persons in commercial concessions operated by the Landlord, provided that any reasonable compensation paid to any concierge or parking attendants at the Project shall be includable as an Operating Expense;</w:t>
      </w:r>
    </w:p>
    <w:p>
      <w:pPr>
        <w:spacing w:after="0" w:line="174" w:lineRule="exact"/>
        <w:rPr>
          <w:rFonts w:ascii="Times New Roman" w:cs="Times New Roman" w:eastAsia="Times New Roman" w:hAnsi="Times New Roman"/>
          <w:sz w:val="20"/>
          <w:szCs w:val="20"/>
          <w:color w:val="auto"/>
        </w:rPr>
      </w:pPr>
    </w:p>
    <w:p>
      <w:pPr>
        <w:jc w:val="both"/>
        <w:ind w:firstLine="3003"/>
        <w:spacing w:after="0" w:line="254" w:lineRule="auto"/>
        <w:tabs>
          <w:tab w:leader="none" w:pos="33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items and services for which Tenant or any other tenant or occupant in the Project reimburses Landlord directly and separately from Operating Expenses, or otherwise pays for separately from Operating Expenses, or which items or services Landlord provides selectively to one or more tenants or occupants other than Tenant;</w:t>
      </w:r>
    </w:p>
    <w:p>
      <w:pPr>
        <w:spacing w:after="0" w:line="17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other than those incurred in ordinary maintenance and repair, for sculpture, paintings,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fountains or other objects of art;</w:t>
      </w:r>
    </w:p>
    <w:p>
      <w:pPr>
        <w:spacing w:after="0" w:line="193"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expressly excluded from Operating Expenses elsewhere in this Lease;</w:t>
      </w:r>
    </w:p>
    <w:p>
      <w:pPr>
        <w:spacing w:after="0" w:line="215" w:lineRule="exact"/>
        <w:rPr>
          <w:rFonts w:ascii="Times New Roman" w:cs="Times New Roman" w:eastAsia="Times New Roman" w:hAnsi="Times New Roman"/>
          <w:sz w:val="20"/>
          <w:szCs w:val="20"/>
          <w:color w:val="auto"/>
        </w:rPr>
      </w:pPr>
    </w:p>
    <w:p>
      <w:pPr>
        <w:jc w:val="both"/>
        <w:ind w:firstLine="3003"/>
        <w:spacing w:after="0" w:line="249" w:lineRule="auto"/>
        <w:tabs>
          <w:tab w:leader="none" w:pos="33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payable by Landlord for management of the Project in excess of three percent (3%) of Landlord's gross rental revenues for Project Phase 2; provided, however, in no event shall Tenant's Share of management fees included in Operating Expenses exceed 3% of Base Rent payable by Tenant for the applicable Expense Year, adjusted and grossed up to reflect one hundred percent (100%) of Base Rent during Base Rent abatement periods (the "</w:t>
      </w:r>
      <w:r>
        <w:rPr>
          <w:rFonts w:ascii="Times New Roman" w:cs="Times New Roman" w:eastAsia="Times New Roman" w:hAnsi="Times New Roman"/>
          <w:sz w:val="20"/>
          <w:szCs w:val="20"/>
          <w:b w:val="1"/>
          <w:bCs w:val="1"/>
          <w:color w:val="auto"/>
        </w:rPr>
        <w:t>Management Fee Cap</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3003"/>
        <w:spacing w:after="0" w:line="245" w:lineRule="auto"/>
        <w:tabs>
          <w:tab w:leader="none" w:pos="33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incurred to comply with Applicable Laws relating to the removal of Hazardous Materials that were in existence in, on or about the Building or the Project prior to the Phase I Commencement Date, or that were brought into the Building or onto the Project after the Phase I Commencement Date by Landlord or any other Landlord Parties, and were of such a nature that a federal, state, local, municipal or other governmental authority would have required removal or other containment, if it had then had knowledge of the presence of such Hazardous Materials, in the state, and under the conditions that they then existed in the Building or on the Project; and</w:t>
      </w:r>
    </w:p>
    <w:p>
      <w:pPr>
        <w:spacing w:after="0" w:line="184" w:lineRule="exact"/>
        <w:rPr>
          <w:rFonts w:ascii="Times New Roman" w:cs="Times New Roman" w:eastAsia="Times New Roman" w:hAnsi="Times New Roman"/>
          <w:sz w:val="20"/>
          <w:szCs w:val="20"/>
          <w:color w:val="auto"/>
        </w:rPr>
      </w:pPr>
    </w:p>
    <w:p>
      <w:pPr>
        <w:jc w:val="both"/>
        <w:ind w:firstLine="3003"/>
        <w:spacing w:after="0" w:line="246" w:lineRule="auto"/>
        <w:tabs>
          <w:tab w:leader="none" w:pos="33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incurred to comply with Applicable Laws relating to the removal of Hazardous Materials that were brought into, onto or about the Building or the Project after the Phase I Commencement Date by Landlord or any other Landlord Parties or any party other than Tenant and are of such a nature, at that time, that a federal, state, local, municipal or other governmental authority would have required removal or other containment, if it had then had knowledge of the introduction of such Hazardous Materials, in the state, and under the conditions, that they were introduced to the Building or on the Project;</w:t>
      </w:r>
    </w:p>
    <w:p>
      <w:pPr>
        <w:spacing w:after="0" w:line="184" w:lineRule="exact"/>
        <w:rPr>
          <w:rFonts w:ascii="Times New Roman" w:cs="Times New Roman" w:eastAsia="Times New Roman" w:hAnsi="Times New Roman"/>
          <w:sz w:val="20"/>
          <w:szCs w:val="20"/>
          <w:color w:val="auto"/>
        </w:rPr>
      </w:pPr>
    </w:p>
    <w:p>
      <w:pPr>
        <w:ind w:right="20" w:firstLine="3003"/>
        <w:spacing w:after="0" w:line="269" w:lineRule="auto"/>
        <w:tabs>
          <w:tab w:leader="none" w:pos="33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or expenses, including capital, construction, maintenance, repair, and operating costs or expenses, related to the Public Areas, except for ordinary maintenance costs;</w:t>
      </w:r>
    </w:p>
    <w:p>
      <w:pPr>
        <w:spacing w:after="0" w:line="159" w:lineRule="exact"/>
        <w:rPr>
          <w:rFonts w:ascii="Times New Roman" w:cs="Times New Roman" w:eastAsia="Times New Roman" w:hAnsi="Times New Roman"/>
          <w:sz w:val="20"/>
          <w:szCs w:val="20"/>
          <w:color w:val="auto"/>
        </w:rPr>
      </w:pPr>
    </w:p>
    <w:p>
      <w:pPr>
        <w:jc w:val="both"/>
        <w:ind w:firstLine="3003"/>
        <w:spacing w:after="0" w:line="254" w:lineRule="auto"/>
        <w:tabs>
          <w:tab w:leader="none" w:pos="339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overhead and profit increment paid to Landlord or to subsidiaries or affiliates of Landlord for services in the Project to the extent the same exceeds the costs of such services rendered by qualified, unaffiliated third parties on a competitive basis;</w:t>
      </w:r>
    </w:p>
    <w:p>
      <w:pPr>
        <w:spacing w:after="0" w:line="17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rent for any office space occupied by Project management personnel other than as expressly set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forth in item (viii) above;</w:t>
      </w:r>
    </w:p>
    <w:p>
      <w:pPr>
        <w:spacing w:after="0" w:line="193"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expenses determined to have arisen from the negligence or willful misconduct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or its agents, employees, vendors, contractors, invitees, or providers of materials or services;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-13-</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44" w:gutter="0" w:footer="0" w:header="0"/>
        </w:sectPr>
      </w:pPr>
    </w:p>
    <w:bookmarkStart w:id="133" w:name="page134"/>
    <w:bookmarkEnd w:id="133"/>
    <w:p>
      <w:pPr>
        <w:spacing w:after="0" w:line="189" w:lineRule="exact"/>
        <w:rPr>
          <w:sz w:val="20"/>
          <w:szCs w:val="20"/>
          <w:color w:val="auto"/>
        </w:rPr>
      </w:pPr>
    </w:p>
    <w:p>
      <w:pPr>
        <w:ind w:right="20" w:firstLine="3003"/>
        <w:spacing w:after="0" w:line="269" w:lineRule="auto"/>
        <w:tabs>
          <w:tab w:leader="none" w:pos="339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gifts provided to any entity whatsoever, including, but not limited to, Tenant, other tenants, occupants, employees, vendors, contractors, prospective tenants and agents;</w:t>
      </w:r>
    </w:p>
    <w:p>
      <w:pPr>
        <w:spacing w:after="0" w:line="159"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repairs or other work occasioned by Casualty that would have been covered by insurance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had Landlord maintained the policies that Landlord is required to maintain under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of this Lease;</w:t>
      </w:r>
    </w:p>
    <w:p>
      <w:pPr>
        <w:spacing w:after="0" w:line="193" w:lineRule="exact"/>
        <w:rPr>
          <w:rFonts w:ascii="Times New Roman" w:cs="Times New Roman" w:eastAsia="Times New Roman" w:hAnsi="Times New Roman"/>
          <w:sz w:val="20"/>
          <w:szCs w:val="20"/>
          <w:color w:val="auto"/>
        </w:rPr>
      </w:pPr>
    </w:p>
    <w:p>
      <w:pPr>
        <w:jc w:val="both"/>
        <w:ind w:right="20" w:firstLine="3003"/>
        <w:spacing w:after="0" w:line="254" w:lineRule="auto"/>
        <w:tabs>
          <w:tab w:leader="none" w:pos="339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for alterations, improvements or replacements required to comply with Applicable Laws in effect and enforced against Landlord as of the Phase I Commencement Date, to the extent such costs relate to conditions existing as of the Phase I Commencement Date;</w:t>
      </w:r>
    </w:p>
    <w:p>
      <w:pPr>
        <w:spacing w:after="0" w:line="17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repairs or other work paid for through warranty or condemnation proceeds;</w:t>
      </w:r>
    </w:p>
    <w:p>
      <w:pPr>
        <w:spacing w:after="0" w:line="215" w:lineRule="exact"/>
        <w:rPr>
          <w:rFonts w:ascii="Times New Roman" w:cs="Times New Roman" w:eastAsia="Times New Roman" w:hAnsi="Times New Roman"/>
          <w:sz w:val="20"/>
          <w:szCs w:val="20"/>
          <w:color w:val="auto"/>
        </w:rPr>
      </w:pPr>
    </w:p>
    <w:p>
      <w:pPr>
        <w:ind w:right="20" w:firstLine="3003"/>
        <w:spacing w:after="0" w:line="269" w:lineRule="auto"/>
        <w:tabs>
          <w:tab w:leader="none" w:pos="339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fines, expenses, penalties, and interest, incurred due to violation by Landlord or any other tenant or occupant of the Project of the terms of any lease or occupancy agreement, ground lease, Mortgage, or Underlying Documents;</w:t>
      </w:r>
    </w:p>
    <w:p>
      <w:pPr>
        <w:spacing w:after="0" w:line="159" w:lineRule="exact"/>
        <w:rPr>
          <w:rFonts w:ascii="Times New Roman" w:cs="Times New Roman" w:eastAsia="Times New Roman" w:hAnsi="Times New Roman"/>
          <w:sz w:val="20"/>
          <w:szCs w:val="20"/>
          <w:color w:val="auto"/>
        </w:rPr>
      </w:pPr>
    </w:p>
    <w:p>
      <w:pPr>
        <w:jc w:val="both"/>
        <w:ind w:right="20" w:firstLine="3003"/>
        <w:spacing w:after="0" w:line="254" w:lineRule="auto"/>
        <w:tabs>
          <w:tab w:leader="none" w:pos="339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brokerage commissions, attorneys' and accountants' fees related thereto, loan brokerage fees, closing costs, interest charges and other similar costs incurred in connection with the sale, refinancing, mortgaging, or selling, or change of ownership of the Project;</w:t>
      </w:r>
    </w:p>
    <w:p>
      <w:pPr>
        <w:spacing w:after="0" w:line="174" w:lineRule="exact"/>
        <w:rPr>
          <w:rFonts w:ascii="Times New Roman" w:cs="Times New Roman" w:eastAsia="Times New Roman" w:hAnsi="Times New Roman"/>
          <w:sz w:val="20"/>
          <w:szCs w:val="20"/>
          <w:color w:val="auto"/>
        </w:rPr>
      </w:pPr>
    </w:p>
    <w:p>
      <w:pPr>
        <w:ind w:right="20" w:firstLine="3003"/>
        <w:spacing w:after="0" w:line="269" w:lineRule="auto"/>
        <w:tabs>
          <w:tab w:leader="none" w:pos="339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costs incurred by Landlord in connection with any dispute relating to the Landlord's title to or ownership of the Project or any portion thereof;</w:t>
      </w:r>
    </w:p>
    <w:p>
      <w:pPr>
        <w:spacing w:after="0" w:line="159"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to political or charitable organizations;</w:t>
      </w:r>
    </w:p>
    <w:p>
      <w:pPr>
        <w:spacing w:after="0" w:line="216" w:lineRule="exact"/>
        <w:rPr>
          <w:sz w:val="20"/>
          <w:szCs w:val="20"/>
          <w:color w:val="auto"/>
        </w:rPr>
      </w:pPr>
    </w:p>
    <w:p>
      <w:pPr>
        <w:ind w:left="3400" w:hanging="397"/>
        <w:spacing w:after="0"/>
        <w:tabs>
          <w:tab w:leader="none" w:pos="34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 connection with services or other benefits which are not offered to Tenant or for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Tenant is charged directly but which are provided to another tenant or occupant of the Project; and</w:t>
      </w:r>
    </w:p>
    <w:p>
      <w:pPr>
        <w:spacing w:after="0" w:line="193"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earthquake deductibles in excess of $2.00 per rentable square foot of the Building in any Expense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w:t>
      </w:r>
    </w:p>
    <w:p>
      <w:pPr>
        <w:spacing w:after="0" w:line="19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100% occupied during all or a portion of any Expense Year, Landlord may elect to make an appropriate, equitable and reasonable adjustment to the variable components of Operating Expenses (i.e., only the Operating Expenses that vary by occupancy) for such Expense Year to determine the amount of Operating Expenses that would have been incurred had the Project been 100% occupied; and the amount so reasonably determined shall be deemed to have been the amount of Operating Expenses for such Expense Year. Except for the management fee permitted pursuant to </w:t>
      </w:r>
      <w:r>
        <w:rPr>
          <w:rFonts w:ascii="Times New Roman" w:cs="Times New Roman" w:eastAsia="Times New Roman" w:hAnsi="Times New Roman"/>
          <w:sz w:val="20"/>
          <w:szCs w:val="20"/>
          <w:u w:val="single" w:color="auto"/>
          <w:color w:val="auto"/>
        </w:rPr>
        <w:t>Section 4.2.3</w:t>
      </w:r>
      <w:r>
        <w:rPr>
          <w:rFonts w:ascii="Times New Roman" w:cs="Times New Roman" w:eastAsia="Times New Roman" w:hAnsi="Times New Roman"/>
          <w:sz w:val="20"/>
          <w:szCs w:val="20"/>
          <w:color w:val="auto"/>
        </w:rPr>
        <w:t xml:space="preserve"> above, Landlord shall not (i) make a profit by charging items to Operating Expenses that are otherwise also charged separately to others and (ii) subject to Landlord's right to adjust the variable components of Operating Expenses expressly described above in this paragraph, collect Operating Expenses from Tenant and all other tenants in the Building in an amount in excess of what Landlord incurs for the items included in Operating Expenses.</w:t>
      </w:r>
    </w:p>
    <w:p>
      <w:pPr>
        <w:spacing w:after="0" w:line="183"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4.2.4</w:t>
      </w:r>
      <w:r>
        <w:rPr>
          <w:sz w:val="20"/>
          <w:szCs w:val="20"/>
          <w:color w:val="auto"/>
        </w:rPr>
        <w:tab/>
      </w:r>
      <w:r>
        <w:rPr>
          <w:rFonts w:ascii="Times New Roman" w:cs="Times New Roman" w:eastAsia="Times New Roman" w:hAnsi="Times New Roman"/>
          <w:sz w:val="19"/>
          <w:szCs w:val="19"/>
          <w:b w:val="1"/>
          <w:bCs w:val="1"/>
          <w:u w:val="single" w:color="auto"/>
          <w:color w:val="auto"/>
        </w:rPr>
        <w:t>Tax Expenses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20"/>
          <w:szCs w:val="20"/>
          <w:color w:val="auto"/>
        </w:rPr>
        <w:t xml:space="preserve">4.2.4.1 </w:t>
      </w:r>
      <w:r>
        <w:rPr>
          <w:rFonts w:ascii="Times New Roman" w:cs="Times New Roman" w:eastAsia="Times New Roman" w:hAnsi="Times New Roman"/>
          <w:sz w:val="20"/>
          <w:szCs w:val="20"/>
          <w:b w:val="1"/>
          <w:bCs w:val="1"/>
          <w:u w:val="single" w:color="auto"/>
          <w:color w:val="auto"/>
        </w:rPr>
        <w:t>Inclusions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Tax Expenses</w:t>
      </w:r>
      <w:r>
        <w:rPr>
          <w:rFonts w:ascii="Times New Roman" w:cs="Times New Roman" w:eastAsia="Times New Roman" w:hAnsi="Times New Roman"/>
          <w:sz w:val="20"/>
          <w:szCs w:val="20"/>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 including,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-14-</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501" w:gutter="0" w:footer="0" w:header="0"/>
        </w:sectPr>
      </w:pPr>
    </w:p>
    <w:bookmarkStart w:id="134" w:name="page135"/>
    <w:bookmarkEnd w:id="134"/>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California in the June 1978 election ("</w:t>
      </w:r>
      <w:r>
        <w:rPr>
          <w:rFonts w:ascii="Times New Roman" w:cs="Times New Roman" w:eastAsia="Times New Roman" w:hAnsi="Times New Roman"/>
          <w:sz w:val="20"/>
          <w:szCs w:val="20"/>
          <w:b w:val="1"/>
          <w:bCs w:val="1"/>
          <w:color w:val="auto"/>
        </w:rPr>
        <w:t>Proposition 13</w:t>
      </w:r>
      <w:r>
        <w:rPr>
          <w:rFonts w:ascii="Times New Roman" w:cs="Times New Roman" w:eastAsia="Times New Roman" w:hAnsi="Times New Roman"/>
          <w:sz w:val="20"/>
          <w:szCs w:val="20"/>
          <w:color w:val="auto"/>
        </w:rPr>
        <w:t xml:space="preserve">")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(iii) any governmental or private assessments or the Project's contribution towards a governmental or private cost-sharing agreement for the purpose of augmenting or improving the quality of services and amenities normally provided by governmental agencies; (iv)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(v) any assessment, tax, fee, levy or charge, upon this transaction or any document to which Tenant is a party, creating or transferring an interest or an estate in the Premises; and (vi) all of the real estate taxes and assessments imposed upon or with respect to the Building and all of the real estate taxes and assessments imposed on the land and improvements comprising the Project. Notwithstanding the foregoing, Tax Expenses shall not include any amounts that Landlord elects to charge to Tenant directly pursuant to </w:t>
      </w:r>
      <w:r>
        <w:rPr>
          <w:rFonts w:ascii="Times New Roman" w:cs="Times New Roman" w:eastAsia="Times New Roman" w:hAnsi="Times New Roman"/>
          <w:sz w:val="20"/>
          <w:szCs w:val="20"/>
          <w:u w:val="single" w:color="auto"/>
          <w:color w:val="auto"/>
        </w:rPr>
        <w:t>Section 4.5.3</w:t>
      </w:r>
      <w:r>
        <w:rPr>
          <w:rFonts w:ascii="Times New Roman" w:cs="Times New Roman" w:eastAsia="Times New Roman" w:hAnsi="Times New Roman"/>
          <w:sz w:val="20"/>
          <w:szCs w:val="20"/>
          <w:color w:val="auto"/>
        </w:rPr>
        <w:t xml:space="preserve"> below. If, for any tax fiscal year, the Project is not separately assessed, but is assessed jointly with other property, then Landlord shall equitably apportion such Tax Expenses for such tax fiscal year based upon allocable tax basis among the properties jointly assessed. All assessments which can be paid by Landlord in installments, shall be paid by Landlord in the maximum number of installments permitted by Applicable Laws.</w:t>
      </w:r>
    </w:p>
    <w:p>
      <w:pPr>
        <w:spacing w:after="0" w:line="193"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20"/>
          <w:szCs w:val="20"/>
          <w:color w:val="auto"/>
        </w:rPr>
        <w:t xml:space="preserve">4.2.4.2 </w:t>
      </w:r>
      <w:r>
        <w:rPr>
          <w:rFonts w:ascii="Times New Roman" w:cs="Times New Roman" w:eastAsia="Times New Roman" w:hAnsi="Times New Roman"/>
          <w:sz w:val="20"/>
          <w:szCs w:val="20"/>
          <w:b w:val="1"/>
          <w:bCs w:val="1"/>
          <w:u w:val="single" w:color="auto"/>
          <w:color w:val="auto"/>
        </w:rPr>
        <w:t>In General</w:t>
      </w:r>
      <w:r>
        <w:rPr>
          <w:rFonts w:ascii="Times New Roman" w:cs="Times New Roman" w:eastAsia="Times New Roman" w:hAnsi="Times New Roman"/>
          <w:sz w:val="20"/>
          <w:szCs w:val="20"/>
          <w:color w:val="auto"/>
        </w:rPr>
        <w:t xml:space="preserve">. Any reasonable costs and expenses (including, without limitation, reasonable attorneys' fees) incurred in attempting to protest, reduce or minimize Tax Expenses shall be included in Tax Expenses in the Expense Year such expenses are paid; provided that Landlord elects to pursue such efforts using reasonable business judgment, in good faith, and consistent with the practices of prudent landlords of Comparable Buildings. Refunds of Tax Expenses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Tax Expenses under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for such Expense Year. Subject to the last sentence in </w:t>
      </w:r>
      <w:r>
        <w:rPr>
          <w:rFonts w:ascii="Times New Roman" w:cs="Times New Roman" w:eastAsia="Times New Roman" w:hAnsi="Times New Roman"/>
          <w:sz w:val="20"/>
          <w:szCs w:val="20"/>
          <w:u w:val="single" w:color="auto"/>
          <w:color w:val="auto"/>
        </w:rPr>
        <w:t>Section 4.4.1</w:t>
      </w:r>
      <w:r>
        <w:rPr>
          <w:rFonts w:ascii="Times New Roman" w:cs="Times New Roman" w:eastAsia="Times New Roman" w:hAnsi="Times New Roman"/>
          <w:sz w:val="20"/>
          <w:szCs w:val="20"/>
          <w:color w:val="auto"/>
        </w:rPr>
        <w:t>, If Tax Expenses for any period during the Lease Term or any extension thereof are increased after payment thereof for any reason, including, without limitation, error or reassessment by applicable governmental or municipal authorities, Tenant shall pay Landlord within thirty (30) days of receipt of an invoice Tenant's Share of any such increased Tax Expenses included by Landlord as Tax Expenses pursuant to the TCCs of this Lease. Notwithstanding anything to the contrary set forth in this Lease, only Landlord may institute proceedings to reduce Tax Expenses and the filing of any such proceeding by Tenant without Landlord's consent shall constitute an Event of Default by Tenant under this Lease (subject to the applicable notice and cure period). Notwithstanding the foregoing, Landlord shall not be obligated to file any application or institute any proceeding seeking a reduction in Tax Expenses.</w:t>
      </w:r>
    </w:p>
    <w:p>
      <w:pPr>
        <w:spacing w:after="0" w:line="182"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0"/>
          <w:szCs w:val="20"/>
          <w:color w:val="auto"/>
        </w:rPr>
        <w:t xml:space="preserve">4.2.4.3 </w:t>
      </w:r>
      <w:r>
        <w:rPr>
          <w:rFonts w:ascii="Times New Roman" w:cs="Times New Roman" w:eastAsia="Times New Roman" w:hAnsi="Times New Roman"/>
          <w:sz w:val="20"/>
          <w:szCs w:val="20"/>
          <w:b w:val="1"/>
          <w:bCs w:val="1"/>
          <w:u w:val="single" w:color="auto"/>
          <w:color w:val="auto"/>
        </w:rPr>
        <w:t>Exclusions</w:t>
      </w:r>
      <w:r>
        <w:rPr>
          <w:rFonts w:ascii="Times New Roman" w:cs="Times New Roman" w:eastAsia="Times New Roman" w:hAnsi="Times New Roman"/>
          <w:sz w:val="20"/>
          <w:szCs w:val="20"/>
          <w:color w:val="auto"/>
        </w:rPr>
        <w:t xml:space="preserve">. Notwithstanding anything to the contrary contained in this Lease including </w:t>
      </w:r>
      <w:r>
        <w:rPr>
          <w:rFonts w:ascii="Times New Roman" w:cs="Times New Roman" w:eastAsia="Times New Roman" w:hAnsi="Times New Roman"/>
          <w:sz w:val="20"/>
          <w:szCs w:val="20"/>
          <w:u w:val="single" w:color="auto"/>
          <w:color w:val="auto"/>
        </w:rPr>
        <w:t>Section 4.2.4</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Section 4.2.4.2</w:t>
      </w:r>
      <w:r>
        <w:rPr>
          <w:rFonts w:ascii="Times New Roman" w:cs="Times New Roman" w:eastAsia="Times New Roman" w:hAnsi="Times New Roman"/>
          <w:sz w:val="20"/>
          <w:szCs w:val="20"/>
          <w:color w:val="auto"/>
        </w:rPr>
        <w:t xml:space="preserve"> above), there shall be excluded from Tax Expenses (i) all excess profits taxes, franchise taxes, gift taxes, capital stock taxes, inheritance and succession taxes, estate taxes, documentary transfer taxes, federal and state income taxes, corporate, capital stock or capital gains taxes and other taxes to the extent applicable to Landlord's general or net income (as opposed to rents, receipts or income attributable to operations at the Project), (ii) any items included as Operating Expenses, (iii) any items paid by Tenant under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of this Lease or otherwise paid by Tenant, and (iv) any penalties, late charges or interest due to Landlord's failure to timely pay any Tax Expenses or file any tax or informational returns when due.</w:t>
      </w:r>
    </w:p>
    <w:p>
      <w:pPr>
        <w:spacing w:after="0" w:line="17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u w:val="single" w:color="auto"/>
          <w:color w:val="auto"/>
        </w:rPr>
        <w:t>Allocation of Direct Expenses</w:t>
      </w:r>
      <w:r>
        <w:rPr>
          <w:rFonts w:ascii="Times New Roman" w:cs="Times New Roman" w:eastAsia="Times New Roman" w:hAnsi="Times New Roman"/>
          <w:sz w:val="20"/>
          <w:szCs w:val="20"/>
          <w:color w:val="auto"/>
        </w:rPr>
        <w:t>. Certain Direct Expenses for the Project should be separately allocated to different portions or occupants of the Project (the "</w:t>
      </w:r>
      <w:r>
        <w:rPr>
          <w:rFonts w:ascii="Times New Roman" w:cs="Times New Roman" w:eastAsia="Times New Roman" w:hAnsi="Times New Roman"/>
          <w:sz w:val="20"/>
          <w:szCs w:val="20"/>
          <w:b w:val="1"/>
          <w:bCs w:val="1"/>
          <w:color w:val="auto"/>
        </w:rPr>
        <w:t>Cost Pools</w:t>
      </w:r>
      <w:r>
        <w:rPr>
          <w:rFonts w:ascii="Times New Roman" w:cs="Times New Roman" w:eastAsia="Times New Roman" w:hAnsi="Times New Roman"/>
          <w:sz w:val="20"/>
          <w:szCs w:val="20"/>
          <w:color w:val="auto"/>
        </w:rPr>
        <w:t xml:space="preserve">"). Such Cost Pools may include, but shall not be limited to, the office space tenants, retail space tenants, life-science/biomedical tenants, tenants sharing Laboratory Systems, tenants leasing space within a certain Project Phase, tenants leasing storage space, and tenants with exclusive use of certain other areas of the Project. Notwithstanding anything to the contrary contained in this Lease, (i) Landlord shall equitably and reasonably allocate Direct Expenses, if and to the extent such Direct Expenses are incurred exclusively for the benefit of a specific Cost Pool; and (ii) </w:t>
      </w:r>
      <w:r>
        <w:rPr>
          <w:rFonts w:ascii="Times New Roman" w:cs="Times New Roman" w:eastAsia="Times New Roman" w:hAnsi="Times New Roman"/>
          <w:sz w:val="20"/>
          <w:szCs w:val="20"/>
          <w:color w:val="242424"/>
        </w:rPr>
        <w:t>in no event shall any portion of the Direct Expenses allocated to Tenant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424"/>
        </w:rPr>
        <w:t>include any Direct Expenses attributable to a Cost Pool that does not include the Premises</w:t>
      </w:r>
      <w:r>
        <w:rPr>
          <w:rFonts w:ascii="Times New Roman" w:cs="Times New Roman" w:eastAsia="Times New Roman" w:hAnsi="Times New Roman"/>
          <w:sz w:val="20"/>
          <w:szCs w:val="20"/>
          <w:color w:val="000000"/>
        </w:rPr>
        <w:t>. The Direct Expenses within each such Cost Pool</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color w:val="000000"/>
        </w:rPr>
        <w:t xml:space="preserve">shall be allocated and charged to the tenants within such Cost Pool in an equitable and reasonable manner. The Building is a part of a multi-building project and that the costs and expenses incurred in connection with the Project (i.e., the Direct Expenses) should be shared between the tenants and occupants of the Building and the tenants and occupants of the other buildings in the Project to the extent such costs and expenses are otherwise includable in Direct Expenses hereunder. Accordingly, as set forth in </w:t>
      </w:r>
      <w:r>
        <w:rPr>
          <w:rFonts w:ascii="Times New Roman" w:cs="Times New Roman" w:eastAsia="Times New Roman" w:hAnsi="Times New Roman"/>
          <w:sz w:val="20"/>
          <w:szCs w:val="20"/>
          <w:u w:val="single" w:color="auto"/>
          <w:color w:val="000000"/>
        </w:rPr>
        <w:t>Section 4.2</w:t>
      </w:r>
      <w:r>
        <w:rPr>
          <w:rFonts w:ascii="Times New Roman" w:cs="Times New Roman" w:eastAsia="Times New Roman" w:hAnsi="Times New Roman"/>
          <w:sz w:val="20"/>
          <w:szCs w:val="20"/>
          <w:color w:val="000000"/>
        </w:rPr>
        <w:t xml:space="preserve"> above, for any Direct Expenses that are attributable to the Project as a whole, an equitable and reasonable portion of such Project-wide Direct Expenses (as reasonably determined by Landlord on an equitable basis) shall be allocated to the tenants and occupants of the Building (as well as the tenants and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-15-</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68" w:gutter="0" w:footer="0" w:header="0"/>
        </w:sectPr>
      </w:pPr>
    </w:p>
    <w:bookmarkStart w:id="135" w:name="page136"/>
    <w:bookmarkEnd w:id="135"/>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occupants of the other buildings in the Project) and only such portion allocated to the tenants and occupants of the Building shall be included in the Direct Expenses for purposes of this Lease. For avoidance of doubt, the Direct Expenses for purposes of this Lease shall include all Direct Expenses attributable solely to the Building and an equitable and reasonable portion of the Direct Expenses attributable to the Project as a whole. Any costs (including, without limitation, any taxes, assessments, and fees) that are exclusively attributable to a particular building(s) or phase(s) within the Project which does not include the Premises shall be excluded from the definition of Direct Expenses for purposes of this Lease.</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b w:val="1"/>
          <w:bCs w:val="1"/>
          <w:u w:val="single" w:color="auto"/>
          <w:color w:val="auto"/>
        </w:rPr>
        <w:t>Calculation and Payment of Tenant's Share of Direct Expenses</w:t>
      </w:r>
      <w:r>
        <w:rPr>
          <w:rFonts w:ascii="Times New Roman" w:cs="Times New Roman" w:eastAsia="Times New Roman" w:hAnsi="Times New Roman"/>
          <w:sz w:val="20"/>
          <w:szCs w:val="20"/>
          <w:color w:val="auto"/>
        </w:rPr>
        <w:t xml:space="preserve">. Tenant shall pay to Landlord, in the manner set forth in </w:t>
      </w:r>
      <w:r>
        <w:rPr>
          <w:rFonts w:ascii="Times New Roman" w:cs="Times New Roman" w:eastAsia="Times New Roman" w:hAnsi="Times New Roman"/>
          <w:sz w:val="20"/>
          <w:szCs w:val="20"/>
          <w:u w:val="single" w:color="auto"/>
          <w:color w:val="auto"/>
        </w:rPr>
        <w:t>Section 4.4.1</w:t>
      </w:r>
      <w:r>
        <w:rPr>
          <w:rFonts w:ascii="Times New Roman" w:cs="Times New Roman" w:eastAsia="Times New Roman" w:hAnsi="Times New Roman"/>
          <w:sz w:val="20"/>
          <w:szCs w:val="20"/>
          <w:color w:val="auto"/>
        </w:rPr>
        <w:t xml:space="preserve"> below, and as Additional Rent, Tenant's Share of Direct Expenses for each Expense Year.</w:t>
      </w:r>
    </w:p>
    <w:p>
      <w:pPr>
        <w:spacing w:after="0" w:line="15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4.4.1 </w:t>
      </w:r>
      <w:r>
        <w:rPr>
          <w:rFonts w:ascii="Times New Roman" w:cs="Times New Roman" w:eastAsia="Times New Roman" w:hAnsi="Times New Roman"/>
          <w:sz w:val="20"/>
          <w:szCs w:val="20"/>
          <w:b w:val="1"/>
          <w:bCs w:val="1"/>
          <w:u w:val="single" w:color="auto"/>
          <w:color w:val="auto"/>
        </w:rPr>
        <w:t>Statement of Actual Direct Expenses and Payment by Tenant</w:t>
      </w:r>
      <w:r>
        <w:rPr>
          <w:rFonts w:ascii="Times New Roman" w:cs="Times New Roman" w:eastAsia="Times New Roman" w:hAnsi="Times New Roman"/>
          <w:sz w:val="20"/>
          <w:szCs w:val="20"/>
          <w:color w:val="auto"/>
        </w:rPr>
        <w:t>. Landlord shall give to Tenant following the end of each Expense Year, a statement (the "</w:t>
      </w:r>
      <w:r>
        <w:rPr>
          <w:rFonts w:ascii="Times New Roman" w:cs="Times New Roman" w:eastAsia="Times New Roman" w:hAnsi="Times New Roman"/>
          <w:sz w:val="20"/>
          <w:szCs w:val="20"/>
          <w:b w:val="1"/>
          <w:bCs w:val="1"/>
          <w:color w:val="auto"/>
        </w:rPr>
        <w:t>Statement</w:t>
      </w:r>
      <w:r>
        <w:rPr>
          <w:rFonts w:ascii="Times New Roman" w:cs="Times New Roman" w:eastAsia="Times New Roman" w:hAnsi="Times New Roman"/>
          <w:sz w:val="20"/>
          <w:szCs w:val="20"/>
          <w:color w:val="auto"/>
        </w:rPr>
        <w:t xml:space="preserve">") which shall state in general major categories the Direct Expenses incurred or accrued for such preceding Expense Year, and which shall indicate the amount of Tenant's Share of Direct Expenses. Landlord shall deliver such Statement to Tenant on or before May 1 following the end of the Expense Year to which such Statement relates. Upon receipt of the Statement for each Expense Year commencing or ending during the Lease Term, Tenant shall pay, within thirty (30) days after receipt of the Statement, the full amount of Tenant's Share of Direct Expenses for such Expense Year, less the amounts, if any, paid during such Expense Year as Estimated Direct Expenses, as defined in </w:t>
      </w:r>
      <w:r>
        <w:rPr>
          <w:rFonts w:ascii="Times New Roman" w:cs="Times New Roman" w:eastAsia="Times New Roman" w:hAnsi="Times New Roman"/>
          <w:sz w:val="20"/>
          <w:szCs w:val="20"/>
          <w:u w:val="single" w:color="auto"/>
          <w:color w:val="auto"/>
        </w:rPr>
        <w:t>Section 4.4.2</w:t>
      </w:r>
      <w:r>
        <w:rPr>
          <w:rFonts w:ascii="Times New Roman" w:cs="Times New Roman" w:eastAsia="Times New Roman" w:hAnsi="Times New Roman"/>
          <w:sz w:val="20"/>
          <w:szCs w:val="20"/>
          <w:color w:val="auto"/>
        </w:rPr>
        <w:t xml:space="preserve"> below, and if Tenant paid more as Estimated Direct Expenses than the actual Tenant's Share of Direct Expenses (an "</w:t>
      </w:r>
      <w:r>
        <w:rPr>
          <w:rFonts w:ascii="Times New Roman" w:cs="Times New Roman" w:eastAsia="Times New Roman" w:hAnsi="Times New Roman"/>
          <w:sz w:val="20"/>
          <w:szCs w:val="20"/>
          <w:b w:val="1"/>
          <w:bCs w:val="1"/>
          <w:color w:val="auto"/>
        </w:rPr>
        <w:t>Excess</w:t>
      </w:r>
      <w:r>
        <w:rPr>
          <w:rFonts w:ascii="Times New Roman" w:cs="Times New Roman" w:eastAsia="Times New Roman" w:hAnsi="Times New Roman"/>
          <w:sz w:val="20"/>
          <w:szCs w:val="20"/>
          <w:color w:val="auto"/>
        </w:rPr>
        <w:t xml:space="preserve">"), Tenant shall receive a credit in the amount of such Excess against Rent next due under this Lease (or such Excess shall be paid to Tenant within thirty (30) days of delivery of the Statement if the Lease Term has ended). The failure of Landlord to timely furnish the Statement for any Expense Year shall not prejudice Landlord (provided that in the event that such failure continues for a period of thirty (30) days following receipt of notice from Tenant, Tenant may elect to seek specific performance) or Tenant from enforcing its rights under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Even though the Lease Term has expired and Tenant has vacated the Premises, when the final determination is made of Tenant's Share of Direct Expenses for the Expense Year in which this Lease terminates, if Tenant's Share of Direct Expenses is greater than the amount of Estimated Direct Expenses previously paid by Tenant to Landlord, Tenant shall, within thirty (30) days after receipt of the Statement, pay to Landlord such amount, and if Tenant paid more as Estimated Direct Expenses than the actual Tenant's Share of Direct Expenses (again, an Excess), Landlord shall, within thirty (30) days, deliver a check payable to Tenant in the amount of such Excess. The provisions of this </w:t>
      </w:r>
      <w:r>
        <w:rPr>
          <w:rFonts w:ascii="Times New Roman" w:cs="Times New Roman" w:eastAsia="Times New Roman" w:hAnsi="Times New Roman"/>
          <w:sz w:val="20"/>
          <w:szCs w:val="20"/>
          <w:u w:val="single" w:color="auto"/>
          <w:color w:val="auto"/>
        </w:rPr>
        <w:t>Section 4.4.1</w:t>
      </w:r>
      <w:r>
        <w:rPr>
          <w:rFonts w:ascii="Times New Roman" w:cs="Times New Roman" w:eastAsia="Times New Roman" w:hAnsi="Times New Roman"/>
          <w:sz w:val="20"/>
          <w:szCs w:val="20"/>
          <w:color w:val="auto"/>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one (1) calendar year after the earlier of the expiration of the applicable Expense Year or the Lease Expiration Date, provided that in any event Tenant shall be responsible for Tenant's Share of Direct Expenses which (x) were levied by any governmental authority or by any public utility companies, and (y) Landlord had not previously received an invoice therefor and which are currently due and owing at any time following such one (1) year period which are attributable to any Expense Year.</w:t>
      </w:r>
    </w:p>
    <w:p>
      <w:pPr>
        <w:spacing w:after="0" w:line="183"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4.4.2 </w:t>
      </w:r>
      <w:r>
        <w:rPr>
          <w:rFonts w:ascii="Times New Roman" w:cs="Times New Roman" w:eastAsia="Times New Roman" w:hAnsi="Times New Roman"/>
          <w:sz w:val="20"/>
          <w:szCs w:val="20"/>
          <w:b w:val="1"/>
          <w:bCs w:val="1"/>
          <w:u w:val="single" w:color="auto"/>
          <w:color w:val="auto"/>
        </w:rPr>
        <w:t>Statement of Estimated Direct Expenses</w:t>
      </w:r>
      <w:r>
        <w:rPr>
          <w:rFonts w:ascii="Times New Roman" w:cs="Times New Roman" w:eastAsia="Times New Roman" w:hAnsi="Times New Roman"/>
          <w:sz w:val="20"/>
          <w:szCs w:val="20"/>
          <w:color w:val="auto"/>
        </w:rPr>
        <w:t>. In addition, on or before March 1 of each Expense Year of the Lease Term, Landlord shall give Tenant a yearly expense estimate statement (the "</w:t>
      </w:r>
      <w:r>
        <w:rPr>
          <w:rFonts w:ascii="Times New Roman" w:cs="Times New Roman" w:eastAsia="Times New Roman" w:hAnsi="Times New Roman"/>
          <w:sz w:val="20"/>
          <w:szCs w:val="20"/>
          <w:b w:val="1"/>
          <w:bCs w:val="1"/>
          <w:color w:val="auto"/>
        </w:rPr>
        <w:t>Estimate Statement</w:t>
      </w:r>
      <w:r>
        <w:rPr>
          <w:rFonts w:ascii="Times New Roman" w:cs="Times New Roman" w:eastAsia="Times New Roman" w:hAnsi="Times New Roman"/>
          <w:sz w:val="20"/>
          <w:szCs w:val="20"/>
          <w:color w:val="auto"/>
        </w:rPr>
        <w:t>") for such Expense Year which shall set forth in general major categories Landlord's reasonable estimate (the "</w:t>
      </w:r>
      <w:r>
        <w:rPr>
          <w:rFonts w:ascii="Times New Roman" w:cs="Times New Roman" w:eastAsia="Times New Roman" w:hAnsi="Times New Roman"/>
          <w:sz w:val="20"/>
          <w:szCs w:val="20"/>
          <w:b w:val="1"/>
          <w:bCs w:val="1"/>
          <w:color w:val="auto"/>
        </w:rPr>
        <w:t>Estimate</w:t>
      </w:r>
      <w:r>
        <w:rPr>
          <w:rFonts w:ascii="Times New Roman" w:cs="Times New Roman" w:eastAsia="Times New Roman" w:hAnsi="Times New Roman"/>
          <w:sz w:val="20"/>
          <w:szCs w:val="20"/>
          <w:color w:val="auto"/>
        </w:rPr>
        <w:t>") of what the total amount of Direct Expenses for the then-current Expense Year shall be and the estimated Tenant's Share of Direct Expenses (the "</w:t>
      </w:r>
      <w:r>
        <w:rPr>
          <w:rFonts w:ascii="Times New Roman" w:cs="Times New Roman" w:eastAsia="Times New Roman" w:hAnsi="Times New Roman"/>
          <w:sz w:val="20"/>
          <w:szCs w:val="20"/>
          <w:b w:val="1"/>
          <w:bCs w:val="1"/>
          <w:color w:val="auto"/>
        </w:rPr>
        <w:t>Estimated Direct Expenses</w:t>
      </w:r>
      <w:r>
        <w:rPr>
          <w:rFonts w:ascii="Times New Roman" w:cs="Times New Roman" w:eastAsia="Times New Roman" w:hAnsi="Times New Roman"/>
          <w:sz w:val="20"/>
          <w:szCs w:val="20"/>
          <w:color w:val="auto"/>
        </w:rPr>
        <w:t xml:space="preserve">"). The failure of Landlord to timely furnish the Estimate Statement for any Expense Year shall not preclude Landlord from enforcing its rights to collect any Estimated Direct Expenses under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(provided that in the event that such failure continues for a period of thirty (30) days following receipt of notice from Tenant, Tenant may elect to seek specific performance), nor shall Landlord be prohibited from revising any Estimate Statement or Estimated Direct Expenses theretofore delivered to the extent necessary; provided that Landlord may not revise the Estimate Statement more than once in any Expense Year. Thereafter, Tenant shall pay, within thirty (30) days after receipt of the Estimate Statement, a fraction of the Estimated Direct Expenses for the then-current Expense Year (reduced by any amounts paid pursuant to the second to last sentence of this </w:t>
      </w:r>
      <w:r>
        <w:rPr>
          <w:rFonts w:ascii="Times New Roman" w:cs="Times New Roman" w:eastAsia="Times New Roman" w:hAnsi="Times New Roman"/>
          <w:sz w:val="20"/>
          <w:szCs w:val="20"/>
          <w:u w:val="single" w:color="auto"/>
          <w:color w:val="auto"/>
        </w:rPr>
        <w:t>Section 4.4.2</w:t>
      </w:r>
      <w:r>
        <w:rPr>
          <w:rFonts w:ascii="Times New Roman" w:cs="Times New Roman" w:eastAsia="Times New Roman" w:hAnsi="Times New Roman"/>
          <w:sz w:val="20"/>
          <w:szCs w:val="20"/>
          <w:color w:val="auto"/>
        </w:rPr>
        <w:t>). Such fraction shall have as its numerator the number of months which have elapsed in such current Expense Year, including the month of such payment, and twelve (12) as its denominator. Until a new Estimate Statement is furnished, Tenant shall pay monthly, with the monthly Base Rent installments, an amount equal to one-twelfth (1/12) of the total Estimated Direct Expenses set forth in the previous Estimate Statement delivered by Landlord to Tenant. Throughout the Lease Term Landlord shall maintain books and records with respect to Direct Expenses in accordance with sound real estate management and accounting practices, consistently applied.</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b w:val="1"/>
          <w:bCs w:val="1"/>
          <w:u w:val="single" w:color="auto"/>
          <w:color w:val="auto"/>
        </w:rPr>
        <w:t>Taxes and Other Charges for Which Tenant Is Directly Responsible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20" w:firstLine="1497"/>
        <w:spacing w:after="0" w:line="269" w:lineRule="auto"/>
        <w:rPr>
          <w:sz w:val="20"/>
          <w:szCs w:val="20"/>
          <w:color w:val="auto"/>
        </w:rPr>
      </w:pPr>
      <w:r>
        <w:rPr>
          <w:rFonts w:ascii="Times New Roman" w:cs="Times New Roman" w:eastAsia="Times New Roman" w:hAnsi="Times New Roman"/>
          <w:sz w:val="20"/>
          <w:szCs w:val="20"/>
          <w:color w:val="auto"/>
        </w:rPr>
        <w:t>4.5.1 Tenant shall be liable for and shall pay, on or before the applicable due date, all taxes levied against Tenant's equipment, furniture, fixtures and any other personal property located in or</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-16-</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36" w:gutter="0" w:footer="0" w:header="0"/>
        </w:sectPr>
      </w:pPr>
    </w:p>
    <w:bookmarkStart w:id="136" w:name="page137"/>
    <w:bookmarkEnd w:id="136"/>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about the Project.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within thirty (30) days after receipt of invoice from Landlord, repay to Landlord the taxes so levied against Landlord or the proportion of such taxes resulting from such increase in the assessment, as the case may be.</w:t>
      </w:r>
    </w:p>
    <w:p>
      <w:pPr>
        <w:spacing w:after="0" w:line="18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4.5.2 If any Alterations installed by or on behalf of Tenant (as opposed to the Improvements), whether or not affixed to the real property so as to become a part thereof, are assessed for real property tax purposes at a valuation higher than the valuation at which improvements conforming to Landlord's "building standard"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Times New Roman" w:cs="Times New Roman" w:eastAsia="Times New Roman" w:hAnsi="Times New Roman"/>
          <w:sz w:val="20"/>
          <w:szCs w:val="20"/>
          <w:u w:val="single" w:color="auto"/>
          <w:color w:val="auto"/>
        </w:rPr>
        <w:t>Section 4.5.1</w:t>
      </w:r>
      <w:r>
        <w:rPr>
          <w:rFonts w:ascii="Times New Roman" w:cs="Times New Roman" w:eastAsia="Times New Roman" w:hAnsi="Times New Roman"/>
          <w:sz w:val="20"/>
          <w:szCs w:val="20"/>
          <w:color w:val="auto"/>
        </w:rPr>
        <w:t xml:space="preserve"> above; provided, however, that the above "building standard" charges payable by Tenant as set forth herein shall only be due to the extent Landlord charges all other tenants and occupants of the Project for overstandard tenant improvements (to the extent such charges are applicable) and any excess assessed valuation resulting from improvements by other tenants and occupants in the Project will be deemed taxes levied against the personal property of such tenants and occupants, and excluded from Direct Expenses.</w:t>
      </w:r>
    </w:p>
    <w:p>
      <w:pPr>
        <w:spacing w:after="0" w:line="18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4.5.3 Notwithstanding any contrary provision herein, Landlord shall have the right to charge Tenant directly, and in such event Tenant shall pay to Landlord prior to delinquency (but in no event prior to thirty (30) days after Tenant's receipt of an invoice thereof from Landlord), as Additional Rent, any or all of the following: (i) rent tax or sales tax, gross receipts tax, service tax, transfer tax or value added tax, and/or any other applicable tax on the rent or services herein or otherwise respecting this Lease, (ii) any taxes assessed upon or with respect to the possession, leasing, operation, management, maintenance, alteration, repair, use or occupancy by Tenant of the Premises, including, but not limited to, taxes or assessments due to any type of ballot measure, including an initiative adopted by the voters or a local agency, or a state or municipal proposition approved by the voters; and (iii) taxes assessed upon this transaction or any document to which Tenant is a party creating or transferring an interest or an estate in the Premises. To the extent that Landlord elects to charge Tenant directly for any of the foregoing or to the extent Tenant otherwise pays for any of the foregoing, then such items shall not be included in Direct Expenses.</w:t>
      </w:r>
    </w:p>
    <w:p>
      <w:pPr>
        <w:spacing w:after="0" w:line="192"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4.5.4 With at least thirty (30) days prior written notice, Landlord may charge Tenant the estimated amount of taxes and other charges for which Tenant is directly responsible pursuant to this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on a monthly basis, provided that Landlord shall reconcile the amount actually paid by Tenant with the amount that Tenant should have paid, as part of Landlord's Statement following the end of each Expense Year.</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u w:val="single" w:color="auto"/>
          <w:color w:val="auto"/>
        </w:rPr>
        <w:t>4.6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Landlord's Records</w:t>
      </w:r>
      <w:r>
        <w:rPr>
          <w:rFonts w:ascii="Times New Roman" w:cs="Times New Roman" w:eastAsia="Times New Roman" w:hAnsi="Times New Roman"/>
          <w:sz w:val="20"/>
          <w:szCs w:val="20"/>
          <w:color w:val="auto"/>
        </w:rPr>
        <w:t>. Landlord shall maintain complete and accurate books and records of Direct Expenses in accordance with sound real estate management and accounting practices, consistently applied throughout the Lease Term. Upon Tenant's written request given not more than one hundred eighty (180) days after Tenant's receipt of a Statement for a particular Expense Year, and provided that no Event of Default is then occurring under this Lease, Landlord shall furnish Tenant with such reasonable supporting documentation as Tenant may reasonably request in connection with the calculation of Direct Expenses as set forth in such Statement or calculation of any other Additional Rent set forth in any invoice (to the extent Landlord has such supporting documentation within its reasonable control, and to the extent such supporting documentation is reasonably required to substantiate Direct Expenses or Additional Rent charged to Tenant). Landlord shall provide said documentation to Tenant within forty-five (45) days after Tenant's written request therefor. Within three hundred sixty-five (365) days after Tenant's receipt of a Statement for a particular Expense Year (the "</w:t>
      </w:r>
      <w:r>
        <w:rPr>
          <w:rFonts w:ascii="Times New Roman" w:cs="Times New Roman" w:eastAsia="Times New Roman" w:hAnsi="Times New Roman"/>
          <w:sz w:val="20"/>
          <w:szCs w:val="20"/>
          <w:b w:val="1"/>
          <w:bCs w:val="1"/>
          <w:color w:val="auto"/>
        </w:rPr>
        <w:t>Audit Period</w:t>
      </w:r>
      <w:r>
        <w:rPr>
          <w:rFonts w:ascii="Times New Roman" w:cs="Times New Roman" w:eastAsia="Times New Roman" w:hAnsi="Times New Roman"/>
          <w:sz w:val="20"/>
          <w:szCs w:val="20"/>
          <w:color w:val="auto"/>
        </w:rPr>
        <w:t>"), if Tenant disputes the calculation of Direct Expenses set forth in such Statement, an independent certified public accountant designated and paid for by Tenant ("</w:t>
      </w:r>
      <w:r>
        <w:rPr>
          <w:rFonts w:ascii="Times New Roman" w:cs="Times New Roman" w:eastAsia="Times New Roman" w:hAnsi="Times New Roman"/>
          <w:sz w:val="20"/>
          <w:szCs w:val="20"/>
          <w:b w:val="1"/>
          <w:bCs w:val="1"/>
          <w:color w:val="auto"/>
        </w:rPr>
        <w:t>Tenant's Accountant</w:t>
      </w:r>
      <w:r>
        <w:rPr>
          <w:rFonts w:ascii="Times New Roman" w:cs="Times New Roman" w:eastAsia="Times New Roman" w:hAnsi="Times New Roman"/>
          <w:sz w:val="20"/>
          <w:szCs w:val="20"/>
          <w:color w:val="auto"/>
        </w:rPr>
        <w:t>"), may after reasonable notice to Landlord and at reasonable times, audit Landlord's records with respect to the Statement, provided that (i) no Event of Default is then occurring under this Lease, and (ii) Tenant has paid all amounts required to be paid under the applicable Estimate Statement and Statement (provided that Tenant may pay such amounts under protest). Tenant's Accountant (as an individual, as distinguished from the employer) must (A) be a member of a nationally or regionally recognized certified public accounting firm which has previous experience in auditing financial operating records of landlords of comparable projects, (B) not already be providing accounting and/or lease administration services to Tenant or Landlord and shall not have provided accounting and/or lease administration services to Tenant or Landlord in the past three (3) years, (C) not be retained on a contingency fee basis (i.e., Tenant must be billed based on the actual time and materials that are incurred by Tenant's Accountant in the performance of the audit), and (D) to Tenant's actual knowledge, not currently or within the previous twenty-four (24) month period be providing accounting and/or lease administration services to another tenant in the Project in connection with a review or audit by such other tenant of Direct Expenses at the Project. In connection with such audit, Tenant and Tenant's Accountant must agree in</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-17-</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52" w:gutter="0" w:footer="0" w:header="0"/>
        </w:sectPr>
      </w:pPr>
    </w:p>
    <w:bookmarkStart w:id="137" w:name="page138"/>
    <w:bookmarkEnd w:id="137"/>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advance to follow Landlord's reasonable rules and procedures regarding an audit of the aforementioned Landlord records, and shall execute a commercially reasonable confidentiality agreement regarding such audit. Any audit report prepared by Tenant's Accountant shall be delivered to Landlord promptly after Tenant's receipt of such audit report. Tenant's failure to audit the Direct Expenses set forth in any Statement within the Audit Period shall be deemed to be Tenant's approval of such Statement and Tenant, thereafter, waives the right or ability to audit the amounts set forth in such Statement. Unless Landlord in good faith disputes the results of such audit, if such audit reflects that Tenant has overpaid Tenant's Share of Direct Expenses for the period in question, then Landlord shall credit such excess to Tenant's next payment of Rent (or shall refund such amount if the Lease has expired or terminated within thirty (30) days after the audit report prepared by Tenant's Accountant has been delivered to Landlord), and if such audit reflects that Tenant has underpaid Tenant's Share of Direct Expenses, Tenant shall promptly pay such additional Tenant's Share of Direct Expenses to Landlord within thirty (30) days after receipt of the audit report prepared by Tenant's Accountant. If such audit by Tenant's Accountant proves that the Direct Expenses in the subject Expense Year were overstated by more than five percent (5%), and Landlord has elected not to require an audit by a Neutral Accountant (as defined below), then the cost of Tenant's Accountant shall be paid for by Landlord unless Landlord in good faith disputes the results of such audit. If after such audit, Landlord in good faith disputes the results of the audit report prepared by Tenant's Accountant, an audit to determine the proper amount shall be made by an independent certified public accountant (the "</w:t>
      </w:r>
      <w:r>
        <w:rPr>
          <w:rFonts w:ascii="Times New Roman" w:cs="Times New Roman" w:eastAsia="Times New Roman" w:hAnsi="Times New Roman"/>
          <w:sz w:val="20"/>
          <w:szCs w:val="20"/>
          <w:b w:val="1"/>
          <w:bCs w:val="1"/>
          <w:color w:val="auto"/>
        </w:rPr>
        <w:t>Neutral Accountant</w:t>
      </w:r>
      <w:r>
        <w:rPr>
          <w:rFonts w:ascii="Times New Roman" w:cs="Times New Roman" w:eastAsia="Times New Roman" w:hAnsi="Times New Roman"/>
          <w:sz w:val="20"/>
          <w:szCs w:val="20"/>
          <w:color w:val="auto"/>
        </w:rPr>
        <w:t xml:space="preserve">") mutually selected by Landlord and Tenant, and Landlord and Tenant shall each pay fifty percent (50%) of the cost of the Neutral Accountant; provided that if such audit by the Neutral Accountant proves that the Direct Expenses in the subject Expense Year were overstated by more than five percent (5%), then one hundred percent (100%) of the cost of the Neutral Accountant and 100% of the out-of-pocket cost of Tenant's Accountant shall be promptly paid for by Landlord. If such audit by the Neutral Accountant reflects that Tenant has overpaid Tenant's Share of Direct Expenses for the period in question, then Landlord shall credit such excess to Tenant's next payment of Rent (or shall refund such amount if the Lease has expired or terminated within thirty (30) days after the determination by the Neutral Accountant has been made) and if such audit by the Neutral Accountant reflects that Tenant has underpaid Tenant's Share of Direct Expenses, Tenant shall promptly pay such additional Tenant's Share of Direct Expenses to Landlord within thirty (30) days after receipt of the audit report prepared by the Neutral Accountant. Tenant's sole right to audit Landlord's records and to contest the amount of Direct Expenses with respect to any Expense Year shall be as expressly set forth in this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Tenant's audit rights expressly include the right to review and verify Landlord's calculation methodology and allocations related to Tenant's Share of Direct Expenses, including Landlord's allocation of costs applicable to the Building, Phase and/or Project, and cost pool allocations.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USE OF PREMISES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u w:val="single" w:color="auto"/>
          <w:color w:val="auto"/>
        </w:rPr>
        <w:t>Permitted Use</w:t>
      </w:r>
      <w:r>
        <w:rPr>
          <w:rFonts w:ascii="Times New Roman" w:cs="Times New Roman" w:eastAsia="Times New Roman" w:hAnsi="Times New Roman"/>
          <w:sz w:val="20"/>
          <w:szCs w:val="20"/>
          <w:color w:val="auto"/>
        </w:rPr>
        <w:t xml:space="preserve">. Tenant shall use the Premises solely for the Permitted Use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the Summary and Tenant shall not use or permit the Premises or the Project to be used for any other purpose or purposes whatsoever without the prior written consent of Landlord, which may be withheld in Landlord's sole and absolute discretion. Tenant shall comply with, the reasonable rules and regulations for the Project promulgated by Landlord from time to time ("</w:t>
      </w:r>
      <w:r>
        <w:rPr>
          <w:rFonts w:ascii="Times New Roman" w:cs="Times New Roman" w:eastAsia="Times New Roman" w:hAnsi="Times New Roman"/>
          <w:sz w:val="20"/>
          <w:szCs w:val="20"/>
          <w:b w:val="1"/>
          <w:bCs w:val="1"/>
          <w:color w:val="auto"/>
        </w:rPr>
        <w:t>Rules and Regulations</w:t>
      </w:r>
      <w:r>
        <w:rPr>
          <w:rFonts w:ascii="Times New Roman" w:cs="Times New Roman" w:eastAsia="Times New Roman" w:hAnsi="Times New Roman"/>
          <w:sz w:val="20"/>
          <w:szCs w:val="20"/>
          <w:color w:val="auto"/>
        </w:rPr>
        <w:t xml:space="preserve">"), the current set of which (as of the Effective Date) is attached to this Lease as </w:t>
      </w:r>
      <w:r>
        <w:rPr>
          <w:rFonts w:ascii="Times New Roman" w:cs="Times New Roman" w:eastAsia="Times New Roman" w:hAnsi="Times New Roman"/>
          <w:sz w:val="20"/>
          <w:szCs w:val="20"/>
          <w:b w:val="1"/>
          <w:bCs w:val="1"/>
          <w:u w:val="single" w:color="auto"/>
          <w:color w:val="auto"/>
        </w:rPr>
        <w:t>Exhibit 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provided, no such other rules and regulations promulgated by Landlord after the Effective Date shall adversely affect Tenant's use of, or access to and from, the Premises, or materially increase any of Tenant's obligations, or materially decrease any of Tenant's rights, under this Lease. Landlord shall promulgate and enforce its Rules and Regulations in a reasonable and non-discriminatory manner and make good faith efforts to uniformly enforce its Rules and Regulations against tenants of the Project. In the event of any conflict or inconsistency between the Rules and Regulations and the remainder of the Lease, the express terms of the Lease shall control.</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u w:val="single" w:color="auto"/>
          <w:color w:val="auto"/>
        </w:rPr>
        <w:t>Prohibited Uses</w:t>
      </w:r>
      <w:r>
        <w:rPr>
          <w:rFonts w:ascii="Times New Roman" w:cs="Times New Roman" w:eastAsia="Times New Roman" w:hAnsi="Times New Roman"/>
          <w:sz w:val="20"/>
          <w:szCs w:val="20"/>
          <w:color w:val="auto"/>
        </w:rPr>
        <w:t xml:space="preserve">. The uses prohibited under this Lease shall include, without limitation, use of the Premises or a portion thereof for (i) offices of any agency or bureau of the United States or any state or political subdivision thereof; (ii) offices or agencies of any foreign governmental or political subdivision thereof; (iii) offices of any health care professionals or service organization; (iv) schools or other training facilities which are not ancillary to corporate, executive or professional office use; (v) retail or restaurant uses; (vi) communications firms such as radio and/or television stations; (vii) primary businesses that involves e-cigarettes, vaping, cannabis or other similar business models, or business that is prohibited from time to time by any documents between partners or members in the entity comprising Landlord from leasing or occupying space at the Building or Project (provided that Landlord shall deliver a list to Tenant of any such other prohibited entities or individuals from time to time within ten (10) business days of Tenant's written request); or (viii) any use that would violate Applicable Laws, zoning, building codes or any Underlying Documents (as defined in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of this Lease). Tenant shall not do or permit anything to be done in or about the Premises which will in any material way unreasonably obstruct or interfere with the rights of other tenants or occupants of the Project, nor shall Tenant cause, maintain or permit any nuisance in, on or about the Premises.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-18-</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68" w:gutter="0" w:footer="0" w:header="0"/>
        </w:sectPr>
      </w:pPr>
    </w:p>
    <w:bookmarkStart w:id="138" w:name="page139"/>
    <w:bookmarkEnd w:id="138"/>
    <w:p>
      <w:pPr>
        <w:spacing w:after="0" w:line="18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b w:val="1"/>
          <w:bCs w:val="1"/>
          <w:u w:val="single" w:color="auto"/>
          <w:color w:val="auto"/>
        </w:rPr>
        <w:t>Density</w:t>
      </w:r>
      <w:r>
        <w:rPr>
          <w:rFonts w:ascii="Times New Roman" w:cs="Times New Roman" w:eastAsia="Times New Roman" w:hAnsi="Times New Roman"/>
          <w:sz w:val="20"/>
          <w:szCs w:val="20"/>
          <w:color w:val="auto"/>
        </w:rPr>
        <w:t>. Tenant shall not use any substantial portion of the Premises for a "call center," any other telemarketing, credit processing or customer service center. Tenant shall occupy the Premises at a density in compliance with Applicable Laws. Landlord makes no representation or warranty that the Base Building, the Common Areas or the Premises will accommodate any particular density or that any particular density is permitted by Applicable Law or zoning requirements. Furthermore, Landlord shall not be obligated to make any changes to the Base Building or Common Areas to accommodate Tenant's occupancy density.</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b w:val="1"/>
          <w:bCs w:val="1"/>
          <w:u w:val="single" w:color="auto"/>
          <w:color w:val="auto"/>
        </w:rPr>
        <w:t>Underlying Documents</w:t>
      </w:r>
      <w:r>
        <w:rPr>
          <w:rFonts w:ascii="Times New Roman" w:cs="Times New Roman" w:eastAsia="Times New Roman" w:hAnsi="Times New Roman"/>
          <w:sz w:val="20"/>
          <w:szCs w:val="20"/>
          <w:color w:val="auto"/>
        </w:rPr>
        <w:t>. Subject to the last sentence of this Section 5.4, Tenant shall (i) be subject (and this Lease shall be subordinate) to all current or future (recorded and unrecorded) ground leases and master leases, development agreements, easements, licenses, operating agreements, declarations, restrictive covenants, covenants, conditions and restrictions affecting the Building or the Project (and any portion thereof), reciprocal easement agreements, parking licenses, and any agreements with transit agencies affecting the Building or the Project (all documents described in this item (i) and any additional provisions, exhibits, documents, rules and laws mentioned therein, are, collectively, "</w:t>
      </w:r>
      <w:r>
        <w:rPr>
          <w:rFonts w:ascii="Times New Roman" w:cs="Times New Roman" w:eastAsia="Times New Roman" w:hAnsi="Times New Roman"/>
          <w:sz w:val="20"/>
          <w:szCs w:val="20"/>
          <w:b w:val="1"/>
          <w:bCs w:val="1"/>
          <w:color w:val="auto"/>
        </w:rPr>
        <w:t>Underlying Documents</w:t>
      </w:r>
      <w:r>
        <w:rPr>
          <w:rFonts w:ascii="Times New Roman" w:cs="Times New Roman" w:eastAsia="Times New Roman" w:hAnsi="Times New Roman"/>
          <w:sz w:val="20"/>
          <w:szCs w:val="20"/>
          <w:color w:val="auto"/>
        </w:rPr>
        <w:t xml:space="preserve">"), including without limitation, the documents set forth on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b w:val="1"/>
          <w:bCs w:val="1"/>
          <w:color w:val="auto"/>
        </w:rPr>
        <w:t>Existing Underlying Documents</w:t>
      </w:r>
      <w:r>
        <w:rPr>
          <w:rFonts w:ascii="Times New Roman" w:cs="Times New Roman" w:eastAsia="Times New Roman" w:hAnsi="Times New Roman"/>
          <w:sz w:val="20"/>
          <w:szCs w:val="20"/>
          <w:color w:val="auto"/>
        </w:rPr>
        <w:t xml:space="preserve">"), (ii) not perform any act or omission (where Tenant has a duty to act pursuant to this Lease) that would cause Landlord to be in violation of the Underlying Documents, (iii) be responsible for any amounts payable by Landlord to the extent resulting from Tenant's failure to comply with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and (iv) within fifteen (15) business days of request by Landlord, execute such further instruments or assurances as Landlord may reasonably deem necessary in a form reasonably acceptable to Tenant to evidence or confirm the subordination of this Lease to any future Underlying Documents. Other than the Existing Underlying Documents, Landlord represents and warrants to Tenant that any Underlying Documents existing as of the Effective Date do not affect Tenant’s use or occupancy of the Premises or rights under this Lease. Landlord reserves the right to further subdivide all or a portion of the Project. Notwithstanding anything to the contrary contained herein, in no event shall any future Underlying Documents (a) materially or adversely affect Tenant's rights under this Lease, (b) adversely affect Tenant's use of or access to the Premises for the Permitted Use, or adversely affect Tenant’s use of or access to the Parking Facility or Common Areas, or (c) materially increase Tenant's obligations under this Lease (i.e., other than in a de minimis manner).</w:t>
      </w:r>
    </w:p>
    <w:p>
      <w:pPr>
        <w:spacing w:after="0" w:line="1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b w:val="1"/>
          <w:bCs w:val="1"/>
          <w:u w:val="single" w:color="auto"/>
          <w:color w:val="auto"/>
        </w:rPr>
        <w:t>Service Animals</w:t>
      </w:r>
      <w:r>
        <w:rPr>
          <w:rFonts w:ascii="Times New Roman" w:cs="Times New Roman" w:eastAsia="Times New Roman" w:hAnsi="Times New Roman"/>
          <w:sz w:val="20"/>
          <w:szCs w:val="20"/>
          <w:color w:val="auto"/>
        </w:rPr>
        <w:t>. With the exception of "service" animals (as defined by the Americans with Disabilities Act, the Fair Employment and Housing Act, and their accompanying guidelines or other Applicable Laws) ("</w:t>
      </w:r>
      <w:r>
        <w:rPr>
          <w:rFonts w:ascii="Times New Roman" w:cs="Times New Roman" w:eastAsia="Times New Roman" w:hAnsi="Times New Roman"/>
          <w:sz w:val="20"/>
          <w:szCs w:val="20"/>
          <w:b w:val="1"/>
          <w:bCs w:val="1"/>
          <w:color w:val="auto"/>
        </w:rPr>
        <w:t>Service Animals</w:t>
      </w:r>
      <w:r>
        <w:rPr>
          <w:rFonts w:ascii="Times New Roman" w:cs="Times New Roman" w:eastAsia="Times New Roman" w:hAnsi="Times New Roman"/>
          <w:sz w:val="20"/>
          <w:szCs w:val="20"/>
          <w:color w:val="auto"/>
        </w:rPr>
        <w:t>"), no animals, reptiles, birds or pets are permitted in the Premises, Building or Project at any time. Any Service Animals brought to the Premises, Building or Project must (i) be dogs or other animals that are recognized as Service Animals under Title III of the Americans with Disabilities Act, the Fair Employment and Housing Act, and their accompanying guidelines or other Applicable Laws, and (ii) be individually trained to do work, perform tasks or provide support for a person with a recognized disability. Dogs, birds, reptiles or other animals whose sole function is to provide emotional support or comfort are not permitted except to the extent required by Applicable Laws. The following terms and conditions shall apply to all Service Animals brought onto the Project by Tenant or Tenant's employees (to the extent enforceable by Applicable Laws): (a) while in or about the Premises, Building or Project, all Service Animals must be harnessed, leashed or tethered and under the handler's control at all times; (b) all Service Animals must be free from offensive odors and display habits appropriate to the work environment of the Premises, Building and Project; (c) Service Animals may not be disruptive or aggressive or engage in behavior that endangers the health and safety of others; (d) all Service Animals shall be house-trained and vaccinated in accordance with Applicable Laws; and (e) Tenant shall immediately remove any animal waste and excrement from the Premises, Building and Project. Tenant shall be responsible for any additional janitorial or cleaning costs and all other costs which may arise from the Service Animals' presence in the Project and/or the Building in excess of the costs that would have been incurred had Service Animals not been allowed in or around the Project and/or the Building.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SERVICES AND UTILITIES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u w:val="single" w:color="auto"/>
          <w:color w:val="auto"/>
        </w:rPr>
        <w:t>Services</w:t>
      </w:r>
      <w:r>
        <w:rPr>
          <w:rFonts w:ascii="Times New Roman" w:cs="Times New Roman" w:eastAsia="Times New Roman" w:hAnsi="Times New Roman"/>
          <w:sz w:val="20"/>
          <w:szCs w:val="20"/>
          <w:color w:val="auto"/>
        </w:rPr>
        <w:t xml:space="preserve">. Subject to all Applicable Laws, Landlord or Tenant, as applicable, shall each provide the following applicable services during the Lease Term in a first-class manner substantially consistent with that of Comparable Life Sciences Projects. The Building Systems have been constructed by Landlord in accordance with the specifications attached hereto as </w:t>
      </w:r>
      <w:r>
        <w:rPr>
          <w:rFonts w:ascii="Times New Roman" w:cs="Times New Roman" w:eastAsia="Times New Roman" w:hAnsi="Times New Roman"/>
          <w:sz w:val="20"/>
          <w:szCs w:val="20"/>
          <w:b w:val="1"/>
          <w:bCs w:val="1"/>
          <w:u w:val="single" w:color="auto"/>
          <w:color w:val="auto"/>
        </w:rPr>
        <w:t>Schedule 3</w:t>
      </w:r>
      <w:r>
        <w:rPr>
          <w:rFonts w:ascii="Times New Roman" w:cs="Times New Roman" w:eastAsia="Times New Roman" w:hAnsi="Times New Roman"/>
          <w:sz w:val="20"/>
          <w:szCs w:val="20"/>
          <w:color w:val="auto"/>
        </w:rPr>
        <w:t xml:space="preserve"> to the Work Letter (the "</w:t>
      </w:r>
      <w:r>
        <w:rPr>
          <w:rFonts w:ascii="Times New Roman" w:cs="Times New Roman" w:eastAsia="Times New Roman" w:hAnsi="Times New Roman"/>
          <w:sz w:val="20"/>
          <w:szCs w:val="20"/>
          <w:b w:val="1"/>
          <w:bCs w:val="1"/>
          <w:color w:val="auto"/>
        </w:rPr>
        <w:t>Base Building Specifications</w:t>
      </w:r>
      <w:r>
        <w:rPr>
          <w:rFonts w:ascii="Times New Roman" w:cs="Times New Roman" w:eastAsia="Times New Roman" w:hAnsi="Times New Roman"/>
          <w:sz w:val="20"/>
          <w:szCs w:val="20"/>
          <w:color w:val="auto"/>
        </w:rPr>
        <w:t>"). Landlord shall use commercially reasonable efforts to cause the Building Systems to perform in accordance with the Base Building Specifications. Landlord makes no representation and warranty regarding the performance of the Base Building Specifications, availability or quantity of utility service or the suitability of the same for the Permitted Use.</w:t>
      </w:r>
    </w:p>
    <w:p>
      <w:pPr>
        <w:spacing w:after="0" w:line="17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b w:val="1"/>
          <w:bCs w:val="1"/>
          <w:u w:val="single" w:color="auto"/>
          <w:color w:val="auto"/>
        </w:rPr>
        <w:t>HVAC</w:t>
      </w:r>
      <w:r>
        <w:rPr>
          <w:rFonts w:ascii="Times New Roman" w:cs="Times New Roman" w:eastAsia="Times New Roman" w:hAnsi="Times New Roman"/>
          <w:sz w:val="20"/>
          <w:szCs w:val="20"/>
          <w:color w:val="auto"/>
        </w:rPr>
        <w:t>. Subject to limitations imposed by Applicable Laws, Landlord shall provide HVAC for the Premises as reasonably contemplated in the Base Building Specifications (except as this Lease otherwise provides or as to any special requirements that arise from Tenant's particular use of</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-19-</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36" w:gutter="0" w:footer="0" w:header="0"/>
        </w:sectPr>
      </w:pPr>
    </w:p>
    <w:bookmarkStart w:id="139" w:name="page140"/>
    <w:bookmarkEnd w:id="139"/>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Premises) twenty-four (24) hours a day, every day during the Lease Term, subject to Casualty, Force Majeure, Applicable Laws, eminent domain or as otherwise specified herein. Except as otherwise provided in this Lease (including the Work Letter and the Base Building Specifications), Tenant is solely responsible for (i) data center, server rooms and any other similar areas located in the Premises beyond the standard level of cooling provided, (ii) additional cooling needed for laboratory, vivarium and research and development uses, and (iii) specialty exhaust, including, air compressor, filtration, DI water systems, vacuum systems and exhaust for H2 rooms, chemical storage rooms which require Class I, Division II classification, if any, and any other special rooms or special Tenant equipment. Tenant shall cooperate with Landlord to ensure that any vacuum system exhaust is contained to prevent re-entrainment to the HVAC system.</w:t>
      </w:r>
    </w:p>
    <w:p>
      <w:pPr>
        <w:spacing w:after="0" w:line="18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b w:val="1"/>
          <w:bCs w:val="1"/>
          <w:u w:val="single" w:color="auto"/>
          <w:color w:val="auto"/>
        </w:rPr>
        <w:t>Electricity</w:t>
      </w:r>
      <w:r>
        <w:rPr>
          <w:rFonts w:ascii="Times New Roman" w:cs="Times New Roman" w:eastAsia="Times New Roman" w:hAnsi="Times New Roman"/>
          <w:sz w:val="20"/>
          <w:szCs w:val="20"/>
          <w:color w:val="auto"/>
        </w:rPr>
        <w:t>. Landlord shall provide electrical wiring and facilities and power (including electrical wiring and facilities for connection to Tenant's fixtures and equipment), provided that the connected electrical load of Tenant's lighting fixtures and the incidental use equipment does not, in the aggregate, exceed the connected electrical loads reasonably derivable from the Base Building Specifications, but in any event subject to compliance with Applicable Laws. Notwithstanding any provision to the contrary contained in this Lease, Tenant shall pay directly to the electricity company pursuant to separate meters (or directly to Landlord in the event electricity is submetered), the actual cost of all electricity provided to and/or consumed in the Premises (including normal and excess consumption and including the cost of electricity to operate the HVAC air handlers and any lab equipment or systems). In the event the electricity is submetered, Tenant shall pay such cost to Landlord as Additional Rent under this Lease (and not as part of the Operating Expenses) within thirty (30) days of receipt of an invoice. Tenant's use of electricity shall never exceed the capacity of the feeders to the Project or the risers or wiring installation; provided, however, that such capacity shall be no less than that typically provided in Comparable Life Sciences Projects. If Landlord elects to utilize solar, wind or other alternatively generated electricity at the Project, Tenant agrees to purchase from the provider of such electricity up to 100% of Tenant's electrical requirements, as and when such electricity is produced, at the price in effect at the time of delivery; provided, however, in no event shall the price for such alternatively generated electricity exceed the total cost of comparable electric service that otherwise would have been purchased from the conventional electricity provider, and the level, reliability, capacity, and quality of such electricity service shall be comparable to the electric service that would otherwise have been provided by such conventional electricity provider.</w:t>
      </w:r>
    </w:p>
    <w:p>
      <w:pPr>
        <w:spacing w:after="0" w:line="193"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b w:val="1"/>
          <w:bCs w:val="1"/>
          <w:u w:val="single" w:color="auto"/>
          <w:color w:val="auto"/>
        </w:rPr>
        <w:t>Lighting</w:t>
      </w:r>
      <w:r>
        <w:rPr>
          <w:rFonts w:ascii="Times New Roman" w:cs="Times New Roman" w:eastAsia="Times New Roman" w:hAnsi="Times New Roman"/>
          <w:sz w:val="20"/>
          <w:szCs w:val="20"/>
          <w:color w:val="auto"/>
        </w:rPr>
        <w:t>. Landlord shall replace lamps, starters and ballasts for Building standard lighting fixtures within the Premises (if any), and drivers, transformers, and lighting controls for Building standard lighting fixtures within the Premises (if any). Notwithstanding the foregoing, Tenant shall bear the cost of replacement of all components of all non-Building standard lighting (whether LED or non-LED) within the Premises.</w:t>
      </w:r>
    </w:p>
    <w:p>
      <w:pPr>
        <w:spacing w:after="0" w:line="17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b w:val="1"/>
          <w:bCs w:val="1"/>
          <w:u w:val="single" w:color="auto"/>
          <w:color w:val="auto"/>
        </w:rPr>
        <w:t>Water</w:t>
      </w:r>
      <w:r>
        <w:rPr>
          <w:rFonts w:ascii="Times New Roman" w:cs="Times New Roman" w:eastAsia="Times New Roman" w:hAnsi="Times New Roman"/>
          <w:sz w:val="20"/>
          <w:szCs w:val="20"/>
          <w:color w:val="auto"/>
        </w:rPr>
        <w:t>. Landlord shall provide city water from the regular Building outlets for drinking, lavatory and toilet purposes in the Premises and the Common Areas. Notwithstanding any provision to the contrary contained in this Lease, Tenant shall pay directly to the water company pursuant to separate meters (or directly to Landlord in the event water is submetered), the actual cost of all water provided to and/or consumed in the Premises (including normal and excess consumption and including the cost of condenser or chiller water to operate the HVAC air handlers and water for any lab equipment or systems). In the event the water is submetered, Tenant shall pay such cost to Landlord as Additional Rent under this Lease (and not as part of the Operating Expenses) within thirty (30) days of receipt of an invoice. Prior to Tenant's occupancy of the Premises and as part of the Improvements, Landlord shall install web-enabled wireless water leak sensor devices designed to alert the Tenant on a twenty-four (24) hour seven (7) day per week basis if a water leak is occurring in the Premises (which water sensor device(s) located in the Premises shall be referred to herein as "</w:t>
      </w:r>
      <w:r>
        <w:rPr>
          <w:rFonts w:ascii="Times New Roman" w:cs="Times New Roman" w:eastAsia="Times New Roman" w:hAnsi="Times New Roman"/>
          <w:sz w:val="20"/>
          <w:szCs w:val="20"/>
          <w:b w:val="1"/>
          <w:bCs w:val="1"/>
          <w:color w:val="auto"/>
        </w:rPr>
        <w:t>Water Sensors</w:t>
      </w:r>
      <w:r>
        <w:rPr>
          <w:rFonts w:ascii="Times New Roman" w:cs="Times New Roman" w:eastAsia="Times New Roman" w:hAnsi="Times New Roman"/>
          <w:sz w:val="20"/>
          <w:szCs w:val="20"/>
          <w:color w:val="auto"/>
        </w:rPr>
        <w:t>"). After the installation of the Improvements, Tenant shall install Water Sensors in any new areas in the Premises where water is utilized (such as sinks, drainpipes, faucets, water heaters, coffee machines, ice machines, water dispensers and water fountains) that were not constructed as part of the Improvements, and in locations that may be reasonably designated from time to time by Landlord. Notwithstanding any provision to the contrary contained herein, Landlord has neither an obligation to monitor, repair or otherwise maintain the Water Sensors, nor an obligation to respond to any alerts it may receive from the Water Sensors or which may be generated from the Water Sensors.</w:t>
      </w:r>
    </w:p>
    <w:p>
      <w:pPr>
        <w:spacing w:after="0" w:line="182"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20"/>
          <w:szCs w:val="20"/>
          <w:b w:val="1"/>
          <w:bCs w:val="1"/>
          <w:u w:val="single" w:color="auto"/>
          <w:color w:val="auto"/>
        </w:rPr>
        <w:t>Natural Gas</w:t>
      </w:r>
      <w:r>
        <w:rPr>
          <w:rFonts w:ascii="Times New Roman" w:cs="Times New Roman" w:eastAsia="Times New Roman" w:hAnsi="Times New Roman"/>
          <w:sz w:val="20"/>
          <w:szCs w:val="20"/>
          <w:color w:val="auto"/>
        </w:rPr>
        <w:t>. Landlord shall provide natural gas service for Building Systems and Premises at all times during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Lease Term.</w:t>
      </w:r>
    </w:p>
    <w:p>
      <w:pPr>
        <w:spacing w:after="0" w:line="190"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b w:val="1"/>
          <w:bCs w:val="1"/>
          <w:u w:val="single" w:color="auto"/>
          <w:color w:val="auto"/>
        </w:rPr>
        <w:t>Janitorial</w:t>
      </w:r>
      <w:r>
        <w:rPr>
          <w:rFonts w:ascii="Times New Roman" w:cs="Times New Roman" w:eastAsia="Times New Roman" w:hAnsi="Times New Roman"/>
          <w:sz w:val="20"/>
          <w:szCs w:val="20"/>
          <w:color w:val="auto"/>
        </w:rPr>
        <w:t>. Tenant shall provide janitorial services to the Premises Monday through Friday, except the date of observation of the Holidays, in a manner consistent with Comparable Life Science Projects. Landlord shall provide janitorial services to the Common Areas, consistent with the practices of landlords of Comparable Life Science Projects. The janitorial and cleaning of the Premises and Common areas shall be adequate to maintain the Premises and Common Areas in a manner consistent with the character of the Building and Project and otherwise consistent with Comparable Life Science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-20-</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95" w:gutter="0" w:footer="0" w:header="0"/>
        </w:sectPr>
      </w:pPr>
    </w:p>
    <w:bookmarkStart w:id="140" w:name="page141"/>
    <w:bookmarkEnd w:id="140"/>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Projects. Tenant shall not use (and upon notice from Landlord shall cease using) janitorial service providers and suppliers who would, in Landlord's reasonable and good faith judgment, disturb labor harmony with the workforce or trades engaged in performing other work, labor or services in or about the Project. Without limiting the generality of the foregoing, Tenant shall retain a union janitorial provider to the extent designated by Landlord.</w:t>
      </w:r>
    </w:p>
    <w:p>
      <w:pPr>
        <w:spacing w:after="0" w:line="17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6.1.7 </w:t>
      </w:r>
      <w:r>
        <w:rPr>
          <w:rFonts w:ascii="Times New Roman" w:cs="Times New Roman" w:eastAsia="Times New Roman" w:hAnsi="Times New Roman"/>
          <w:sz w:val="20"/>
          <w:szCs w:val="20"/>
          <w:b w:val="1"/>
          <w:bCs w:val="1"/>
          <w:u w:val="single" w:color="auto"/>
          <w:color w:val="auto"/>
        </w:rPr>
        <w:t>Waste Removal</w:t>
      </w:r>
      <w:r>
        <w:rPr>
          <w:rFonts w:ascii="Times New Roman" w:cs="Times New Roman" w:eastAsia="Times New Roman" w:hAnsi="Times New Roman"/>
          <w:sz w:val="20"/>
          <w:szCs w:val="20"/>
          <w:color w:val="auto"/>
        </w:rPr>
        <w:t xml:space="preserve">. Subject to the provisions of (i)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xml:space="preserve"> with respect to Hazardous Materials, and (ii) this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below, with respect to Medical Waste Landlord shall provide or arrange for ordinary and reasonable waste removal services for the Building. Tenant's waste shall be stored in the Premises and shall be moved by Tenant on a regular basis to a Common Area location reasonably designated by Landlord, all in accordance with the Rules and Regulations. In the event that Landlord reasonably determines that Tenant's quantity of waste is excessive in comparison to other tenants of the Building with similar Permitted Use, or, in the event that Landlord determines that Tenant's waste is other than waste typically generated by tenants with a similar Permitted use, Landlord may bill Tenant directly as Additional Rent for any such additional reasonable, out-of-pocket cost therefor or require that Tenant be responsible for disposing of its own waste. Tenant shall be responsible to arrange for, at Tenant's sole cost and expense, any Medical Waste, as defined by California Health and Safety Code § 117690, as amended or supplemented ("</w:t>
      </w:r>
      <w:r>
        <w:rPr>
          <w:rFonts w:ascii="Times New Roman" w:cs="Times New Roman" w:eastAsia="Times New Roman" w:hAnsi="Times New Roman"/>
          <w:sz w:val="20"/>
          <w:szCs w:val="20"/>
          <w:b w:val="1"/>
          <w:bCs w:val="1"/>
          <w:color w:val="auto"/>
        </w:rPr>
        <w:t>Medical Waste</w:t>
      </w:r>
      <w:r>
        <w:rPr>
          <w:rFonts w:ascii="Times New Roman" w:cs="Times New Roman" w:eastAsia="Times New Roman" w:hAnsi="Times New Roman"/>
          <w:sz w:val="20"/>
          <w:szCs w:val="20"/>
          <w:color w:val="auto"/>
        </w:rPr>
        <w:t>"), and Hazardous Materials waste in connection with Tenant's operations at the Premises. All such Medical Waste and Hazardous Materials waste removal shall be performed in compliance with Environmental Laws and other Applicable Laws using licensed medical waste disposal companies. All Medical Waste and Hazardous Materials waste that Tenant is responsible to remove per the provisions above in this Section shall be stored in the Premises and shall be removed on a regular basis.</w:t>
      </w:r>
    </w:p>
    <w:p>
      <w:pPr>
        <w:spacing w:after="0" w:line="185"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6.1.8 </w:t>
      </w:r>
      <w:r>
        <w:rPr>
          <w:rFonts w:ascii="Times New Roman" w:cs="Times New Roman" w:eastAsia="Times New Roman" w:hAnsi="Times New Roman"/>
          <w:sz w:val="20"/>
          <w:szCs w:val="20"/>
          <w:b w:val="1"/>
          <w:bCs w:val="1"/>
          <w:u w:val="single" w:color="auto"/>
          <w:color w:val="auto"/>
        </w:rPr>
        <w:t>Window Washing</w:t>
      </w:r>
      <w:r>
        <w:rPr>
          <w:rFonts w:ascii="Times New Roman" w:cs="Times New Roman" w:eastAsia="Times New Roman" w:hAnsi="Times New Roman"/>
          <w:sz w:val="20"/>
          <w:szCs w:val="20"/>
          <w:color w:val="auto"/>
        </w:rPr>
        <w:t>. Landlord shall provide periodic exterior window washing services to the Building (as reasonably determined by Landlord) in a manner consistent with Comparable Life Science Projects. Tenant shall be responsible for all interior Premises window cleaning.</w:t>
      </w:r>
    </w:p>
    <w:p>
      <w:pPr>
        <w:spacing w:after="0" w:line="169"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6.1.9 </w:t>
      </w:r>
      <w:r>
        <w:rPr>
          <w:rFonts w:ascii="Times New Roman" w:cs="Times New Roman" w:eastAsia="Times New Roman" w:hAnsi="Times New Roman"/>
          <w:sz w:val="20"/>
          <w:szCs w:val="20"/>
          <w:b w:val="1"/>
          <w:bCs w:val="1"/>
          <w:u w:val="single" w:color="auto"/>
          <w:color w:val="auto"/>
        </w:rPr>
        <w:t>Elevators</w:t>
      </w:r>
      <w:r>
        <w:rPr>
          <w:rFonts w:ascii="Times New Roman" w:cs="Times New Roman" w:eastAsia="Times New Roman" w:hAnsi="Times New Roman"/>
          <w:sz w:val="20"/>
          <w:szCs w:val="20"/>
          <w:color w:val="auto"/>
        </w:rPr>
        <w:t>. Landlord shall provide nonexclusive, non-attended automatic passenger elevator service during the hours of 7:00 A.M. to 6:00 P.M. on Monday through Friday (collectively, the "</w:t>
      </w:r>
      <w:r>
        <w:rPr>
          <w:rFonts w:ascii="Times New Roman" w:cs="Times New Roman" w:eastAsia="Times New Roman" w:hAnsi="Times New Roman"/>
          <w:sz w:val="20"/>
          <w:szCs w:val="20"/>
          <w:b w:val="1"/>
          <w:bCs w:val="1"/>
          <w:color w:val="auto"/>
        </w:rPr>
        <w:t>Building Hours</w:t>
      </w:r>
      <w:r>
        <w:rPr>
          <w:rFonts w:ascii="Times New Roman" w:cs="Times New Roman" w:eastAsia="Times New Roman" w:hAnsi="Times New Roman"/>
          <w:sz w:val="20"/>
          <w:szCs w:val="20"/>
          <w:color w:val="auto"/>
        </w:rPr>
        <w:t>"), except for the date of observation of New Year's Day, President's Day, Memorial Day, Independence Day, Labor Day, Thanksgiving Day, Christmas Day and, at Landlord's discretion, other locally or nationally recognized holidays (collectively, the "</w:t>
      </w:r>
      <w:r>
        <w:rPr>
          <w:rFonts w:ascii="Times New Roman" w:cs="Times New Roman" w:eastAsia="Times New Roman" w:hAnsi="Times New Roman"/>
          <w:sz w:val="20"/>
          <w:szCs w:val="20"/>
          <w:b w:val="1"/>
          <w:bCs w:val="1"/>
          <w:color w:val="auto"/>
        </w:rPr>
        <w:t>Holidays</w:t>
      </w:r>
      <w:r>
        <w:rPr>
          <w:rFonts w:ascii="Times New Roman" w:cs="Times New Roman" w:eastAsia="Times New Roman" w:hAnsi="Times New Roman"/>
          <w:sz w:val="20"/>
          <w:szCs w:val="20"/>
          <w:color w:val="auto"/>
        </w:rPr>
        <w:t>"), and shall have at least one elevator available at all other times. Landlord shall provide nonexclusive freight elevator service subject to scheduling and Rules and Regulations set forth by Landlord; provided, however, Tenant shall coordinate with Landlord for exclusive freight elevator service in connection with the transportation of any Hazardous Materials to the Premises.</w:t>
      </w:r>
    </w:p>
    <w:p>
      <w:pPr>
        <w:spacing w:after="0" w:line="17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6.1.10 </w:t>
      </w:r>
      <w:r>
        <w:rPr>
          <w:rFonts w:ascii="Times New Roman" w:cs="Times New Roman" w:eastAsia="Times New Roman" w:hAnsi="Times New Roman"/>
          <w:sz w:val="20"/>
          <w:szCs w:val="20"/>
          <w:b w:val="1"/>
          <w:bCs w:val="1"/>
          <w:u w:val="single" w:color="auto"/>
          <w:color w:val="auto"/>
        </w:rPr>
        <w:t>Access</w:t>
      </w:r>
      <w:r>
        <w:rPr>
          <w:rFonts w:ascii="Times New Roman" w:cs="Times New Roman" w:eastAsia="Times New Roman" w:hAnsi="Times New Roman"/>
          <w:sz w:val="20"/>
          <w:szCs w:val="20"/>
          <w:color w:val="auto"/>
        </w:rPr>
        <w:t>. Subject to compliance with Landlord's reasonable access control procedures and Applicable Laws, and except when and where Tenant's right of access is specifically restricted or limited in this Lease, Tenant shall have the right of access to the Premises and Parking Facilities twenty-four (24) hours per day, seven (7) days per week during the Lease Term.</w:t>
      </w:r>
    </w:p>
    <w:p>
      <w:pPr>
        <w:spacing w:after="0" w:line="169"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6.1.11 </w:t>
      </w:r>
      <w:r>
        <w:rPr>
          <w:rFonts w:ascii="Times New Roman" w:cs="Times New Roman" w:eastAsia="Times New Roman" w:hAnsi="Times New Roman"/>
          <w:sz w:val="20"/>
          <w:szCs w:val="20"/>
          <w:b w:val="1"/>
          <w:bCs w:val="1"/>
          <w:u w:val="single" w:color="auto"/>
          <w:color w:val="auto"/>
        </w:rPr>
        <w:t>Engineering Support Services</w:t>
      </w:r>
      <w:r>
        <w:rPr>
          <w:rFonts w:ascii="Times New Roman" w:cs="Times New Roman" w:eastAsia="Times New Roman" w:hAnsi="Times New Roman"/>
          <w:sz w:val="20"/>
          <w:szCs w:val="20"/>
          <w:color w:val="auto"/>
        </w:rPr>
        <w:t>. Landlord shall provide onsite engineering services upon request from Tenant during Building Hours, at no additional cost to Tenant. Tenant may request emergency onsite engineering services outside of Building Hours, provided that Tenant shall be responsible for paying Landlord's Building standard and reasonable rate for such services which are Tenant's obligation to perform under this Lease as Additional Rent; provided however that Tenant shall not be responsible for the cost of such services to the extent the same relate to the maintenance, repair or operation of the Building Systems or other matters that are Landlord's responsibility under this Lease. Any such request for engineering services pursuant to this Section 6.1.11 shall be delivered to Landlord via telephone or email to the property management office of the Project.</w:t>
      </w:r>
    </w:p>
    <w:p>
      <w:pPr>
        <w:spacing w:after="0" w:line="17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6.1.12 </w:t>
      </w:r>
      <w:r>
        <w:rPr>
          <w:rFonts w:ascii="Times New Roman" w:cs="Times New Roman" w:eastAsia="Times New Roman" w:hAnsi="Times New Roman"/>
          <w:sz w:val="20"/>
          <w:szCs w:val="20"/>
          <w:b w:val="1"/>
          <w:bCs w:val="1"/>
          <w:u w:val="single" w:color="auto"/>
          <w:color w:val="auto"/>
        </w:rPr>
        <w:t>Life-Safety Generator</w:t>
      </w:r>
      <w:r>
        <w:rPr>
          <w:rFonts w:ascii="Times New Roman" w:cs="Times New Roman" w:eastAsia="Times New Roman" w:hAnsi="Times New Roman"/>
          <w:sz w:val="20"/>
          <w:szCs w:val="20"/>
          <w:color w:val="auto"/>
        </w:rPr>
        <w:t>. Building D is equipped with a backup generator (the "</w:t>
      </w:r>
      <w:r>
        <w:rPr>
          <w:rFonts w:ascii="Times New Roman" w:cs="Times New Roman" w:eastAsia="Times New Roman" w:hAnsi="Times New Roman"/>
          <w:sz w:val="20"/>
          <w:szCs w:val="20"/>
          <w:b w:val="1"/>
          <w:bCs w:val="1"/>
          <w:color w:val="auto"/>
        </w:rPr>
        <w:t>Life-Safety Generator</w:t>
      </w:r>
      <w:r>
        <w:rPr>
          <w:rFonts w:ascii="Times New Roman" w:cs="Times New Roman" w:eastAsia="Times New Roman" w:hAnsi="Times New Roman"/>
          <w:sz w:val="20"/>
          <w:szCs w:val="20"/>
          <w:color w:val="auto"/>
        </w:rPr>
        <w:t xml:space="preserve">") that will, in the event of interruption of electricity to the Project Phase 2, provide power to all fire and life-safety equipment, including emergency lighting exit signs, fire alarms, and fire pumps within the Building and Other Phase Buildings. The cost of maintaining, operating, repairing and replacing the Life-Safety Generator shall constitute Operating Expenses to the extent permitted by </w:t>
      </w:r>
      <w:r>
        <w:rPr>
          <w:rFonts w:ascii="Times New Roman" w:cs="Times New Roman" w:eastAsia="Times New Roman" w:hAnsi="Times New Roman"/>
          <w:sz w:val="20"/>
          <w:szCs w:val="20"/>
          <w:u w:val="single" w:color="auto"/>
          <w:color w:val="auto"/>
        </w:rPr>
        <w:t>Section 4.2.3</w:t>
      </w:r>
      <w:r>
        <w:rPr>
          <w:rFonts w:ascii="Times New Roman" w:cs="Times New Roman" w:eastAsia="Times New Roman" w:hAnsi="Times New Roman"/>
          <w:sz w:val="20"/>
          <w:szCs w:val="20"/>
          <w:color w:val="auto"/>
        </w:rPr>
        <w:t>. Except to the extent caused by the negligence or willful misconduct of Landlord, or any Landlord Parties, Tenant hereby waives any claims against Landlord or any Landlord Parties resulting from Tenant's use of the Life-Safety Generator, or any failure of the Life-Safety Generator to operate as designed, and agrees that Landlord shall not be liable for any damages resulting from any failure in operation of the Life-Safety Generator, including, without limitation any injury or damage to, or interference with, Tenant's business, including but not limited to, loss of profits, loss of rents or other revenues, loss of business opportunity, loss of goodwill or loss of use, or loss to equipment, inventory, scientific research, scientific experiments, laboratory animals, products, specimens, samples, and/or scientific, business, accounting and other records of every kind and description kept at the Premises and any and all income derived or derivable therefrom. Landlord shall maintain the Life-Safety Generator and any equipment connecting the Life-Safety Generator</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-21-</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49" w:gutter="0" w:footer="0" w:header="0"/>
        </w:sectPr>
      </w:pPr>
    </w:p>
    <w:bookmarkStart w:id="141" w:name="page142"/>
    <w:bookmarkEnd w:id="141"/>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to Tenant's automatic transfer switch as part of Landlord's Repair Obligations, provided, however, that Tenant shall be solely responsible, at Tenant's sole cost and expense, for maintaining and operating Tenant's automatic transfer switch and the distribution of power from Tenant's automatic transfer switch throughout the Premises as part of Tenant's Repair Obligations (as such term is defined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below).</w:t>
      </w:r>
    </w:p>
    <w:p>
      <w:pPr>
        <w:spacing w:after="0" w:line="152"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 xml:space="preserve">6.1.13 </w:t>
      </w:r>
      <w:r>
        <w:rPr>
          <w:rFonts w:ascii="Times New Roman" w:cs="Times New Roman" w:eastAsia="Times New Roman" w:hAnsi="Times New Roman"/>
          <w:sz w:val="19"/>
          <w:szCs w:val="19"/>
          <w:b w:val="1"/>
          <w:bCs w:val="1"/>
          <w:u w:val="single" w:color="auto"/>
          <w:color w:val="auto"/>
        </w:rPr>
        <w:t>Multi-Tenant Building Generator</w:t>
      </w:r>
      <w:r>
        <w:rPr>
          <w:rFonts w:ascii="Times New Roman" w:cs="Times New Roman" w:eastAsia="Times New Roman" w:hAnsi="Times New Roman"/>
          <w:sz w:val="19"/>
          <w:szCs w:val="19"/>
          <w:color w:val="auto"/>
        </w:rPr>
        <w:t>. Landlord shall provide a backup generator for the Building as described in the Base Building Specifications ("</w:t>
      </w:r>
      <w:r>
        <w:rPr>
          <w:rFonts w:ascii="Times New Roman" w:cs="Times New Roman" w:eastAsia="Times New Roman" w:hAnsi="Times New Roman"/>
          <w:sz w:val="19"/>
          <w:szCs w:val="19"/>
          <w:b w:val="1"/>
          <w:bCs w:val="1"/>
          <w:color w:val="auto"/>
        </w:rPr>
        <w:t>Multi-Tenant Building Generator</w:t>
      </w:r>
      <w:r>
        <w:rPr>
          <w:rFonts w:ascii="Times New Roman" w:cs="Times New Roman" w:eastAsia="Times New Roman" w:hAnsi="Times New Roman"/>
          <w:sz w:val="19"/>
          <w:szCs w:val="19"/>
          <w:color w:val="auto"/>
        </w:rPr>
        <w:t xml:space="preserve">"). Tenant shall be entitled to use up to Tenant's Share (after deducting any power from the Multi-Tenant Building Generator required for the Common Areas, if any) of power from the Multi-Tenant Building Generator on a non-exclusive basis with other tenants in the Building based on its current distribution. The cost of maintaining, operating, repairing and replacing the Multi-Tenant Building Generator shall constitute Operating Expenses to the extent permitted by Section 4.2.3. Except to the extent caused by the negligence or willful misconduct of Landlord, or any Landlord Parties, Tenant hereby waives any claims against Landlord or any Landlord Parties resulting from Tenant's use of the Multi-Tenant Building Generator, or any failure of the Multi-Tenant Building Generator to operate as designed, and agrees that Landlord shall not be liable for any damages resulting from any failure in operation of the Multi-Tenant Building Generator, including, without limitation any injury or damage to, or interference with, Tenant's business, including but not limited to, loss of profits, loss of rents or other revenues, loss of business opportunity, loss of goodwill or loss of use, or loss to equipment, inventory, scientific research, scientific experiments, laboratory animals, products, specimens, samples, and/or scientific, business, accounting and other records of every kind and description kept at the Premises and any and all income derived or derivable therefrom. Landlord shall maintain the Multi-Tenant Building Generator and any equipment connecting the Multi-Tenant Building Generator to Tenant's automatic transfer switch in first-class condition and otherwise as part of Landlord's Repair Obligations, provided, however, that Tenant shall be solely responsible, at Tenant's sole cost and expense, for maintaining and operating Tenant's automatic transfer switch and the distribution of power from Tenant's automatic transfer switch throughout the Premises as part of Tenant's Repair Obligations (as such term is defined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below). Landlord shall test the Multi-Tenant Building Generator no less than monthly and shall provide Tenant with reasonable advance notice of scheduled testing and maintenance. Landlord shall promptly notify Tenant of any material issues affecting the Multi-Tenant Building Generator's operational readiness.</w:t>
      </w:r>
    </w:p>
    <w:p>
      <w:pPr>
        <w:spacing w:after="0" w:line="200" w:lineRule="exact"/>
        <w:rPr>
          <w:sz w:val="20"/>
          <w:szCs w:val="20"/>
          <w:color w:val="auto"/>
        </w:rPr>
      </w:pPr>
    </w:p>
    <w:p>
      <w:pPr>
        <w:spacing w:after="0" w:line="21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u w:val="single" w:color="auto"/>
          <w:color w:val="auto"/>
        </w:rPr>
        <w:t>Office and Communications Services</w:t>
      </w:r>
      <w:r>
        <w:rPr>
          <w:rFonts w:ascii="Times New Roman" w:cs="Times New Roman" w:eastAsia="Times New Roman" w:hAnsi="Times New Roman"/>
          <w:sz w:val="20"/>
          <w:szCs w:val="20"/>
          <w:color w:val="auto"/>
        </w:rPr>
        <w:t>. Certain office and communications services (which may include, without limitation, cable or satellite television service) may be offered to tenants of the Building or Project by a concessionaire under contract to Landlord ("</w:t>
      </w:r>
      <w:r>
        <w:rPr>
          <w:rFonts w:ascii="Times New Roman" w:cs="Times New Roman" w:eastAsia="Times New Roman" w:hAnsi="Times New Roman"/>
          <w:sz w:val="20"/>
          <w:szCs w:val="20"/>
          <w:b w:val="1"/>
          <w:bCs w:val="1"/>
          <w:color w:val="auto"/>
        </w:rPr>
        <w:t>Provider</w:t>
      </w:r>
      <w:r>
        <w:rPr>
          <w:rFonts w:ascii="Times New Roman" w:cs="Times New Roman" w:eastAsia="Times New Roman" w:hAnsi="Times New Roman"/>
          <w:sz w:val="20"/>
          <w:szCs w:val="20"/>
          <w:color w:val="auto"/>
        </w:rPr>
        <w:t xml:space="preserve">"). In addition to Tenant’s right in the last sentence of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Tenant shall be permitted to contract with Provider for the provision of any or all of such services on such terms and conditions as Tenant and Provider may agree. Tenant acknowledges and agrees that: (i) Landlord has made no warranty or representation to Tenant with respect to the availability of any such services, or the quality, reliability or suitability thereof; (ii) the Provider is not acting as the agent or representative of Landlord in the provision of such services, and Landlord shall have no liability or responsibility for any failure or inadequacy of such services, or any equipment or facilities used in the furnishing thereof, or any act or omission of Provider, or its agents, employees, representatives, officers or contractors; (iii) Landlord shall have no responsibility or liability for the installation, alteration, repair, maintenance, furnishing, operation, adjustment or removal of any such services, equipment or facilities; and (iv) any contract or other agreement between Tenant and Provider shall be independent of this Lease, the obligations of Tenant hereunder, and the rights of Landlord hereunder, and, without limiting the foregoing, no default or failure of Provider with respect to any such services, equipment or facilities, or under any contract or agreement relating thereto, shall have any effect on this Lease or give to Tenant any offset or defense to the full and timely performance of its obligations hereunder, or entitle Tenant to any abatement of Rent, or constitute any accrual or constructive eviction of Tenant, or otherwise give rise to any other claim of any nature against Landlord except as otherwise provided in this Lease. Tenant shall not be permitted to contract with any provider of any office or communications services other than a Provider without Landlord's prior written consent, which shall not be unreasonably withheld, conditioned or delayed (and subject further to such provider entering into an agreement with Landlord governing such provider's rights, obligations, and liabilities with respect to accessing and otherwise providing services at the Project, which agreement shall be on commercially reasonable terms consistent with those required in Comparable Buildings, and shall not unreasonably restrict or delay such provider’s ability to provide services to Tenant).</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u w:val="single" w:color="auto"/>
          <w:color w:val="auto"/>
        </w:rPr>
        <w:t>Overstandard Tenant Use</w:t>
      </w:r>
      <w:r>
        <w:rPr>
          <w:rFonts w:ascii="Times New Roman" w:cs="Times New Roman" w:eastAsia="Times New Roman" w:hAnsi="Times New Roman"/>
          <w:sz w:val="20"/>
          <w:szCs w:val="20"/>
          <w:color w:val="auto"/>
        </w:rPr>
        <w:t>. Tenant shall not, without Landlord's prior written consent, which consent shall not be unreasonably withheld, conditioned or delayed, use heat-generating machines or equipment ("</w:t>
      </w:r>
      <w:r>
        <w:rPr>
          <w:rFonts w:ascii="Times New Roman" w:cs="Times New Roman" w:eastAsia="Times New Roman" w:hAnsi="Times New Roman"/>
          <w:sz w:val="20"/>
          <w:szCs w:val="20"/>
          <w:b w:val="1"/>
          <w:bCs w:val="1"/>
          <w:color w:val="auto"/>
        </w:rPr>
        <w:t>Heat Generating Equipment</w:t>
      </w:r>
      <w:r>
        <w:rPr>
          <w:rFonts w:ascii="Times New Roman" w:cs="Times New Roman" w:eastAsia="Times New Roman" w:hAnsi="Times New Roman"/>
          <w:sz w:val="20"/>
          <w:szCs w:val="20"/>
          <w:color w:val="auto"/>
        </w:rPr>
        <w:t xml:space="preserve">"), which adversely affect the temperature otherwise maintained by the HVAC or increase the water normally furnished for the Premises by Landlord pursuant to the terms of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of this Lease, other than (i) office machines or equipment; (ii) and Tenant's equipment, including laboratory, research and development, and life science equipment, to the extent such equipment is consistent with the Permitted Use; and (iii) servers, data equipment, and other equipment reasonably necessary for Tenant's business operations for the Permitted Use, including all such equipment used in Tenant’s dedicated server/IT room (collectively, “</w:t>
      </w:r>
      <w:r>
        <w:rPr>
          <w:rFonts w:ascii="Times New Roman" w:cs="Times New Roman" w:eastAsia="Times New Roman" w:hAnsi="Times New Roman"/>
          <w:sz w:val="20"/>
          <w:szCs w:val="20"/>
          <w:b w:val="1"/>
          <w:bCs w:val="1"/>
          <w:color w:val="auto"/>
        </w:rPr>
        <w:t>Permitted Equipment</w:t>
      </w:r>
      <w:r>
        <w:rPr>
          <w:rFonts w:ascii="Times New Roman" w:cs="Times New Roman" w:eastAsia="Times New Roman" w:hAnsi="Times New Roman"/>
          <w:sz w:val="20"/>
          <w:szCs w:val="20"/>
          <w:color w:val="auto"/>
        </w:rPr>
        <w:t>”). If Landlord's consent is given with respect to Heat Generating Equipment (other than Permitted Equipment), Landlord shall have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-22-</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68" w:gutter="0" w:footer="0" w:header="0"/>
        </w:sectPr>
      </w:pPr>
    </w:p>
    <w:bookmarkStart w:id="142" w:name="page143"/>
    <w:bookmarkEnd w:id="142"/>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right to reasonably require installation of supplementary air conditioning units or other facilities in the Premises, including supplementary or additional metering devices to the extent reasonably necessary, and the reasonable actual cost thereof, including the cost of installation, operation and maintenance, shall be paid by Tenant to Landlord within thirty (30) days of receipt of an invoice. Notwithstanding anything herein to the contrary, Landlord shall not impose any charge, surcharge, or excess utility cost on Tenant for utility consumption attributable to Permitted Equipment.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u w:val="single" w:color="auto"/>
          <w:color w:val="auto"/>
        </w:rPr>
        <w:t>Interruption of Use</w:t>
      </w:r>
      <w:r>
        <w:rPr>
          <w:rFonts w:ascii="Times New Roman" w:cs="Times New Roman" w:eastAsia="Times New Roman" w:hAnsi="Times New Roman"/>
          <w:sz w:val="20"/>
          <w:szCs w:val="20"/>
          <w:color w:val="auto"/>
        </w:rPr>
        <w:t xml:space="preserve">. Landlord shall not be liable for damages, by abatement of Rent or otherwise, for failure to furnish or delay in furnishing any service (including telephone and telecommunication services), or for any diminution in the quality or quantity thereof (including, without limitation, where any such failure,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and such failures, delays or diminution shall never be deemed to constitute an eviction or disturbance of Tenant's use and possession of the Premises or relieve Tenant from paying Rent or performing any of its obligations under this Lease, except as otherwise expressly provided in the Lease, including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below.</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u w:val="single" w:color="auto"/>
          <w:color w:val="auto"/>
        </w:rPr>
        <w:t>6.5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Abatement Event</w:t>
      </w:r>
      <w:r>
        <w:rPr>
          <w:rFonts w:ascii="Times New Roman" w:cs="Times New Roman" w:eastAsia="Times New Roman" w:hAnsi="Times New Roman"/>
          <w:sz w:val="20"/>
          <w:szCs w:val="20"/>
          <w:color w:val="auto"/>
        </w:rPr>
        <w:t>. Notwithstanding anything herein to the contrary, if all or a material portion of the Premises is made untenantable or inaccessible as a result of (i) the acts or omissions of Landlord or any of the Landlord Parties, including without limitation any breach of this Lease by Landlord, (ii) any Modifications, or any repair, maintenance or alteration performed by Landlord or which Landlord failed to perform which is required by the Lease, (iii) any failure to provide any services or utilities as required of Landlord under Section 6.1 above or perform any of Landlord's Repair Obligations required under Article 7 below, or (iv) the presence of Hazardous Materials in, on or around the Premises or the Project which were not caused or introduced by Tenant which Hazardous Materials pose a material and significant health risk to occupants of the Premises, and, in each instance (each an "</w:t>
      </w:r>
      <w:r>
        <w:rPr>
          <w:rFonts w:ascii="Times New Roman" w:cs="Times New Roman" w:eastAsia="Times New Roman" w:hAnsi="Times New Roman"/>
          <w:sz w:val="20"/>
          <w:szCs w:val="20"/>
          <w:b w:val="1"/>
          <w:bCs w:val="1"/>
          <w:color w:val="auto"/>
        </w:rPr>
        <w:t>Abatement Event</w:t>
      </w:r>
      <w:r>
        <w:rPr>
          <w:rFonts w:ascii="Times New Roman" w:cs="Times New Roman" w:eastAsia="Times New Roman" w:hAnsi="Times New Roman"/>
          <w:sz w:val="20"/>
          <w:szCs w:val="20"/>
          <w:color w:val="auto"/>
        </w:rPr>
        <w:t xml:space="preserve">") is not the result of the acts and/or omissions of Tenant and/or other Tenant Parties (as defined herein), then in order to be entitled to receive the benefits of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Tenant must give Landlord notice (the "</w:t>
      </w:r>
      <w:r>
        <w:rPr>
          <w:rFonts w:ascii="Times New Roman" w:cs="Times New Roman" w:eastAsia="Times New Roman" w:hAnsi="Times New Roman"/>
          <w:sz w:val="20"/>
          <w:szCs w:val="20"/>
          <w:b w:val="1"/>
          <w:bCs w:val="1"/>
          <w:color w:val="auto"/>
        </w:rPr>
        <w:t>Abatement Notice</w:t>
      </w:r>
      <w:r>
        <w:rPr>
          <w:rFonts w:ascii="Times New Roman" w:cs="Times New Roman" w:eastAsia="Times New Roman" w:hAnsi="Times New Roman"/>
          <w:sz w:val="20"/>
          <w:szCs w:val="20"/>
          <w:color w:val="auto"/>
        </w:rPr>
        <w:t>"), specifying such Abatement Event. If Landlord has not cured such Abatement Event within three (3) business days after the receipt of the Abatement Notice (the "</w:t>
      </w:r>
      <w:r>
        <w:rPr>
          <w:rFonts w:ascii="Times New Roman" w:cs="Times New Roman" w:eastAsia="Times New Roman" w:hAnsi="Times New Roman"/>
          <w:sz w:val="20"/>
          <w:szCs w:val="20"/>
          <w:b w:val="1"/>
          <w:bCs w:val="1"/>
          <w:color w:val="auto"/>
        </w:rPr>
        <w:t>Eligibility Period</w:t>
      </w:r>
      <w:r>
        <w:rPr>
          <w:rFonts w:ascii="Times New Roman" w:cs="Times New Roman" w:eastAsia="Times New Roman" w:hAnsi="Times New Roman"/>
          <w:sz w:val="20"/>
          <w:szCs w:val="20"/>
          <w:color w:val="auto"/>
        </w:rPr>
        <w:t>") and is not otherwise excused from such performance by this Lease, then Tenant may immediately abate Base Rent and Tenant's Share of Direct Expenses payable under this Lease for that portion of the Premises rendered untenantable or inaccessible and not actually used by Tenant, for the period beginning on the date immediately following such the Eligibility Period to the earlier of the date Landlord cures such Abatement Event or the date Tenant recommences the use of such portion of the Premises.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 xml:space="preserve">6.6  </w:t>
      </w:r>
      <w:r>
        <w:rPr>
          <w:rFonts w:ascii="Times New Roman" w:cs="Times New Roman" w:eastAsia="Times New Roman" w:hAnsi="Times New Roman"/>
          <w:sz w:val="20"/>
          <w:szCs w:val="20"/>
          <w:b w:val="1"/>
          <w:bCs w:val="1"/>
          <w:u w:val="single" w:color="auto"/>
          <w:color w:val="auto"/>
        </w:rPr>
        <w:t>Security.</w:t>
      </w:r>
    </w:p>
    <w:p>
      <w:pPr>
        <w:spacing w:after="0" w:line="21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6.6.1 </w:t>
      </w:r>
      <w:r>
        <w:rPr>
          <w:rFonts w:ascii="Times New Roman" w:cs="Times New Roman" w:eastAsia="Times New Roman" w:hAnsi="Times New Roman"/>
          <w:sz w:val="20"/>
          <w:szCs w:val="20"/>
          <w:b w:val="1"/>
          <w:bCs w:val="1"/>
          <w:u w:val="single" w:color="auto"/>
          <w:color w:val="auto"/>
        </w:rPr>
        <w:t>Tenant Maintained Security</w:t>
      </w:r>
      <w:r>
        <w:rPr>
          <w:rFonts w:ascii="Times New Roman" w:cs="Times New Roman" w:eastAsia="Times New Roman" w:hAnsi="Times New Roman"/>
          <w:sz w:val="20"/>
          <w:szCs w:val="20"/>
          <w:color w:val="auto"/>
        </w:rPr>
        <w:t xml:space="preserve">. Subject to Landlord's obligations pursuant to </w:t>
      </w:r>
      <w:r>
        <w:rPr>
          <w:rFonts w:ascii="Times New Roman" w:cs="Times New Roman" w:eastAsia="Times New Roman" w:hAnsi="Times New Roman"/>
          <w:sz w:val="20"/>
          <w:szCs w:val="20"/>
          <w:u w:val="single" w:color="auto"/>
          <w:color w:val="auto"/>
        </w:rPr>
        <w:t>Section 6.6.2</w:t>
      </w:r>
      <w:r>
        <w:rPr>
          <w:rFonts w:ascii="Times New Roman" w:cs="Times New Roman" w:eastAsia="Times New Roman" w:hAnsi="Times New Roman"/>
          <w:sz w:val="20"/>
          <w:szCs w:val="20"/>
          <w:color w:val="auto"/>
        </w:rPr>
        <w:t>, Landlord shall have no obligation to provide guard service or other security measures for the benefit of the Premises. Any such security measures for the benefit of the Premises shall be provided by Tenant, at Tenant's sole cost and expense. Tenant shall have the right to install a security system to control access to the Premises, and its own security system within the Premises, and Landlord shall cooperate with Tenant with respect to Tenant's installation of the same. Furthermore, Tenant shall have the right to hire security personnel ("</w:t>
      </w:r>
      <w:r>
        <w:rPr>
          <w:rFonts w:ascii="Times New Roman" w:cs="Times New Roman" w:eastAsia="Times New Roman" w:hAnsi="Times New Roman"/>
          <w:sz w:val="20"/>
          <w:szCs w:val="20"/>
          <w:b w:val="1"/>
          <w:bCs w:val="1"/>
          <w:color w:val="auto"/>
        </w:rPr>
        <w:t>Tenant's Security Personnel</w:t>
      </w:r>
      <w:r>
        <w:rPr>
          <w:rFonts w:ascii="Times New Roman" w:cs="Times New Roman" w:eastAsia="Times New Roman" w:hAnsi="Times New Roman"/>
          <w:sz w:val="20"/>
          <w:szCs w:val="20"/>
          <w:color w:val="auto"/>
        </w:rPr>
        <w:t>") for the benefit of securing the Premises; provided that (i) Tenant's Security Personnel must not carry a firearm or other weapon, (ii) Tenant's Security Personnel and Landlord's security personnel shall mutually cooperate on security matters to the extent Landlord or Tenant reasonably believes such matters require joint cooperation; provided, however, that Landlord's security protocols shall govern the Common Areas secured by Landlord and both Landlord and Tenant shall cooperate as necessary with law enforcement agencies, and (iii) the security contractor (if any) providing Tenant's Security Personnel to Tenant hereunder shall comply with Landlord's reasonable insurance requirements. Tenant's Security Personnel shall be licensed and bonded and shall at all times maintain any and all required licenses or other governmental permits required in connection the performance of its duties under this Lease and shall at all times conduct themselves in a manner consistent with a first class life sciences project. In addition, Tenant shall have the right to contract directly with Landlord's security contractor as well as utilize its own employees or third parties to perform security services within the Premises. Tenant hereby assumes all responsibility for the protection of Tenant and its agents, employees, contractors, invitees and guests, and the property thereof, from acts of third parties, including keeping doors locked and other means of entry to the Premises closed.</w:t>
      </w:r>
    </w:p>
    <w:p>
      <w:pPr>
        <w:spacing w:after="0" w:line="193"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6.6.2 </w:t>
      </w:r>
      <w:r>
        <w:rPr>
          <w:rFonts w:ascii="Times New Roman" w:cs="Times New Roman" w:eastAsia="Times New Roman" w:hAnsi="Times New Roman"/>
          <w:sz w:val="20"/>
          <w:szCs w:val="20"/>
          <w:b w:val="1"/>
          <w:bCs w:val="1"/>
          <w:u w:val="single" w:color="auto"/>
          <w:color w:val="auto"/>
        </w:rPr>
        <w:t>Landlord Maintained Security</w:t>
      </w:r>
      <w:r>
        <w:rPr>
          <w:rFonts w:ascii="Times New Roman" w:cs="Times New Roman" w:eastAsia="Times New Roman" w:hAnsi="Times New Roman"/>
          <w:sz w:val="20"/>
          <w:szCs w:val="20"/>
          <w:color w:val="auto"/>
        </w:rPr>
        <w:t>. Landlord shall provide security services for the Project Phase 2 Common Areas and the Parking Facilities twenty-four (24) hours a day, seven (7) days a week, and otherwise in a manner materially consistent with the services provided by landlords of Comparable Life Sciences Projects. Landlord shall in no case be liable for personal injury or property damage for any error with regard to the admission to or exclusion from the Building, Project Phase 2, or</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-23-</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95" w:gutter="0" w:footer="0" w:header="0"/>
        </w:sectPr>
      </w:pPr>
    </w:p>
    <w:bookmarkStart w:id="143" w:name="page144"/>
    <w:bookmarkEnd w:id="143"/>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Project of any person, except to the extent arising from the negligence or willful misconduct of Landlord or the Landlord Parties.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REPAIRS AND MAINTENANCE</w:t>
      </w:r>
    </w:p>
    <w:p>
      <w:pPr>
        <w:spacing w:after="0" w:line="21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u w:val="single" w:color="auto"/>
          <w:color w:val="auto"/>
        </w:rPr>
        <w:t>Tenant's Repair and Maintenance Obligations</w:t>
      </w:r>
      <w:r>
        <w:rPr>
          <w:rFonts w:ascii="Times New Roman" w:cs="Times New Roman" w:eastAsia="Times New Roman" w:hAnsi="Times New Roman"/>
          <w:sz w:val="20"/>
          <w:szCs w:val="20"/>
          <w:color w:val="auto"/>
        </w:rPr>
        <w:t>. Tenant shall, at Tenant's own expense, maintain in good condition and operating order and keep in good repair and condition throughout the Lease Term, and in a first-class manner commensurate with tenants of the Comparable Life Sciences Project, excepting normal wear and tear, and Landlord's obligations under this Lease (including Landlord's Repair Obligations), the following (collectively, "</w:t>
      </w:r>
      <w:r>
        <w:rPr>
          <w:rFonts w:ascii="Times New Roman" w:cs="Times New Roman" w:eastAsia="Times New Roman" w:hAnsi="Times New Roman"/>
          <w:sz w:val="20"/>
          <w:szCs w:val="20"/>
          <w:b w:val="1"/>
          <w:bCs w:val="1"/>
          <w:color w:val="auto"/>
        </w:rPr>
        <w:t>Tenant's Repair Obligations</w:t>
      </w:r>
      <w:r>
        <w:rPr>
          <w:rFonts w:ascii="Times New Roman" w:cs="Times New Roman" w:eastAsia="Times New Roman" w:hAnsi="Times New Roman"/>
          <w:sz w:val="20"/>
          <w:szCs w:val="20"/>
          <w:color w:val="auto"/>
        </w:rPr>
        <w:t>"): (i) the Premises (excluding portions of the Base Building located in the Premises), including all interior, non-structural improvements, fixtures, equipment located in and exclusively serving the Premises, interior window coverings, and furnishings therein (which obligation of Tenant shall include, without limitation, the prompt replacement or repair, as reasonably required, of all damaged, broken, or worn fixtures and appurtenances, (ii) any personal property or equipment (including, without limitation, furniture, business and trade fixtures, equipment, free-standing cabinet work, movable partitions, servers, telephones, and merchandise) installed by Tenant within the Premises (collectively, "</w:t>
      </w:r>
      <w:r>
        <w:rPr>
          <w:rFonts w:ascii="Times New Roman" w:cs="Times New Roman" w:eastAsia="Times New Roman" w:hAnsi="Times New Roman"/>
          <w:sz w:val="20"/>
          <w:szCs w:val="20"/>
          <w:b w:val="1"/>
          <w:bCs w:val="1"/>
          <w:color w:val="auto"/>
        </w:rPr>
        <w:t>Tenant's Property</w:t>
      </w:r>
      <w:r>
        <w:rPr>
          <w:rFonts w:ascii="Times New Roman" w:cs="Times New Roman" w:eastAsia="Times New Roman" w:hAnsi="Times New Roman"/>
          <w:sz w:val="20"/>
          <w:szCs w:val="20"/>
          <w:color w:val="auto"/>
        </w:rPr>
        <w:t>"), (iii) any equipment installed by Tenant at the Project and located outside of the Premises, including, without limitation, any rooftop equipment, supplemental HVAC equipment (if located outside of the Premises), and generators (if located outside of the Premises), if any (collectively, "</w:t>
      </w:r>
      <w:r>
        <w:rPr>
          <w:rFonts w:ascii="Times New Roman" w:cs="Times New Roman" w:eastAsia="Times New Roman" w:hAnsi="Times New Roman"/>
          <w:sz w:val="20"/>
          <w:szCs w:val="20"/>
          <w:b w:val="1"/>
          <w:bCs w:val="1"/>
          <w:color w:val="auto"/>
        </w:rPr>
        <w:t>Tenant's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Off-Premises Equipment</w:t>
      </w:r>
      <w:r>
        <w:rPr>
          <w:rFonts w:ascii="Times New Roman" w:cs="Times New Roman" w:eastAsia="Times New Roman" w:hAnsi="Times New Roman"/>
          <w:sz w:val="20"/>
          <w:szCs w:val="20"/>
          <w:color w:val="auto"/>
        </w:rPr>
        <w:t>"), which Tenant's Off-Premises Equipment may only be installed by Tenant with the prior written consent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(which consent shall not be unreasonably withheld, conditioned or delayed), (iv) all areas, improvements and systems exclusively serving the Premises, including any communications or computer wires and cables (collectively, the "</w:t>
      </w:r>
      <w:r>
        <w:rPr>
          <w:rFonts w:ascii="Times New Roman" w:cs="Times New Roman" w:eastAsia="Times New Roman" w:hAnsi="Times New Roman"/>
          <w:sz w:val="20"/>
          <w:szCs w:val="20"/>
          <w:b w:val="1"/>
          <w:bCs w:val="1"/>
          <w:color w:val="auto"/>
        </w:rPr>
        <w:t>Cabling</w:t>
      </w:r>
      <w:r>
        <w:rPr>
          <w:rFonts w:ascii="Times New Roman" w:cs="Times New Roman" w:eastAsia="Times New Roman" w:hAnsi="Times New Roman"/>
          <w:sz w:val="20"/>
          <w:szCs w:val="20"/>
          <w:color w:val="auto"/>
        </w:rPr>
        <w:t>") and applicable branch lines of the plumbing, electrical and other Building Systems, and (iv) all systems installed by Tenant to serve the Premises (including, without limitation, all specialized systems such as deionized water systems, water purification, compressed gas distribution, vacuum pumps and air compressors and associated fume hoods and other equipment (collectively, "</w:t>
      </w:r>
      <w:r>
        <w:rPr>
          <w:rFonts w:ascii="Times New Roman" w:cs="Times New Roman" w:eastAsia="Times New Roman" w:hAnsi="Times New Roman"/>
          <w:sz w:val="20"/>
          <w:szCs w:val="20"/>
          <w:b w:val="1"/>
          <w:bCs w:val="1"/>
          <w:color w:val="auto"/>
        </w:rPr>
        <w:t>Specialized Systems</w:t>
      </w:r>
      <w:r>
        <w:rPr>
          <w:rFonts w:ascii="Times New Roman" w:cs="Times New Roman" w:eastAsia="Times New Roman" w:hAnsi="Times New Roman"/>
          <w:sz w:val="20"/>
          <w:szCs w:val="20"/>
          <w:color w:val="auto"/>
        </w:rPr>
        <w:t>")). All Specialized Systems shall be maintained, repaired and replaced by Tenant in a commercially reasonable manner consistent with prevailing industry practices. Tenant shall contract with qualified, experienced professional third-party service companies (collectively, "</w:t>
      </w:r>
      <w:r>
        <w:rPr>
          <w:rFonts w:ascii="Times New Roman" w:cs="Times New Roman" w:eastAsia="Times New Roman" w:hAnsi="Times New Roman"/>
          <w:sz w:val="20"/>
          <w:szCs w:val="20"/>
          <w:b w:val="1"/>
          <w:bCs w:val="1"/>
          <w:color w:val="auto"/>
        </w:rPr>
        <w:t>Service Contracts</w:t>
      </w:r>
      <w:r>
        <w:rPr>
          <w:rFonts w:ascii="Times New Roman" w:cs="Times New Roman" w:eastAsia="Times New Roman" w:hAnsi="Times New Roman"/>
          <w:sz w:val="20"/>
          <w:szCs w:val="20"/>
          <w:color w:val="auto"/>
        </w:rPr>
        <w:t>") which will provide for routine maintenance of all systems maintained by Tenant as Tenant's Repair Obligations, including the Specialized Systems. Tenant shall maintain preventive maintenance records relating to each system maintained by Tenant as Tenant's Repair Obligations, including each Specialized System (collectively, "</w:t>
      </w:r>
      <w:r>
        <w:rPr>
          <w:rFonts w:ascii="Times New Roman" w:cs="Times New Roman" w:eastAsia="Times New Roman" w:hAnsi="Times New Roman"/>
          <w:sz w:val="20"/>
          <w:szCs w:val="20"/>
          <w:b w:val="1"/>
          <w:bCs w:val="1"/>
          <w:color w:val="auto"/>
        </w:rPr>
        <w:t>Preventative Maintenance Records</w:t>
      </w:r>
      <w:r>
        <w:rPr>
          <w:rFonts w:ascii="Times New Roman" w:cs="Times New Roman" w:eastAsia="Times New Roman" w:hAnsi="Times New Roman"/>
          <w:sz w:val="20"/>
          <w:szCs w:val="20"/>
          <w:color w:val="auto"/>
        </w:rPr>
        <w:t xml:space="preserve">"). Upon Landlord's request, but in any event not more than annually, Tenant shall deliver a copy of all current Service Contracts to Landlord and/or a copy of the reasonably available Preventative Maintenance Records, provided that Tenant shall not be required to disclose proprietary or confidential information and such materials shall be subject to reasonable confidentiality obligations. The performance of Tenant's Repair Obligations shall comply with the terms of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below; provided, however, in no event shall Tenant be required to pay any oversight fee to Landlord.</w:t>
      </w:r>
    </w:p>
    <w:p>
      <w:pPr>
        <w:spacing w:after="0" w:line="20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b w:val="1"/>
          <w:bCs w:val="1"/>
          <w:u w:val="single" w:color="auto"/>
          <w:color w:val="auto"/>
        </w:rPr>
        <w:t>Landlord's Repair and Maintenance Obligations</w:t>
      </w:r>
      <w:r>
        <w:rPr>
          <w:rFonts w:ascii="Times New Roman" w:cs="Times New Roman" w:eastAsia="Times New Roman" w:hAnsi="Times New Roman"/>
          <w:sz w:val="19"/>
          <w:szCs w:val="19"/>
          <w:color w:val="auto"/>
        </w:rPr>
        <w:t>. Landlord shall maintain in good condition and operating order and keep in good repair and condition throughout the Lease Term, and in a first-class manner commensurate with the Comparable Life Sciences Project, excepting normal wear and tear, and Tenant's obligations under this Lease (including Tenant's Repair Obligations), the following (collectively, "</w:t>
      </w:r>
      <w:r>
        <w:rPr>
          <w:rFonts w:ascii="Times New Roman" w:cs="Times New Roman" w:eastAsia="Times New Roman" w:hAnsi="Times New Roman"/>
          <w:sz w:val="19"/>
          <w:szCs w:val="19"/>
          <w:b w:val="1"/>
          <w:bCs w:val="1"/>
          <w:color w:val="auto"/>
        </w:rPr>
        <w:t>Landlord's Repair Obligations</w:t>
      </w:r>
      <w:r>
        <w:rPr>
          <w:rFonts w:ascii="Times New Roman" w:cs="Times New Roman" w:eastAsia="Times New Roman" w:hAnsi="Times New Roman"/>
          <w:sz w:val="19"/>
          <w:szCs w:val="19"/>
          <w:color w:val="auto"/>
        </w:rPr>
        <w:t>"): (i) the structural portions of the Building, including without limitation, the foundation, floor/ceiling slabs, the roof (including the roof structure and roof membrane), curtain wall, exterior glass and mullions, columns, beams, shafts (including elevator shafts), stairs, stairwells, elevator cab, Building mechanical, electrical and telephone closets, and the exterior portions of the Building (collectively, "</w:t>
      </w:r>
      <w:r>
        <w:rPr>
          <w:rFonts w:ascii="Times New Roman" w:cs="Times New Roman" w:eastAsia="Times New Roman" w:hAnsi="Times New Roman"/>
          <w:sz w:val="19"/>
          <w:szCs w:val="19"/>
          <w:b w:val="1"/>
          <w:bCs w:val="1"/>
          <w:color w:val="auto"/>
        </w:rPr>
        <w:t>Building Structure</w:t>
      </w:r>
      <w:r>
        <w:rPr>
          <w:rFonts w:ascii="Times New Roman" w:cs="Times New Roman" w:eastAsia="Times New Roman" w:hAnsi="Times New Roman"/>
          <w:sz w:val="19"/>
          <w:szCs w:val="19"/>
          <w:color w:val="auto"/>
        </w:rPr>
        <w:t>"), (ii) the mechanical, electrical, life safety, plumbing, sprinkler systems and HVAC and other systems that serve the Building generally, as opposed to Tenant or another tenant exclusively, including, without limitation, "Laboratory Systems" (as defined below) constructed by Landlord (collectively, the "</w:t>
      </w:r>
      <w:r>
        <w:rPr>
          <w:rFonts w:ascii="Times New Roman" w:cs="Times New Roman" w:eastAsia="Times New Roman" w:hAnsi="Times New Roman"/>
          <w:sz w:val="19"/>
          <w:szCs w:val="19"/>
          <w:b w:val="1"/>
          <w:bCs w:val="1"/>
          <w:color w:val="auto"/>
        </w:rPr>
        <w:t>Building Systems</w:t>
      </w:r>
      <w:r>
        <w:rPr>
          <w:rFonts w:ascii="Times New Roman" w:cs="Times New Roman" w:eastAsia="Times New Roman" w:hAnsi="Times New Roman"/>
          <w:sz w:val="19"/>
          <w:szCs w:val="19"/>
          <w:color w:val="auto"/>
        </w:rPr>
        <w:t>") and (iii) the Common Areas, which shall include the Parking Facilities and restrooms located on multi-tenant floors of the Building. Landlord shall minimize interference with Tenant's use of, or access to, the Premises or Parking Facilities in making any repairs or replacements to the Project, Building or the Premises. The "</w:t>
      </w:r>
      <w:r>
        <w:rPr>
          <w:rFonts w:ascii="Times New Roman" w:cs="Times New Roman" w:eastAsia="Times New Roman" w:hAnsi="Times New Roman"/>
          <w:sz w:val="19"/>
          <w:szCs w:val="19"/>
          <w:b w:val="1"/>
          <w:bCs w:val="1"/>
          <w:color w:val="auto"/>
        </w:rPr>
        <w:t>Base Building</w:t>
      </w:r>
      <w:r>
        <w:rPr>
          <w:rFonts w:ascii="Times New Roman" w:cs="Times New Roman" w:eastAsia="Times New Roman" w:hAnsi="Times New Roman"/>
          <w:sz w:val="19"/>
          <w:szCs w:val="19"/>
          <w:color w:val="auto"/>
        </w:rPr>
        <w:t>" shall mean the Building Structure and the Building Systems. "</w:t>
      </w:r>
      <w:r>
        <w:rPr>
          <w:rFonts w:ascii="Times New Roman" w:cs="Times New Roman" w:eastAsia="Times New Roman" w:hAnsi="Times New Roman"/>
          <w:sz w:val="19"/>
          <w:szCs w:val="19"/>
          <w:b w:val="1"/>
          <w:bCs w:val="1"/>
          <w:color w:val="auto"/>
        </w:rPr>
        <w:t>Laboratory Systems</w:t>
      </w:r>
      <w:r>
        <w:rPr>
          <w:rFonts w:ascii="Times New Roman" w:cs="Times New Roman" w:eastAsia="Times New Roman" w:hAnsi="Times New Roman"/>
          <w:sz w:val="19"/>
          <w:szCs w:val="19"/>
          <w:color w:val="auto"/>
        </w:rPr>
        <w:t>" means all Building Systems, fixtures and equipment exclusively serving the laboratory uses in the Building that are shared (or capable of being shared) by tenants or other occupants in the Building that are permitted to use and occupy the premises in the Building for laboratory uses. As of the Phase I Commencement Date, the Laboratory Systems include the following: (i) PH Neutralization System (as hereinafter defined), (ii) vacuum equipment and compressed air, (iii) pH neutralization room and laboratory waste water treatment piping system, and (iv) laboratory venting equipment and systems (including central exhaust unit supply and exhaust ductwork). Notwithstanding anything in this Lease to the contrary, if any repairs that are Landlord's Repair Obligations are required due to Tenant's construction of Alterations, then Landlord may make such repairs and replacements, at Tenant's sole cost, including a percentage of the cost thereof (to be uniformly established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-24-</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for the Building and/or the Project not to exceed 3% of hard costs) sufficient to reimburse Landlord for all overhead, general conditions, fees and other costs or expenses arising from Landlord's involvement with such repairs and replacements forthwith upon being billed for same. In the event that the Premises has an "open ceiling plan", then Landlord shall have the right to install, maintain, repair and replace mechanical, electrical and plumbing fixtures, devices, piping, ductwork and all other improvements through the floor above the Premises (which may penetrate through the ceiling of the Premises and be visible within the Premises during the course of construction and upon completion thereof); provided that (i) such work is performed in a commercially reasonable manner consistent with Comparable Buildings, (ii) such installations do not unreasonably interfere with or adversely affect Tenant’s use of or access to the Premises, the services or facilities provided thereto, or Tenant’s systems or equipment, and do not adversely affect the operation of Tenant’s laboratory equipment, HVAC systems or other systems serving the Premises, (iii) Landlord shall not diminish the usable or rentable area of the Premises or Tenant’s rights therein, (iv) Landlord shall provide Tenant with at least ten (10) business days prior notice (except in emergencies), and (v) Landlord shall promptly repair all damage caused and restore the Premises, equipment, furniture, and fixtures to a neat and safe condition consistent with other open ceilings in Comparable Buildings (the parties acknowledging that Landlord will not be able to restore the Premises to the condition existing immediately prior to such work). Landlord shall use commercially reasonable efforts to minimize interference with Tenant's use of, and operations in, the Premises in connection with Landlord's exercise of its rights pursuant to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Notwithstanding Tenant's occupancy of the Premises during the performance of any of Landlord's Repair Obligations, provided Landlord has used commercially reasonable efforts to minimize interference with Tenant's use of, or access to, the Premises and Parking Facilities, the performance of Landlord's Repair Obligations shall in no way constitute a constructive eviction of Tenant nor entitle Tenant to any abatement of Rent except as set forth in this Lease including Section 6.5 above. Tenant shall promptly and diligently cooperate with Landlord and any of the third parties performing Landlord's Repair Obligations in the Premises in order to reasonably facilitate the performance of such work in an efficient and timely manner provided the same shall not materially interfere with Tenant's use of, or access to, the Premises and Parking Facilities. Landlord's entry into the Premises to perform any repairs or maintenance hereunder shall be subject to </w:t>
      </w:r>
      <w:r>
        <w:rPr>
          <w:rFonts w:ascii="Times New Roman" w:cs="Times New Roman" w:eastAsia="Times New Roman" w:hAnsi="Times New Roman"/>
          <w:sz w:val="20"/>
          <w:szCs w:val="20"/>
          <w:u w:val="single" w:color="auto"/>
          <w:color w:val="auto"/>
        </w:rPr>
        <w:t>Article 27</w:t>
      </w:r>
      <w:r>
        <w:rPr>
          <w:rFonts w:ascii="Times New Roman" w:cs="Times New Roman" w:eastAsia="Times New Roman" w:hAnsi="Times New Roman"/>
          <w:sz w:val="20"/>
          <w:szCs w:val="20"/>
          <w:color w:val="auto"/>
        </w:rPr>
        <w:t xml:space="preserve"> below. Tenant hereby waives any and all rights under and benefits of subsection 1 of Section 1932 and Sections 1941 and 1942 of the California Civil Code or under any similar law, statute, or ordinance now or hereafter in effect.</w:t>
      </w:r>
    </w:p>
    <w:p>
      <w:pPr>
        <w:spacing w:after="0" w:line="20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7.3 </w:t>
      </w:r>
      <w:r>
        <w:rPr>
          <w:rFonts w:ascii="Times New Roman" w:cs="Times New Roman" w:eastAsia="Times New Roman" w:hAnsi="Times New Roman"/>
          <w:sz w:val="19"/>
          <w:szCs w:val="19"/>
          <w:b w:val="1"/>
          <w:bCs w:val="1"/>
          <w:u w:val="single" w:color="auto"/>
          <w:color w:val="auto"/>
        </w:rPr>
        <w:t>Tenant's Right to Make Repairs</w:t>
      </w:r>
      <w:r>
        <w:rPr>
          <w:rFonts w:ascii="Times New Roman" w:cs="Times New Roman" w:eastAsia="Times New Roman" w:hAnsi="Times New Roman"/>
          <w:sz w:val="19"/>
          <w:szCs w:val="19"/>
          <w:color w:val="auto"/>
        </w:rPr>
        <w:t xml:space="preserve">. Notwithstanding any terms set forth in this Lease to the contrary, if there is an "Emergency Repair Event" (defined below), and Landlord has not promptly responded and commenced Landlord's Repair Obligations relating to the Building Systems, Building Structure, or other repairs Landlord is required to perform pursuant to this Lease, Tenant shall have the right to take the required action without notice to Landlord. Other than with respect to Emergency Repair Events as set forth above, if Tenant provides Notice to Landlord of an event or circumstance which requires pursuant to the Lease the action of Landlord with respect to repair and/or maintenance required in the Building, but only to the extent such event or circumstance materially or adversely affects the conduct of Tenant's business from the Premises, and Landlord fails to commence corrective action within a reasonable period of time, given the circumstances, after the receipt of such Notice, but in any event not later than ten (10) days after receipt of such Notice, then Tenant may proceed to take the required action upon delivery of an additional two (2) business days' Notice to Landlord specifying that Tenant is taking such required action. If such action was required under the terms of this Lease to be taken by Landlord and was not commenced by Landlord within such ten (10) day period and thereafter diligently pursued to completion or was undertaken by Tenant due to an Emergency Repair Event, then Tenant shall be entitled to prompt reimbursement by Landlord of Tenant's reasonable costs and expenses in taking such action. If Tenant undertakes any repairs under this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Tenant shall (i) proceed in accordance with all Applicable Laws; (ii) retain only reputable, experienced contractors and suppliers duly licensed in the city in which the Building is located, and, if Landlord has furnished Tenant a reasonable list of approved contractors, such contractors shall be considered if they are available for work and charge market fees,</w:t>
      </w:r>
    </w:p>
    <w:p>
      <w:pPr>
        <w:jc w:val="both"/>
        <w:ind w:firstLine="8"/>
        <w:spacing w:after="0"/>
        <w:tabs>
          <w:tab w:leader="none" w:pos="36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 evidence to Landlord that all contractors and suppliers performing the repairs necessitated by an Emergency Repair Event are insured in accordance with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of this Lease; (iv) perform such repairs in a good and workmanlike, commercially reasonable manner and shall not knowingly invalidate any existing warranties for the Building to the extent Tenant has received prior written notice of such warranties; (v) use new or like new materials; (vi) take reasonable efforts to minimize interference or impact on other tenants and occupants of the Project; and (vii) comply with applicable requirements set forth in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of this Lease. Following completion of any work by Tenant pursuant to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Tenant shall deliver a detailed invoice of work completed, materials used, and related costs. Landlord shall reimburse Tenant for such invoiced amount within thirty (30) days after receipt of Tenant's invoice. If Landlord reasonably disputes such repairs were required or contends that such charges are excessive, Landlord must deliver written notice of such objections, setting forth with particularity its reasons, within five (5) business days after receipt of Tenant's additional two (2) business day Notice described above (prior to commencement of work). If Landlord timely delivers such objection, Tenant may still proceed to make repairs, without waiver of its rights, and may thereafter assert a claim of default against Landlord for reimbursement, but Tenant shall not then be entitled to offset any disputed amount against the Rent next due hereunder. If Tenant prevails in any action related to such default, Landlord shall reimburse Tenant for the disputed amount plus interest at the Interest Rate accruing from the date of expenditure until payment, together with Tenant's attorneys'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-25-</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41" w:gutter="0" w:footer="0" w:header="0"/>
        </w:sectPr>
      </w:pPr>
    </w:p>
    <w:bookmarkStart w:id="145" w:name="page146"/>
    <w:bookmarkEnd w:id="145"/>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fees and related costs. If Landlord fails to timely pay any undisputed amount due under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Tenant may offset such amount (plus interest at the Interest Rate) against Rent next due hereunder. For purposes of this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b w:val="1"/>
          <w:bCs w:val="1"/>
          <w:color w:val="auto"/>
        </w:rPr>
        <w:t>Emergency Repair Event</w:t>
      </w:r>
      <w:r>
        <w:rPr>
          <w:rFonts w:ascii="Times New Roman" w:cs="Times New Roman" w:eastAsia="Times New Roman" w:hAnsi="Times New Roman"/>
          <w:sz w:val="20"/>
          <w:szCs w:val="20"/>
          <w:color w:val="auto"/>
        </w:rPr>
        <w:t>" shall mean an event threatening material danger to persons located in the Premises, material damage to the Premises, the Improvements, Alterations, Tenant's Property or Tenant's Off-Premises Equipment, or creating a realistic possibility of material interference with or interruption of Tenant's business operations.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ADDITIONS AND ALTERATIONS</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u w:val="single" w:color="auto"/>
          <w:color w:val="auto"/>
        </w:rPr>
        <w:t>Landlord's Consent to Alterations</w:t>
      </w:r>
      <w:r>
        <w:rPr>
          <w:rFonts w:ascii="Times New Roman" w:cs="Times New Roman" w:eastAsia="Times New Roman" w:hAnsi="Times New Roman"/>
          <w:sz w:val="20"/>
          <w:szCs w:val="20"/>
          <w:color w:val="auto"/>
        </w:rPr>
        <w:t>. Tenant may not make any improvements, alterations, additions or changes to the Premises or any other portion of the Project, or install any Tenant's Off-Premises Equipment (collectively, the "</w:t>
      </w:r>
      <w:r>
        <w:rPr>
          <w:rFonts w:ascii="Times New Roman" w:cs="Times New Roman" w:eastAsia="Times New Roman" w:hAnsi="Times New Roman"/>
          <w:sz w:val="20"/>
          <w:szCs w:val="20"/>
          <w:b w:val="1"/>
          <w:bCs w:val="1"/>
          <w:color w:val="auto"/>
        </w:rPr>
        <w:t>Alterations</w:t>
      </w:r>
      <w:r>
        <w:rPr>
          <w:rFonts w:ascii="Times New Roman" w:cs="Times New Roman" w:eastAsia="Times New Roman" w:hAnsi="Times New Roman"/>
          <w:sz w:val="20"/>
          <w:szCs w:val="20"/>
          <w:color w:val="auto"/>
        </w:rPr>
        <w:t>") without the prior written consent of Landlord to such Alterations, which consent shall be requested by Tenant not less than fifteen (15) business days prior to the commencement thereof, and which consent shall not be unreasonably withheld, conditioned or delayed by Landlord, provided it shall be deemed reasonable for Landlord to withhold its consent to any Alteration which constitutes a Design Problem (without limitation as to any other reasonable grounds for Landlord to withhold its consent to any particular Alterations). A "</w:t>
      </w:r>
      <w:r>
        <w:rPr>
          <w:rFonts w:ascii="Times New Roman" w:cs="Times New Roman" w:eastAsia="Times New Roman" w:hAnsi="Times New Roman"/>
          <w:sz w:val="20"/>
          <w:szCs w:val="20"/>
          <w:b w:val="1"/>
          <w:bCs w:val="1"/>
          <w:color w:val="auto"/>
        </w:rPr>
        <w:t>Design Problem</w:t>
      </w:r>
      <w:r>
        <w:rPr>
          <w:rFonts w:ascii="Times New Roman" w:cs="Times New Roman" w:eastAsia="Times New Roman" w:hAnsi="Times New Roman"/>
          <w:sz w:val="20"/>
          <w:szCs w:val="20"/>
          <w:color w:val="auto"/>
        </w:rPr>
        <w:t>" is defined as, and will be deemed to exist if such Alterations will (i) adversely affect the exterior appearance of the Building; (ii) affect the Building Structure or adversely affect the Building Systems; (iii) fail to comply with Applicable Laws or applicable building codes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or would cause any other portion of the Project to fail to comply with Applicable Laws or Code, (iv) vitiate or otherwise negatively affect any warranty, guaranty, or insurance maintained by Landlord, (v) materially increase Landlord's Repair Obligations, (vi) materially and unreasonably interfere with any other tenant or occupant of the Project in a manner not customary for comparable alterations in Comparable Buildings,</w:t>
      </w:r>
    </w:p>
    <w:p>
      <w:pPr>
        <w:spacing w:after="0" w:line="10" w:lineRule="exact"/>
        <w:rPr>
          <w:sz w:val="20"/>
          <w:szCs w:val="20"/>
          <w:color w:val="auto"/>
        </w:rPr>
      </w:pPr>
    </w:p>
    <w:p>
      <w:pPr>
        <w:jc w:val="both"/>
        <w:ind w:firstLine="8"/>
        <w:spacing w:after="0" w:line="239" w:lineRule="auto"/>
        <w:tabs>
          <w:tab w:leader="none" w:pos="40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affect the certificate of occupancy or its legal equivalent for the Project or any portion thereof, (viii) impact any portion of the Project outside of the interior of the Premises (which shall include, without limitation, any Tenant's Off-Premises Equipment). If Landlord disapproves of any proposed Alterations, Landlord shall respond, in writing, stating the grounds for such disapproval, within fifteen (15) business days after receipt of Tenant's request for approval of the proposed Alterations. If Landlord fails to respond with its approval or disapproval within fifteen (15) business days after receipt of Tenant's request, then Tenant may send Landlord a reminder notice setting forth such failure containing the following sentence at the top of such notice in bold, capitalized font at least twelve (12) points in size:</w:t>
      </w:r>
    </w:p>
    <w:p>
      <w:pPr>
        <w:spacing w:after="0" w:line="2" w:lineRule="exact"/>
        <w:rPr>
          <w:rFonts w:ascii="Times New Roman" w:cs="Times New Roman" w:eastAsia="Times New Roman" w:hAnsi="Times New Roman"/>
          <w:sz w:val="20"/>
          <w:szCs w:val="20"/>
          <w:color w:val="auto"/>
        </w:rPr>
      </w:pPr>
    </w:p>
    <w:p>
      <w:pPr>
        <w:jc w:val="both"/>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LANDLORD'S FAILURE TO RESPOND TO THIS NOTICE WITHIN FIVE (5) DAYS SHALL RESULT IN LANDLORD'S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DEEMED APPROVAL OF TENANT'S ALTERATIONS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Reminder Notice</w:t>
      </w:r>
      <w:r>
        <w:rPr>
          <w:rFonts w:ascii="Times New Roman" w:cs="Times New Roman" w:eastAsia="Times New Roman" w:hAnsi="Times New Roman"/>
          <w:sz w:val="20"/>
          <w:szCs w:val="20"/>
          <w:color w:val="auto"/>
        </w:rPr>
        <w:t>"). If Landlord fails to respond within five (5) days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receipt of a Reminder Notice, then Tenant's Alterations for which Tenant requested Landlord's approval shall be deemed approved by Landlord. Notwithstanding the foregoing, Tenant shall be permitted to make Alterations without Landlord's consent, to the extent that such Alterations do not (a) constitute a Design Problem, (b) require a building or construction permit, or (c) cost more than Five Hundred Thousand and No/100 Dollars ($500,000.00) for a particular job of work (the "</w:t>
      </w:r>
      <w:r>
        <w:rPr>
          <w:rFonts w:ascii="Times New Roman" w:cs="Times New Roman" w:eastAsia="Times New Roman" w:hAnsi="Times New Roman"/>
          <w:sz w:val="20"/>
          <w:szCs w:val="20"/>
          <w:b w:val="1"/>
          <w:bCs w:val="1"/>
          <w:color w:val="auto"/>
        </w:rPr>
        <w:t>Cosmetic Alterations</w:t>
      </w:r>
      <w:r>
        <w:rPr>
          <w:rFonts w:ascii="Times New Roman" w:cs="Times New Roman" w:eastAsia="Times New Roman" w:hAnsi="Times New Roman"/>
          <w:sz w:val="20"/>
          <w:szCs w:val="20"/>
          <w:color w:val="auto"/>
        </w:rPr>
        <w:t xml:space="preserve">"). The construction of the initial Improvements to the Premises shall be governed by the terms of the Work Letter and not the terms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(provided, however, such initial Improvements shall be deemed to constitute Alterations for purposes of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15.2</w:t>
      </w:r>
      <w:r>
        <w:rPr>
          <w:rFonts w:ascii="Times New Roman" w:cs="Times New Roman" w:eastAsia="Times New Roman" w:hAnsi="Times New Roman"/>
          <w:sz w:val="20"/>
          <w:szCs w:val="20"/>
          <w:color w:val="auto"/>
        </w:rPr>
        <w:t xml:space="preserve"> below).</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b w:val="1"/>
          <w:bCs w:val="1"/>
          <w:u w:val="single" w:color="auto"/>
          <w:color w:val="auto"/>
        </w:rPr>
        <w:t>Manner of Construction</w:t>
      </w:r>
      <w:r>
        <w:rPr>
          <w:rFonts w:ascii="Times New Roman" w:cs="Times New Roman" w:eastAsia="Times New Roman" w:hAnsi="Times New Roman"/>
          <w:sz w:val="20"/>
          <w:szCs w:val="20"/>
          <w:color w:val="auto"/>
        </w:rPr>
        <w:t>. Landlord may impose, as a condition to Tenant's right to perform any Alterations, such requirements as Landlord in its reasonable discretion may deem desirable, including, but not limited to, (i) the requirement that Tenant utilize for such purposes only contractors reasonably approved by Landlord, which approval shall not be unreasonably withheld, conditioned or delayed, (ii) that Tenant enter into a construction contract that includes Landlord's commercially reasonable then-standard construction rider (or such other commercially reasonable construction rider as Landlord may reasonably require), which rider shall include, among other things, Landlord's insurance and indemnity requirements and (iii) any Cabling (including riser cables) installed by Tenant shall be (x) appropriately insulated to prevent excessive electromagnetic fields or radiation, (y) surrounded by a protective conduit reasonably acceptable to Landlord, and (z) identified in accordance with Landlord's Building standard requirements. If Landlord fails to respond with its approval or disapproval of Tenant's contractors within five (5) days, then Tenant's contractor for which Tenant requested Landlord's approval shall be deemed approved by Landlord. Tenant shall be solely responsible for acquiring any required permit for all Alterations, furnishing of a copy of such permit and approvals to Landlord prior to the commencement of the work, and complying with all conditions of said permit. If such Alterations will involve the use of or disturb Hazardous Materials, Tenant shall notify Landlord prior to performing such Alterations (if Tenant is aware that its work will be disturbing Hazardous Materials) and comply with Landlord's reasonable rules and regulations concerning such Hazardous Materials. Tenant shall construct all Alterations in a good and workmanlike manner, in conformance with any and all Applicable Laws and Landlord's reasonable construction rules and regulations; provided, however, that prior to commencing to construct any Alteration, Tenant shall meet with Landlord to discuss Landlord's design parameters and Code compliance issues. In performing the work of any such Alterations, Tenant shall have the work performed in such manner so as not to materially obstruct access to the Project or any portion thereof, by any other tenant of</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-26-</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38" w:gutter="0" w:footer="0" w:header="0"/>
        </w:sectPr>
      </w:pPr>
    </w:p>
    <w:bookmarkStart w:id="146" w:name="page147"/>
    <w:bookmarkEnd w:id="146"/>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 Project, and so as not to materially obstruct the business of Landlord or other tenants in the Project (other than typical obstruction reasonably associated with the performance of the Alterations). Tenant shall not use (and upon notice from Landlord shall cease using or shall cooperate with Landlord in good faith and use commercially reasonable efforts to establish protocols to attempt to reestablish and maintain labor harmony) contractors, services, workmen, labor, materials or equipment that, in Landlord's reasonable judgment, would disturb labor harmony with the workforce or trades engaged in performing other work, labor or services in or about the Project. In addition to Tenant's obligations under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this Lease, upon completion of any Alterations, Tenant shall cause a Notice of Completion to be recorded in the office of the Recorder of the county in which the Project is located in accordance with Section 8182 of the Civil Code of the State of California or any successor statute. Tenant shall, promptly following the completion of any Alterations, to the extent applicable, compile and deliver to Landlord a "close-out package" in such format reasonably designated by Landlord (e.g., paper and/or electronic files) containing, without limitation, the following items (to the extent deemed reasonably necessary by Landlord for the particular Alterations) to the extent applicable: (a) as-built drawings and final record CAD drawings, (b) copies of warranties and guarantees from all contractors, subcontractors and material suppliers, (c) copies of all permits, approvals and other documents issued by any governmental agency in connection with the Alterations, (d) an independent air balance report (but only if such Alterations affect the HVAC system), and (e) lien releases customarily obtained in connection with such Alterations, including from the general contractor and, to the extent customary, from subcontractors or suppliers with whom Tenant has a direct contract and with lien rights against the Project.</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b w:val="1"/>
          <w:bCs w:val="1"/>
          <w:u w:val="single" w:color="auto"/>
          <w:color w:val="auto"/>
        </w:rPr>
        <w:t>Payment for Alterations</w:t>
      </w:r>
      <w:r>
        <w:rPr>
          <w:rFonts w:ascii="Times New Roman" w:cs="Times New Roman" w:eastAsia="Times New Roman" w:hAnsi="Times New Roman"/>
          <w:sz w:val="20"/>
          <w:szCs w:val="20"/>
          <w:color w:val="auto"/>
        </w:rPr>
        <w:t>. Tenant is responsible for all of the costs Tenant incurs in performing any Alterations. In addition, in connection with all Alterations, other than Cosmetic Alterations, Tenant shall pay Landlord an oversight fee, which shall be equal to three percent (3%) of the hard cost of the Alterations for any work managed by Landlord and otherwise one percent (1%) of the hard cost of the Alterations for Tenant-managed/build jobs. Tenant shall also reimburse Landlord for Landlord's reasonable, out-of-pocket, third-party costs and expenses actually incurred in connection with Landlord's review of such Alterations (including, but not limited to, fees paid to consultants retained by Landlord to review plans and specifications for such Alterations).</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b w:val="1"/>
          <w:bCs w:val="1"/>
          <w:u w:val="single" w:color="auto"/>
          <w:color w:val="auto"/>
        </w:rPr>
        <w:t>Construction Insurance</w:t>
      </w:r>
      <w:r>
        <w:rPr>
          <w:rFonts w:ascii="Times New Roman" w:cs="Times New Roman" w:eastAsia="Times New Roman" w:hAnsi="Times New Roman"/>
          <w:sz w:val="20"/>
          <w:szCs w:val="20"/>
          <w:color w:val="auto"/>
        </w:rPr>
        <w:t xml:space="preserve">. In addition to the requirements of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of this Lease, in the event that Tenant makes any Alterations, prior to the commencement of such Alterations, Tenant shall provide Landlord with evidence that Tenant (or Tenant's contractor) carries "Builder's Risk" insurance in an amount reasonably approved by Landlord covering the construction of such Alterations, and such other insurance as Landlord may reasonably require provided that such insurance is commercially reasonable and consistent with that required for similar alterations in Comparable Buildings, it being understood and agreed that all of such Alterations shall be insured by Tenant pursuant to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of this Lease immediately upon completion thereof.</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b w:val="1"/>
          <w:bCs w:val="1"/>
          <w:u w:val="single" w:color="auto"/>
          <w:color w:val="auto"/>
        </w:rPr>
        <w:t>Ownership and Removal</w:t>
      </w:r>
      <w:r>
        <w:rPr>
          <w:rFonts w:ascii="Times New Roman" w:cs="Times New Roman" w:eastAsia="Times New Roman" w:hAnsi="Times New Roman"/>
          <w:sz w:val="20"/>
          <w:szCs w:val="20"/>
          <w:color w:val="auto"/>
        </w:rPr>
        <w:t xml:space="preserve">. All Alterations (excluding Tenant's Property and Tenant's Off-Premises Property) shall, upon completion of construction, become part of the Premises and the property of Landlord. Notwithstanding the foregoing, Tenant shall, at Tenant's expense, remove all Removal Items (defined below) upon the expiration or earlier termination of this Lease in accordance with the TCCs of </w:t>
      </w:r>
      <w:r>
        <w:rPr>
          <w:rFonts w:ascii="Times New Roman" w:cs="Times New Roman" w:eastAsia="Times New Roman" w:hAnsi="Times New Roman"/>
          <w:sz w:val="20"/>
          <w:szCs w:val="20"/>
          <w:u w:val="single" w:color="auto"/>
          <w:color w:val="auto"/>
        </w:rPr>
        <w:t>Section 15.2</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b w:val="1"/>
          <w:bCs w:val="1"/>
          <w:color w:val="auto"/>
        </w:rPr>
        <w:t>Removal Items</w:t>
      </w:r>
      <w:r>
        <w:rPr>
          <w:rFonts w:ascii="Times New Roman" w:cs="Times New Roman" w:eastAsia="Times New Roman" w:hAnsi="Times New Roman"/>
          <w:sz w:val="20"/>
          <w:szCs w:val="20"/>
          <w:color w:val="auto"/>
        </w:rPr>
        <w:t>" shall mean: (a) all Mandatory Removal Items (except to the extent otherwise designated by Landlord, in its sole and absolute discretion, by written notice to Tenant at least one hundred eighty (180) days prior to the end of the Lease Term, or following any earlier termination of this Lease), and (b) any other Alterations that constitute Specialty Improvements (defined below) that Landlord, by written notice to Tenant concurrently with Landlord's approval of such Alterations, requires Tenant, at Tenant's expense, to remove. "</w:t>
      </w:r>
      <w:r>
        <w:rPr>
          <w:rFonts w:ascii="Times New Roman" w:cs="Times New Roman" w:eastAsia="Times New Roman" w:hAnsi="Times New Roman"/>
          <w:sz w:val="20"/>
          <w:szCs w:val="20"/>
          <w:b w:val="1"/>
          <w:bCs w:val="1"/>
          <w:color w:val="auto"/>
        </w:rPr>
        <w:t>Mandatory Removal Items</w:t>
      </w:r>
      <w:r>
        <w:rPr>
          <w:rFonts w:ascii="Times New Roman" w:cs="Times New Roman" w:eastAsia="Times New Roman" w:hAnsi="Times New Roman"/>
          <w:sz w:val="20"/>
          <w:szCs w:val="20"/>
          <w:color w:val="auto"/>
        </w:rPr>
        <w:t xml:space="preserve">" shall mean: (i) any Alterations located outside of the Premises (including, without limitation, Tenant's Off-Premises Equipment), (ii) all Cabling, (iii) any other items, improvements or fixtures which Tenant is expressly required to remove pursuant to the terms of this Lease, (iv) any Alterations or signage incorporating Tenant's name or logo, and (v) any Alterations Tenant installed without Landlord's consent in violation of the TCC's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(or the Work Letter, as applicable). "</w:t>
      </w:r>
      <w:r>
        <w:rPr>
          <w:rFonts w:ascii="Times New Roman" w:cs="Times New Roman" w:eastAsia="Times New Roman" w:hAnsi="Times New Roman"/>
          <w:sz w:val="20"/>
          <w:szCs w:val="20"/>
          <w:b w:val="1"/>
          <w:bCs w:val="1"/>
          <w:color w:val="auto"/>
        </w:rPr>
        <w:t>Specialty Improvements</w:t>
      </w:r>
      <w:r>
        <w:rPr>
          <w:rFonts w:ascii="Times New Roman" w:cs="Times New Roman" w:eastAsia="Times New Roman" w:hAnsi="Times New Roman"/>
          <w:sz w:val="20"/>
          <w:szCs w:val="20"/>
          <w:color w:val="auto"/>
        </w:rPr>
        <w:t>" shall mean: (a) safes and vaults, (b) decorative water features; (c) specialized wallcoverings and ceilings, and flooring, including raised flooring; (d) conveyors and dumbwaiters; (e) any Alterations which (1) perforate a floor slab in the Premises or a wall that encloses/encapsulates the Building Structure, (2) involve material plumbing connections (such as kitchens and executive bathrooms outside of the Building core), or (3) require changes to the Base Building; and (f) supplemental HVAC equipment within the Premises and non-Building standard fire suppression systems; provided, however, that Specialty Improvements shall not include any improvements or installations typically used in connection with the Permitted Use. Notwithstanding anything to the contrary, in no event shall Tenant be required to remove the Improvements, or any Cosmetic Alterations.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-27-</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4"/>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COVENANT AGAINST LIENS</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Tenant shall keep the Project and Premises free from any liens or encumbrances arising out of the work performed, materials furnished, or obligations incurred by or on behalf of Tenant, and shall protect, defend, indemnify, and hold Landlord harmless from and against any Losses (as defined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below) arising out of same or in connection therewith. Tenant shall give Landlord notice at least fifteen (15) days prior to the commencement of any such work on the Premises (or such additional time as may be necessary under Applicable Laws) to afford Landlord the opportunity of posting and recording appropriate notices of non-responsibility (and Tenant shall, upon demand, reimburse Landlord for the costs and expenses incurred by Landlord in connection with preparing and recording any such notices of non-responsibility). Tenant shall remove any such lien or encumbrance by bond or otherwise within five (5) business days after receipt of written notice from Landlord, and if Tenant shall fail to do so, Landlord may pay the amount necessary to remove such lien or encumbrance, without being responsible for investigating the validity thereof. The amount so paid shall be deemed Additional Rent under this Lease payable within thirty (30) days of demand,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INDEMNIFICATION AND INSURANCE</w:t>
      </w:r>
    </w:p>
    <w:p>
      <w:pPr>
        <w:spacing w:after="0" w:line="21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b w:val="1"/>
          <w:bCs w:val="1"/>
          <w:u w:val="single" w:color="auto"/>
          <w:color w:val="auto"/>
        </w:rPr>
        <w:t>Indemnification and Waiver</w:t>
      </w:r>
      <w:r>
        <w:rPr>
          <w:rFonts w:ascii="Times New Roman" w:cs="Times New Roman" w:eastAsia="Times New Roman" w:hAnsi="Times New Roman"/>
          <w:sz w:val="20"/>
          <w:szCs w:val="20"/>
          <w:color w:val="auto"/>
        </w:rPr>
        <w:t>. Because Tenant is required to insure Tenant's Insured Property and because of the requirements to provide waivers of subrogation, Tenant hereby assumes all risk of damage to Tenant's Insured Property subject to the provisions of the waiver of subrogation set forth below. Tenant also hereby assumes risk of injury to persons in, upon or about the Premises from any cause whatsoever, except to the extent caused by the negligence or willful misconduct of the Landlord Parties. Landlord, its partners, subpartners and their respective officers, agents, servants, employees, and independent contractors (collectively,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shall not be liable for, and are hereby released from any responsibility for, any damage either to person or property or resulting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loss of use thereof, which damage is sustained by Tenant or by other persons claiming through Tenant, except to the extent of damage to Landlord's Insured Property, subject to the waiver of subrogation, and except for injury to persons to the extent caused by the negligence or willful misconduct of the Landlord Parties. Tenant shall indemnify, defend, protect, and hold harmless the Landlord Parties from and against any and all claims, losses, costs, damages, expenses, causes of action, proceedings and liability (including without limitation court costs and reasonable attorneys' fees) (collectively, "</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to the extent incurred in connection with or arising from: (i) any causes in the Premises during the Lease Term; (ii) any activity, work, or thing done, or permitted or suffered by Tenant or any person claiming under Tenant, its Transferees, or the contractors, agents, employees, invitees, or visitors of Tenant or its Transferees or any such person, in, on or about the Project (collectively, "</w:t>
      </w:r>
      <w:r>
        <w:rPr>
          <w:rFonts w:ascii="Times New Roman" w:cs="Times New Roman" w:eastAsia="Times New Roman" w:hAnsi="Times New Roman"/>
          <w:sz w:val="20"/>
          <w:szCs w:val="20"/>
          <w:b w:val="1"/>
          <w:bCs w:val="1"/>
          <w:color w:val="auto"/>
        </w:rPr>
        <w:t>Tenant Parties</w:t>
      </w:r>
      <w:r>
        <w:rPr>
          <w:rFonts w:ascii="Times New Roman" w:cs="Times New Roman" w:eastAsia="Times New Roman" w:hAnsi="Times New Roman"/>
          <w:sz w:val="20"/>
          <w:szCs w:val="20"/>
          <w:color w:val="auto"/>
        </w:rPr>
        <w:t xml:space="preserve">"); (iii) any breach by Tenant of any term, covenant, or provision of Applicable Laws; or (iv) the placement of any of Tenant's Property or any of Tenant's Off-Premises Equipment. Notwithstanding the foregoing, if Landlord or any Landlord Parties are found to be wholly or partially negligent or to have acted with willful misconduct relating to any of Tenant's foregoing indemnification obligations, Landlord shall be responsible for paying all or a portion of the applicable damage award, including reasonable attorneys' fees, such portion to be determined based on the extent to which the damage was caused by the negligence or willful misconduct of Landlord or any Landlord Parties. Should Landlord be named as a defendant in any suit brought against Tenant in connection with or arising out of Tenant's occupancy of the Premises, Tenant shall pay to Landlord its reasonable, out-of-pocket costs and expenses incurred in such suit, including without limitation, its actual reasonable professional fees such as appraisers', accountants' and attorneys' fees. Landlord shall indemnify, defend and hold harmless Tenant and the Tenant Parties from and against any and all Losses arising in the Base Building and Common Areas from the negligence or willful misconduct of Landlord or any Landlord Party. Notwithstanding the foregoing, if Tenant or any Tenant Parties are found to be wholly or partially negligent or to have acted with willful misconduct relating to any of Landlord’s foregoing indemnification obligations, Tenant shall be responsible for paying all or a portion of the applicable damage award, including reasonable attorneys' fees, such portion to be determined based on the extent to which the damage was caused by the negligence or willful misconduct of Tenant or any Tenant Parties. Should Tenant be named as a defendant in any suit brought against Landlord in connection with or arising out of Landlord’s ownership, operation, management, maintenance or repair of the Building or Project, Landlord shall pay to Tenant its reasonable, out-of-pocket costs and expenses incurred in such suit, including without limitation, its actual reasonable professional fees such as appraisers', accountants' and attorneys' fees. Further, Tenant's or Landlord’s agreement to indemnify the other pursuant to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is not intended and shall not relieve any</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-28-</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09" w:gutter="0" w:footer="0" w:header="0"/>
        </w:sectPr>
      </w:pPr>
    </w:p>
    <w:bookmarkStart w:id="148" w:name="page149"/>
    <w:bookmarkEnd w:id="148"/>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insurance carrier of its obligations under policies required to be carried by such party pursuant to the provisions of this Lease, to the extent such policies cover the matters subject to such party’s indemnification obligations; nor shall they supersede any inconsistent agreement of the parties set forth in any other provision of this Lease. The provisions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shall survive the expiration or sooner termination of this Lease with respect to any Losses arising in connection with any event occurring prior to such expiration or termination.</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b w:val="1"/>
          <w:bCs w:val="1"/>
          <w:u w:val="single" w:color="auto"/>
          <w:color w:val="auto"/>
        </w:rPr>
        <w:t>Landlord's Insurance</w:t>
      </w:r>
      <w:r>
        <w:rPr>
          <w:rFonts w:ascii="Times New Roman" w:cs="Times New Roman" w:eastAsia="Times New Roman" w:hAnsi="Times New Roman"/>
          <w:sz w:val="20"/>
          <w:szCs w:val="20"/>
          <w:color w:val="auto"/>
        </w:rPr>
        <w:t>. Landlord shall maintain insurance against loss or damage with respect to the portions of the Project constituting Landlord's Repair Obligations (collectively, "</w:t>
      </w:r>
      <w:r>
        <w:rPr>
          <w:rFonts w:ascii="Times New Roman" w:cs="Times New Roman" w:eastAsia="Times New Roman" w:hAnsi="Times New Roman"/>
          <w:sz w:val="20"/>
          <w:szCs w:val="20"/>
          <w:b w:val="1"/>
          <w:bCs w:val="1"/>
          <w:color w:val="auto"/>
        </w:rPr>
        <w:t>Landlord's Insured Property</w:t>
      </w:r>
      <w:r>
        <w:rPr>
          <w:rFonts w:ascii="Times New Roman" w:cs="Times New Roman" w:eastAsia="Times New Roman" w:hAnsi="Times New Roman"/>
          <w:sz w:val="20"/>
          <w:szCs w:val="20"/>
          <w:color w:val="auto"/>
        </w:rPr>
        <w:t xml:space="preserve">") on a Special Form or equivalent type insurance form, with customary exceptions, subject to such commercially reasonable deductibles and commercially reasonable self-insured retentions (consistent with the practices of landlords of Comparable Buildings) as Landlord may reasonably determine, in an amount equal to at least the replacement value of Landlord's Insured Property. Such insurance shall be maintained with an insurance company selected by Landlord which meets the requirements of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below. Payment for losses thereunder shall be made solely to Landlord. Landlord may maintain such additional insurance with respect to the Project, including, without limitation, earthquake insurance, terrorism insurance, flood insurance, liability insurance and/or rent insurance, as Landlord may in its reasonable discretion elect. Landlord may also maintain such other insurance as may from time to time be required by a Mortgagee (as defined in </w:t>
      </w:r>
      <w:r>
        <w:rPr>
          <w:rFonts w:ascii="Times New Roman" w:cs="Times New Roman" w:eastAsia="Times New Roman" w:hAnsi="Times New Roman"/>
          <w:sz w:val="20"/>
          <w:szCs w:val="20"/>
          <w:u w:val="single" w:color="auto"/>
          <w:color w:val="auto"/>
        </w:rPr>
        <w:t>Article 18</w:t>
      </w:r>
      <w:r>
        <w:rPr>
          <w:rFonts w:ascii="Times New Roman" w:cs="Times New Roman" w:eastAsia="Times New Roman" w:hAnsi="Times New Roman"/>
          <w:sz w:val="20"/>
          <w:szCs w:val="20"/>
          <w:color w:val="auto"/>
        </w:rPr>
        <w:t xml:space="preserve"> below). Any or all of Landlord's insurance may be provided by blanket coverage maintained by Landlord or any affiliate of Landlord under its insurance program for its portfolio of properties. Tenant shall, at Tenant's expense, comply with Landlord's insurance company reasonable requirements pertaining to the use of the Premises. If Tenant's conduct or use of the Premises causes any increase in the premium for such insurance policies above the premium that would otherwise by payable for the Permitted Use, then Tenant shall reimburse Landlord for any such increase. Tenant, at Tenant's expense, shall comply with all rules, orders, regulations or requirements of the American Insurance Association (formerly the National Board of Fire Underwriters) and with any similar body. Notwithstanding the foregoing provisions of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the coverage, deductibles, types and amounts of insurance carried by Landlord in connection with the Project shall be materially comparable to the coverage, deductibles, types and amounts of insurance which are carried by landlords of Comparable Life Sciences Projects.</w:t>
      </w:r>
    </w:p>
    <w:p>
      <w:pPr>
        <w:spacing w:after="0" w:line="19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 xml:space="preserve">10.3 </w:t>
      </w:r>
      <w:r>
        <w:rPr>
          <w:rFonts w:ascii="Times New Roman" w:cs="Times New Roman" w:eastAsia="Times New Roman" w:hAnsi="Times New Roman"/>
          <w:sz w:val="19"/>
          <w:szCs w:val="19"/>
          <w:b w:val="1"/>
          <w:bCs w:val="1"/>
          <w:u w:val="single" w:color="auto"/>
          <w:color w:val="auto"/>
        </w:rPr>
        <w:t>Tenant's Insurance</w:t>
      </w:r>
      <w:r>
        <w:rPr>
          <w:rFonts w:ascii="Times New Roman" w:cs="Times New Roman" w:eastAsia="Times New Roman" w:hAnsi="Times New Roman"/>
          <w:sz w:val="19"/>
          <w:szCs w:val="19"/>
          <w:color w:val="auto"/>
        </w:rPr>
        <w:t>. By the earlier of (i) the date on which Tenant enters the applicable Phase of the Premises pursuant to Section 7.1 of the Work Letter, or (ii) the applicable Phase Commencement Date for such Phase of the Premises (such earlier date, with respect to each Phase of the Premises, is the "</w:t>
      </w:r>
      <w:r>
        <w:rPr>
          <w:rFonts w:ascii="Times New Roman" w:cs="Times New Roman" w:eastAsia="Times New Roman" w:hAnsi="Times New Roman"/>
          <w:sz w:val="19"/>
          <w:szCs w:val="19"/>
          <w:b w:val="1"/>
          <w:bCs w:val="1"/>
          <w:color w:val="auto"/>
        </w:rPr>
        <w:t>Insurance Commencement Date</w:t>
      </w:r>
      <w:r>
        <w:rPr>
          <w:rFonts w:ascii="Times New Roman" w:cs="Times New Roman" w:eastAsia="Times New Roman" w:hAnsi="Times New Roman"/>
          <w:sz w:val="19"/>
          <w:szCs w:val="19"/>
          <w:color w:val="auto"/>
        </w:rPr>
        <w:t xml:space="preserve">"), and thereafter throughout and until the end of the Lease Term, and after the end of the Lease Term but only so long as Tenant or anyone acting by, through or under Tenant remains in occupancy of the Premises, Tenant shall maintain the following insurance coverages in at least the amounts set forth below; provided, however, Landlord makes no representation that the limits or forms of coverage specified herein are adequate to cover Tenant's property, business operations or obligations under this Lease. The required evidence of coverage must be delivered to Landlord on or before the dates required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10.4</w:t>
      </w:r>
      <w:r>
        <w:rPr>
          <w:rFonts w:ascii="Times New Roman" w:cs="Times New Roman" w:eastAsia="Times New Roman" w:hAnsi="Times New Roman"/>
          <w:sz w:val="19"/>
          <w:szCs w:val="19"/>
          <w:color w:val="auto"/>
        </w:rPr>
        <w:t xml:space="preserve"> below. Such policies shall be for a term of at least one (1) year, or the length of the remaining term of this Lease, whichever is less.</w:t>
      </w:r>
    </w:p>
    <w:p>
      <w:pPr>
        <w:spacing w:after="0" w:line="177"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9"/>
          <w:szCs w:val="19"/>
          <w:color w:val="auto"/>
        </w:rPr>
        <w:t>10.3.1 Commercial General Liability Insurance, including Broad Form contractual liability covering the insured against claims of bodily injury, personal injury and property damage (including loss of use thereof) based upon or arising out of Tenant's operations, occupancy or maintenance of the Premises and all areas appurtenant thereto. Such insurance shall be written on an "occurrence" basis. Landlord and any other party the Landlord so specifies that has a material financial interest in the Project, including Landlord's managing agent, ground lessor and/or lender, if any (collectively, "</w:t>
      </w:r>
      <w:r>
        <w:rPr>
          <w:rFonts w:ascii="Times New Roman" w:cs="Times New Roman" w:eastAsia="Times New Roman" w:hAnsi="Times New Roman"/>
          <w:sz w:val="19"/>
          <w:szCs w:val="19"/>
          <w:b w:val="1"/>
          <w:bCs w:val="1"/>
          <w:color w:val="auto"/>
        </w:rPr>
        <w:t>Additional Insureds</w:t>
      </w:r>
      <w:r>
        <w:rPr>
          <w:rFonts w:ascii="Times New Roman" w:cs="Times New Roman" w:eastAsia="Times New Roman" w:hAnsi="Times New Roman"/>
          <w:sz w:val="19"/>
          <w:szCs w:val="19"/>
          <w:color w:val="auto"/>
        </w:rPr>
        <w:t>"), shall be named as additional insureds as their interests may appear using Insurance Service Organization's form CG2011 or a comparable form reasonably approved by Landlord. Tenant shall provide an endorsement or policy excerpt showing that Tenant's coverage is primary and any insurance carried by Landlord shall be excess and non-contributing. The coverage shall also be extended to include damage caused by heat, smoke or fumes from a hostile fire. The policy shall not contain any intra-insured exclusions as between insured persons or organizations. This policy shall include coverage for all Losses assumed under this Lease as an insured contract for the performance of all of Tenant's indemnity obligations under this Lease. The limits of said insurance shall not, however, limit the liability of Tenant nor relieve Tenant of any obligation hereunder. Limits of liability insurance shall not be less than the following, provided, however, that such limits may be achieved through the use of an Umbrella/Excess Policy: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40"/>
        <w:spacing w:after="0"/>
        <w:tabs>
          <w:tab w:leader="none" w:pos="6200" w:val="left"/>
        </w:tabs>
        <w:rPr>
          <w:sz w:val="20"/>
          <w:szCs w:val="20"/>
          <w:color w:val="auto"/>
        </w:rPr>
      </w:pPr>
      <w:r>
        <w:rPr>
          <w:rFonts w:ascii="Times New Roman" w:cs="Times New Roman" w:eastAsia="Times New Roman" w:hAnsi="Times New Roman"/>
          <w:sz w:val="20"/>
          <w:szCs w:val="20"/>
          <w:color w:val="auto"/>
        </w:rPr>
        <w:t>Bodily Injury and</w:t>
      </w:r>
      <w:r>
        <w:rPr>
          <w:sz w:val="20"/>
          <w:szCs w:val="20"/>
          <w:color w:val="auto"/>
        </w:rPr>
        <w:tab/>
      </w:r>
      <w:r>
        <w:rPr>
          <w:rFonts w:ascii="Times New Roman" w:cs="Times New Roman" w:eastAsia="Times New Roman" w:hAnsi="Times New Roman"/>
          <w:sz w:val="19"/>
          <w:szCs w:val="19"/>
          <w:color w:val="auto"/>
        </w:rPr>
        <w:t>$5,000,000 each occurrence</w:t>
      </w:r>
    </w:p>
    <w:p>
      <w:pPr>
        <w:spacing w:after="0" w:line="2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Property Damage Liability</w:t>
      </w:r>
    </w:p>
    <w:p>
      <w:pPr>
        <w:spacing w:after="0" w:line="194" w:lineRule="exact"/>
        <w:rPr>
          <w:sz w:val="20"/>
          <w:szCs w:val="20"/>
          <w:color w:val="auto"/>
        </w:rPr>
      </w:pPr>
    </w:p>
    <w:p>
      <w:pPr>
        <w:ind w:left="1040"/>
        <w:spacing w:after="0"/>
        <w:tabs>
          <w:tab w:leader="none" w:pos="6200" w:val="left"/>
        </w:tabs>
        <w:rPr>
          <w:sz w:val="20"/>
          <w:szCs w:val="20"/>
          <w:color w:val="auto"/>
        </w:rPr>
      </w:pPr>
      <w:r>
        <w:rPr>
          <w:rFonts w:ascii="Times New Roman" w:cs="Times New Roman" w:eastAsia="Times New Roman" w:hAnsi="Times New Roman"/>
          <w:sz w:val="20"/>
          <w:szCs w:val="20"/>
          <w:color w:val="auto"/>
        </w:rPr>
        <w:t>Personal Injury and Advertising Liability</w:t>
      </w:r>
      <w:r>
        <w:rPr>
          <w:sz w:val="20"/>
          <w:szCs w:val="20"/>
          <w:color w:val="auto"/>
        </w:rPr>
        <w:tab/>
      </w:r>
      <w:r>
        <w:rPr>
          <w:rFonts w:ascii="Times New Roman" w:cs="Times New Roman" w:eastAsia="Times New Roman" w:hAnsi="Times New Roman"/>
          <w:sz w:val="19"/>
          <w:szCs w:val="19"/>
          <w:color w:val="auto"/>
        </w:rPr>
        <w:t>$5,000,000 each occurrence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line="232" w:lineRule="auto"/>
        <w:rPr>
          <w:sz w:val="20"/>
          <w:szCs w:val="20"/>
          <w:color w:val="auto"/>
        </w:rPr>
      </w:pPr>
      <w:r>
        <w:rPr>
          <w:rFonts w:ascii="Times New Roman" w:cs="Times New Roman" w:eastAsia="Times New Roman" w:hAnsi="Times New Roman"/>
          <w:sz w:val="13"/>
          <w:szCs w:val="13"/>
          <w:color w:val="auto"/>
        </w:rPr>
        <w:t>[Olema Pharmaceuticals, Inc.] [Kilroy Oyster Point] [365 Oyster Point Blvd.]</w:t>
      </w:r>
    </w:p>
    <w:p>
      <w:pPr>
        <w:sectPr>
          <w:pgSz w:w="11900" w:h="16838" w:orient="portrait"/>
          <w:cols w:equalWidth="0" w:num="2">
            <w:col w:w="8980" w:space="720"/>
            <w:col w:w="1540"/>
          </w:cols>
          <w:pgMar w:left="320" w:top="1440" w:right="339" w:bottom="1440" w:gutter="0" w:footer="0" w:header="0"/>
          <w:type w:val="continuous"/>
        </w:sectPr>
      </w:pPr>
    </w:p>
    <w:bookmarkStart w:id="149" w:name="page150"/>
    <w:bookmarkEnd w:id="149"/>
    <w:p>
      <w:pPr>
        <w:spacing w:after="0" w:line="189"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Tenant Legal Liability/Damage to Rented Premises</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$2,000,000.00</w:t>
            </w:r>
          </w:p>
        </w:tc>
      </w:tr>
      <w:tr>
        <w:trPr>
          <w:trHeight w:val="258"/>
        </w:trPr>
        <w:tc>
          <w:tcPr>
            <w:tcW w:w="4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Liability</w:t>
            </w:r>
          </w:p>
        </w:tc>
        <w:tc>
          <w:tcPr>
            <w:tcW w:w="1700" w:type="dxa"/>
            <w:vAlign w:val="bottom"/>
          </w:tcPr>
          <w:p>
            <w:pPr>
              <w:spacing w:after="0"/>
              <w:rPr>
                <w:sz w:val="22"/>
                <w:szCs w:val="22"/>
                <w:color w:val="auto"/>
              </w:rPr>
            </w:pPr>
          </w:p>
        </w:tc>
      </w:tr>
    </w:tbl>
    <w:p>
      <w:pPr>
        <w:spacing w:after="0" w:line="187" w:lineRule="exact"/>
        <w:rPr>
          <w:sz w:val="20"/>
          <w:szCs w:val="20"/>
          <w:color w:val="auto"/>
        </w:rPr>
      </w:pPr>
    </w:p>
    <w:p>
      <w:pPr>
        <w:jc w:val="both"/>
        <w:ind w:firstLine="1497"/>
        <w:spacing w:after="0" w:line="233" w:lineRule="exact"/>
        <w:rPr>
          <w:sz w:val="20"/>
          <w:szCs w:val="20"/>
          <w:color w:val="auto"/>
        </w:rPr>
      </w:pPr>
      <w:r>
        <w:rPr>
          <w:rFonts w:ascii="Times New Roman" w:cs="Times New Roman" w:eastAsia="Times New Roman" w:hAnsi="Times New Roman"/>
          <w:sz w:val="20"/>
          <w:szCs w:val="20"/>
          <w:color w:val="auto"/>
        </w:rPr>
        <w:t>10.3.2 Property Insurance covering (i) Tenant's Property and Tenant's Off-Premises Equipment, (ii) the Improvements, and any other improvements which exist in the applicable Phase of the Premises as of the Commencement Date for such Phase of the Premises (excluding Landlord's Insured Property) (the "</w:t>
      </w:r>
      <w:r>
        <w:rPr>
          <w:rFonts w:ascii="Times New Roman" w:cs="Times New Roman" w:eastAsia="Times New Roman" w:hAnsi="Times New Roman"/>
          <w:sz w:val="20"/>
          <w:szCs w:val="20"/>
          <w:b w:val="1"/>
          <w:bCs w:val="1"/>
          <w:color w:val="auto"/>
        </w:rPr>
        <w:t>Original Improvements</w:t>
      </w:r>
      <w:r>
        <w:rPr>
          <w:rFonts w:ascii="Times New Roman" w:cs="Times New Roman" w:eastAsia="Times New Roman" w:hAnsi="Times New Roman"/>
          <w:sz w:val="20"/>
          <w:szCs w:val="20"/>
          <w:color w:val="auto"/>
        </w:rPr>
        <w:t>"), and (iii) all Alterations and Specialized Systems (items (i), (ii) and (iii) are collectively, "</w:t>
      </w:r>
      <w:r>
        <w:rPr>
          <w:rFonts w:ascii="Times New Roman" w:cs="Times New Roman" w:eastAsia="Times New Roman" w:hAnsi="Times New Roman"/>
          <w:sz w:val="20"/>
          <w:szCs w:val="20"/>
          <w:b w:val="1"/>
          <w:bCs w:val="1"/>
          <w:color w:val="auto"/>
        </w:rPr>
        <w:t>Tenant's Insured Property</w:t>
      </w:r>
      <w:r>
        <w:rPr>
          <w:rFonts w:ascii="Times New Roman" w:cs="Times New Roman" w:eastAsia="Times New Roman" w:hAnsi="Times New Roman"/>
          <w:sz w:val="20"/>
          <w:szCs w:val="20"/>
          <w:color w:val="auto"/>
        </w:rPr>
        <w:t>"). Such insurance shall be written on a Special Form basis, for the full replacement cost value (subject to reasonable deductible amounts), without deduction for depreciation of the covered items and in amounts that meet any co-insurance clauses of the policies of insurance and shall include coverage for (a) all perils included in the Special Form policy, (b) water damage from any cause, including, but not limited to, sprinkler leakage, bursting, leaking or stoppage of any pipes, explosion, and backup or overflow from sewers or drains, and (c) terrorism (to the extent such terrorism insurance is available as a result of the Terrorism Risk Insurance Act of 2002 (Pub. L. 107-297, 116 Stat. 2322), the Terrorism Risk Insurance Program Reauthorization Act of 2005 (Pub. l. 109</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144), and the Terrorism Risk Insurance Program Reauthorization Act of 2007 (Pub. L. 110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160, 121 Stat. 183), any successor statute or regulation, or is otherwise available at commercially reasonable rates). Tenant shall use the proceeds from any such insurance for the replacement of Tenant's Insured Property.</w:t>
      </w:r>
    </w:p>
    <w:p>
      <w:pPr>
        <w:spacing w:after="0" w:line="189" w:lineRule="exact"/>
        <w:rPr>
          <w:sz w:val="20"/>
          <w:szCs w:val="20"/>
          <w:color w:val="auto"/>
        </w:rPr>
      </w:pPr>
    </w:p>
    <w:p>
      <w:pPr>
        <w:ind w:right="20" w:firstLine="1497"/>
        <w:spacing w:after="0" w:line="269" w:lineRule="auto"/>
        <w:rPr>
          <w:sz w:val="20"/>
          <w:szCs w:val="20"/>
          <w:color w:val="auto"/>
        </w:rPr>
      </w:pPr>
      <w:r>
        <w:rPr>
          <w:rFonts w:ascii="Times New Roman" w:cs="Times New Roman" w:eastAsia="Times New Roman" w:hAnsi="Times New Roman"/>
          <w:sz w:val="20"/>
          <w:szCs w:val="20"/>
          <w:color w:val="auto"/>
        </w:rPr>
        <w:t xml:space="preserve">10.3.3 Business Income/Interruption insurance covering a one-year period in such amounts as will reimburse Tenant for actual direct or indirect loss of earnings attributable to the risks outlined in </w:t>
      </w:r>
      <w:r>
        <w:rPr>
          <w:rFonts w:ascii="Times New Roman" w:cs="Times New Roman" w:eastAsia="Times New Roman" w:hAnsi="Times New Roman"/>
          <w:sz w:val="20"/>
          <w:szCs w:val="20"/>
          <w:u w:val="single" w:color="auto"/>
          <w:color w:val="auto"/>
        </w:rPr>
        <w:t>Section 10.3.2</w:t>
      </w:r>
      <w:r>
        <w:rPr>
          <w:rFonts w:ascii="Times New Roman" w:cs="Times New Roman" w:eastAsia="Times New Roman" w:hAnsi="Times New Roman"/>
          <w:sz w:val="20"/>
          <w:szCs w:val="20"/>
          <w:color w:val="auto"/>
        </w:rPr>
        <w:t xml:space="preserve"> above.</w:t>
      </w:r>
    </w:p>
    <w:p>
      <w:pPr>
        <w:spacing w:after="0" w:line="159" w:lineRule="exact"/>
        <w:rPr>
          <w:sz w:val="20"/>
          <w:szCs w:val="20"/>
          <w:color w:val="auto"/>
        </w:rPr>
      </w:pPr>
    </w:p>
    <w:p>
      <w:pPr>
        <w:ind w:right="60" w:firstLine="1497"/>
        <w:spacing w:after="0" w:line="269" w:lineRule="auto"/>
        <w:rPr>
          <w:sz w:val="20"/>
          <w:szCs w:val="20"/>
          <w:color w:val="auto"/>
        </w:rPr>
      </w:pPr>
      <w:r>
        <w:rPr>
          <w:rFonts w:ascii="Times New Roman" w:cs="Times New Roman" w:eastAsia="Times New Roman" w:hAnsi="Times New Roman"/>
          <w:sz w:val="20"/>
          <w:szCs w:val="20"/>
          <w:color w:val="auto"/>
        </w:rPr>
        <w:t>10.3.4 Worker's Compensation or other similar insurance pursuant to all applicable state and local statutes and regulations, and Employer's Liability with minimum limits of not less than $1,000,000 each accident/employee/disease.</w:t>
      </w:r>
    </w:p>
    <w:p>
      <w:pPr>
        <w:spacing w:after="0" w:line="159" w:lineRule="exact"/>
        <w:rPr>
          <w:sz w:val="20"/>
          <w:szCs w:val="20"/>
          <w:color w:val="auto"/>
        </w:rPr>
      </w:pPr>
    </w:p>
    <w:p>
      <w:pPr>
        <w:ind w:right="20" w:firstLine="1497"/>
        <w:spacing w:after="0" w:line="269" w:lineRule="auto"/>
        <w:rPr>
          <w:sz w:val="20"/>
          <w:szCs w:val="20"/>
          <w:color w:val="auto"/>
        </w:rPr>
      </w:pPr>
      <w:r>
        <w:rPr>
          <w:rFonts w:ascii="Times New Roman" w:cs="Times New Roman" w:eastAsia="Times New Roman" w:hAnsi="Times New Roman"/>
          <w:sz w:val="20"/>
          <w:szCs w:val="20"/>
          <w:color w:val="auto"/>
        </w:rPr>
        <w:t>10.3.5 If applicable, Commercial Automobile Liability Insurance covering all Owned (if any), Hired, or Non-owned vehicles with limits not less than $1,000,000 combined single limit for bodily injury and property damage.</w:t>
      </w:r>
    </w:p>
    <w:p>
      <w:pPr>
        <w:spacing w:after="0" w:line="155" w:lineRule="exact"/>
        <w:rPr>
          <w:sz w:val="20"/>
          <w:szCs w:val="20"/>
          <w:color w:val="auto"/>
        </w:rPr>
      </w:pPr>
    </w:p>
    <w:p>
      <w:pPr>
        <w:jc w:val="both"/>
        <w:ind w:firstLine="749"/>
        <w:spacing w:after="0" w:line="233" w:lineRule="exact"/>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b w:val="1"/>
          <w:bCs w:val="1"/>
          <w:u w:val="single" w:color="auto"/>
          <w:color w:val="auto"/>
        </w:rPr>
        <w:t>Form of Policies</w:t>
      </w:r>
      <w:r>
        <w:rPr>
          <w:rFonts w:ascii="Times New Roman" w:cs="Times New Roman" w:eastAsia="Times New Roman" w:hAnsi="Times New Roman"/>
          <w:sz w:val="20"/>
          <w:szCs w:val="20"/>
          <w:color w:val="auto"/>
        </w:rPr>
        <w:t>. The minimum limits of policies of insurance required of Tenant under this Lease shall in no event limit the liability of Tenant under this Lease. Such insurance shall (i) be issued by an insurance company having an AM Best rating of not less than 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VII (or to the extent AM Best ratings are no longer available, then a similar rating from another comparable rating agency), or which is otherwise reasonably acceptable to Landlord and licensed to do business in the State of California, (ii) in form and content reasonably acceptable to Landlord and complying with the requirements of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(iii) Tenant shall not do or permit to be done anything which invalidates the required insurance policies, and (iv) Tenant shall endeavor to provide that said insurance shall not be canceled or coverage changed unless thirty (30) days' prior written notice shall have been given to Landlord and any Mortgagee, the identity of whom has been provided to Tenant in writing. Tenant shall deliver certificates thereof and applicable endorsements which meet the requirements of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to Landlord on or before the applicable Insurance Commencement Date for such Phase of the Premises, and five (5) business days after the renewal of such policies. In the event Tenant shall fail to procure such insurance, or to deliver such certificates and applicable endorsements, Landlord may, at its option, after written notice to Tenant and Tenant's failure to obtain such insurance within five (5) business days thereafter, procure such policies for the account of Tenant and the reasonable, out-of-pocket cost thereof shall be paid to Landlord within thirty (30) days of delivery to Tenant of bills therefor.</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b w:val="1"/>
          <w:bCs w:val="1"/>
          <w:u w:val="single" w:color="auto"/>
          <w:color w:val="auto"/>
        </w:rPr>
        <w:t>Property Insurance Subrogation</w:t>
      </w:r>
      <w:r>
        <w:rPr>
          <w:rFonts w:ascii="Times New Roman" w:cs="Times New Roman" w:eastAsia="Times New Roman" w:hAnsi="Times New Roman"/>
          <w:sz w:val="20"/>
          <w:szCs w:val="20"/>
          <w:color w:val="auto"/>
        </w:rPr>
        <w:t xml:space="preserve">. Landlord and Tenant intend that their respective property loss risks shall be borne by their respective insurance carriers,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Landlord and Tenant agree that their respective property insurance policies shall include a waiver of (i) subrogation by the insurers, and (ii) all rights based upon an assignment from its insured, against Landlord and/or any of the Landlord Parties or Tenant and/or any of the Tenant Parties (as the case may be) in connection with any property loss risk thereby insured against. Tenant will cause all subtenants and licensees of the Premises claiming by, under, or through Tenant to execute and deliver to Landlord a waiver of claims similar to the waiver in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and to obtain such waiver of subrogation rights endorsements, provided Landlord hereby agrees that such waivers of subrogation shall run in favor of both Landlord and such subtenant or licensee. If either party hereto fails to maintain the waivers set forth in items (i) and (ii) above, the party not maintaining the requisite waivers shall indemnify, defend, protect, and hold harmless the other party for, from and against any and all Losses arising out of, resulting from, or relating to, such failure.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-30-</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4"/>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b w:val="1"/>
          <w:bCs w:val="1"/>
          <w:u w:val="single" w:color="auto"/>
          <w:color w:val="auto"/>
        </w:rPr>
        <w:t>Additional Insurance Obligations</w:t>
      </w:r>
      <w:r>
        <w:rPr>
          <w:rFonts w:ascii="Times New Roman" w:cs="Times New Roman" w:eastAsia="Times New Roman" w:hAnsi="Times New Roman"/>
          <w:sz w:val="20"/>
          <w:szCs w:val="20"/>
          <w:color w:val="auto"/>
        </w:rPr>
        <w:t xml:space="preserve">. Tenant shall carry and maintain during the entire Lease Term, at Tenant's sole cost and expense, increased amounts of the insurance required to be carried by Tenant pursuant to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and such other reasonable types of insurance coverage and in such reasonable amounts covering the Premises and Tenant's operations therein, as may be reasonably requested by Landlord; provided (i) Landlord may not require Tenant to expand or increase coverage more than one (1) time in any five (5)-year period (if any) thereafter, (ii) any modification shall take effect at the time of policy renewal, (iii) such insurance is available at commercially reasonable rates, and (iv) the increased amounts and types of insurance shall not exceed the amounts and types of insurance then being required by prudent, institutional landlords of other Comparable Buildings.</w:t>
      </w:r>
    </w:p>
    <w:p>
      <w:pPr>
        <w:spacing w:after="0" w:line="17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b w:val="1"/>
          <w:bCs w:val="1"/>
          <w:u w:val="single" w:color="auto"/>
          <w:color w:val="auto"/>
        </w:rPr>
        <w:t>Third-Party Contractors</w:t>
      </w:r>
      <w:r>
        <w:rPr>
          <w:rFonts w:ascii="Times New Roman" w:cs="Times New Roman" w:eastAsia="Times New Roman" w:hAnsi="Times New Roman"/>
          <w:sz w:val="20"/>
          <w:szCs w:val="20"/>
          <w:color w:val="auto"/>
        </w:rPr>
        <w:t>. Tenant shall obtain and deliver to Landlord, certificates of insurance and applicable endorsements on or prior to the commencement of work in or about the Premises by any vendor or other third-party contractor retained or engaged by Tenant (collectively, a "</w:t>
      </w:r>
      <w:r>
        <w:rPr>
          <w:rFonts w:ascii="Times New Roman" w:cs="Times New Roman" w:eastAsia="Times New Roman" w:hAnsi="Times New Roman"/>
          <w:sz w:val="20"/>
          <w:szCs w:val="20"/>
          <w:b w:val="1"/>
          <w:bCs w:val="1"/>
          <w:color w:val="auto"/>
        </w:rPr>
        <w:t>Third Party Contractor</w:t>
      </w:r>
      <w:r>
        <w:rPr>
          <w:rFonts w:ascii="Times New Roman" w:cs="Times New Roman" w:eastAsia="Times New Roman" w:hAnsi="Times New Roman"/>
          <w:sz w:val="20"/>
          <w:szCs w:val="20"/>
          <w:color w:val="auto"/>
        </w:rPr>
        <w:t>"). All such insurance shall (i) name the Additional Insureds as additional insureds under such third party's liability policies, (ii) provide a waiver of subrogation in favor of Landlord under such third party's commercial general liability insurance, (iii) be primary and any insurance carried by Landlord shall be excess and non-contributing, and (iv) comply with Landlord's reasonable minimum insurance requirements (which may vary depending on the type of work or vendor taking place in the Premises).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DAMAGE AND DESTRUCTION</w:t>
      </w:r>
    </w:p>
    <w:p>
      <w:pPr>
        <w:spacing w:after="0" w:line="21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u w:val="single" w:color="auto"/>
          <w:color w:val="auto"/>
        </w:rPr>
        <w:t>Repair of Damage from Casualty</w:t>
      </w:r>
      <w:r>
        <w:rPr>
          <w:rFonts w:ascii="Times New Roman" w:cs="Times New Roman" w:eastAsia="Times New Roman" w:hAnsi="Times New Roman"/>
          <w:sz w:val="20"/>
          <w:szCs w:val="20"/>
          <w:color w:val="auto"/>
        </w:rPr>
        <w:t>. If the Project (or any portion thereof) shall be damaged by a fire or any other casualty (collectively, a "</w:t>
      </w:r>
      <w:r>
        <w:rPr>
          <w:rFonts w:ascii="Times New Roman" w:cs="Times New Roman" w:eastAsia="Times New Roman" w:hAnsi="Times New Roman"/>
          <w:sz w:val="20"/>
          <w:szCs w:val="20"/>
          <w:b w:val="1"/>
          <w:bCs w:val="1"/>
          <w:color w:val="auto"/>
        </w:rPr>
        <w:t>Casualty</w:t>
      </w:r>
      <w:r>
        <w:rPr>
          <w:rFonts w:ascii="Times New Roman" w:cs="Times New Roman" w:eastAsia="Times New Roman" w:hAnsi="Times New Roman"/>
          <w:sz w:val="20"/>
          <w:szCs w:val="20"/>
          <w:color w:val="auto"/>
        </w:rPr>
        <w:t xml:space="preserve">"), (i) Landlord shall promptly and diligently restore Landlord's Insured Property to substantially the same condition as existing prior to the Casualty, except for modifications required by Applicable Laws or the Underlying Documents, and (ii) except as set forth below, Tenant shall promptly and diligently restore Tenant's Insured Property to substantially the same condition as existing prior to the Casualty, except for modifications required by Applicable Laws or the Underlying Documents, or any other modifications deemed desirable by Tenant and approved by Landlord pursuant to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which approval shall not be unreasonably withheld, conditioned or delayed. Notwithstanding the foregoing, Landlord shall have the right, upon notice (the "</w:t>
      </w:r>
      <w:r>
        <w:rPr>
          <w:rFonts w:ascii="Times New Roman" w:cs="Times New Roman" w:eastAsia="Times New Roman" w:hAnsi="Times New Roman"/>
          <w:sz w:val="20"/>
          <w:szCs w:val="20"/>
          <w:b w:val="1"/>
          <w:bCs w:val="1"/>
          <w:color w:val="auto"/>
        </w:rPr>
        <w:t>Landlord Repair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to Tenant from Landlord within sixty (60) days following the date the Casualty becomes known to Landlord, to promptly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diligently restore the Original Improvements, Improvements and Alterations, provided such restoration and work shall be competitively bid by Landlord, and, in such event Tenant shall assign to Landlord (or to any party designated by Landlord) all insurance proceeds payable to Tenant under Tenant's insurance required under </w:t>
      </w:r>
      <w:r>
        <w:rPr>
          <w:rFonts w:ascii="Times New Roman" w:cs="Times New Roman" w:eastAsia="Times New Roman" w:hAnsi="Times New Roman"/>
          <w:sz w:val="20"/>
          <w:szCs w:val="20"/>
          <w:u w:val="single" w:color="auto"/>
          <w:color w:val="auto"/>
        </w:rPr>
        <w:t>Section 10.3.2</w:t>
      </w:r>
      <w:r>
        <w:rPr>
          <w:rFonts w:ascii="Times New Roman" w:cs="Times New Roman" w:eastAsia="Times New Roman" w:hAnsi="Times New Roman"/>
          <w:sz w:val="20"/>
          <w:szCs w:val="20"/>
          <w:color w:val="auto"/>
        </w:rPr>
        <w:t xml:space="preserve"> of this Lease for the Original Improvements, Improvements and Alterations; provided that if the cost of such repair by Landlord exceeds the amount of insurance proceeds received by Landlord from Tenant's insurance carrier, as assigned by Tenant, Tenant shall have the option to reduce the scope of Landlord's work so the insurance proceeds will be sufficient or the cost of such repairs shall be paid by Tenant to Landlord prior to Landlord's commencement of repair of the damage. All work performed by Tenant pursuant to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shall be performed in accordance with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of this Lease. Landlord's obligation to restore Landlord's Insured Property pursuant to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is subject to actual delays arising from the time needed for Tenant to obtain any license, clearance or other authorization of any kind required for Landlord to enter into and restore the Premises issued by any governmental authority to the extent necessary as a result of the use of Hazardous Materials in, on or about the Premises (collectively referred to herein as "</w:t>
      </w:r>
      <w:r>
        <w:rPr>
          <w:rFonts w:ascii="Times New Roman" w:cs="Times New Roman" w:eastAsia="Times New Roman" w:hAnsi="Times New Roman"/>
          <w:sz w:val="20"/>
          <w:szCs w:val="20"/>
          <w:b w:val="1"/>
          <w:bCs w:val="1"/>
          <w:color w:val="auto"/>
        </w:rPr>
        <w:t>Hazardous Materials Clearances</w:t>
      </w:r>
      <w:r>
        <w:rPr>
          <w:rFonts w:ascii="Times New Roman" w:cs="Times New Roman" w:eastAsia="Times New Roman" w:hAnsi="Times New Roman"/>
          <w:sz w:val="20"/>
          <w:szCs w:val="20"/>
          <w:color w:val="auto"/>
        </w:rPr>
        <w:t>"). Tenant shall use diligent good faith efforts to obtain any and all Hazardous Materials Clearances. Within sixty (60) days after the date of the damage, Landlord shall deliver to Tenant an estimate prepared by a qualified, independent, experienced and reputable architect and/or general contractor of the date of completion of the repairs ("</w:t>
      </w:r>
      <w:r>
        <w:rPr>
          <w:rFonts w:ascii="Times New Roman" w:cs="Times New Roman" w:eastAsia="Times New Roman" w:hAnsi="Times New Roman"/>
          <w:sz w:val="20"/>
          <w:szCs w:val="20"/>
          <w:b w:val="1"/>
          <w:bCs w:val="1"/>
          <w:color w:val="auto"/>
        </w:rPr>
        <w:t>Landlord's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Repair Estimate Notice</w:t>
      </w:r>
      <w:r>
        <w:rPr>
          <w:rFonts w:ascii="Times New Roman" w:cs="Times New Roman" w:eastAsia="Times New Roman" w:hAnsi="Times New Roman"/>
          <w:sz w:val="20"/>
          <w:szCs w:val="20"/>
          <w:color w:val="auto"/>
        </w:rPr>
        <w:t>"). Notwithstanding any contrary provision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the parties hereby agree that the closure of the Project,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Building, the Common Areas, or any part thereof solely to protect public health and which has not arisen from a fire or other casualty shall not constitute a Casualty for purposes of this Lease.</w:t>
      </w:r>
    </w:p>
    <w:p>
      <w:pPr>
        <w:spacing w:after="0" w:line="20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 xml:space="preserve">11.2 </w:t>
      </w:r>
      <w:r>
        <w:rPr>
          <w:rFonts w:ascii="Times New Roman" w:cs="Times New Roman" w:eastAsia="Times New Roman" w:hAnsi="Times New Roman"/>
          <w:sz w:val="19"/>
          <w:szCs w:val="19"/>
          <w:b w:val="1"/>
          <w:bCs w:val="1"/>
          <w:u w:val="single" w:color="auto"/>
          <w:color w:val="auto"/>
        </w:rPr>
        <w:t>Casualty Rent Abatement</w:t>
      </w:r>
      <w:r>
        <w:rPr>
          <w:rFonts w:ascii="Times New Roman" w:cs="Times New Roman" w:eastAsia="Times New Roman" w:hAnsi="Times New Roman"/>
          <w:sz w:val="19"/>
          <w:szCs w:val="19"/>
          <w:color w:val="auto"/>
        </w:rPr>
        <w:t>. If (i) the Premises (or portions thereof), or portions of the Common Area necessary for the conduct of Tenant's business are damaged by Casualty, and (ii) such Casualty causes all or a material portion of the Premises to be untenantable or unusable by Tenant and Tenant actually ceases to use all or such material portion of the Premises, (items (i) and (ii) are, collectively, "</w:t>
      </w:r>
      <w:r>
        <w:rPr>
          <w:rFonts w:ascii="Times New Roman" w:cs="Times New Roman" w:eastAsia="Times New Roman" w:hAnsi="Times New Roman"/>
          <w:sz w:val="19"/>
          <w:szCs w:val="19"/>
          <w:b w:val="1"/>
          <w:bCs w:val="1"/>
          <w:color w:val="auto"/>
        </w:rPr>
        <w:t>Casualty Conditions</w:t>
      </w:r>
      <w:r>
        <w:rPr>
          <w:rFonts w:ascii="Times New Roman" w:cs="Times New Roman" w:eastAsia="Times New Roman" w:hAnsi="Times New Roman"/>
          <w:sz w:val="19"/>
          <w:szCs w:val="19"/>
          <w:color w:val="auto"/>
        </w:rPr>
        <w:t>"), Tenant may, upon written notice to Landlord, immediately abate Base Rent and Tenant's Share of Direct Expenses payable under this Lease for that portion of the Premises rendered untenantable or unusable and not actually used by Tenant due to the Casualty, for the period beginning on the date of the Casualty through (a) if Landlord delivered the Landlord Repair Notice, the date Landlord substantially completes restoration of the Original Improvements, Improvements and Alterations, and Tenant substantially completes restoration of Tenant's Insured Property (to the extent not performed by Landlord) or would have completed restoration of Tenant's Insured Property if Tenant had used reasonable diligence, such that the Premises is tenantable for the Permitted Use (or such earlier date following the Casualty that Tenant conducts business from the Premises, to the extent that Tenant conducts business from</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-31-</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4"/>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22" w:gutter="0" w:footer="0" w:header="0"/>
        </w:sectPr>
      </w:pPr>
    </w:p>
    <w:bookmarkStart w:id="151" w:name="page152"/>
    <w:bookmarkEnd w:id="151"/>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Premises), or (b) if Landlord did not deliver the Landlord Repair Notice, the earlier of the date that Tenant substantially completes restoration of Tenant's Insured Property such that the Premises are tenantable for the Permitted Use or the date that Tenant would have substantially completed restoration of Tenant's Insured Property if Tenant had used reasonable diligence (or such earlier date following the Casualty that Tenant conducts business from the Premises, to the extent that Tenant conducts business from the Premises). Except as otherwise provided in this Lease including the foregoing Rent abatement, Landlord shall not be liable for any inconvenience or annoyance to Tenant or its visitors, or injury to Tenant's business resulting in any way from a Casualty.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b w:val="1"/>
          <w:bCs w:val="1"/>
          <w:u w:val="single" w:color="auto"/>
          <w:color w:val="auto"/>
        </w:rPr>
        <w:t>Casualty Termination Rights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11.3.1 </w:t>
      </w:r>
      <w:r>
        <w:rPr>
          <w:rFonts w:ascii="Times New Roman" w:cs="Times New Roman" w:eastAsia="Times New Roman" w:hAnsi="Times New Roman"/>
          <w:sz w:val="20"/>
          <w:szCs w:val="20"/>
          <w:b w:val="1"/>
          <w:bCs w:val="1"/>
          <w:u w:val="single" w:color="auto"/>
          <w:color w:val="auto"/>
        </w:rPr>
        <w:t>Landlord Termination Rights</w:t>
      </w:r>
      <w:r>
        <w:rPr>
          <w:rFonts w:ascii="Times New Roman" w:cs="Times New Roman" w:eastAsia="Times New Roman" w:hAnsi="Times New Roman"/>
          <w:sz w:val="20"/>
          <w:szCs w:val="20"/>
          <w:color w:val="auto"/>
        </w:rPr>
        <w:t xml:space="preserve">. Notwithstanding the terms of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of this Lease, Landlord may elect not to rebuild and/or restore the Landlord's Insured Property, and instead terminate this Lease, by notifying Tenant in writing of such termination within sixty (60) days after the date of discovery of the damage from Casualty, such notice to include a termination date giving Tenant sixty (60) days to vacate the Premises, but Landlord may so elect only if Landlord is terminating the leases of similarly situated tenants in the Project, and one or more of the following conditions is present: (i) pursuant to Landlord's Repair Estimate Notice, repairs cannot reasonably be completed within one hundred eighty (180) days after the date of discovery of the damage (when such repairs are made without the payment of overtime or other premiums); (ii) the Mortgagee shall require that the insurance proceeds or any portion thereof in excess of Five Million Dollars ($5,000,000.00) be used to retire or terminate the Mortgage; (iii) at least Five Million Dollars ($5,000,000.00) of the damage is not fully covered by Landlord's insurance policies; or (iv) the damage occurs during the last twelve (12) months of the Lease Term.</w:t>
      </w:r>
    </w:p>
    <w:p>
      <w:pPr>
        <w:spacing w:after="0" w:line="18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11.3.2 </w:t>
      </w:r>
      <w:r>
        <w:rPr>
          <w:rFonts w:ascii="Times New Roman" w:cs="Times New Roman" w:eastAsia="Times New Roman" w:hAnsi="Times New Roman"/>
          <w:sz w:val="20"/>
          <w:szCs w:val="20"/>
          <w:b w:val="1"/>
          <w:bCs w:val="1"/>
          <w:u w:val="single" w:color="auto"/>
          <w:color w:val="auto"/>
        </w:rPr>
        <w:t>Tenant Termination Rights</w:t>
      </w:r>
      <w:r>
        <w:rPr>
          <w:rFonts w:ascii="Times New Roman" w:cs="Times New Roman" w:eastAsia="Times New Roman" w:hAnsi="Times New Roman"/>
          <w:sz w:val="20"/>
          <w:szCs w:val="20"/>
          <w:color w:val="auto"/>
        </w:rPr>
        <w:t>. (i) If all of the Casualty Conditions are satisfied and the repairs cannot, pursuant to Landlord's Repair Estimate Notice, be completed within one hundred eighty (180) days after the date of discovery of the damage or (ii) the damage occurs during the last twelve (12) months of the Lease Term, Tenant may elect, not later than the later of ninety (90) days after the date of such damage or receipt of Landlord's Repair Estimate, to terminate this Lease by written notice to Landlord effective as of the date specified in the notice, which date shall not be less than thirty (30) days nor more than sixty (60) days after the date such notice is given by Tenant. Furthermore, if all of the Casualty Conditions are satisfied, neither Landlord nor Tenant has terminated this Lease, and the repairs required to be completed by Landlord are not actually completed within the longer of two hundred ten (210) days of the date of discovery of the damage, and two (2) months after the date that Landlord originally estimated for completion in the Landlord Repair Estimate Notice, Tenant shall have the right to terminate this Lease during the first five (5) business days of each calendar month following the end of such period until such time as the repairs are complete, by notice to Landlord (the "</w:t>
      </w:r>
      <w:r>
        <w:rPr>
          <w:rFonts w:ascii="Times New Roman" w:cs="Times New Roman" w:eastAsia="Times New Roman" w:hAnsi="Times New Roman"/>
          <w:sz w:val="20"/>
          <w:szCs w:val="20"/>
          <w:b w:val="1"/>
          <w:bCs w:val="1"/>
          <w:color w:val="auto"/>
        </w:rPr>
        <w:t>Damage Termination Notice</w:t>
      </w:r>
      <w:r>
        <w:rPr>
          <w:rFonts w:ascii="Times New Roman" w:cs="Times New Roman" w:eastAsia="Times New Roman" w:hAnsi="Times New Roman"/>
          <w:sz w:val="20"/>
          <w:szCs w:val="20"/>
          <w:color w:val="auto"/>
        </w:rPr>
        <w:t>"), effective as of a date set forth in the Damage Termination Notice (the "</w:t>
      </w:r>
      <w:r>
        <w:rPr>
          <w:rFonts w:ascii="Times New Roman" w:cs="Times New Roman" w:eastAsia="Times New Roman" w:hAnsi="Times New Roman"/>
          <w:sz w:val="20"/>
          <w:szCs w:val="20"/>
          <w:b w:val="1"/>
          <w:bCs w:val="1"/>
          <w:color w:val="auto"/>
        </w:rPr>
        <w:t>Damage Termination Date</w:t>
      </w:r>
      <w:r>
        <w:rPr>
          <w:rFonts w:ascii="Times New Roman" w:cs="Times New Roman" w:eastAsia="Times New Roman" w:hAnsi="Times New Roman"/>
          <w:sz w:val="20"/>
          <w:szCs w:val="20"/>
          <w:color w:val="auto"/>
        </w:rPr>
        <w:t xml:space="preserve">"), which Damage Termination Date shall not be less than ten (10) business days nor more than ninety (90) days following the end of each such month. In the event this Lease is terminated in accordance with the terms of this </w:t>
      </w:r>
      <w:r>
        <w:rPr>
          <w:rFonts w:ascii="Times New Roman" w:cs="Times New Roman" w:eastAsia="Times New Roman" w:hAnsi="Times New Roman"/>
          <w:sz w:val="20"/>
          <w:szCs w:val="20"/>
          <w:u w:val="single" w:color="auto"/>
          <w:color w:val="auto"/>
        </w:rPr>
        <w:t>Section 11.3.2</w:t>
      </w:r>
      <w:r>
        <w:rPr>
          <w:rFonts w:ascii="Times New Roman" w:cs="Times New Roman" w:eastAsia="Times New Roman" w:hAnsi="Times New Roman"/>
          <w:sz w:val="20"/>
          <w:szCs w:val="20"/>
          <w:color w:val="auto"/>
        </w:rPr>
        <w:t xml:space="preserve">, Tenant shall assign to Landlord (or to any party designated by Landlord) all insurance proceeds payable to Tenant under Tenant's insurance required under items (ii) and (iii) of </w:t>
      </w:r>
      <w:r>
        <w:rPr>
          <w:rFonts w:ascii="Times New Roman" w:cs="Times New Roman" w:eastAsia="Times New Roman" w:hAnsi="Times New Roman"/>
          <w:sz w:val="20"/>
          <w:szCs w:val="20"/>
          <w:u w:val="single" w:color="auto"/>
          <w:color w:val="auto"/>
        </w:rPr>
        <w:t>Section 10.3.2</w:t>
      </w:r>
      <w:r>
        <w:rPr>
          <w:rFonts w:ascii="Times New Roman" w:cs="Times New Roman" w:eastAsia="Times New Roman" w:hAnsi="Times New Roman"/>
          <w:sz w:val="20"/>
          <w:szCs w:val="20"/>
          <w:color w:val="auto"/>
        </w:rPr>
        <w:t xml:space="preserve"> of this Lease (but expressly excluding Tenant's Property Tenant's Off-Premises Equipment, and Specialized Systems).</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b w:val="1"/>
          <w:bCs w:val="1"/>
          <w:u w:val="single" w:color="auto"/>
          <w:color w:val="auto"/>
        </w:rPr>
        <w:t>Waiver of Statutory Provisions</w:t>
      </w:r>
      <w:r>
        <w:rPr>
          <w:rFonts w:ascii="Times New Roman" w:cs="Times New Roman" w:eastAsia="Times New Roman" w:hAnsi="Times New Roman"/>
          <w:sz w:val="20"/>
          <w:szCs w:val="20"/>
          <w:color w:val="auto"/>
        </w:rPr>
        <w:t xml:space="preserve">. The provisions of this Lease, including this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NONWAIVER</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No provision of this Lease shall be deemed waived by either party hereto unless expressly waived in a writing signed by the waiving party.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of the TCCs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-32-</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420" w:gutter="0" w:footer="0" w:header="0"/>
        </w:sectPr>
      </w:pPr>
    </w:p>
    <w:bookmarkStart w:id="152" w:name="page153"/>
    <w:bookmarkEnd w:id="152"/>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CONDEMNATION</w:t>
      </w:r>
    </w:p>
    <w:p>
      <w:pPr>
        <w:spacing w:after="0" w:line="22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in each case for a period in excess of one hundred twenty (120) days, Landlord shall have the option to terminate this Lease effective as of the date possession is required to be surrendered to the authority, provided the leases of other similarly situated tenants are also terminated. If more than ten percent (10%) of the rentable square feet of the Premises is taken, or if access to the Premises is substantially impaired, in each case for a period in excess of one hundred twenty (120)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TCCs of this Lease (including Tenant's Property and Tenant's Off-Premises Equipment), for Alterations paid for by Tenant without reimbursement, and for moving expenses and loss of goodwill, so long as such claims do not diminish the award available to Landlord or its Mortgagee, and such claim is payable separately to Tenant. All Rent shall be apportioned as of the date of any such taking. If any part of the Premises shall be taken and this Lease is not terminated, the Rent under this Lease shall be proportionately reduced based on the portion of the Premises subject to the applicable taking. Tenant hereby waives any and all rights it might otherwise have pursuant to Section 1265.130 of The California Code of Civil Procedure. Notwithstanding anything to the contrary contained in this </w:t>
      </w:r>
      <w:r>
        <w:rPr>
          <w:rFonts w:ascii="Times New Roman" w:cs="Times New Roman" w:eastAsia="Times New Roman" w:hAnsi="Times New Roman"/>
          <w:sz w:val="20"/>
          <w:szCs w:val="20"/>
          <w:u w:val="single" w:color="auto"/>
          <w:color w:val="auto"/>
        </w:rPr>
        <w:t>Article 13</w:t>
      </w:r>
      <w:r>
        <w:rPr>
          <w:rFonts w:ascii="Times New Roman" w:cs="Times New Roman" w:eastAsia="Times New Roman" w:hAnsi="Times New Roman"/>
          <w:sz w:val="20"/>
          <w:szCs w:val="20"/>
          <w:color w:val="auto"/>
        </w:rPr>
        <w:t>, in the event of a temporary taking of all or any portion of the Premises for a period of one hundred twenty (120) days or less, then this Lease shall not terminate but the Base Rent and Tenant's Share of Direct Expenses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 but nothing herein shall preclude Tenant from seeking a recovery from the condemning authority to the extent Landlord's award is not reduced as a result thereof. Notwithstanding any contrary provision of this Lease, the following governmental actions (whether through regulatory action, ordinance, or otherwise) shall not constitute a taking or condemnation, either permanent or temporary: (i) an action that requires Tenant's business to close during the Lease Term, (ii) an action that limits or temporarily prohibits access to or use of the Building or the Premises, and (iii) an action taken for the purpose of protecting public safety (e.g., to protect against acts of war, the spread of communicable diseases, or an infestation), and no such governmental actions shall entitle Tenant to any compensation from Landlord, or Rent abatement or any other remedy under this Lease.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ASSIGNMENT AND SUBLETTING</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b w:val="1"/>
          <w:bCs w:val="1"/>
          <w:u w:val="single" w:color="auto"/>
          <w:color w:val="auto"/>
        </w:rPr>
        <w:t>Transfers</w:t>
      </w:r>
      <w:r>
        <w:rPr>
          <w:rFonts w:ascii="Times New Roman" w:cs="Times New Roman" w:eastAsia="Times New Roman" w:hAnsi="Times New Roman"/>
          <w:sz w:val="20"/>
          <w:szCs w:val="20"/>
          <w:color w:val="auto"/>
        </w:rPr>
        <w:t>. Except for an assignment of this Lease or a sublease of all or a portion of the Premises (each of the foregoing, together with any modifications or amendments to any existing assignments or subleases being referred to herein as a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and any person or entity to whom any Transfer is made or sought to be made is referred to herein as a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or except as otherwise provided in this Lease, Tenant shall not mortgage, pledge, hypothecate, encumber or permit any lien to attach to, or otherwise transfer, this Lease or any interest hereunder, permit any other transfer of this Lease or any interest hereunder by operation of law or enter into any license or concession agreements or otherwise permit the occupancy or use of the Premises or any part thereof by any persons other than Tenant and its employees, agents and contractors. Except as otherwise provided in this Lease, Tenant shall not Transfer this Lease or its interest in any portion of the Premises without Landlord's prior written consent, which consent shall not be unreasonably withheld, conditioned or delayed. If Tenant desires Landlord's consent to any Transfer, Tenant shall notify Landlord in writing, which notice (the "</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shall include (i) the proposed effective date of the Transfer, which shall not be more than one hundred eighty (180) days after the date of delivery of the Transfer Notice, (ii) a description of the portion of the Premises to be transferred (the "</w:t>
      </w:r>
      <w:r>
        <w:rPr>
          <w:rFonts w:ascii="Times New Roman" w:cs="Times New Roman" w:eastAsia="Times New Roman" w:hAnsi="Times New Roman"/>
          <w:sz w:val="20"/>
          <w:szCs w:val="20"/>
          <w:b w:val="1"/>
          <w:bCs w:val="1"/>
          <w:color w:val="auto"/>
        </w:rPr>
        <w:t>Subject Space</w:t>
      </w:r>
      <w:r>
        <w:rPr>
          <w:rFonts w:ascii="Times New Roman" w:cs="Times New Roman" w:eastAsia="Times New Roman" w:hAnsi="Times New Roman"/>
          <w:sz w:val="20"/>
          <w:szCs w:val="20"/>
          <w:color w:val="auto"/>
        </w:rPr>
        <w:t xml:space="preserve">"), (iii) calculation of the Transfer Premium, as defined in </w:t>
      </w:r>
      <w:r>
        <w:rPr>
          <w:rFonts w:ascii="Times New Roman" w:cs="Times New Roman" w:eastAsia="Times New Roman" w:hAnsi="Times New Roman"/>
          <w:sz w:val="20"/>
          <w:szCs w:val="20"/>
          <w:u w:val="single" w:color="auto"/>
          <w:color w:val="auto"/>
        </w:rPr>
        <w:t>Section</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-33-</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4"/>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22" w:gutter="0" w:footer="0" w:header="0"/>
        </w:sectPr>
      </w:pPr>
    </w:p>
    <w:bookmarkStart w:id="153" w:name="page154"/>
    <w:bookmarkEnd w:id="153"/>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14.3</w:t>
      </w:r>
      <w:r>
        <w:rPr>
          <w:rFonts w:ascii="Times New Roman" w:cs="Times New Roman" w:eastAsia="Times New Roman" w:hAnsi="Times New Roman"/>
          <w:sz w:val="20"/>
          <w:szCs w:val="20"/>
          <w:color w:val="auto"/>
        </w:rPr>
        <w:t xml:space="preserve"> below, in connection with such Transfer (and reasonably detailed backup with respect to such calculation of such Transfer Premium), the name and address of the proposed Transferee, and a copy of all existing executed and/or proposed documentation pertaining to the proposed Transfer, including all existing operative documents to be executed to evidence such Transfer or the agreements incidental or related to such Transfer, provided that Landlord shall have the right to require Tenant to utilize Landlord's commercially reasonable form of consent to Transfer documents in connection with the documentation of Landlord's consent to such Transfer, subject to such reasonable revisions thereto as may be requested by Tenant or the proposed Transferee, and (iv) current financial statements of the proposed Transferee certified by an officer, partner or owner thereof. Any Transfer (which requires Landlord's consent pursuant to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made without Landlord's prior written consent shall, at Landlord's option, be null, void and of no effect, and shall, at Landlord's option, constitute an Event of Default by Tenant under this Lease. Whether or not Landlord consents to any proposed Transfer, Tenant shall pay Landlord's reasonable, out-of-pocket professional fees (including, without limitation, reasonable attorneys', accountants', architects', engineers' and consultants' fees) incurred by Landlord (not to exceed, in the aggregate, Two Thousand Five Hundred and 00/100 Dollars ($2,500.00) for a Transfer in the ordinary course of business), within thirty (30) days after written request by Landlord.</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b w:val="1"/>
          <w:bCs w:val="1"/>
          <w:u w:val="single" w:color="auto"/>
          <w:color w:val="auto"/>
        </w:rPr>
        <w:t>Landlord's Consent</w:t>
      </w:r>
      <w:r>
        <w:rPr>
          <w:rFonts w:ascii="Times New Roman" w:cs="Times New Roman" w:eastAsia="Times New Roman" w:hAnsi="Times New Roman"/>
          <w:sz w:val="20"/>
          <w:szCs w:val="20"/>
          <w:color w:val="auto"/>
        </w:rPr>
        <w:t>. Landlord shall not unreasonably withhold, condition or delay its consent to any proposed Transfer of the Subject Space to the Transferee on the terms specified in the Transfer Notice. Landlord shall approve or disapprove of any proposed Transfer within fifteen (15) business days after receipt of request for approval. If Landlord fails to respond within such fifteen (15) business day period, then Tenant may send Landlord a reminder notice (the "</w:t>
      </w:r>
      <w:r>
        <w:rPr>
          <w:rFonts w:ascii="Times New Roman" w:cs="Times New Roman" w:eastAsia="Times New Roman" w:hAnsi="Times New Roman"/>
          <w:sz w:val="20"/>
          <w:szCs w:val="20"/>
          <w:b w:val="1"/>
          <w:bCs w:val="1"/>
          <w:color w:val="auto"/>
        </w:rPr>
        <w:t>Transfer Reminder Notice</w:t>
      </w:r>
      <w:r>
        <w:rPr>
          <w:rFonts w:ascii="Times New Roman" w:cs="Times New Roman" w:eastAsia="Times New Roman" w:hAnsi="Times New Roman"/>
          <w:sz w:val="20"/>
          <w:szCs w:val="20"/>
          <w:color w:val="auto"/>
        </w:rPr>
        <w:t xml:space="preserve">") setting forth such failure containing the following sentence at the top of such notice in bold, capitalized font at least twelve (12) points in size: </w:t>
      </w:r>
      <w:r>
        <w:rPr>
          <w:rFonts w:ascii="Times New Roman" w:cs="Times New Roman" w:eastAsia="Times New Roman" w:hAnsi="Times New Roman"/>
          <w:sz w:val="20"/>
          <w:szCs w:val="20"/>
          <w:b w:val="1"/>
          <w:bCs w:val="1"/>
          <w:color w:val="auto"/>
        </w:rPr>
        <w:t>"LANDLORD'S FAILURE TO</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color w:val="auto"/>
        </w:rPr>
        <w:t xml:space="preserve">RESPOND TO THIS NOTICE WITHIN FIVE (5) BUSINESS DAYS SHALL RESULT IN LANDLORD'S DEEMED APPROVAL OF TENANT'S REQUEST FOR TRANSFER." </w:t>
      </w:r>
      <w:r>
        <w:rPr>
          <w:rFonts w:ascii="Times New Roman" w:cs="Times New Roman" w:eastAsia="Times New Roman" w:hAnsi="Times New Roman"/>
          <w:sz w:val="20"/>
          <w:szCs w:val="20"/>
          <w:color w:val="auto"/>
        </w:rPr>
        <w:t>Any such Transfer Reminder Notice shall include a complete copy of Tenant's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If Landlord fails to respond within five (5) business days after receipt of a Transfer Reminder Notice, then Tenant's Transfer for which Tenant requested Landlord's approval shall be deemed approved by Landlord. Without limitation as to other reasonable grounds for withholding consent, it shall be reasonable under this Lease and under Applicable Laws for Landlord to withhold consent to any proposed Transfer where one or more of the following apply:</w:t>
      </w:r>
    </w:p>
    <w:p>
      <w:pPr>
        <w:spacing w:after="0" w:line="191"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14.2.1 The Transferee is engaged in a business with services, products or ideologies of a sexual nature or is generally considered defamatory, or has a primary business purpose or reputation of: (i) of furthering a political candidacy, (ii) of advancing a political stance on one or more issues, or (iii) that is reasonably likely to incite protest, and which is inconsistent with tenants in the Comparable Buildings;</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14.2.2 The Transferee (i) has been required by any prior landlord, lender or governmental authority to take remedial action in connection with such Transferee's Hazardous Materials contaminating a property in violation of Applicable Laws, where the contamination resulted from such party's action or use of the property in question, or (ii) is subject to an enforcement order issued by any governmental authority in connection with such Transferee's use, storage, handling, treatment, generation, release or disposal of Hazardous Materials;</w:t>
      </w:r>
    </w:p>
    <w:p>
      <w:pPr>
        <w:spacing w:after="0" w:line="185"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14.2.3</w:t>
      </w:r>
      <w:r>
        <w:rPr>
          <w:sz w:val="20"/>
          <w:szCs w:val="20"/>
          <w:color w:val="auto"/>
        </w:rPr>
        <w:tab/>
      </w:r>
      <w:r>
        <w:rPr>
          <w:rFonts w:ascii="Times New Roman" w:cs="Times New Roman" w:eastAsia="Times New Roman" w:hAnsi="Times New Roman"/>
          <w:sz w:val="19"/>
          <w:szCs w:val="19"/>
          <w:color w:val="auto"/>
        </w:rPr>
        <w:t>The Transferee intends to use the Subject Space for purposes which are not permitted under this Lease;</w:t>
      </w:r>
    </w:p>
    <w:p>
      <w:pPr>
        <w:spacing w:after="0" w:line="216"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14.2.4</w:t>
      </w:r>
      <w:r>
        <w:rPr>
          <w:sz w:val="20"/>
          <w:szCs w:val="20"/>
          <w:color w:val="auto"/>
        </w:rPr>
        <w:tab/>
      </w:r>
      <w:r>
        <w:rPr>
          <w:rFonts w:ascii="Times New Roman" w:cs="Times New Roman" w:eastAsia="Times New Roman" w:hAnsi="Times New Roman"/>
          <w:sz w:val="19"/>
          <w:szCs w:val="19"/>
          <w:color w:val="auto"/>
        </w:rPr>
        <w:t>The Transferee is either a governmental agency or instrumentality thereof;</w:t>
      </w:r>
    </w:p>
    <w:p>
      <w:pPr>
        <w:spacing w:after="0" w:line="216" w:lineRule="exact"/>
        <w:rPr>
          <w:sz w:val="20"/>
          <w:szCs w:val="20"/>
          <w:color w:val="auto"/>
        </w:rPr>
      </w:pPr>
    </w:p>
    <w:p>
      <w:pPr>
        <w:ind w:right="80" w:firstLine="1497"/>
        <w:spacing w:after="0" w:line="269" w:lineRule="auto"/>
        <w:rPr>
          <w:sz w:val="20"/>
          <w:szCs w:val="20"/>
          <w:color w:val="auto"/>
        </w:rPr>
      </w:pPr>
      <w:r>
        <w:rPr>
          <w:rFonts w:ascii="Times New Roman" w:cs="Times New Roman" w:eastAsia="Times New Roman" w:hAnsi="Times New Roman"/>
          <w:sz w:val="20"/>
          <w:szCs w:val="20"/>
          <w:color w:val="auto"/>
        </w:rPr>
        <w:t>14.2.5 The Transferee is not a party of reasonable financial worth and/or financial stability in light of the responsibilities to be undertaken in connection with the Transfer on the date consent is requested;</w:t>
      </w:r>
    </w:p>
    <w:p>
      <w:pPr>
        <w:spacing w:after="0" w:line="159" w:lineRule="exact"/>
        <w:rPr>
          <w:sz w:val="20"/>
          <w:szCs w:val="20"/>
          <w:color w:val="auto"/>
        </w:rPr>
      </w:pPr>
    </w:p>
    <w:p>
      <w:pPr>
        <w:jc w:val="both"/>
        <w:ind w:right="20" w:firstLine="1497"/>
        <w:spacing w:after="0" w:line="269" w:lineRule="auto"/>
        <w:rPr>
          <w:sz w:val="20"/>
          <w:szCs w:val="20"/>
          <w:color w:val="auto"/>
        </w:rPr>
      </w:pPr>
      <w:r>
        <w:rPr>
          <w:rFonts w:ascii="Times New Roman" w:cs="Times New Roman" w:eastAsia="Times New Roman" w:hAnsi="Times New Roman"/>
          <w:sz w:val="20"/>
          <w:szCs w:val="20"/>
          <w:color w:val="auto"/>
        </w:rPr>
        <w:t>14.2.6 The proposed Transfer would cause a violation of another lease, including, without limitation, any exclusive use provision contained therein, for space in the Project, or would give an occupant of the Project a right to cancel its lease; or</w:t>
      </w:r>
    </w:p>
    <w:p>
      <w:pPr>
        <w:spacing w:after="0" w:line="15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14.2.7 Either the proposed Transferee, or any person or entity which directly or indirectly, controls, is controlled by, or is under common control with, the proposed Transferee, (i) occupies space in the Project at the time of the request for consent and Landlord has then-available comparable sized space in the Project to meet the needs of such proposed Transferee, or (ii) is negotiating with Landlord to lease space in the Project at such time, or (iii) has negotiated with Landlord during the three (3)-month period immediately preceding the Transfer Notice and Landlord has then-available comparable sized space in the Project to meet the needs of such proposed Transferee.</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If Landlord consents to any Transfer pursuant to the terms of this </w:t>
      </w:r>
      <w:r>
        <w:rPr>
          <w:rFonts w:ascii="Times New Roman" w:cs="Times New Roman" w:eastAsia="Times New Roman" w:hAnsi="Times New Roman"/>
          <w:sz w:val="20"/>
          <w:szCs w:val="20"/>
          <w:u w:val="single" w:color="auto"/>
          <w:color w:val="auto"/>
        </w:rPr>
        <w:t>Section 14.2</w:t>
      </w:r>
      <w:r>
        <w:rPr>
          <w:rFonts w:ascii="Times New Roman" w:cs="Times New Roman" w:eastAsia="Times New Roman" w:hAnsi="Times New Roman"/>
          <w:sz w:val="20"/>
          <w:szCs w:val="20"/>
          <w:color w:val="auto"/>
        </w:rPr>
        <w:t xml:space="preserve"> (and does not exercise any recapture rights Landlord may have under </w:t>
      </w:r>
      <w:r>
        <w:rPr>
          <w:rFonts w:ascii="Times New Roman" w:cs="Times New Roman" w:eastAsia="Times New Roman" w:hAnsi="Times New Roman"/>
          <w:sz w:val="20"/>
          <w:szCs w:val="20"/>
          <w:u w:val="single" w:color="auto"/>
          <w:color w:val="auto"/>
        </w:rPr>
        <w:t>Section 14.4</w:t>
      </w:r>
      <w:r>
        <w:rPr>
          <w:rFonts w:ascii="Times New Roman" w:cs="Times New Roman" w:eastAsia="Times New Roman" w:hAnsi="Times New Roman"/>
          <w:sz w:val="20"/>
          <w:szCs w:val="20"/>
          <w:color w:val="auto"/>
        </w:rPr>
        <w:t xml:space="preserve"> of this Lease), Tenant may within six (6) months after Landlord's consent, but not later than the expiration of said six (6)-month period, enter into</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-34-</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90" w:gutter="0" w:footer="0" w:header="0"/>
        </w:sectPr>
      </w:pPr>
    </w:p>
    <w:bookmarkStart w:id="154" w:name="page155"/>
    <w:bookmarkEnd w:id="154"/>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such Transfer of the Premises or portion thereof, upon substantially the same terms and conditions as are set forth in the Transfer Notice furnished by Tenant to Landlord pursuant to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of this Lease, provided that if there are any material changes in the terms and conditions from those specified in the Transfer Notice (i) such that Landlord would initially have been entitled to refuse its consent to such Transfer under this </w:t>
      </w:r>
      <w:r>
        <w:rPr>
          <w:rFonts w:ascii="Times New Roman" w:cs="Times New Roman" w:eastAsia="Times New Roman" w:hAnsi="Times New Roman"/>
          <w:sz w:val="20"/>
          <w:szCs w:val="20"/>
          <w:u w:val="single" w:color="auto"/>
          <w:color w:val="auto"/>
        </w:rPr>
        <w:t>Section 14.2</w:t>
      </w:r>
      <w:r>
        <w:rPr>
          <w:rFonts w:ascii="Times New Roman" w:cs="Times New Roman" w:eastAsia="Times New Roman" w:hAnsi="Times New Roman"/>
          <w:sz w:val="20"/>
          <w:szCs w:val="20"/>
          <w:color w:val="auto"/>
        </w:rPr>
        <w:t xml:space="preserve">, or (ii) which would cause the proposed Transfer to be materially more favorable to the Transferee than the terms set forth in Tenant's original Transfer Notice, Tenant shall again submit the Transfer to Landlord for its approval and other action under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provided, however, that Landlord must approve or reasonably disapprove the Transfer (or take such other action as may be permitted in connection therewith) within five (5) days after Tenant's re-submission. Notwithstanding anything to the contrary in this Lease, if Tenant or any proposed Transferee claims that Landlord has unreasonably withheld or delayed its consent under this </w:t>
      </w:r>
      <w:r>
        <w:rPr>
          <w:rFonts w:ascii="Times New Roman" w:cs="Times New Roman" w:eastAsia="Times New Roman" w:hAnsi="Times New Roman"/>
          <w:sz w:val="20"/>
          <w:szCs w:val="20"/>
          <w:u w:val="single" w:color="auto"/>
          <w:color w:val="auto"/>
        </w:rPr>
        <w:t>Section 14.2</w:t>
      </w:r>
      <w:r>
        <w:rPr>
          <w:rFonts w:ascii="Times New Roman" w:cs="Times New Roman" w:eastAsia="Times New Roman" w:hAnsi="Times New Roman"/>
          <w:sz w:val="20"/>
          <w:szCs w:val="20"/>
          <w:color w:val="auto"/>
        </w:rPr>
        <w:t xml:space="preserve"> or otherwise has breached or acted unreasonably under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their sole remedies shall be a declaratory judgment, an injunction for the relief sought, and monetary damages, and Tenant hereby waives the provisions of Section 1995.310 of the California Civil Code, or any successor statute, and all other remedies, including, without limitation, any right at law or equity to terminate this Lease, on its own behalf and, to the extent permitted under all Applicable Laws, on behalf of the proposed Transferee.</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b w:val="1"/>
          <w:bCs w:val="1"/>
          <w:u w:val="single" w:color="auto"/>
          <w:color w:val="auto"/>
        </w:rPr>
        <w:t>Transfer Premium</w:t>
      </w:r>
      <w:r>
        <w:rPr>
          <w:rFonts w:ascii="Times New Roman" w:cs="Times New Roman" w:eastAsia="Times New Roman" w:hAnsi="Times New Roman"/>
          <w:sz w:val="20"/>
          <w:szCs w:val="20"/>
          <w:color w:val="auto"/>
        </w:rPr>
        <w:t>. If Landlord consents to any Transfer, as a condition thereto (which the parties hereby agree is reasonable), Tenant shall pay to Landlord fifty percent (50%) of any Transfer Premium received by Tenant (or any subsequent Transferee, e.g., a sub-subtenant) in connection with the Transfer. "</w:t>
      </w:r>
      <w:r>
        <w:rPr>
          <w:rFonts w:ascii="Times New Roman" w:cs="Times New Roman" w:eastAsia="Times New Roman" w:hAnsi="Times New Roman"/>
          <w:sz w:val="20"/>
          <w:szCs w:val="20"/>
          <w:b w:val="1"/>
          <w:bCs w:val="1"/>
          <w:color w:val="auto"/>
        </w:rPr>
        <w:t>Transfer Premium</w:t>
      </w:r>
      <w:r>
        <w:rPr>
          <w:rFonts w:ascii="Times New Roman" w:cs="Times New Roman" w:eastAsia="Times New Roman" w:hAnsi="Times New Roman"/>
          <w:sz w:val="20"/>
          <w:szCs w:val="20"/>
          <w:color w:val="auto"/>
        </w:rPr>
        <w:t>" shall mean all rent, additional rent or other consideration payable by such Transferee in connection with the Transfer in excess of all Rent, including the Base Rent and Tenant's Share of Direct Expenses payable by Tenant under this Lease during the term of the Transfer (which shall be calculated on a per rentable square foot basis if less than all of the Premises is transferred), after deducting the reasonable, actual, out-of-pocket expenses incurred by Tenant for the Transfer including (i) any changes, alterations and improvements to the Premises in order to procure the particular Transfer, (ii) any market monetary allowances reasonably provided to the Transferee in connection with the Transfer, (iii) any market brokerage commissions in connection with the particular Transfer, (iv) legal fees in negotiating the particular Transfer, (v) any free rent and other concessions provided to the Transferee, (vi) any advertising or marketing costs directly relating to the Transfer, and (vii) any fees paid to Landlord for Landlord's review of the Transfer. "Transfer Premium" shall also include, but not be limited to, key money, bonus money or other cash consideration paid by the Transferee to Tenant in connection with such Transfer, and any payment in excess of fair market value for services rendered by Tenant to Transferee or for assets, fixtures, inventory, equipment, or furniture transferred by Tenant to Transferee in connection with such Transfer. Landlord or its authorized representatives shall have the right at all reasonable times upon at least thirty (30) days prior written notice to audit the books, records and papers of Tenant relating to the calculation of any Transfer Premium and shall have the right to make copies thereof. If the Transfer Premium respecting any Transfer shall be found understated, Tenant shall, within thirty (30) days after demand, pay the deficiency, and if understated by more than five percent (5%), Tenant shall pay Landlord's reasonable, out-of-pocket costs of such audit not to exceed $2,000. In connection with such audit, Landlord and Landlord's agents shall follow Tenant's reasonable rules and procedures regarding inspections of Tenant's records, and shall execute a commercially reasonable confidentiality agreement regarding such inspection. Notwithstanding anything set forth herein to the contrary, in no event shall Tenant be required to pay a Transfer Premium in connection with a Permitted Transfer</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b w:val="1"/>
          <w:bCs w:val="1"/>
          <w:u w:val="single" w:color="auto"/>
          <w:color w:val="auto"/>
        </w:rPr>
        <w:t>Landlord's Option as to Subject Space</w:t>
      </w:r>
      <w:r>
        <w:rPr>
          <w:rFonts w:ascii="Times New Roman" w:cs="Times New Roman" w:eastAsia="Times New Roman" w:hAnsi="Times New Roman"/>
          <w:sz w:val="20"/>
          <w:szCs w:val="20"/>
          <w:color w:val="auto"/>
        </w:rPr>
        <w:t xml:space="preserve">. Notwithstanding anything to the contrary contained in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Landlord shall have the option, by giving written notice to Tenant ("</w:t>
      </w:r>
      <w:r>
        <w:rPr>
          <w:rFonts w:ascii="Times New Roman" w:cs="Times New Roman" w:eastAsia="Times New Roman" w:hAnsi="Times New Roman"/>
          <w:sz w:val="20"/>
          <w:szCs w:val="20"/>
          <w:b w:val="1"/>
          <w:bCs w:val="1"/>
          <w:color w:val="auto"/>
        </w:rPr>
        <w:t>Recapture Notice</w:t>
      </w:r>
      <w:r>
        <w:rPr>
          <w:rFonts w:ascii="Times New Roman" w:cs="Times New Roman" w:eastAsia="Times New Roman" w:hAnsi="Times New Roman"/>
          <w:sz w:val="20"/>
          <w:szCs w:val="20"/>
          <w:color w:val="auto"/>
        </w:rPr>
        <w:t xml:space="preserve">") within fifteen (15) business days after receipt of any Transfer Notice that provides for a Transfer of all or substantially all of the Premises for all or substantially all of the remaining Lease Term, to recapture the Subject Space (subject to this </w:t>
      </w:r>
      <w:r>
        <w:rPr>
          <w:rFonts w:ascii="Times New Roman" w:cs="Times New Roman" w:eastAsia="Times New Roman" w:hAnsi="Times New Roman"/>
          <w:sz w:val="20"/>
          <w:szCs w:val="20"/>
          <w:u w:val="single" w:color="auto"/>
          <w:color w:val="auto"/>
        </w:rPr>
        <w:t>Section 14.4</w:t>
      </w:r>
      <w:r>
        <w:rPr>
          <w:rFonts w:ascii="Times New Roman" w:cs="Times New Roman" w:eastAsia="Times New Roman" w:hAnsi="Times New Roman"/>
          <w:sz w:val="20"/>
          <w:szCs w:val="20"/>
          <w:color w:val="auto"/>
        </w:rPr>
        <w:t xml:space="preserve">). In the event Landlord delivers such Recapture Notice to Tenant, Tenant may rescind its Transfer Notice by giving Landlord notice of such rescission within five (5) business days after receipt of Landlord's Recapture Notice, whereupon Tenant's Transfer Notice and Landlord's Recapture Notice shall be null and void. If Tenant does not rescind its Transfer Notice, then such recapture notice shall cancel and terminate this Lease with respect to the Subject Space as of the date stated in the Transfer Notice as the effective date of the proposed Transfer. In the event of a recapture by Landlord and termination of this Lease with respect to less than the entire Premises, the Base Rent and Tenant's Share of Direct Expenses shall be equitably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the Subject Space under this </w:t>
      </w:r>
      <w:r>
        <w:rPr>
          <w:rFonts w:ascii="Times New Roman" w:cs="Times New Roman" w:eastAsia="Times New Roman" w:hAnsi="Times New Roman"/>
          <w:sz w:val="20"/>
          <w:szCs w:val="20"/>
          <w:u w:val="single" w:color="auto"/>
          <w:color w:val="auto"/>
        </w:rPr>
        <w:t>Section 14.4</w:t>
      </w:r>
      <w:r>
        <w:rPr>
          <w:rFonts w:ascii="Times New Roman" w:cs="Times New Roman" w:eastAsia="Times New Roman" w:hAnsi="Times New Roman"/>
          <w:sz w:val="20"/>
          <w:szCs w:val="20"/>
          <w:color w:val="auto"/>
        </w:rPr>
        <w:t xml:space="preserve">, then, provided Landlord has consented to the proposed Transfer, Tenant shall be entitled to proceed to Transfer the Subject Space to the proposed Transferee, subject to the TCCs of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Notwithstanding anything herein to the contrary, the terms of this </w:t>
      </w:r>
      <w:r>
        <w:rPr>
          <w:rFonts w:ascii="Times New Roman" w:cs="Times New Roman" w:eastAsia="Times New Roman" w:hAnsi="Times New Roman"/>
          <w:sz w:val="20"/>
          <w:szCs w:val="20"/>
          <w:u w:val="single" w:color="auto"/>
          <w:color w:val="auto"/>
        </w:rPr>
        <w:t>Section 14.4</w:t>
      </w:r>
      <w:r>
        <w:rPr>
          <w:rFonts w:ascii="Times New Roman" w:cs="Times New Roman" w:eastAsia="Times New Roman" w:hAnsi="Times New Roman"/>
          <w:sz w:val="20"/>
          <w:szCs w:val="20"/>
          <w:color w:val="auto"/>
        </w:rPr>
        <w:t xml:space="preserve"> shall not apply to a Permitted Transfer.</w:t>
      </w:r>
    </w:p>
    <w:p>
      <w:pPr>
        <w:spacing w:after="0" w:line="19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14.5 </w:t>
      </w:r>
      <w:r>
        <w:rPr>
          <w:rFonts w:ascii="Times New Roman" w:cs="Times New Roman" w:eastAsia="Times New Roman" w:hAnsi="Times New Roman"/>
          <w:sz w:val="20"/>
          <w:szCs w:val="20"/>
          <w:b w:val="1"/>
          <w:bCs w:val="1"/>
          <w:u w:val="single" w:color="auto"/>
          <w:color w:val="auto"/>
        </w:rPr>
        <w:t>Effect of Transfer</w:t>
      </w:r>
      <w:r>
        <w:rPr>
          <w:rFonts w:ascii="Times New Roman" w:cs="Times New Roman" w:eastAsia="Times New Roman" w:hAnsi="Times New Roman"/>
          <w:sz w:val="20"/>
          <w:szCs w:val="20"/>
          <w:color w:val="auto"/>
        </w:rPr>
        <w:t>. If Landlord consents to any Transfer, (i) the TCCs of this Lease shall in no way be deemed to have been waived or modified, (ii) such consent shall not be deemed consent to any further Transfer by either Tenant or a Transferee, and (iii) no Transfer relating to this Lease or</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-35-</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38" w:gutter="0" w:footer="0" w:header="0"/>
        </w:sectPr>
      </w:pPr>
    </w:p>
    <w:bookmarkStart w:id="155" w:name="page156"/>
    <w:bookmarkEnd w:id="155"/>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agreement entered into with respect thereto, whether with or without Landlord's consent, shall relieve Tenant or any guarantor of the Lease from any liability under this Lease, including, without limitation, in connection with the Subject Space.</w:t>
      </w:r>
    </w:p>
    <w:p>
      <w:pPr>
        <w:spacing w:after="0" w:line="15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14.6 </w:t>
      </w:r>
      <w:r>
        <w:rPr>
          <w:rFonts w:ascii="Times New Roman" w:cs="Times New Roman" w:eastAsia="Times New Roman" w:hAnsi="Times New Roman"/>
          <w:sz w:val="20"/>
          <w:szCs w:val="20"/>
          <w:b w:val="1"/>
          <w:bCs w:val="1"/>
          <w:u w:val="single" w:color="auto"/>
          <w:color w:val="auto"/>
        </w:rPr>
        <w:t>Occurrence of Default</w:t>
      </w:r>
      <w:r>
        <w:rPr>
          <w:rFonts w:ascii="Times New Roman" w:cs="Times New Roman" w:eastAsia="Times New Roman" w:hAnsi="Times New Roman"/>
          <w:sz w:val="20"/>
          <w:szCs w:val="20"/>
          <w:color w:val="auto"/>
        </w:rPr>
        <w:t xml:space="preserve">. Any Transfer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there shall be and Event of Default by Tenant under this Lease, Landlord is hereby authorized during such Event of Default to direct any Transferee to make all payments under or in connection with the Transfer directly to Landlord (which Landlord shall apply towards Tenant's obligations under this Lease) until such default is cured. Such Transferee shall rely on any representation by Landlord that an Event of Default by Tenant is occurring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14.7 </w:t>
      </w:r>
      <w:r>
        <w:rPr>
          <w:rFonts w:ascii="Times New Roman" w:cs="Times New Roman" w:eastAsia="Times New Roman" w:hAnsi="Times New Roman"/>
          <w:sz w:val="19"/>
          <w:szCs w:val="19"/>
          <w:b w:val="1"/>
          <w:bCs w:val="1"/>
          <w:u w:val="single" w:color="auto"/>
          <w:color w:val="auto"/>
        </w:rPr>
        <w:t>Permitted Transfers</w:t>
      </w:r>
      <w:r>
        <w:rPr>
          <w:rFonts w:ascii="Times New Roman" w:cs="Times New Roman" w:eastAsia="Times New Roman" w:hAnsi="Times New Roman"/>
          <w:sz w:val="19"/>
          <w:szCs w:val="19"/>
          <w:color w:val="auto"/>
        </w:rPr>
        <w:t>. Notwithstanding anything to the contrary contained in this Lease, (i) an assignment or subletting of all or a portion of the Premises to an affiliate of Tenant ("</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xml:space="preserve">") (which for purposes of this </w:t>
      </w:r>
      <w:r>
        <w:rPr>
          <w:rFonts w:ascii="Times New Roman" w:cs="Times New Roman" w:eastAsia="Times New Roman" w:hAnsi="Times New Roman"/>
          <w:sz w:val="19"/>
          <w:szCs w:val="19"/>
          <w:u w:val="single" w:color="auto"/>
          <w:color w:val="auto"/>
        </w:rPr>
        <w:t>Section 14.7</w:t>
      </w:r>
      <w:r>
        <w:rPr>
          <w:rFonts w:ascii="Times New Roman" w:cs="Times New Roman" w:eastAsia="Times New Roman" w:hAnsi="Times New Roman"/>
          <w:sz w:val="19"/>
          <w:szCs w:val="19"/>
          <w:color w:val="auto"/>
        </w:rPr>
        <w:t xml:space="preserve">, shall mean an entity which is controlled by, controls, or is under common control with, Tenant as of the Effective Date), (ii) an assignment of the Lease to an entity which acquires all or substantially all of the stock or assets of Tenant or which purchases as an operating unit the business located at the Premises, or (iii) an assignment of the Lease to an entity which is the resulting entity of a merger or consolidation of Tenant during the Lease Term (any such assignee or sublessee described in items (i) through (iii) of this </w:t>
      </w:r>
      <w:r>
        <w:rPr>
          <w:rFonts w:ascii="Times New Roman" w:cs="Times New Roman" w:eastAsia="Times New Roman" w:hAnsi="Times New Roman"/>
          <w:sz w:val="19"/>
          <w:szCs w:val="19"/>
          <w:u w:val="single" w:color="auto"/>
          <w:color w:val="auto"/>
        </w:rPr>
        <w:t>Section 14.7</w:t>
      </w:r>
      <w:r>
        <w:rPr>
          <w:rFonts w:ascii="Times New Roman" w:cs="Times New Roman" w:eastAsia="Times New Roman" w:hAnsi="Times New Roman"/>
          <w:sz w:val="19"/>
          <w:szCs w:val="19"/>
          <w:color w:val="auto"/>
        </w:rPr>
        <w:t xml:space="preserve"> hereinafter referred to as a "</w:t>
      </w:r>
      <w:r>
        <w:rPr>
          <w:rFonts w:ascii="Times New Roman" w:cs="Times New Roman" w:eastAsia="Times New Roman" w:hAnsi="Times New Roman"/>
          <w:sz w:val="19"/>
          <w:szCs w:val="19"/>
          <w:b w:val="1"/>
          <w:bCs w:val="1"/>
          <w:color w:val="auto"/>
        </w:rPr>
        <w:t>Permitted Transferee</w:t>
      </w:r>
      <w:r>
        <w:rPr>
          <w:rFonts w:ascii="Times New Roman" w:cs="Times New Roman" w:eastAsia="Times New Roman" w:hAnsi="Times New Roman"/>
          <w:sz w:val="19"/>
          <w:szCs w:val="19"/>
          <w:color w:val="auto"/>
        </w:rPr>
        <w:t>", and any such assignment or sublease, a "</w:t>
      </w:r>
      <w:r>
        <w:rPr>
          <w:rFonts w:ascii="Times New Roman" w:cs="Times New Roman" w:eastAsia="Times New Roman" w:hAnsi="Times New Roman"/>
          <w:sz w:val="19"/>
          <w:szCs w:val="19"/>
          <w:b w:val="1"/>
          <w:bCs w:val="1"/>
          <w:color w:val="auto"/>
        </w:rPr>
        <w:t>Permitted Transfer</w:t>
      </w:r>
      <w:r>
        <w:rPr>
          <w:rFonts w:ascii="Times New Roman" w:cs="Times New Roman" w:eastAsia="Times New Roman" w:hAnsi="Times New Roman"/>
          <w:sz w:val="19"/>
          <w:szCs w:val="19"/>
          <w:color w:val="auto"/>
        </w:rPr>
        <w:t xml:space="preserve">"), shall not be deemed a Transfer requiring Landlord's consent under this </w:t>
      </w:r>
      <w:r>
        <w:rPr>
          <w:rFonts w:ascii="Times New Roman" w:cs="Times New Roman" w:eastAsia="Times New Roman" w:hAnsi="Times New Roman"/>
          <w:sz w:val="19"/>
          <w:szCs w:val="19"/>
          <w:u w:val="single" w:color="auto"/>
          <w:color w:val="auto"/>
        </w:rPr>
        <w:t>Article 14</w:t>
      </w:r>
      <w:r>
        <w:rPr>
          <w:rFonts w:ascii="Times New Roman" w:cs="Times New Roman" w:eastAsia="Times New Roman" w:hAnsi="Times New Roman"/>
          <w:sz w:val="19"/>
          <w:szCs w:val="19"/>
          <w:color w:val="auto"/>
        </w:rPr>
        <w:t>; provided that (a) Tenant notifies Landlord at least ten (10) days prior to the effective date of any contemplated Permitted Transfer (provided if Tenant is prevented by Applicable Law or confidentiality requirements from disclosing such transaction to Landlord prior to the consummation thereof, Tenant shall provide such notice to Landlord as soon as reasonably practicable) and promptly supplies Landlord with any non-confidential documents or information reasonably requested by Landlord regarding such Permitted Transfer or Permitted Transferee,</w:t>
      </w:r>
    </w:p>
    <w:p>
      <w:pPr>
        <w:spacing w:after="0" w:line="7" w:lineRule="exact"/>
        <w:rPr>
          <w:sz w:val="20"/>
          <w:szCs w:val="20"/>
          <w:color w:val="auto"/>
        </w:rPr>
      </w:pPr>
    </w:p>
    <w:p>
      <w:pPr>
        <w:jc w:val="both"/>
        <w:ind w:firstLine="8"/>
        <w:spacing w:after="0"/>
        <w:tabs>
          <w:tab w:leader="none" w:pos="28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Event of Default by Tenant is then occurring under this Lease, and such Transfer is not a subterfuge by Tenant to avoid its obligations under this Lease, (c) Intentionally Deleted, (d) in connection with a Permitted Transfer under (ii) or (iii) above, such Permitted Transferee shall have a tangible net worth (not including goodwill as an asset) sufficient to fulfill its obligations under the assignment or sublease, as applicable, (e) Tenant shall not be relieved from any liability under this Lease, and (f) Tenant and the Permitted Transferee shall execute and deliver to Landlord, prior to the effective date of the Transfer (provided if Tenant is prevented by Applicable Law or confidentiality requirements from disclosing such transaction to Landlord prior to the consummation thereof, Tenant and the Permitted Transferee shall executed and deliver to Landlord as soon as reasonably practicable), Landlord's then-standard commercially reasonable form of acknowledgment representing that the conditions of this </w:t>
      </w:r>
      <w:r>
        <w:rPr>
          <w:rFonts w:ascii="Times New Roman" w:cs="Times New Roman" w:eastAsia="Times New Roman" w:hAnsi="Times New Roman"/>
          <w:sz w:val="20"/>
          <w:szCs w:val="20"/>
          <w:u w:val="single" w:color="auto"/>
          <w:color w:val="auto"/>
        </w:rPr>
        <w:t>Section 14.7</w:t>
      </w:r>
      <w:r>
        <w:rPr>
          <w:rFonts w:ascii="Times New Roman" w:cs="Times New Roman" w:eastAsia="Times New Roman" w:hAnsi="Times New Roman"/>
          <w:sz w:val="20"/>
          <w:szCs w:val="20"/>
          <w:color w:val="auto"/>
        </w:rPr>
        <w:t xml:space="preserve"> are true and accurate with respect to such Transfer. An assignee of Tenant's entire interest in this Lease who qualifies as a Permitted Transferee may also be referred to herein as a "</w:t>
      </w:r>
      <w:r>
        <w:rPr>
          <w:rFonts w:ascii="Times New Roman" w:cs="Times New Roman" w:eastAsia="Times New Roman" w:hAnsi="Times New Roman"/>
          <w:sz w:val="20"/>
          <w:szCs w:val="20"/>
          <w:b w:val="1"/>
          <w:bCs w:val="1"/>
          <w:color w:val="auto"/>
        </w:rPr>
        <w:t>Permitted Transferee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Assignee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as used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14.7</w:t>
      </w:r>
      <w:r>
        <w:rPr>
          <w:rFonts w:ascii="Times New Roman" w:cs="Times New Roman" w:eastAsia="Times New Roman" w:hAnsi="Times New Roman"/>
          <w:sz w:val="20"/>
          <w:szCs w:val="20"/>
          <w:color w:val="auto"/>
        </w:rPr>
        <w:t>, shall mean the ownership, directly or indirectly, of more than fifty percent (50%)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voting securities of, or possession of the right to vote, in the ordinary direction of its affairs, of more than fifty percent (50%) of the voting interest in, any person or entity.</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14.8 </w:t>
      </w:r>
      <w:r>
        <w:rPr>
          <w:rFonts w:ascii="Times New Roman" w:cs="Times New Roman" w:eastAsia="Times New Roman" w:hAnsi="Times New Roman"/>
          <w:sz w:val="20"/>
          <w:szCs w:val="20"/>
          <w:b w:val="1"/>
          <w:bCs w:val="1"/>
          <w:u w:val="single" w:color="auto"/>
          <w:color w:val="auto"/>
        </w:rPr>
        <w:t>Change of Control</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14.8</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shall mean the following: (i) if Tenant is a partnership, limited liability company, or other non-corporate entity, the withdrawal or change, voluntary, involuntary or by operation of law, of more than fifty percent (50%) of the partners, members, or owners, or transfer of more than fifty percent (50%) of partnership, membership, or ownership interests, within a twelve (12)-month period, or the dissolution of the partnership or other entity without immediate reconstitution thereof, and (ii) if Tenant is a corporation, (a) the dissolution, merger, consolidation or other reorganization of Tenant or (b) the sale or other transfer of an aggregate of more than fifty percent (50%) of the voting shares of Tenant (other than to immediate family members by reason of gift or death), within a twelve (12)-month period, or (c) the sale, mortgage, hypothecation or pledge of an aggregate of more than fifty percent (50%) of the value of the unencumbered assets of Tenant within a twelve (12)-month period. Tenant must notify Landlord in writing within thirty (30) days after the effectiveness of any such Change of Control (and Tenant shall provide Landlord with such non-confidential information with respect to the Change of Control as may be reasonably requested by Landlord). Landlord's consent shall not be required for a Change of Control unless Tenant (following such Change of Control) does not have a tangible net worth sufficient to fulfill its obligations under this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-36-</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68" w:gutter="0" w:footer="0" w:header="0"/>
        </w:sectPr>
      </w:pPr>
    </w:p>
    <w:bookmarkStart w:id="156" w:name="page157"/>
    <w:bookmarkEnd w:id="156"/>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Lease. In no event shall Tenant be relieved from any liability under this Lease as a result of a Change of Control. Notwithstanding anything to the contrary in this Lease, while Tenant is a publicly traded company, any Change of Control of Tenant effected through the sale or transfer of stocks on a public exchange shall not constitute a Transfer requiring Landlord's consent. Notwithstanding the foregoing or anything to the contrary herein, any Change of Control that is a subterfuge by Tenant to avoid its obligations under this Lease shall constitute an Event of Default hereunder.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SURRENDER OF PREMISES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b w:val="1"/>
          <w:bCs w:val="1"/>
          <w:u w:val="single" w:color="auto"/>
          <w:color w:val="auto"/>
        </w:rPr>
        <w:t>Surrender of Premises</w:t>
      </w:r>
      <w:r>
        <w:rPr>
          <w:rFonts w:ascii="Times New Roman" w:cs="Times New Roman" w:eastAsia="Times New Roman" w:hAnsi="Times New Roman"/>
          <w:sz w:val="20"/>
          <w:szCs w:val="20"/>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b w:val="1"/>
          <w:bCs w:val="1"/>
          <w:u w:val="single" w:color="auto"/>
          <w:color w:val="auto"/>
        </w:rPr>
        <w:t>Removal Requirements</w:t>
      </w:r>
      <w:r>
        <w:rPr>
          <w:rFonts w:ascii="Times New Roman" w:cs="Times New Roman" w:eastAsia="Times New Roman" w:hAnsi="Times New Roman"/>
          <w:sz w:val="20"/>
          <w:szCs w:val="20"/>
          <w:color w:val="auto"/>
        </w:rPr>
        <w:t xml:space="preserve">. Upon the expiration of the Lease Term, or upon any earlier termination of this Lease, Tenant shall, subject to the provisions of this </w:t>
      </w:r>
      <w:r>
        <w:rPr>
          <w:rFonts w:ascii="Times New Roman" w:cs="Times New Roman" w:eastAsia="Times New Roman" w:hAnsi="Times New Roman"/>
          <w:sz w:val="20"/>
          <w:szCs w:val="20"/>
          <w:u w:val="single" w:color="auto"/>
          <w:color w:val="auto"/>
        </w:rPr>
        <w:t>Article 15</w:t>
      </w:r>
      <w:r>
        <w:rPr>
          <w:rFonts w:ascii="Times New Roman" w:cs="Times New Roman" w:eastAsia="Times New Roman" w:hAnsi="Times New Roman"/>
          <w:sz w:val="20"/>
          <w:szCs w:val="20"/>
          <w:color w:val="auto"/>
        </w:rPr>
        <w:t xml:space="preserve">, quit and surrender possession of the Premises to Landlord in as good order and condition as when Tenant took possession and as thereafter improved by Landlord and/or Tenant, reasonable wear and tear, damage by Casualty or condemnation and repairs which are specifically made the responsibility of Landlord hereunder excepted. Upon such expiration or termination, Tenant shall, without expense to Landlord, remove or cause to be removed from the Premises the following, and repair all damage to the Premises, Building, or Project resulting from such removal, and at Landlord's option, with respect to Removal Items, restore any affected areas to the condition existing immediately prior to installation: (i) all debris and rubbish, (ii) Tenant's Property, and (iii) all Removal Items required to be removed pursuant to the express terms of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of this Lease. With respect to any Alterations that are not Removal Items, Tenant shall deliver to Landlord all necessary user information that is reasonably within Tenant's possession such that the same may be used by a future occupant of the Premises. If Tenant fails to perform the foregoing removal, repair and restoration obligations, then at Landlord's option, either (i) Tenant shall be deemed to be holding over in the Premises and Rent shall continue to accrue in accordance with the terms of </w:t>
      </w:r>
      <w:r>
        <w:rPr>
          <w:rFonts w:ascii="Times New Roman" w:cs="Times New Roman" w:eastAsia="Times New Roman" w:hAnsi="Times New Roman"/>
          <w:sz w:val="20"/>
          <w:szCs w:val="20"/>
          <w:u w:val="single" w:color="auto"/>
          <w:color w:val="auto"/>
        </w:rPr>
        <w:t>Article 16</w:t>
      </w:r>
      <w:r>
        <w:rPr>
          <w:rFonts w:ascii="Times New Roman" w:cs="Times New Roman" w:eastAsia="Times New Roman" w:hAnsi="Times New Roman"/>
          <w:sz w:val="20"/>
          <w:szCs w:val="20"/>
          <w:color w:val="auto"/>
        </w:rPr>
        <w:t xml:space="preserve"> below, until such work shall be completed, and/or (ii) Landlord may do so and may charge the reasonable, out-of-pocket cost thereof to Tenant. Notwithstanding the foregoing, if there are minor issues with the surrender condition (e.g. minor repairs needed), Landlord shall not have the option to claim that Tenant is in hold over, so long as Tenant has surrendered the Premises to Landlord. Tenant hereby protects, defends, indemnifies and holds Landlord harmless from and against any Losses relating to Tenant's installation, placement, removal or financing of any such Alterations, fixtures and/or equipment in, on or about the Premises or the Project, which obligations of Tenant shall survive the expiration or earlier termination of this Lease.</w:t>
      </w:r>
    </w:p>
    <w:p>
      <w:pPr>
        <w:spacing w:after="0" w:line="1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0"/>
          <w:szCs w:val="20"/>
          <w:b w:val="1"/>
          <w:bCs w:val="1"/>
          <w:u w:val="single" w:color="auto"/>
          <w:color w:val="auto"/>
        </w:rPr>
        <w:t>Disposal Rights</w:t>
      </w:r>
      <w:r>
        <w:rPr>
          <w:rFonts w:ascii="Times New Roman" w:cs="Times New Roman" w:eastAsia="Times New Roman" w:hAnsi="Times New Roman"/>
          <w:sz w:val="20"/>
          <w:szCs w:val="20"/>
          <w:color w:val="auto"/>
        </w:rPr>
        <w:t xml:space="preserve">. Without limiting any other rights or remedies of Landlord, if any of Tenant's Property or Tenant's Off-Premises Equipment are not removed by Tenant upon the expiration of this Lease, or within five (5) business days after any early termination of this Lease, Landlord shall send written notice thereof of such failure and if Tenant fails to remove Tenant's Property or Tenant's Off-Premises Equipment within three (3) business days after such written notice, such Tenant's Property or Tenant's Off-Premises Equipment (as applicable) shall be considered abandoned and Landlord may, at its sole election (and regardless of the value of such property), (i) elect to take ownership of any or all of such property (in which event, subject to the rights of any third parties who have an ownership or security interest in any such property, Landlord may use, sell, or dispose of such property in Landlord's sole discretion), or (ii) store any or all of such property in a public warehouse or elsewhere (including at Landlord's property) for the account, and at the expense and risk, of Tenant. If Landlord elects to store Tenant's Property or Tenant's Off-Premises Equipment, then Tenant shall pay the reasonable, out-of-pocket cost of storing the same to Landlord (based on the actual costs and expenses incurred by Landlord in connection therewith, or if the property is being stored at property owned or controlled by Landlord or its affiliates, based on the then fair market rental value of the applicable space, in all cases as reasonably determined by Landlord). If Landlord elects to store any such personal property in accordance with item (ii) above, then Landlord may thereafter elect to take ownership of such property pursuant to item (i) above at any time prior to Tenant recovering possession of the subject property. The TCCs of this </w:t>
      </w:r>
      <w:r>
        <w:rPr>
          <w:rFonts w:ascii="Times New Roman" w:cs="Times New Roman" w:eastAsia="Times New Roman" w:hAnsi="Times New Roman"/>
          <w:sz w:val="20"/>
          <w:szCs w:val="20"/>
          <w:u w:val="single" w:color="auto"/>
          <w:color w:val="auto"/>
        </w:rPr>
        <w:t>Section 15.3</w:t>
      </w:r>
      <w:r>
        <w:rPr>
          <w:rFonts w:ascii="Times New Roman" w:cs="Times New Roman" w:eastAsia="Times New Roman" w:hAnsi="Times New Roman"/>
          <w:sz w:val="20"/>
          <w:szCs w:val="20"/>
          <w:color w:val="auto"/>
        </w:rPr>
        <w:t xml:space="preserve"> have been specifically bargained for, and, to the maximum extent permitted by law, Tenant expressly waives the right to receive any notices under California Civil Code Section 1993 et seq., or any other statutory procedures with respect to abandoned personal property.</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-37-</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81" w:gutter="0" w:footer="0" w:header="0"/>
        </w:sectPr>
      </w:pPr>
    </w:p>
    <w:bookmarkStart w:id="157" w:name="page158"/>
    <w:bookmarkEnd w:id="15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HOLDING OVER</w:t>
      </w:r>
    </w:p>
    <w:p>
      <w:pPr>
        <w:spacing w:after="0" w:line="22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Unless otherwise agreed upon by Landlord in writing (in Landlord's sole and absolute discretion), if Tenant holds over after the expiration of the Lease Term, such tenancy shall be a tenancy at sufferance, and shall not constitute a renewal hereof or an extension for any further term, and in such case daily damages in any action to recover possession of the Premises shall be one hundred twenty-five percent (125%) of the Base Rent applicable during the last rental period of the Lease Term under this Lease (calculated on a per diem basis) for the first sixty (60) days of such holdover, and one hundred fifty percent (150%) of the Base Rent applicable during the last rental period of the Lease Term under this Lease (calculated on a per diem basis) thereafter. In addition, during such holdover period Tenant shall one hundred percent (100%) of Tenant's Share of Direct Expenses applicable during the last rental period of the Lease Term under this Lease (calculated on a per diem basis). Nothing contained in this </w:t>
      </w:r>
      <w:r>
        <w:rPr>
          <w:rFonts w:ascii="Times New Roman" w:cs="Times New Roman" w:eastAsia="Times New Roman" w:hAnsi="Times New Roman"/>
          <w:sz w:val="20"/>
          <w:szCs w:val="20"/>
          <w:u w:val="single" w:color="auto"/>
          <w:color w:val="auto"/>
        </w:rPr>
        <w:t>Article 16</w:t>
      </w:r>
      <w:r>
        <w:rPr>
          <w:rFonts w:ascii="Times New Roman" w:cs="Times New Roman" w:eastAsia="Times New Roman" w:hAnsi="Times New Roman"/>
          <w:sz w:val="20"/>
          <w:szCs w:val="20"/>
          <w:color w:val="auto"/>
        </w:rPr>
        <w:t xml:space="preserve"> shall be construed as consent by Landlord to any holding over by Tenant, and Landlord expressly reserves the right to require Tenant to vacate and deliver possession of the Premises to Landlord as provided in this Lease upon the expiration or other termination of this Lease. The provisions of this </w:t>
      </w:r>
      <w:r>
        <w:rPr>
          <w:rFonts w:ascii="Times New Roman" w:cs="Times New Roman" w:eastAsia="Times New Roman" w:hAnsi="Times New Roman"/>
          <w:sz w:val="20"/>
          <w:szCs w:val="20"/>
          <w:u w:val="single" w:color="auto"/>
          <w:color w:val="auto"/>
        </w:rPr>
        <w:t>Article 16</w:t>
      </w:r>
      <w:r>
        <w:rPr>
          <w:rFonts w:ascii="Times New Roman" w:cs="Times New Roman" w:eastAsia="Times New Roman" w:hAnsi="Times New Roman"/>
          <w:sz w:val="20"/>
          <w:szCs w:val="20"/>
          <w:color w:val="auto"/>
        </w:rPr>
        <w:t xml:space="preserve"> shall not be deemed to limit or constitute a waiver of any other rights or remedies of Landlord provided herein or at law. If Tenant holds over without Landlord's express written consent, and tenders payment of rent for any period beyond the expiration of the Lease Term by way of check (whether directly to Landlord, its agents, or to a lock box) or wire transfer, the cashing of such check or acceptance of such wire shall be considered inadvertent and not be construed as creating a month-to-month tenancy, provided Landlord refunds such payment to Tenant promptly upon learning that such check has been cashed or wire transfer received. Any holding over without Landlord's express written consent may compromise or otherwise affect Landlord's ability to enter into new leases with prospective tenants regarding the Premises. Therefore, if Tenant fails to vacate and deliver the Premises within thirty (30) days of the termination or expiration of this Lease, in addition to any other Losses to Landlord accruing therefrom, Tenant shall protect, defend, indemnify and hold Landlord harmless from and against all claims made by any succeeding tenant founded upon such failure to vacate and deliver, and any losses suffered by Landlord, including lost profits, resulting from such failure to vacate and deliver. In addition, Tenant shall be liable for all damages (including reasonable attorneys' fees and expenses) of whatever type (including consequential damages) incurred by Landlord as a result of any holding over beyond thirty (30) days after the termination or expiration of this Lease. Tenant agrees that any proceedings necessary to recover possession of the Premises, whether before or after expiration of the Lease Term, shall be considered an action to enforce the terms of this Lease for purposes of the awarding of any attorney's fees in connection therewith.</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ESTOPPEL CERTIFICATES; FINANCIAL STATEMENTS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17.1 </w:t>
      </w:r>
      <w:r>
        <w:rPr>
          <w:rFonts w:ascii="Times New Roman" w:cs="Times New Roman" w:eastAsia="Times New Roman" w:hAnsi="Times New Roman"/>
          <w:sz w:val="20"/>
          <w:szCs w:val="20"/>
          <w:b w:val="1"/>
          <w:bCs w:val="1"/>
          <w:u w:val="single" w:color="auto"/>
          <w:color w:val="auto"/>
        </w:rPr>
        <w:t>Estoppel Certificates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17.1.1 </w:t>
      </w:r>
      <w:r>
        <w:rPr>
          <w:rFonts w:ascii="Times New Roman" w:cs="Times New Roman" w:eastAsia="Times New Roman" w:hAnsi="Times New Roman"/>
          <w:sz w:val="20"/>
          <w:szCs w:val="20"/>
          <w:b w:val="1"/>
          <w:bCs w:val="1"/>
          <w:u w:val="single" w:color="auto"/>
          <w:color w:val="auto"/>
        </w:rPr>
        <w:t>Tenant Estoppel Certificates</w:t>
      </w:r>
      <w:r>
        <w:rPr>
          <w:rFonts w:ascii="Times New Roman" w:cs="Times New Roman" w:eastAsia="Times New Roman" w:hAnsi="Times New Roman"/>
          <w:sz w:val="20"/>
          <w:szCs w:val="20"/>
          <w:color w:val="auto"/>
        </w:rPr>
        <w:t xml:space="preserve">. Within ten (10) business days following Tenant's receipt of a request in writing by Landlord, Tenant shall execute, acknowledge and deliver to Landlord an estoppel certificate (or provide written comments to any proposed certificate delivered by Landlord), which, as submitted by Landlord, shall be substantially in the form of </w:t>
      </w:r>
      <w:r>
        <w:rPr>
          <w:rFonts w:ascii="Times New Roman" w:cs="Times New Roman" w:eastAsia="Times New Roman" w:hAnsi="Times New Roman"/>
          <w:sz w:val="20"/>
          <w:szCs w:val="20"/>
          <w:b w:val="1"/>
          <w:bCs w:val="1"/>
          <w:u w:val="single" w:color="auto"/>
          <w:color w:val="auto"/>
        </w:rPr>
        <w:t>Exhibit E</w:t>
      </w:r>
      <w:r>
        <w:rPr>
          <w:rFonts w:ascii="Times New Roman" w:cs="Times New Roman" w:eastAsia="Times New Roman" w:hAnsi="Times New Roman"/>
          <w:sz w:val="20"/>
          <w:szCs w:val="20"/>
          <w:color w:val="auto"/>
        </w:rPr>
        <w:t>, attached hereto (or such other form as may be reasonably required by any prospective Mortgagee or purchaser of the Project, or any portion thereof), indicating therein any exceptions thereto that may exist at that time, and shall also contain any other factual information reasonably requested by Landlord or Mortgagee or prospective purchaser. Any such certificate may be relied upon by any prospective Mortgagee or purchaser of all or any portion of the Project. Tenant shall execute and deliver whatever other commercially reasonable instruments as may be reasonably required for such purposes, provided that (i) such instruments do not materially increase Tenant's obligations or decrease Tenant's rights under this Lease, and (ii) such instruments do not adversely affect Tenant's business operations or use of the Premises. If Tenant fails to timely execute, acknowledge and deliver such estoppel certificate (or provide written comments to any proposed certificate delivered by Landlord), Landlord may provide to Tenant a second written request with respect to such estoppel certificate which written notice must state in bold and all caps "</w:t>
      </w:r>
      <w:r>
        <w:rPr>
          <w:rFonts w:ascii="Times New Roman" w:cs="Times New Roman" w:eastAsia="Times New Roman" w:hAnsi="Times New Roman"/>
          <w:sz w:val="20"/>
          <w:szCs w:val="20"/>
          <w:b w:val="1"/>
          <w:bCs w:val="1"/>
          <w:color w:val="auto"/>
        </w:rPr>
        <w:t>FAILURE TO RESPOND TO THIS WRITTEN NOTICE WITHIN FIVE (5) BUSINESS DAYS AFTER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RECEIPT HEREOF SHALL CONSTITUTE ACCEPTANCE OF AN ESTOPPEL CERTIFICATE</w:t>
      </w:r>
      <w:r>
        <w:rPr>
          <w:rFonts w:ascii="Times New Roman" w:cs="Times New Roman" w:eastAsia="Times New Roman" w:hAnsi="Times New Roman"/>
          <w:sz w:val="20"/>
          <w:szCs w:val="20"/>
          <w:color w:val="auto"/>
        </w:rPr>
        <w:t>". If Tenant fails to execute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 such certificate (or provide written comments to any proposed certificate delivered by Landlord) within a five (5) business day period following the receipt of Landlord's second written request therefor, such failure shall constitute an acknowledgment by Tenant that statements included in the estoppel certificate are true and correct, without exception.</w:t>
      </w:r>
    </w:p>
    <w:p>
      <w:pPr>
        <w:spacing w:after="0" w:line="193"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17.1.2 </w:t>
      </w:r>
      <w:r>
        <w:rPr>
          <w:rFonts w:ascii="Times New Roman" w:cs="Times New Roman" w:eastAsia="Times New Roman" w:hAnsi="Times New Roman"/>
          <w:sz w:val="20"/>
          <w:szCs w:val="20"/>
          <w:b w:val="1"/>
          <w:bCs w:val="1"/>
          <w:u w:val="single" w:color="auto"/>
          <w:color w:val="auto"/>
        </w:rPr>
        <w:t>Landlord Estoppel Certificates</w:t>
      </w:r>
      <w:r>
        <w:rPr>
          <w:rFonts w:ascii="Times New Roman" w:cs="Times New Roman" w:eastAsia="Times New Roman" w:hAnsi="Times New Roman"/>
          <w:sz w:val="20"/>
          <w:szCs w:val="20"/>
          <w:color w:val="auto"/>
        </w:rPr>
        <w:t>. Within ten (10) business days following a request in writing by Tenant (but only if required by any prospective Transferee, or lender or investor of Tenant), Landlord shall execute, acknowledge and deliver to Tenant an estoppel certificate (or provide written comments to any proposed certificate delivered by Tenant), which, as submitted by Tenant, shall</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-38-</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36" w:gutter="0" w:footer="0" w:header="0"/>
        </w:sectPr>
      </w:pPr>
    </w:p>
    <w:bookmarkStart w:id="158" w:name="page159"/>
    <w:bookmarkEnd w:id="158"/>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be substantially in the form of </w:t>
      </w:r>
      <w:r>
        <w:rPr>
          <w:rFonts w:ascii="Times New Roman" w:cs="Times New Roman" w:eastAsia="Times New Roman" w:hAnsi="Times New Roman"/>
          <w:sz w:val="19"/>
          <w:szCs w:val="19"/>
          <w:b w:val="1"/>
          <w:bCs w:val="1"/>
          <w:u w:val="single" w:color="auto"/>
          <w:color w:val="auto"/>
        </w:rPr>
        <w:t>Exhibit E</w:t>
      </w:r>
      <w:r>
        <w:rPr>
          <w:rFonts w:ascii="Times New Roman" w:cs="Times New Roman" w:eastAsia="Times New Roman" w:hAnsi="Times New Roman"/>
          <w:sz w:val="19"/>
          <w:szCs w:val="19"/>
          <w:color w:val="auto"/>
        </w:rPr>
        <w:t xml:space="preserve">, attached hereto (but with applicable revisions thereto taking into account that Landlord, and not Tenant, will be executing such estoppel certificate) (or such other form as may be reasonably required by Tenant, any prospective Transferee, or lender or investor of Tenant), indicating therein any exceptions thereto that may exist at that time, and shall also contain any other factual information reasonably requested by Tenant, any Transferee or proposed Transferee, or lender or investor of Tenant. Landlord agrees that any statement delivered pursuant to this </w:t>
      </w:r>
      <w:r>
        <w:rPr>
          <w:rFonts w:ascii="Times New Roman" w:cs="Times New Roman" w:eastAsia="Times New Roman" w:hAnsi="Times New Roman"/>
          <w:sz w:val="19"/>
          <w:szCs w:val="19"/>
          <w:u w:val="single" w:color="auto"/>
          <w:color w:val="auto"/>
        </w:rPr>
        <w:t>Section 17.1</w:t>
      </w:r>
      <w:r>
        <w:rPr>
          <w:rFonts w:ascii="Times New Roman" w:cs="Times New Roman" w:eastAsia="Times New Roman" w:hAnsi="Times New Roman"/>
          <w:sz w:val="19"/>
          <w:szCs w:val="19"/>
          <w:color w:val="auto"/>
        </w:rPr>
        <w:t xml:space="preserve"> may be relied upon by any actual or proposed Transferee, lender or investor of Tenant.</w:t>
      </w:r>
    </w:p>
    <w:p>
      <w:pPr>
        <w:spacing w:after="0" w:line="16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17.2 </w:t>
      </w:r>
      <w:r>
        <w:rPr>
          <w:rFonts w:ascii="Times New Roman" w:cs="Times New Roman" w:eastAsia="Times New Roman" w:hAnsi="Times New Roman"/>
          <w:sz w:val="20"/>
          <w:szCs w:val="20"/>
          <w:b w:val="1"/>
          <w:bCs w:val="1"/>
          <w:u w:val="single" w:color="auto"/>
          <w:color w:val="auto"/>
        </w:rPr>
        <w:t>Financial Statements</w:t>
      </w:r>
      <w:r>
        <w:rPr>
          <w:rFonts w:ascii="Times New Roman" w:cs="Times New Roman" w:eastAsia="Times New Roman" w:hAnsi="Times New Roman"/>
          <w:sz w:val="20"/>
          <w:szCs w:val="20"/>
          <w:color w:val="auto"/>
        </w:rPr>
        <w:t>. At any time during the Lease Term (but not more than once in any twelve (12) month period unless in connection with the sale or proposed sale, or the financing/refinancing, of the Project or any portion thereof), Landlord may require Tenant to provide Landlord with current, year to date financial statements and financial statements of the two (2) years prior to the current financial statement year. Prior to receiving any financial statements, Landlord shall execute and deliver to Tenant a commercially reasonable confidentiality agreement in a form reasonably acceptable to Tenant. Such financial statements shall be prepared in accordance with generally accepted accounting principles (or in accordance with another method provided that such financial statements accurately reflect the financial condition of Tenant) and, if such is the normal practice of Tenant, shall be audited by an independent certified public accountant. Notwithstanding the foregoing, so long as Tenant is a publicly-traded company with SEC-compliant financial statements available to Landlord on a public website, Tenant shall not be required to provide Landlord with such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SUBORDINATION AND MORTGAGEES</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This Lease shall be subject and subordinate to the lien of any mortgage, trust deed or other encumbrances (each, a "</w:t>
      </w:r>
      <w:r>
        <w:rPr>
          <w:rFonts w:ascii="Times New Roman" w:cs="Times New Roman" w:eastAsia="Times New Roman" w:hAnsi="Times New Roman"/>
          <w:sz w:val="20"/>
          <w:szCs w:val="20"/>
          <w:b w:val="1"/>
          <w:bCs w:val="1"/>
          <w:color w:val="auto"/>
        </w:rPr>
        <w:t>Mortgage</w:t>
      </w:r>
      <w:r>
        <w:rPr>
          <w:rFonts w:ascii="Times New Roman" w:cs="Times New Roman" w:eastAsia="Times New Roman" w:hAnsi="Times New Roman"/>
          <w:sz w:val="20"/>
          <w:szCs w:val="20"/>
          <w:color w:val="auto"/>
        </w:rPr>
        <w:t>") now or hereafter in force against the Building or Project or any part thereof, if any, and to all renewals, extensions, modifications, consolidations and replacements thereof, and to all advances made or hereafter to be made upon the security of such Mortgage, unless the holders or lessors of such Mortgages (each, a "</w:t>
      </w:r>
      <w:r>
        <w:rPr>
          <w:rFonts w:ascii="Times New Roman" w:cs="Times New Roman" w:eastAsia="Times New Roman" w:hAnsi="Times New Roman"/>
          <w:sz w:val="20"/>
          <w:szCs w:val="20"/>
          <w:b w:val="1"/>
          <w:bCs w:val="1"/>
          <w:color w:val="auto"/>
        </w:rPr>
        <w:t>Mortgagee</w:t>
      </w:r>
      <w:r>
        <w:rPr>
          <w:rFonts w:ascii="Times New Roman" w:cs="Times New Roman" w:eastAsia="Times New Roman" w:hAnsi="Times New Roman"/>
          <w:sz w:val="20"/>
          <w:szCs w:val="20"/>
          <w:color w:val="auto"/>
        </w:rPr>
        <w:t>"), require in writing that this Lease be superior thereto; provided, however, Landlord shall provide Tenant a subordination, non-disturbance and attornment agreement in the standard form provided by such Mortgagee with reasonable modifications thereto requested by Tenant in connection with any future Mortgage, which requires such Mortgagee to accept this Lease, and not to disturb Tenant's possession, so long as an Event of Default has not occurred and is not then continuing (a "</w:t>
      </w:r>
      <w:r>
        <w:rPr>
          <w:rFonts w:ascii="Times New Roman" w:cs="Times New Roman" w:eastAsia="Times New Roman" w:hAnsi="Times New Roman"/>
          <w:sz w:val="20"/>
          <w:szCs w:val="20"/>
          <w:b w:val="1"/>
          <w:bCs w:val="1"/>
          <w:color w:val="auto"/>
        </w:rPr>
        <w:t>SNDA</w:t>
      </w:r>
      <w:r>
        <w:rPr>
          <w:rFonts w:ascii="Times New Roman" w:cs="Times New Roman" w:eastAsia="Times New Roman" w:hAnsi="Times New Roman"/>
          <w:sz w:val="20"/>
          <w:szCs w:val="20"/>
          <w:color w:val="auto"/>
        </w:rPr>
        <w:t>"), executed by Landlord and the appropriate Mortgagee. In the event any proceedings are brought for the foreclosure or termination of any such Mortgage, Tenant agrees to attorn to the Mortgagee upon any such foreclosure or termination, if so requested to do so by such Mortgagee, and to recognize such Mortgagee as the lessor under this Lease, provided such Mortgagee shall agree to accept this Lease and not disturb Tenant's occupancy, so long as no Event of Default is then occurring. Landlord's interest herein may be assigned as security at any time to any Mortgagee. Tenant shall, within fifteen (15) business days of receipt of a written request by Landlord, execute such further commercially reasonable instruments or assurances as Landlord may reasonably deem necessary to evidence or confirm the subordination or superiority of this Lease to any such Mortgage.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Should any current or prospective Mortgagee require a modification of this Lease, which modification will not cause an increased cost or expense to Tenant or in any other way materially and adversely change the rights and obligations of Tenant hereunder, then and in such event, this Lease may be so modified and Tenant shall execute whatever commercially reasonable documents are reasonably required therefor and to deliver the same (or comments thereto) to Landlord within ten (10) business days following receipt of a written request therefor. Landlord's title is and always shall be paramount to the title of Tenant. Nothing herein contained shall empower Tenant to do any act which can, shall encumber the title of Landlord. Landlord represents and warrants that as of the Effective Date, there are no Mortgages in force against the Building or Project or any part thereof.</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EVENTS OF DEFAULT; REMEDIES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19.1 </w:t>
      </w:r>
      <w:r>
        <w:rPr>
          <w:rFonts w:ascii="Times New Roman" w:cs="Times New Roman" w:eastAsia="Times New Roman" w:hAnsi="Times New Roman"/>
          <w:sz w:val="20"/>
          <w:szCs w:val="20"/>
          <w:b w:val="1"/>
          <w:bCs w:val="1"/>
          <w:u w:val="single" w:color="auto"/>
          <w:color w:val="auto"/>
        </w:rPr>
        <w:t>Events of Default</w:t>
      </w:r>
      <w:r>
        <w:rPr>
          <w:rFonts w:ascii="Times New Roman" w:cs="Times New Roman" w:eastAsia="Times New Roman" w:hAnsi="Times New Roman"/>
          <w:sz w:val="20"/>
          <w:szCs w:val="20"/>
          <w:color w:val="auto"/>
        </w:rPr>
        <w:t>. In addition to any other Events of Default specified elsewhere in this Lease, the occurrence of any of the following shall constitute an "</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by Tenant:</w:t>
      </w:r>
    </w:p>
    <w:p>
      <w:pPr>
        <w:spacing w:after="0" w:line="156" w:lineRule="exact"/>
        <w:rPr>
          <w:sz w:val="20"/>
          <w:szCs w:val="20"/>
          <w:color w:val="auto"/>
        </w:rPr>
      </w:pPr>
    </w:p>
    <w:p>
      <w:pPr>
        <w:ind w:right="40" w:firstLine="1497"/>
        <w:spacing w:after="0" w:line="269" w:lineRule="auto"/>
        <w:rPr>
          <w:sz w:val="20"/>
          <w:szCs w:val="20"/>
          <w:color w:val="auto"/>
        </w:rPr>
      </w:pPr>
      <w:r>
        <w:rPr>
          <w:rFonts w:ascii="Times New Roman" w:cs="Times New Roman" w:eastAsia="Times New Roman" w:hAnsi="Times New Roman"/>
          <w:sz w:val="20"/>
          <w:szCs w:val="20"/>
          <w:color w:val="auto"/>
        </w:rPr>
        <w:t>19.1.1 Any failure by Tenant to pay any Rent or any other charge required to be paid under this Lease, or any part thereof, when due, where such failure continues for five (5) business days after Tenant's receipt of written notice thereof; or</w:t>
      </w:r>
    </w:p>
    <w:p>
      <w:pPr>
        <w:spacing w:after="0" w:line="159" w:lineRule="exact"/>
        <w:rPr>
          <w:sz w:val="20"/>
          <w:szCs w:val="20"/>
          <w:color w:val="auto"/>
        </w:rPr>
      </w:pPr>
    </w:p>
    <w:p>
      <w:pPr>
        <w:ind w:right="40" w:firstLine="1497"/>
        <w:spacing w:after="0" w:line="269" w:lineRule="auto"/>
        <w:rPr>
          <w:sz w:val="20"/>
          <w:szCs w:val="20"/>
          <w:color w:val="auto"/>
        </w:rPr>
      </w:pPr>
      <w:r>
        <w:rPr>
          <w:rFonts w:ascii="Times New Roman" w:cs="Times New Roman" w:eastAsia="Times New Roman" w:hAnsi="Times New Roman"/>
          <w:sz w:val="20"/>
          <w:szCs w:val="20"/>
          <w:color w:val="auto"/>
        </w:rPr>
        <w:t>19.1.2 To the extent permitted by Applicable Laws, (i) Tenant or any guarantor of this Lease being placed into receivership or conservatorship, or becoming subject to similar proceedings under</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-39-</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4"/>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63" w:gutter="0" w:footer="0" w:header="0"/>
        </w:sectPr>
      </w:pPr>
    </w:p>
    <w:bookmarkStart w:id="159" w:name="page160"/>
    <w:bookmarkEnd w:id="159"/>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Federal or State law, or (ii) a general assignment by Tenant or any guarantor of this Lease for the benefit of creditors, or (iii) the taking of any corporate action in furtherance of bankruptcy or dissolution whether or not there exists any proceeding under an insolvency or bankruptcy law, or (iv) the filing by or against Tenant or any guarantor of any proceeding under an insolvency or bankruptcy law, unless in the case of such a proceeding filed against Tenant or any guarantor the same is dismissed within ninety (90) days, or (v) the appointment of a trustee or receiver to take possession of all or substantially all of the assets of Tenant or any guarantor, unless possession is restored to Tenant or such guarantor within ninety (90) days, or (vi) any execution or other judicially authorized seizure of all or substantially all of Tenant's assets located upon the Premises or of Tenant's interest in this Lease, unless such seizure is discharged within ninety (90) days; or</w:t>
      </w:r>
    </w:p>
    <w:p>
      <w:pPr>
        <w:spacing w:after="0" w:line="186"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19.1.3</w:t>
      </w:r>
      <w:r>
        <w:rPr>
          <w:sz w:val="20"/>
          <w:szCs w:val="20"/>
          <w:color w:val="auto"/>
        </w:rPr>
        <w:tab/>
      </w:r>
      <w:r>
        <w:rPr>
          <w:rFonts w:ascii="Times New Roman" w:cs="Times New Roman" w:eastAsia="Times New Roman" w:hAnsi="Times New Roman"/>
          <w:sz w:val="20"/>
          <w:szCs w:val="20"/>
          <w:color w:val="auto"/>
        </w:rPr>
        <w:t>Abandonment (as defined by California Civil Code Section 1951.3) of all or materially all of the Premises 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Tenant; or</w:t>
      </w:r>
    </w:p>
    <w:p>
      <w:pPr>
        <w:spacing w:after="0" w:line="19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19.1.4 The failure by Tenant to observe or perform according to the provisions of </w:t>
      </w:r>
      <w:r>
        <w:rPr>
          <w:rFonts w:ascii="Times New Roman" w:cs="Times New Roman" w:eastAsia="Times New Roman" w:hAnsi="Times New Roman"/>
          <w:sz w:val="20"/>
          <w:szCs w:val="20"/>
          <w:u w:val="single" w:color="auto"/>
          <w:color w:val="auto"/>
        </w:rPr>
        <w:t>Articles 5, 14, 17 or 18</w:t>
      </w:r>
      <w:r>
        <w:rPr>
          <w:rFonts w:ascii="Times New Roman" w:cs="Times New Roman" w:eastAsia="Times New Roman" w:hAnsi="Times New Roman"/>
          <w:sz w:val="20"/>
          <w:szCs w:val="20"/>
          <w:color w:val="auto"/>
        </w:rPr>
        <w:t xml:space="preserve"> of this Lease or any provision of the Work Letter where, in each instance, such failure continues for more than five (5) business days after Tenant's receipt of written notice thereof from Landlord; or</w:t>
      </w:r>
    </w:p>
    <w:p>
      <w:pPr>
        <w:spacing w:after="0" w:line="174"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19.1.5</w:t>
      </w:r>
      <w:r>
        <w:rPr>
          <w:sz w:val="20"/>
          <w:szCs w:val="20"/>
          <w:color w:val="auto"/>
        </w:rPr>
        <w:tab/>
      </w:r>
      <w:r>
        <w:rPr>
          <w:rFonts w:ascii="Times New Roman" w:cs="Times New Roman" w:eastAsia="Times New Roman" w:hAnsi="Times New Roman"/>
          <w:sz w:val="19"/>
          <w:szCs w:val="19"/>
          <w:color w:val="auto"/>
        </w:rPr>
        <w:t>Intentionally Deleted;</w:t>
      </w:r>
    </w:p>
    <w:p>
      <w:pPr>
        <w:spacing w:after="0" w:line="21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19.1.6 Any failure by Tenant to observe or perform any other provision, covenant or condition of this Lease to be observed or performed by Tenant where such failure continues for thirty (30) days after Tenant's receipt of written notice thereof from Landlord; provided that if the nature of such default is such that the same cannot reasonably be cured within a thirty (30) day period (or, as applicable, within the specific time period for Tenant's performance otherwise expressly set forth in this Lease), no Event of Default shall be deemed to have occurred under this </w:t>
      </w:r>
      <w:r>
        <w:rPr>
          <w:rFonts w:ascii="Times New Roman" w:cs="Times New Roman" w:eastAsia="Times New Roman" w:hAnsi="Times New Roman"/>
          <w:sz w:val="20"/>
          <w:szCs w:val="20"/>
          <w:u w:val="single" w:color="auto"/>
          <w:color w:val="auto"/>
        </w:rPr>
        <w:t>Section 19.1.6</w:t>
      </w:r>
      <w:r>
        <w:rPr>
          <w:rFonts w:ascii="Times New Roman" w:cs="Times New Roman" w:eastAsia="Times New Roman" w:hAnsi="Times New Roman"/>
          <w:sz w:val="20"/>
          <w:szCs w:val="20"/>
          <w:color w:val="auto"/>
        </w:rPr>
        <w:t xml:space="preserve"> if Tenant diligently commences such cure within such period and thereafter diligently proceeds to rectify and cure such default.</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Any notices to be provided by Landlord under this </w:t>
      </w:r>
      <w:r>
        <w:rPr>
          <w:rFonts w:ascii="Times New Roman" w:cs="Times New Roman" w:eastAsia="Times New Roman" w:hAnsi="Times New Roman"/>
          <w:sz w:val="20"/>
          <w:szCs w:val="20"/>
          <w:u w:val="single" w:color="auto"/>
          <w:color w:val="auto"/>
        </w:rPr>
        <w:t>Section 19.1</w:t>
      </w:r>
      <w:r>
        <w:rPr>
          <w:rFonts w:ascii="Times New Roman" w:cs="Times New Roman" w:eastAsia="Times New Roman" w:hAnsi="Times New Roman"/>
          <w:sz w:val="20"/>
          <w:szCs w:val="20"/>
          <w:color w:val="auto"/>
        </w:rPr>
        <w:t xml:space="preserve"> shall be in lieu of, and not in addition to, any notice required under Section 1161 et seq. of the Code of Civil Procedure, and may be served on Tenant in the manner allowed for service of notices under this Lease.</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19.2 </w:t>
      </w:r>
      <w:r>
        <w:rPr>
          <w:rFonts w:ascii="Times New Roman" w:cs="Times New Roman" w:eastAsia="Times New Roman" w:hAnsi="Times New Roman"/>
          <w:sz w:val="20"/>
          <w:szCs w:val="20"/>
          <w:b w:val="1"/>
          <w:bCs w:val="1"/>
          <w:u w:val="single" w:color="auto"/>
          <w:color w:val="auto"/>
        </w:rPr>
        <w:t>Remedies Upon Event of Default</w:t>
      </w:r>
      <w:r>
        <w:rPr>
          <w:rFonts w:ascii="Times New Roman" w:cs="Times New Roman" w:eastAsia="Times New Roman" w:hAnsi="Times New Roman"/>
          <w:sz w:val="20"/>
          <w:szCs w:val="20"/>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8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for any claim for damages therefor; and Landlord may recover from Tenant the following:</w:t>
      </w:r>
    </w:p>
    <w:p>
      <w:pPr>
        <w:spacing w:after="0" w:line="180" w:lineRule="exact"/>
        <w:rPr>
          <w:sz w:val="20"/>
          <w:szCs w:val="20"/>
          <w:color w:val="auto"/>
        </w:rPr>
      </w:pPr>
    </w:p>
    <w:p>
      <w:pPr>
        <w:ind w:left="3000"/>
        <w:spacing w:after="0"/>
        <w:tabs>
          <w:tab w:leader="none" w:pos="3380" w:val="left"/>
        </w:tabs>
        <w:rPr>
          <w:sz w:val="20"/>
          <w:szCs w:val="20"/>
          <w:color w:val="auto"/>
        </w:rPr>
      </w:pPr>
      <w:r>
        <w:rPr>
          <w:rFonts w:ascii="Times New Roman" w:cs="Times New Roman" w:eastAsia="Times New Roman" w:hAnsi="Times New Roman"/>
          <w:sz w:val="20"/>
          <w:szCs w:val="20"/>
          <w:color w:val="auto"/>
        </w:rPr>
        <w:t>(a)</w:t>
        <w:tab/>
        <w:t>The worth at the time of award of any unpaid rent which has been earned at the time of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termination; plus</w:t>
      </w:r>
    </w:p>
    <w:p>
      <w:pPr>
        <w:spacing w:after="0" w:line="194" w:lineRule="exact"/>
        <w:rPr>
          <w:sz w:val="20"/>
          <w:szCs w:val="20"/>
          <w:color w:val="auto"/>
        </w:rPr>
      </w:pPr>
    </w:p>
    <w:p>
      <w:pPr>
        <w:jc w:val="both"/>
        <w:ind w:firstLine="3003"/>
        <w:spacing w:after="0" w:line="254" w:lineRule="auto"/>
        <w:tabs>
          <w:tab w:leader="none" w:pos="339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74" w:lineRule="exact"/>
        <w:rPr>
          <w:rFonts w:ascii="Times New Roman" w:cs="Times New Roman" w:eastAsia="Times New Roman" w:hAnsi="Times New Roman"/>
          <w:sz w:val="20"/>
          <w:szCs w:val="20"/>
          <w:color w:val="auto"/>
        </w:rPr>
      </w:pPr>
    </w:p>
    <w:p>
      <w:pPr>
        <w:ind w:right="40" w:firstLine="3003"/>
        <w:spacing w:after="0" w:line="269" w:lineRule="auto"/>
        <w:tabs>
          <w:tab w:leader="none" w:pos="339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59" w:lineRule="exact"/>
        <w:rPr>
          <w:rFonts w:ascii="Times New Roman" w:cs="Times New Roman" w:eastAsia="Times New Roman" w:hAnsi="Times New Roman"/>
          <w:sz w:val="20"/>
          <w:szCs w:val="20"/>
          <w:color w:val="auto"/>
        </w:rPr>
      </w:pPr>
    </w:p>
    <w:p>
      <w:pPr>
        <w:jc w:val="both"/>
        <w:ind w:firstLine="3003"/>
        <w:spacing w:after="0" w:line="246" w:lineRule="auto"/>
        <w:tabs>
          <w:tab w:leader="none" w:pos="339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 reasonably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84" w:lineRule="exact"/>
        <w:rPr>
          <w:rFonts w:ascii="Times New Roman" w:cs="Times New Roman" w:eastAsia="Times New Roman" w:hAnsi="Times New Roman"/>
          <w:sz w:val="20"/>
          <w:szCs w:val="20"/>
          <w:color w:val="auto"/>
        </w:rPr>
      </w:pPr>
    </w:p>
    <w:p>
      <w:pPr>
        <w:ind w:right="20" w:firstLine="3003"/>
        <w:spacing w:after="0" w:line="269" w:lineRule="auto"/>
        <w:tabs>
          <w:tab w:leader="none" w:pos="339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Landlord's election, such other amounts in addition to or in lieu of the foregoing as may be permitted from time to time by Applicable Laws.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-40-</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501" w:gutter="0" w:footer="0" w:header="0"/>
        </w:sectPr>
      </w:pPr>
    </w:p>
    <w:bookmarkStart w:id="160" w:name="page161"/>
    <w:bookmarkEnd w:id="160"/>
    <w:p>
      <w:pPr>
        <w:spacing w:after="0" w:line="18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rent</w:t>
      </w:r>
      <w:r>
        <w:rPr>
          <w:rFonts w:ascii="Times New Roman" w:cs="Times New Roman" w:eastAsia="Times New Roman" w:hAnsi="Times New Roman"/>
          <w:sz w:val="20"/>
          <w:szCs w:val="20"/>
          <w:color w:val="auto"/>
        </w:rPr>
        <w:t xml:space="preserve">" as used in this </w:t>
      </w:r>
      <w:r>
        <w:rPr>
          <w:rFonts w:ascii="Times New Roman" w:cs="Times New Roman" w:eastAsia="Times New Roman" w:hAnsi="Times New Roman"/>
          <w:sz w:val="20"/>
          <w:szCs w:val="20"/>
          <w:u w:val="single" w:color="auto"/>
          <w:color w:val="auto"/>
        </w:rPr>
        <w:t>Section 19.2</w:t>
      </w:r>
      <w:r>
        <w:rPr>
          <w:rFonts w:ascii="Times New Roman" w:cs="Times New Roman" w:eastAsia="Times New Roman" w:hAnsi="Times New Roman"/>
          <w:sz w:val="20"/>
          <w:szCs w:val="20"/>
          <w:color w:val="auto"/>
        </w:rPr>
        <w:t xml:space="preserve"> shall be deemed to be and to mean all sums of every nature required to be paid by Tenant pursuant to the terms of this Lease, whether to Landlord or to others. As used in </w:t>
      </w:r>
      <w:r>
        <w:rPr>
          <w:rFonts w:ascii="Times New Roman" w:cs="Times New Roman" w:eastAsia="Times New Roman" w:hAnsi="Times New Roman"/>
          <w:sz w:val="20"/>
          <w:szCs w:val="20"/>
          <w:u w:val="single" w:color="auto"/>
          <w:color w:val="auto"/>
        </w:rPr>
        <w:t>Sections 19.2.1(a) and (b)</w:t>
      </w:r>
      <w:r>
        <w:rPr>
          <w:rFonts w:ascii="Times New Roman" w:cs="Times New Roman" w:eastAsia="Times New Roman" w:hAnsi="Times New Roman"/>
          <w:sz w:val="20"/>
          <w:szCs w:val="20"/>
          <w:color w:val="auto"/>
        </w:rPr>
        <w:t xml:space="preserve"> above, the "worth at the time of award" shall be computed by allowing interest at the Interest Rate. As used in </w:t>
      </w:r>
      <w:r>
        <w:rPr>
          <w:rFonts w:ascii="Times New Roman" w:cs="Times New Roman" w:eastAsia="Times New Roman" w:hAnsi="Times New Roman"/>
          <w:sz w:val="20"/>
          <w:szCs w:val="20"/>
          <w:u w:val="single" w:color="auto"/>
          <w:color w:val="auto"/>
        </w:rPr>
        <w:t>Section 19.2.1(c)</w:t>
      </w:r>
      <w:r>
        <w:rPr>
          <w:rFonts w:ascii="Times New Roman" w:cs="Times New Roman" w:eastAsia="Times New Roman" w:hAnsi="Times New Roman"/>
          <w:sz w:val="20"/>
          <w:szCs w:val="20"/>
          <w:color w:val="auto"/>
        </w:rPr>
        <w:t xml:space="preserve"> above, the "worth at the time of award" shall be computed by discounting such amount at the discount rate of the Federal Reserve Bank of San Francisco at the time of award plus one percent (1%).</w:t>
      </w:r>
    </w:p>
    <w:p>
      <w:pPr>
        <w:spacing w:after="0" w:line="18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Event of Default by Tenant, Landlord may, from time to time, without terminating this Lease, enforce all of its rights and remedies under this Lease, including the right to recover all rent as it becomes due.</w:t>
      </w:r>
    </w:p>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19.2.3 If this Lease is terminated prior to the expiration of the Base Rent Abatement Period for any reason other than Landlord's breach of this Lease, as a result of a Casualty or condemnation event, or pursuant to the Termination Option, then Landlord shall have the right, in its sole and absolute discretion, to cause the dollar amount of the unapplied portion of the Base Rent Abatement as of the termination to be converted to a credit to be applied to the Base Rent applicable at the end of the Lease Term, in which event Tenant shall immediately be obligated to begin paying Base Rent for the Premises in full (without regard to the applicable Base Rent Abatement). The acceptance by Landlord of Rent or the cure of any Event of Default shall not be deemed a waiver by Landlord of its rights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19.2.3</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19.2.4 Landlord shall at all times have the rights and remedies (which shall be cumulative with each other and cumulative and in addition to those rights and remedies available under </w:t>
      </w:r>
      <w:r>
        <w:rPr>
          <w:rFonts w:ascii="Times New Roman" w:cs="Times New Roman" w:eastAsia="Times New Roman" w:hAnsi="Times New Roman"/>
          <w:sz w:val="20"/>
          <w:szCs w:val="20"/>
          <w:u w:val="single" w:color="auto"/>
          <w:color w:val="auto"/>
        </w:rPr>
        <w:t>Sections 19.2.1,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19.2.2</w:t>
      </w:r>
      <w:r>
        <w:rPr>
          <w:rFonts w:ascii="Times New Roman" w:cs="Times New Roman" w:eastAsia="Times New Roman" w:hAnsi="Times New Roman"/>
          <w:sz w:val="20"/>
          <w:szCs w:val="20"/>
          <w:color w:val="auto"/>
        </w:rPr>
        <w:t xml:space="preserve"> above, or any law or other provision of this Lease), without prior demand or notice except as required by Applicable Laws, to seek any declaratory, injunctive or other equitable relief, and specifically enforce this Lease, or restrain or enjoin a violation or breach of any provision hereof.</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19.3 </w:t>
      </w:r>
      <w:r>
        <w:rPr>
          <w:rFonts w:ascii="Times New Roman" w:cs="Times New Roman" w:eastAsia="Times New Roman" w:hAnsi="Times New Roman"/>
          <w:sz w:val="20"/>
          <w:szCs w:val="20"/>
          <w:b w:val="1"/>
          <w:bCs w:val="1"/>
          <w:u w:val="single" w:color="auto"/>
          <w:color w:val="auto"/>
        </w:rPr>
        <w:t>Subleases of Tenant</w:t>
      </w:r>
      <w:r>
        <w:rPr>
          <w:rFonts w:ascii="Times New Roman" w:cs="Times New Roman" w:eastAsia="Times New Roman" w:hAnsi="Times New Roman"/>
          <w:sz w:val="20"/>
          <w:szCs w:val="20"/>
          <w:color w:val="auto"/>
        </w:rPr>
        <w:t>. Whether or not Landlord elects to terminate this Lease on account of Event of Default,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19.4 </w:t>
      </w:r>
      <w:r>
        <w:rPr>
          <w:rFonts w:ascii="Times New Roman" w:cs="Times New Roman" w:eastAsia="Times New Roman" w:hAnsi="Times New Roman"/>
          <w:sz w:val="20"/>
          <w:szCs w:val="20"/>
          <w:b w:val="1"/>
          <w:bCs w:val="1"/>
          <w:u w:val="single" w:color="auto"/>
          <w:color w:val="auto"/>
        </w:rPr>
        <w:t>Efforts to Relet</w:t>
      </w:r>
      <w:r>
        <w:rPr>
          <w:rFonts w:ascii="Times New Roman" w:cs="Times New Roman" w:eastAsia="Times New Roman" w:hAnsi="Times New Roman"/>
          <w:sz w:val="20"/>
          <w:szCs w:val="20"/>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19.5 </w:t>
      </w:r>
      <w:r>
        <w:rPr>
          <w:rFonts w:ascii="Times New Roman" w:cs="Times New Roman" w:eastAsia="Times New Roman" w:hAnsi="Times New Roman"/>
          <w:sz w:val="20"/>
          <w:szCs w:val="20"/>
          <w:b w:val="1"/>
          <w:bCs w:val="1"/>
          <w:u w:val="single" w:color="auto"/>
          <w:color w:val="auto"/>
        </w:rPr>
        <w:t>Landlord Default</w:t>
      </w:r>
      <w:r>
        <w:rPr>
          <w:rFonts w:ascii="Times New Roman" w:cs="Times New Roman" w:eastAsia="Times New Roman" w:hAnsi="Times New Roman"/>
          <w:sz w:val="20"/>
          <w:szCs w:val="20"/>
          <w:color w:val="auto"/>
        </w:rPr>
        <w:t xml:space="preserve">. Notwithstanding anything to the contrary set forth in this Lease, Landlord shall be in default under this Lease only if Landlord fails to perform any of its obligations hereunder and such failure continues for thirty (30) days after Tenant delivers to Landlord written notice specifying such failure; however, if such failure cannot reasonably be cured within such 30-day period, but Landlord commences to cure such failure within such 30-day period and thereafter diligently pursues the curing thereof to completion, then Landlord shall not be in default hereunder. Except where the provisions of this Lease grant Tenant an express, exclusive remedy, or expressly deny Tenant a remedy, Tenant may pursue all remedies available at law or in equity; provided, however, that any damages recoverable by Tenant shall not include consequential damages caused by such default; in each case, Landlord's liability or obligations with respect to any such remedy shall be limited as provided in </w:t>
      </w:r>
      <w:r>
        <w:rPr>
          <w:rFonts w:ascii="Times New Roman" w:cs="Times New Roman" w:eastAsia="Times New Roman" w:hAnsi="Times New Roman"/>
          <w:sz w:val="20"/>
          <w:szCs w:val="20"/>
          <w:u w:val="single" w:color="auto"/>
          <w:color w:val="auto"/>
        </w:rPr>
        <w:t>Section 30.10</w:t>
      </w:r>
      <w:r>
        <w:rPr>
          <w:rFonts w:ascii="Times New Roman" w:cs="Times New Roman" w:eastAsia="Times New Roman" w:hAnsi="Times New Roman"/>
          <w:sz w:val="20"/>
          <w:szCs w:val="20"/>
          <w:color w:val="auto"/>
        </w:rPr>
        <w:t xml:space="preserve"> below. All obligations of Landlord under this Lease shall be construed as covenants, not conditions. Except as set forth in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Tenant hereby waives the benefit of any laws granting it the right to perform Landlord's obligations or the right to terminate this Lease or withhold Rent on account of any Landlord default.</w:t>
      </w:r>
    </w:p>
    <w:p>
      <w:pPr>
        <w:spacing w:after="0" w:line="18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19.6 </w:t>
      </w:r>
      <w:r>
        <w:rPr>
          <w:rFonts w:ascii="Times New Roman" w:cs="Times New Roman" w:eastAsia="Times New Roman" w:hAnsi="Times New Roman"/>
          <w:sz w:val="20"/>
          <w:szCs w:val="20"/>
          <w:b w:val="1"/>
          <w:bCs w:val="1"/>
          <w:u w:val="single" w:color="auto"/>
          <w:color w:val="auto"/>
        </w:rPr>
        <w:t>Mutual Waiver of Consequential Damages</w:t>
      </w:r>
      <w:r>
        <w:rPr>
          <w:rFonts w:ascii="Times New Roman" w:cs="Times New Roman" w:eastAsia="Times New Roman" w:hAnsi="Times New Roman"/>
          <w:sz w:val="20"/>
          <w:szCs w:val="20"/>
          <w:color w:val="auto"/>
        </w:rPr>
        <w:t>. Notwithstanding anything to the contrary set forth in this Lease,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or any indirect, consequential, or punitive damages of any kind, in each case, however occurring (including, without limitation, in connection with or incidental to a failure to furnish any services or utilities, or any failure to perform any repair or maintenance obligations), or loss to inventory, scientific research, scientific experiments, laboratory animals, products, specimens, samples, and/or scientific, business, accounting and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-41-</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433" w:gutter="0" w:footer="0" w:header="0"/>
        </w:sectPr>
      </w:pPr>
    </w:p>
    <w:bookmarkStart w:id="161" w:name="page162"/>
    <w:bookmarkEnd w:id="161"/>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other records of every kind and description kept at the premises and any and all income derived or derivable therefrom. Notwithstanding anything to the contrary set forth in this Lease, neither Tenant nor the Tenant Parties shall be liable under any circumstances for injury or damage to, or interference with, Landlord's business, including but not limited to, loss of profits, loss of rents or other revenues, loss of business opportunity, loss of goodwill or loss of use, or any indirect, consequential, or punitive damages of any kind, in each case, however occurring (including, without limitation, in connection with or incidental to Tenant’s use or occupancy of the Premises or any failure to perform any repair or maintenance obligations), or loss of or damage to Landlord’s real or personal property at the Project or Landlord’s business operations, and any income derived or derivable therefrom. The parties acknowledge and agree that any claims made by any succeeding tenant founded upon Tenant's failure to surrender all or any portion of the Premises upon the expiration of the term of the Lease (as that same may be extended), and any lost profits to Landlord resulting therefrom, to the extent expressly provided in </w:t>
      </w:r>
      <w:r>
        <w:rPr>
          <w:rFonts w:ascii="Times New Roman" w:cs="Times New Roman" w:eastAsia="Times New Roman" w:hAnsi="Times New Roman"/>
          <w:sz w:val="20"/>
          <w:szCs w:val="20"/>
          <w:u w:val="single" w:color="auto"/>
          <w:color w:val="auto"/>
        </w:rPr>
        <w:t>Article 16</w:t>
      </w:r>
      <w:r>
        <w:rPr>
          <w:rFonts w:ascii="Times New Roman" w:cs="Times New Roman" w:eastAsia="Times New Roman" w:hAnsi="Times New Roman"/>
          <w:sz w:val="20"/>
          <w:szCs w:val="20"/>
          <w:color w:val="auto"/>
        </w:rPr>
        <w:t>, shall not be deemed interference with Landlord's business, loss of profits, loss of rents or other revenues, consequential damages, loss of business opportunity or loss of goodwill within the limitation set forth in the preceding sentence.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HAZARDOUS MATERIALS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20.1 </w:t>
      </w:r>
      <w:r>
        <w:rPr>
          <w:rFonts w:ascii="Times New Roman" w:cs="Times New Roman" w:eastAsia="Times New Roman" w:hAnsi="Times New Roman"/>
          <w:sz w:val="20"/>
          <w:szCs w:val="20"/>
          <w:b w:val="1"/>
          <w:bCs w:val="1"/>
          <w:u w:val="single" w:color="auto"/>
          <w:color w:val="auto"/>
        </w:rPr>
        <w:t>Tenant's Obligations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0"/>
          <w:szCs w:val="20"/>
          <w:color w:val="auto"/>
        </w:rPr>
        <w:t xml:space="preserve">20.1.1 </w:t>
      </w:r>
      <w:r>
        <w:rPr>
          <w:rFonts w:ascii="Times New Roman" w:cs="Times New Roman" w:eastAsia="Times New Roman" w:hAnsi="Times New Roman"/>
          <w:sz w:val="20"/>
          <w:szCs w:val="20"/>
          <w:b w:val="1"/>
          <w:bCs w:val="1"/>
          <w:u w:val="single" w:color="auto"/>
          <w:color w:val="auto"/>
        </w:rPr>
        <w:t>Prohibitions</w:t>
      </w:r>
      <w:r>
        <w:rPr>
          <w:rFonts w:ascii="Times New Roman" w:cs="Times New Roman" w:eastAsia="Times New Roman" w:hAnsi="Times New Roman"/>
          <w:sz w:val="20"/>
          <w:szCs w:val="20"/>
          <w:color w:val="auto"/>
        </w:rPr>
        <w:t>. Prior to the Phase I Commencement Date, Tenant shall fully and accurately completed Landlord's Environmental Questionnaire (the "</w:t>
      </w:r>
      <w:r>
        <w:rPr>
          <w:rFonts w:ascii="Times New Roman" w:cs="Times New Roman" w:eastAsia="Times New Roman" w:hAnsi="Times New Roman"/>
          <w:sz w:val="20"/>
          <w:szCs w:val="20"/>
          <w:b w:val="1"/>
          <w:bCs w:val="1"/>
          <w:color w:val="auto"/>
        </w:rPr>
        <w:t>Environmental Questionnaire</w:t>
      </w:r>
      <w:r>
        <w:rPr>
          <w:rFonts w:ascii="Times New Roman" w:cs="Times New Roman" w:eastAsia="Times New Roman" w:hAnsi="Times New Roman"/>
          <w:sz w:val="20"/>
          <w:szCs w:val="20"/>
          <w:color w:val="auto"/>
        </w:rPr>
        <w:t xml:space="preserve">"), which is in the form attached as </w:t>
      </w:r>
      <w:r>
        <w:rPr>
          <w:rFonts w:ascii="Times New Roman" w:cs="Times New Roman" w:eastAsia="Times New Roman" w:hAnsi="Times New Roman"/>
          <w:sz w:val="20"/>
          <w:szCs w:val="20"/>
          <w:b w:val="1"/>
          <w:bCs w:val="1"/>
          <w:u w:val="single" w:color="auto"/>
          <w:color w:val="auto"/>
        </w:rPr>
        <w:t>Exhibit G</w:t>
      </w:r>
      <w:r>
        <w:rPr>
          <w:rFonts w:ascii="Times New Roman" w:cs="Times New Roman" w:eastAsia="Times New Roman" w:hAnsi="Times New Roman"/>
          <w:sz w:val="20"/>
          <w:szCs w:val="20"/>
          <w:color w:val="auto"/>
        </w:rPr>
        <w:t>. Tenant agrees that except for those chemicals or materials, and their approximate quantities, specifically listed on the Environmental Questionnaire, which Tenant agrees will be used or stored in compliance with all Environmental Laws, neither Tenant nor any Tenant Parties will produce, use, store or generate any Hazardous Materials on, under or about the Premises, nor cause or permit any Hazardous Material to be brought upon, placed, stored, manufactured, generated, blended, handled, recycled, used or Released (as that term is defined below) on, in, under or about the Premises. If any information provided to Landlord by Tenant on the Environmental Questionnaire, or otherwise relating to information concerning Hazardous Materials is intentionally false, incomplete, or misleading in any material respect, the same shall be deemed a default by Tenant under this Lease (subject to the applicable notice and cure period). If the chemicals or materials, or their respective quantities, listed on Tenant's most recent the Environmental Questionnaire materially change, Tenant shall promptly deliver to Landlord an updated Environmental Questionnaire, but in any event Tenant shall deliver to Landlord an updated Environmental Questionnaire within thirty (30) days after Landlord's written request (but no more than once a year). Notwithstanding anything herein to the contrary, Tenant shall be permitted to use, handle and store Hazardous Materials in, on or about the Premises and Project: (i) which are a part of or contained in customary office and janitorial and maintenance supplies and/or equipment, and (ii) which are used in connection with Tenant's Permitted Use; provided such Hazardous Materials are used, handled and stored in compliance with Environmental Laws. Tenant shall not install or permit Tenant Parties to install any underground storage tank on the Premises. For purposes of this Lease, "</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all flammable explosives, petroleum and petroleum products, waste oil, radon, radioactive materials, toxic pollutants, asbestos, polychlorinated biphenyls ("</w:t>
      </w:r>
      <w:r>
        <w:rPr>
          <w:rFonts w:ascii="Times New Roman" w:cs="Times New Roman" w:eastAsia="Times New Roman" w:hAnsi="Times New Roman"/>
          <w:sz w:val="20"/>
          <w:szCs w:val="20"/>
          <w:b w:val="1"/>
          <w:bCs w:val="1"/>
          <w:color w:val="auto"/>
        </w:rPr>
        <w:t>PCBs</w:t>
      </w:r>
      <w:r>
        <w:rPr>
          <w:rFonts w:ascii="Times New Roman" w:cs="Times New Roman" w:eastAsia="Times New Roman" w:hAnsi="Times New Roman"/>
          <w:sz w:val="20"/>
          <w:szCs w:val="20"/>
          <w:color w:val="auto"/>
        </w:rPr>
        <w:t>"), per- and polyfluoroalkyl substances ("</w:t>
      </w:r>
      <w:r>
        <w:rPr>
          <w:rFonts w:ascii="Times New Roman" w:cs="Times New Roman" w:eastAsia="Times New Roman" w:hAnsi="Times New Roman"/>
          <w:sz w:val="20"/>
          <w:szCs w:val="20"/>
          <w:b w:val="1"/>
          <w:bCs w:val="1"/>
          <w:color w:val="auto"/>
        </w:rPr>
        <w:t>PFAS</w:t>
      </w:r>
      <w:r>
        <w:rPr>
          <w:rFonts w:ascii="Times New Roman" w:cs="Times New Roman" w:eastAsia="Times New Roman" w:hAnsi="Times New Roman"/>
          <w:sz w:val="20"/>
          <w:szCs w:val="20"/>
          <w:color w:val="auto"/>
        </w:rPr>
        <w:t>"), medical waste, chemicals known to cause cancer or reproductive toxicity, pollutants, contaminants, hazardous wastes, toxic substances or related materials, including without limitation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"Hazardous Materials" for purposes of this Lease shall also include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Released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Releases</w:t>
      </w:r>
      <w:r>
        <w:rPr>
          <w:rFonts w:ascii="Times New Roman" w:cs="Times New Roman" w:eastAsia="Times New Roman" w:hAnsi="Times New Roman"/>
          <w:sz w:val="20"/>
          <w:szCs w:val="20"/>
          <w:color w:val="auto"/>
        </w:rPr>
        <w:t>" shall mean any release, deposit, discharge, emission, leaking, leaching, spilling, seeping, migrating, injecting, pumping, pouring, emptying, escaping, dumping, disposing, or other movement of Hazardous Materials into, upon, or through the environment. Landlord acknowledges that Tenant may install and use fume hoods in the Premises and that emissions of Hazardous Materials into the air in compliance with all Environmental Laws shall not be considered a Release.</w:t>
      </w:r>
    </w:p>
    <w:p>
      <w:pPr>
        <w:spacing w:after="0" w:line="202"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20.1.2</w:t>
      </w:r>
      <w:r>
        <w:rPr>
          <w:sz w:val="20"/>
          <w:szCs w:val="20"/>
          <w:color w:val="auto"/>
        </w:rPr>
        <w:tab/>
      </w:r>
      <w:r>
        <w:rPr>
          <w:rFonts w:ascii="Times New Roman" w:cs="Times New Roman" w:eastAsia="Times New Roman" w:hAnsi="Times New Roman"/>
          <w:sz w:val="20"/>
          <w:szCs w:val="20"/>
          <w:b w:val="1"/>
          <w:bCs w:val="1"/>
          <w:u w:val="single" w:color="auto"/>
          <w:color w:val="auto"/>
        </w:rPr>
        <w:t>Notices to Landlord</w:t>
      </w:r>
      <w:r>
        <w:rPr>
          <w:rFonts w:ascii="Times New Roman" w:cs="Times New Roman" w:eastAsia="Times New Roman" w:hAnsi="Times New Roman"/>
          <w:sz w:val="20"/>
          <w:szCs w:val="20"/>
          <w:color w:val="auto"/>
        </w:rPr>
        <w:t>. Tenant shall notify Landlord in writing as soon as possible but in no event later than five</w:t>
      </w:r>
    </w:p>
    <w:p>
      <w:pPr>
        <w:spacing w:after="0" w:line="26" w:lineRule="exact"/>
        <w:rPr>
          <w:sz w:val="20"/>
          <w:szCs w:val="20"/>
          <w:color w:val="auto"/>
        </w:rPr>
      </w:pPr>
    </w:p>
    <w:p>
      <w:pPr>
        <w:jc w:val="both"/>
        <w:ind w:firstLine="8"/>
        <w:spacing w:after="0" w:line="241" w:lineRule="auto"/>
        <w:tabs>
          <w:tab w:leader="none" w:pos="30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Tenant has actual knowledge of (i) the occurrence of any actual, alleged or threatened Release of any Hazardous Material in, on, under, from, about or in the vicinity of the Premises (whether past or present), regardless of the source or quantity of any such Release, or (ii) any regulatory actions, inquiries, inspections, investigations, directives, or any cleanup, compliance, enforcement or abatement proceedings (including any threatened or contemplated investigations or proceedings) relating to or potentially affecting the Premises, or (iii) any claims by any person or entity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-42-</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22" w:gutter="0" w:footer="0" w:header="0"/>
        </w:sectPr>
      </w:pPr>
    </w:p>
    <w:bookmarkStart w:id="162" w:name="page163"/>
    <w:bookmarkEnd w:id="162"/>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Times New Roman" w:cs="Times New Roman" w:eastAsia="Times New Roman" w:hAnsi="Times New Roman"/>
          <w:sz w:val="20"/>
          <w:szCs w:val="20"/>
          <w:b w:val="1"/>
          <w:bCs w:val="1"/>
          <w:color w:val="auto"/>
        </w:rPr>
        <w:t>Hazardous Materials Claims</w:t>
      </w:r>
      <w:r>
        <w:rPr>
          <w:rFonts w:ascii="Times New Roman" w:cs="Times New Roman" w:eastAsia="Times New Roman" w:hAnsi="Times New Roman"/>
          <w:sz w:val="20"/>
          <w:szCs w:val="20"/>
          <w:color w:val="auto"/>
        </w:rPr>
        <w:t>". 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in resolution of, or otherwise related to any Hazardous Materials Claims without Landlord's prior written consent, which consent shall not be unreasonably withheld, conditioned or delayed. Landlord shall have the right to appear at and participate in, any and all legal or other administrative proceedings concerning any Hazardous Materials Claim. For purposes of this Lease, "</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means all applicable present and future laws, statutes, ordinances, rules, regulations, orders, judgments, writs, injunctions, guidance, acts, decrees, permits or common law of any jurisdiction or governmental entity relating to the protection of human health, safety, wildlife or the environment, including, without limitation, (i) 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analogous or similar state or local law counterparts, as any of the foregoing may have been or may be from time to time, be amended, supplemented or supplanted, and any Applicable Laws, including without limitation, Environmental Laws that are thereafter adopted, published, or promulgated after the Phase I Commencement Date.</w:t>
      </w:r>
    </w:p>
    <w:p>
      <w:pPr>
        <w:spacing w:after="0" w:line="197"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20.1.3 </w:t>
      </w:r>
      <w:r>
        <w:rPr>
          <w:rFonts w:ascii="Times New Roman" w:cs="Times New Roman" w:eastAsia="Times New Roman" w:hAnsi="Times New Roman"/>
          <w:sz w:val="20"/>
          <w:szCs w:val="20"/>
          <w:b w:val="1"/>
          <w:bCs w:val="1"/>
          <w:u w:val="single" w:color="auto"/>
          <w:color w:val="auto"/>
        </w:rPr>
        <w:t>Releases of Hazardous Materials</w:t>
      </w:r>
      <w:r>
        <w:rPr>
          <w:rFonts w:ascii="Times New Roman" w:cs="Times New Roman" w:eastAsia="Times New Roman" w:hAnsi="Times New Roman"/>
          <w:sz w:val="20"/>
          <w:szCs w:val="20"/>
          <w:color w:val="auto"/>
        </w:rPr>
        <w:t xml:space="preserve">. If any Release by Tenant of any Hazardous Material in, on, under, from or about the Premises shall be discovered or occur at any time during the Lease and/or if any other Hazardous Material condition caused by Tenant exists at the Premises that requires response actions of any kind, in addition to notifying Landlord as specified above, Tenant, at its own sole cost and expense, shall (i) promptly comply with any and all reporting requirements imposed pursuant to any and all Environmental Laws, (ii) provide a written certification to Landlord indicating that Tenant has complied with all applicable reporting requirements, and (iii) take any and all necessary investigation, corrective and remedial action required by applicable Environmental Laws, utilizing an environmental consultant reasonably approved by Landlord, all in accordance with the provisions and requirements of this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xml:space="preserve">, including, without limitation,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Notwithstanding anything herein to the contrary, Landlord shall remediate any Hazardous Material to the extent that: (a) such Hazardous Material was not brought into the Building or Project by Tenant; and (b) Landlord's failure to remediate such Hazardous Materials would be in violation of Environmental Laws and would (1) prevent the Improvements or any Alterations from being substantially completed or a certificate of occupancy for the Premises from being issued or maintained, (2) create a material risk to the safety or health of Tenant and its employees, or (3) otherwise materially and adversely affect Tenant’s use of or access to the Premises.</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20.2 </w:t>
      </w:r>
      <w:r>
        <w:rPr>
          <w:rFonts w:ascii="Times New Roman" w:cs="Times New Roman" w:eastAsia="Times New Roman" w:hAnsi="Times New Roman"/>
          <w:sz w:val="20"/>
          <w:szCs w:val="20"/>
          <w:b w:val="1"/>
          <w:bCs w:val="1"/>
          <w:u w:val="single" w:color="auto"/>
          <w:color w:val="auto"/>
        </w:rPr>
        <w:t>Compliance with Environmental Laws</w:t>
      </w:r>
      <w:r>
        <w:rPr>
          <w:rFonts w:ascii="Times New Roman" w:cs="Times New Roman" w:eastAsia="Times New Roman" w:hAnsi="Times New Roman"/>
          <w:sz w:val="20"/>
          <w:szCs w:val="20"/>
          <w:color w:val="auto"/>
        </w:rPr>
        <w:t>. Without limiting the generality of Tenant's obligation to comply with Applicable Laws as otherwise provided in this Lease, Tenant's use of Hazardous Materials at the Premises shall, at its sole cost and expense, comply with all Environmental Laws.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-43-</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25" w:gutter="0" w:footer="0" w:header="0"/>
        </w:sectPr>
      </w:pPr>
    </w:p>
    <w:bookmarkStart w:id="163" w:name="page164"/>
    <w:bookmarkEnd w:id="163"/>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plans and programs, any and all Hazardous Materials risk management and pollution prevention programs, and any and all Hazardous Materials emergency response and employee training programs respecting Tenant's use of Hazardous Materials. Upon request of Landlord (but no more than once per year), Tenant shall deliver to Landlord a narrative description explaining the nature and scope of Tenant's activities involving Hazardous Materials.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20.3 </w:t>
      </w:r>
      <w:r>
        <w:rPr>
          <w:rFonts w:ascii="Times New Roman" w:cs="Times New Roman" w:eastAsia="Times New Roman" w:hAnsi="Times New Roman"/>
          <w:sz w:val="20"/>
          <w:szCs w:val="20"/>
          <w:b w:val="1"/>
          <w:bCs w:val="1"/>
          <w:u w:val="single" w:color="auto"/>
          <w:color w:val="auto"/>
        </w:rPr>
        <w:t>Indemnification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20.3.1 </w:t>
      </w:r>
      <w:r>
        <w:rPr>
          <w:rFonts w:ascii="Times New Roman" w:cs="Times New Roman" w:eastAsia="Times New Roman" w:hAnsi="Times New Roman"/>
          <w:sz w:val="20"/>
          <w:szCs w:val="20"/>
          <w:b w:val="1"/>
          <w:bCs w:val="1"/>
          <w:u w:val="single" w:color="auto"/>
          <w:color w:val="auto"/>
        </w:rPr>
        <w:t>Tenant Indemnification</w:t>
      </w:r>
      <w:r>
        <w:rPr>
          <w:rFonts w:ascii="Times New Roman" w:cs="Times New Roman" w:eastAsia="Times New Roman" w:hAnsi="Times New Roman"/>
          <w:sz w:val="20"/>
          <w:szCs w:val="20"/>
          <w:color w:val="auto"/>
        </w:rPr>
        <w:t>. Without limiting in any way Tenant's obligations under any other provision of this Lease, Tenant shall be solely responsible for and shall protect, defend, indemnify and hold the Landlord Parties harmless from and against any and all Losses including, without limitation, sums paid in settlement of claims, which arise during or after the Lease Term, to the extent arising out of or attributable to Release of Hazardous Materials in, on, under, about, or emanating from the Premises by Tenant or any of the Tenant Parties.</w:t>
      </w:r>
    </w:p>
    <w:p>
      <w:pPr>
        <w:spacing w:after="0" w:line="18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 xml:space="preserve">20.3.2 </w:t>
      </w:r>
      <w:r>
        <w:rPr>
          <w:rFonts w:ascii="Times New Roman" w:cs="Times New Roman" w:eastAsia="Times New Roman" w:hAnsi="Times New Roman"/>
          <w:sz w:val="20"/>
          <w:szCs w:val="20"/>
          <w:b w:val="1"/>
          <w:bCs w:val="1"/>
          <w:u w:val="single" w:color="auto"/>
          <w:color w:val="auto"/>
        </w:rPr>
        <w:t>Limitations</w:t>
      </w:r>
      <w:r>
        <w:rPr>
          <w:rFonts w:ascii="Times New Roman" w:cs="Times New Roman" w:eastAsia="Times New Roman" w:hAnsi="Times New Roman"/>
          <w:sz w:val="20"/>
          <w:szCs w:val="20"/>
          <w:color w:val="auto"/>
        </w:rPr>
        <w:t xml:space="preserve">. Notwithstanding anything to the contrary in this Lease, Tenant's indemnity of Landlord as set forth in this </w:t>
      </w:r>
      <w:r>
        <w:rPr>
          <w:rFonts w:ascii="Times New Roman" w:cs="Times New Roman" w:eastAsia="Times New Roman" w:hAnsi="Times New Roman"/>
          <w:sz w:val="20"/>
          <w:szCs w:val="20"/>
          <w:u w:val="single" w:color="auto"/>
          <w:color w:val="auto"/>
        </w:rPr>
        <w:t>Section 20.3.1</w:t>
      </w:r>
      <w:r>
        <w:rPr>
          <w:rFonts w:ascii="Times New Roman" w:cs="Times New Roman" w:eastAsia="Times New Roman" w:hAnsi="Times New Roman"/>
          <w:sz w:val="20"/>
          <w:szCs w:val="20"/>
          <w:color w:val="auto"/>
        </w:rPr>
        <w:t xml:space="preserve"> above, shall not be applicable to Losses arising out of or based upon (a) the Release of Hazardous Materials by any party other than Tenant or Tenant Parties, or (b) any Hazardous Materials existing in, on, under or about the Phase I Premises as of the Phase I Commencement Date or in, on, under or about the Phase II Premises as of the Phase II Commencement Date, including, without limitation, any discovery, disturbance, or exposure of such Existing Hazardous Materials in connection with Tenant’s construction activities, except to the extent that Tenant’s construction activities materially worsen or increase the scope, concentration, or migration of such existing Hazardous Materials beyond their condition as of the applicable Commencement Date.</w:t>
      </w:r>
    </w:p>
    <w:p>
      <w:pPr>
        <w:spacing w:after="0" w:line="179"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20.3.3 </w:t>
      </w:r>
      <w:r>
        <w:rPr>
          <w:rFonts w:ascii="Times New Roman" w:cs="Times New Roman" w:eastAsia="Times New Roman" w:hAnsi="Times New Roman"/>
          <w:sz w:val="20"/>
          <w:szCs w:val="20"/>
          <w:b w:val="1"/>
          <w:bCs w:val="1"/>
          <w:u w:val="single" w:color="auto"/>
          <w:color w:val="auto"/>
        </w:rPr>
        <w:t>Landlord Indemnification</w:t>
      </w:r>
      <w:r>
        <w:rPr>
          <w:rFonts w:ascii="Times New Roman" w:cs="Times New Roman" w:eastAsia="Times New Roman" w:hAnsi="Times New Roman"/>
          <w:sz w:val="20"/>
          <w:szCs w:val="20"/>
          <w:color w:val="auto"/>
        </w:rPr>
        <w:t xml:space="preserve">. Landlord represents and warrants to Tenant that, as of the Effective Date, Landlord has no actual knowledge of the presence of any Hazardous Materials in violation of Environmental Laws in, on, or under the Project, which are of such a nature that a federal, state, local, municipal or other governmental authority would require removal or other containment, if it had knowledge of the presence of such Hazardous Materials, in the state, and under the conditions that they then exist in the Project, as such Environmental Laws are enforced against and applicable to the Project as of the Effective Date. Without limiting in any way Landlord’s obligations under any other provision of this Lease, Landlord shall be solely responsible for and shall indemnify, defend, protect and hold harmless the Tenant and the Tenant Parties from and against any and all Losses to the extent resulting from (i) a breach of Landlord's representation set forth in this </w:t>
      </w:r>
      <w:r>
        <w:rPr>
          <w:rFonts w:ascii="Times New Roman" w:cs="Times New Roman" w:eastAsia="Times New Roman" w:hAnsi="Times New Roman"/>
          <w:sz w:val="20"/>
          <w:szCs w:val="20"/>
          <w:u w:val="single" w:color="auto"/>
          <w:color w:val="auto"/>
        </w:rPr>
        <w:t>Section 20.3.3</w:t>
      </w:r>
      <w:r>
        <w:rPr>
          <w:rFonts w:ascii="Times New Roman" w:cs="Times New Roman" w:eastAsia="Times New Roman" w:hAnsi="Times New Roman"/>
          <w:sz w:val="20"/>
          <w:szCs w:val="20"/>
          <w:color w:val="auto"/>
        </w:rPr>
        <w:t xml:space="preserve">; (ii) any use, presence, removal, disposal or Release of any Hazardous Materials (whether prior to any Commencement Date or thereafter) by Landlord or any of the Landlord Parties; or (iii) a breach of its obligations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20.4 </w:t>
      </w:r>
      <w:r>
        <w:rPr>
          <w:rFonts w:ascii="Times New Roman" w:cs="Times New Roman" w:eastAsia="Times New Roman" w:hAnsi="Times New Roman"/>
          <w:sz w:val="20"/>
          <w:szCs w:val="20"/>
          <w:b w:val="1"/>
          <w:bCs w:val="1"/>
          <w:u w:val="single" w:color="auto"/>
          <w:color w:val="auto"/>
        </w:rPr>
        <w:t>Assurance of Performance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20.4.1 </w:t>
      </w:r>
      <w:r>
        <w:rPr>
          <w:rFonts w:ascii="Times New Roman" w:cs="Times New Roman" w:eastAsia="Times New Roman" w:hAnsi="Times New Roman"/>
          <w:sz w:val="20"/>
          <w:szCs w:val="20"/>
          <w:b w:val="1"/>
          <w:bCs w:val="1"/>
          <w:u w:val="single" w:color="auto"/>
          <w:color w:val="auto"/>
        </w:rPr>
        <w:t>Environmental Assessments In General</w:t>
      </w:r>
      <w:r>
        <w:rPr>
          <w:rFonts w:ascii="Times New Roman" w:cs="Times New Roman" w:eastAsia="Times New Roman" w:hAnsi="Times New Roman"/>
          <w:sz w:val="20"/>
          <w:szCs w:val="20"/>
          <w:color w:val="auto"/>
        </w:rPr>
        <w:t>. Provided that Landlord gives Tenant no less than five (5) business days prior notice of its entry, complies with Tenant's security measures then in effect and minimizes interference with Tenant's use of and access to the Premises, Landlord may, but shall not be required to, engage from time to time (but no more than once per year) such contractors or consultants as Landlord reasonably determines to be appropriate to perform environmental assessments and Hazardous Materials audits of a scope reasonably determined by Landlord (an "</w:t>
      </w:r>
      <w:r>
        <w:rPr>
          <w:rFonts w:ascii="Times New Roman" w:cs="Times New Roman" w:eastAsia="Times New Roman" w:hAnsi="Times New Roman"/>
          <w:sz w:val="20"/>
          <w:szCs w:val="20"/>
          <w:b w:val="1"/>
          <w:bCs w:val="1"/>
          <w:color w:val="auto"/>
        </w:rPr>
        <w:t>Environmental Assessment</w:t>
      </w:r>
      <w:r>
        <w:rPr>
          <w:rFonts w:ascii="Times New Roman" w:cs="Times New Roman" w:eastAsia="Times New Roman" w:hAnsi="Times New Roman"/>
          <w:sz w:val="20"/>
          <w:szCs w:val="20"/>
          <w:color w:val="auto"/>
        </w:rPr>
        <w:t>") to ensure Tenant's compliance with the requirements of this Lease with respect to Hazardous Materials.</w:t>
      </w:r>
    </w:p>
    <w:p>
      <w:pPr>
        <w:spacing w:after="0" w:line="179"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20.4.2 </w:t>
      </w:r>
      <w:r>
        <w:rPr>
          <w:rFonts w:ascii="Times New Roman" w:cs="Times New Roman" w:eastAsia="Times New Roman" w:hAnsi="Times New Roman"/>
          <w:sz w:val="20"/>
          <w:szCs w:val="20"/>
          <w:b w:val="1"/>
          <w:bCs w:val="1"/>
          <w:u w:val="single" w:color="auto"/>
          <w:color w:val="auto"/>
        </w:rPr>
        <w:t>Costs of Environmental Assessments</w:t>
      </w:r>
      <w:r>
        <w:rPr>
          <w:rFonts w:ascii="Times New Roman" w:cs="Times New Roman" w:eastAsia="Times New Roman" w:hAnsi="Times New Roman"/>
          <w:sz w:val="20"/>
          <w:szCs w:val="20"/>
          <w:color w:val="auto"/>
        </w:rPr>
        <w:t xml:space="preserve">. All costs and expenses incurred by Landlord in connection with any such Environmental Assessment initially shall be paid by Landlord; provided that if any such Environmental Assessment shows that Tenant has failed to comply with the provisions of this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then all of the reasonable, out-of-pocket costs and expenses of such Environmental Assessment shall be reimbursed by Tenant as Additional Rent within thirty (30) days after Tenant's receipt of written demand therefor.</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20.5 </w:t>
      </w:r>
      <w:r>
        <w:rPr>
          <w:rFonts w:ascii="Times New Roman" w:cs="Times New Roman" w:eastAsia="Times New Roman" w:hAnsi="Times New Roman"/>
          <w:sz w:val="20"/>
          <w:szCs w:val="20"/>
          <w:b w:val="1"/>
          <w:bCs w:val="1"/>
          <w:u w:val="single" w:color="auto"/>
          <w:color w:val="auto"/>
        </w:rPr>
        <w:t>Tenant's Obligations Upon Surrender</w:t>
      </w:r>
      <w:r>
        <w:rPr>
          <w:rFonts w:ascii="Times New Roman" w:cs="Times New Roman" w:eastAsia="Times New Roman" w:hAnsi="Times New Roman"/>
          <w:sz w:val="20"/>
          <w:szCs w:val="20"/>
          <w:color w:val="auto"/>
        </w:rPr>
        <w:t xml:space="preserve">. At the expiration or earlier termination of the Lease Term, Tenant, at Tenant's sole cost and expense, shall: (i) cause an Environmental Assessment of the Premises to be conducted in accordance with </w:t>
      </w:r>
      <w:r>
        <w:rPr>
          <w:rFonts w:ascii="Times New Roman" w:cs="Times New Roman" w:eastAsia="Times New Roman" w:hAnsi="Times New Roman"/>
          <w:sz w:val="20"/>
          <w:szCs w:val="20"/>
          <w:u w:val="single" w:color="auto"/>
          <w:color w:val="auto"/>
        </w:rPr>
        <w:t>Section 15.4</w:t>
      </w:r>
      <w:r>
        <w:rPr>
          <w:rFonts w:ascii="Times New Roman" w:cs="Times New Roman" w:eastAsia="Times New Roman" w:hAnsi="Times New Roman"/>
          <w:sz w:val="20"/>
          <w:szCs w:val="20"/>
          <w:color w:val="auto"/>
        </w:rPr>
        <w:t xml:space="preserve">; (ii) cause all Hazardous Materials to be removed from the Premises that are Tenant's express obligation to remove under this Article 20 and disposed of in accordance with all Environmental Laws; and (iii) cause to be removed all containers or structures installed or used by Tenant or any of the Tenant Parties to store, convey, or process any Hazardous Materials on the Premises, and cause to be repaired any damage to the Premises caused by such removal; and (iv) deliver to Landlord evidence that it has complied with the terms of items (i), (ii) and (iii) of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and Landlord shall have the right, upon reasonable prior notice and at reasonable times, to cause Landlord's environmental consultant to inspect the Premises and perform such additional procedures as may be reasonably necessary to confirm that Tenant has removed all Hazardous Materials from the Premises that are Tenant's express obligation to remove under this Article 20. All costs and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-44-</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76" w:gutter="0" w:footer="0" w:header="0"/>
        </w:sectPr>
      </w:pPr>
    </w:p>
    <w:bookmarkStart w:id="164" w:name="page165"/>
    <w:bookmarkEnd w:id="164"/>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expenses incurred by Landlord in connection with any such inspection initially shall be paid by Landlord; provided that if any such inspection shows that Tenant has failed to remove Hazardous Materials from the Premises that are Tenant's express obligation to remove under this Article 20 then the reasonable, out-of-pocket costs and expenses of such inspection shall be reimbursed by Tenant as Additional Rent within thirty (30) days after Tenant's receipt of written demand therefor.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20.6 </w:t>
      </w:r>
      <w:r>
        <w:rPr>
          <w:rFonts w:ascii="Times New Roman" w:cs="Times New Roman" w:eastAsia="Times New Roman" w:hAnsi="Times New Roman"/>
          <w:sz w:val="20"/>
          <w:szCs w:val="20"/>
          <w:b w:val="1"/>
          <w:bCs w:val="1"/>
          <w:u w:val="single" w:color="auto"/>
          <w:color w:val="auto"/>
        </w:rPr>
        <w:t>Clean-Up</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20.6.1 </w:t>
      </w:r>
      <w:r>
        <w:rPr>
          <w:rFonts w:ascii="Times New Roman" w:cs="Times New Roman" w:eastAsia="Times New Roman" w:hAnsi="Times New Roman"/>
          <w:sz w:val="20"/>
          <w:szCs w:val="20"/>
          <w:b w:val="1"/>
          <w:bCs w:val="1"/>
          <w:u w:val="single" w:color="auto"/>
          <w:color w:val="auto"/>
        </w:rPr>
        <w:t>Environmental Reports; Clean-Up</w:t>
      </w:r>
      <w:r>
        <w:rPr>
          <w:rFonts w:ascii="Times New Roman" w:cs="Times New Roman" w:eastAsia="Times New Roman" w:hAnsi="Times New Roman"/>
          <w:sz w:val="20"/>
          <w:szCs w:val="20"/>
          <w:color w:val="auto"/>
        </w:rPr>
        <w:t>. If any written report, including any report containing results of any Environmental Assessment (an "</w:t>
      </w:r>
      <w:r>
        <w:rPr>
          <w:rFonts w:ascii="Times New Roman" w:cs="Times New Roman" w:eastAsia="Times New Roman" w:hAnsi="Times New Roman"/>
          <w:sz w:val="20"/>
          <w:szCs w:val="20"/>
          <w:b w:val="1"/>
          <w:bCs w:val="1"/>
          <w:color w:val="auto"/>
        </w:rPr>
        <w:t>Environmental Report</w:t>
      </w:r>
      <w:r>
        <w:rPr>
          <w:rFonts w:ascii="Times New Roman" w:cs="Times New Roman" w:eastAsia="Times New Roman" w:hAnsi="Times New Roman"/>
          <w:sz w:val="20"/>
          <w:szCs w:val="20"/>
          <w:color w:val="auto"/>
        </w:rPr>
        <w:t xml:space="preserve">") shall indicate (i) the presence of any Hazardous Materials on, under, about, or emanating from Premises, as to which Tenant has a removal or remediation obligation under Environmental Laws and this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and (ii) that as a result of same, the investigation, characterization, monitoring, assessment, repair, closure, remediation, removal, or other clean-up (the "</w:t>
      </w:r>
      <w:r>
        <w:rPr>
          <w:rFonts w:ascii="Times New Roman" w:cs="Times New Roman" w:eastAsia="Times New Roman" w:hAnsi="Times New Roman"/>
          <w:sz w:val="20"/>
          <w:szCs w:val="20"/>
          <w:b w:val="1"/>
          <w:bCs w:val="1"/>
          <w:color w:val="auto"/>
        </w:rPr>
        <w:t>Clean-up</w:t>
      </w:r>
      <w:r>
        <w:rPr>
          <w:rFonts w:ascii="Times New Roman" w:cs="Times New Roman" w:eastAsia="Times New Roman" w:hAnsi="Times New Roman"/>
          <w:sz w:val="20"/>
          <w:szCs w:val="20"/>
          <w:color w:val="auto"/>
        </w:rPr>
        <w:t>") of any Hazardous Materials is required by any state or local governmental authority, Tenant shall prepare and submit to Landlord within thirty (30) days after receipt of the Environmental Report a comprehensive plan, subject to Landlord's written approval (not to be unreasonably withheld, conditioned or delayed), specifying the actions to be taken by Tenant to perform the Clean-up as required by such governmental authority. Upon Landlord's approval of the Clean-up plan, Tenant shall, at Tenant's sole cost and expense, without limitation on any rights and remedies of Landlord under this Lease, promptly implement such plan with a consultant reasonably acceptable to Landlord and proceed to Clean-up the Hazardous Materials in accordance with all Applicable Laws and as required by such plan. If, within thirty (30)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required by any governmental authority having jurisdiction over the Premises, and recover all of the reasonable, out-of-pocket costs and expenses thereof from Tenant as Additional Rent, payable within thirty (30) days after receipt of written demand therefor. Notwithstanding Landlord's ability to take over the Clean-up, Tenant shall still be named as the responsible party and the generator of waste in connection with such Clean-up.</w:t>
      </w:r>
    </w:p>
    <w:p>
      <w:pPr>
        <w:spacing w:after="0" w:line="192"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0"/>
          <w:szCs w:val="20"/>
          <w:color w:val="auto"/>
        </w:rPr>
        <w:t xml:space="preserve">20.6.2 </w:t>
      </w:r>
      <w:r>
        <w:rPr>
          <w:rFonts w:ascii="Times New Roman" w:cs="Times New Roman" w:eastAsia="Times New Roman" w:hAnsi="Times New Roman"/>
          <w:sz w:val="20"/>
          <w:szCs w:val="20"/>
          <w:b w:val="1"/>
          <w:bCs w:val="1"/>
          <w:u w:val="single" w:color="auto"/>
          <w:color w:val="auto"/>
        </w:rPr>
        <w:t>No Rent Abatement</w:t>
      </w:r>
      <w:r>
        <w:rPr>
          <w:rFonts w:ascii="Times New Roman" w:cs="Times New Roman" w:eastAsia="Times New Roman" w:hAnsi="Times New Roman"/>
          <w:sz w:val="20"/>
          <w:szCs w:val="20"/>
          <w:color w:val="auto"/>
        </w:rPr>
        <w:t>. Tenant shall continue to pay all Rent due or accruing under this Lease during any Clean-up, and shall not be entitled to any reduction, offset or deferral of any Base Rent or Additional Rent due or accruing under this Lease during any such Clean-up, except as otherwise provided in this Lease.</w:t>
      </w:r>
    </w:p>
    <w:p>
      <w:pPr>
        <w:spacing w:after="0" w:line="16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20.6.3 </w:t>
      </w:r>
      <w:r>
        <w:rPr>
          <w:rFonts w:ascii="Times New Roman" w:cs="Times New Roman" w:eastAsia="Times New Roman" w:hAnsi="Times New Roman"/>
          <w:sz w:val="20"/>
          <w:szCs w:val="20"/>
          <w:b w:val="1"/>
          <w:bCs w:val="1"/>
          <w:u w:val="single" w:color="auto"/>
          <w:color w:val="auto"/>
        </w:rPr>
        <w:t>Surrender of Premises</w:t>
      </w:r>
      <w:r>
        <w:rPr>
          <w:rFonts w:ascii="Times New Roman" w:cs="Times New Roman" w:eastAsia="Times New Roman" w:hAnsi="Times New Roman"/>
          <w:sz w:val="20"/>
          <w:szCs w:val="20"/>
          <w:color w:val="auto"/>
        </w:rPr>
        <w:t>. Tenant shall complete any Clean-up prior to surrender of the Premises upon the expiration or earlier termination of this Lease.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Times New Roman" w:cs="Times New Roman" w:eastAsia="Times New Roman" w:hAnsi="Times New Roman"/>
          <w:sz w:val="20"/>
          <w:szCs w:val="20"/>
          <w:b w:val="1"/>
          <w:bCs w:val="1"/>
          <w:color w:val="auto"/>
        </w:rPr>
        <w:t>Closure Letter</w:t>
      </w:r>
      <w:r>
        <w:rPr>
          <w:rFonts w:ascii="Times New Roman" w:cs="Times New Roman" w:eastAsia="Times New Roman" w:hAnsi="Times New Roman"/>
          <w:sz w:val="20"/>
          <w:szCs w:val="20"/>
          <w:color w:val="auto"/>
        </w:rPr>
        <w:t>") unless such governmental authority's standard practices at the relevant time do not provide for such Closure Letter. Upon the expiration or earlier termination of this Lease, Tenant shall also be obligated to close all permits obtained in connection with Hazardous Materials used by Tenant at the Premises and appropriately decommission all equipment, tanks, or systems related to such permits, all in accordance with Applicable Laws.</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20.6.4 </w:t>
      </w:r>
      <w:r>
        <w:rPr>
          <w:rFonts w:ascii="Times New Roman" w:cs="Times New Roman" w:eastAsia="Times New Roman" w:hAnsi="Times New Roman"/>
          <w:sz w:val="20"/>
          <w:szCs w:val="20"/>
          <w:b w:val="1"/>
          <w:bCs w:val="1"/>
          <w:u w:val="single" w:color="auto"/>
          <w:color w:val="auto"/>
        </w:rPr>
        <w:t>Failure to Timely Clean-Up</w:t>
      </w:r>
      <w:r>
        <w:rPr>
          <w:rFonts w:ascii="Times New Roman" w:cs="Times New Roman" w:eastAsia="Times New Roman" w:hAnsi="Times New Roman"/>
          <w:sz w:val="20"/>
          <w:szCs w:val="20"/>
          <w:color w:val="auto"/>
        </w:rPr>
        <w:t xml:space="preserve">. Should any Clean-up for which Tenant is responsible for pursuant to this Article 20 not be completed by the expiration or earlier termination of this Lease, or should Tenant not receive the Closure Letter required under Environmental Laws in conjunction with such Clean-up, and such failure to complete the Clean-up or obtain the Closure Letter actually and materially impairs the ability of a successor tenant to occupy and use the Premises, then Tenant shall be liable to Landlord as a holdover tenant (as more particularly provided in </w:t>
      </w:r>
      <w:r>
        <w:rPr>
          <w:rFonts w:ascii="Times New Roman" w:cs="Times New Roman" w:eastAsia="Times New Roman" w:hAnsi="Times New Roman"/>
          <w:sz w:val="20"/>
          <w:szCs w:val="20"/>
          <w:u w:val="single" w:color="auto"/>
          <w:color w:val="auto"/>
        </w:rPr>
        <w:t>Article 16</w:t>
      </w:r>
      <w:r>
        <w:rPr>
          <w:rFonts w:ascii="Times New Roman" w:cs="Times New Roman" w:eastAsia="Times New Roman" w:hAnsi="Times New Roman"/>
          <w:sz w:val="20"/>
          <w:szCs w:val="20"/>
          <w:color w:val="auto"/>
        </w:rPr>
        <w:t xml:space="preserve">) until Tenant has fully complied with its obligations under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20; provided, however, that if Tenant is diligently pursuing such Clean-up and the receipt of such Closure Letter, the holdover rent payable by Tenant during such period shall be one hundred ten percent (110%) of the Base Rent applicable during the last rental period of the Lease Term (calculated on a per diem basis).</w:t>
      </w:r>
    </w:p>
    <w:p>
      <w:pPr>
        <w:spacing w:after="0" w:line="18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20.7 </w:t>
      </w: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color w:val="auto"/>
        </w:rPr>
        <w:t>. Unless compelled to do so by Applicable Law or court order, Tenant agrees that Tenant shall not disclose, discuss, disseminate or copy any information, data, findings, communications, conclusions and reports regarding the environmental condition of the Premises to any third party (other than Tenant's consultants, attorneys, property managers, agents, employees, shareholders and potential and actual investors, lenders, business and merger partners, subtenants and assignees that have a need to know such information), including any governmental authority, without the prior written consent of Landlord. In the event Tenant reasonably believes that disclosure is compelled by Applicable Laws or court order, it shall provide Landlord ten (10) days' advance notice of disclosure of confidential information so that Landlord may attempt to obtain a protective order. Tenant may additionally release such information</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-45-</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79" w:gutter="0" w:footer="0" w:header="0"/>
        </w:sectPr>
      </w:pPr>
    </w:p>
    <w:bookmarkStart w:id="165" w:name="page166"/>
    <w:bookmarkEnd w:id="165"/>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to bona fide prospective purchasers, investors, lenders, assignees or subtenants, subject to any such parties' written agreement to be bound by the terms of this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20.8 </w:t>
      </w:r>
      <w:r>
        <w:rPr>
          <w:rFonts w:ascii="Times New Roman" w:cs="Times New Roman" w:eastAsia="Times New Roman" w:hAnsi="Times New Roman"/>
          <w:sz w:val="20"/>
          <w:szCs w:val="20"/>
          <w:b w:val="1"/>
          <w:bCs w:val="1"/>
          <w:u w:val="single" w:color="auto"/>
          <w:color w:val="auto"/>
        </w:rPr>
        <w:t>Copies of Environmental Reports</w:t>
      </w:r>
      <w:r>
        <w:rPr>
          <w:rFonts w:ascii="Times New Roman" w:cs="Times New Roman" w:eastAsia="Times New Roman" w:hAnsi="Times New Roman"/>
          <w:sz w:val="20"/>
          <w:szCs w:val="20"/>
          <w:color w:val="auto"/>
        </w:rPr>
        <w:t>. Within thirty (30) days of receipt thereof, Tenant shall provide Landlord with a copy of any and all environmental assessments, audits, studies and reports regarding Tenant's activities with respect to Tenant's use of Hazardous Materials at the Premises, or ground water beneath the Project, or the environmental condition or Clean-up thereof, including without limitation, all Environmental Reports. Tenant shall be obligated to provide Landlord with a copy of such materials without regard to whether such materials are generated by Tenant or prepared for Tenant, or how Tenant comes into possession of such materials unless doing so would result in a breach of any contractual obligation of Tenant to a third party. Landlord may rely on such reports prepared for Tenant solely for purposes of verifying Tenant’s compliance with Article 20, provided that Landlord shall keep such materials confidential and shall not disclose the same to third parties except to Landlord’s consultants, lenders, or prospective purchasers.</w:t>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20.9 </w:t>
      </w:r>
      <w:r>
        <w:rPr>
          <w:rFonts w:ascii="Times New Roman" w:cs="Times New Roman" w:eastAsia="Times New Roman" w:hAnsi="Times New Roman"/>
          <w:sz w:val="20"/>
          <w:szCs w:val="20"/>
          <w:b w:val="1"/>
          <w:bCs w:val="1"/>
          <w:u w:val="single" w:color="auto"/>
          <w:color w:val="auto"/>
        </w:rPr>
        <w:t>Signs, Response Plans, Etc</w:t>
      </w:r>
      <w:r>
        <w:rPr>
          <w:rFonts w:ascii="Times New Roman" w:cs="Times New Roman" w:eastAsia="Times New Roman" w:hAnsi="Times New Roman"/>
          <w:sz w:val="20"/>
          <w:szCs w:val="20"/>
          <w:color w:val="auto"/>
        </w:rPr>
        <w:t>. Tenant shall be responsible for posting on the Premises any signs required under Applicable Laws, including without limitation, Environmental Laws with respect to Tenant's use of Hazardous Materials at the Premises. Tenant shall also complete and file any business response plans or inventories required by any Applicable Laws, including without limitation, Environmental Laws with respect to Tenant's use of Hazardous Materials at the Premises. Tenant shall concurrently file a copy of any such business response plan or inventory with Landlord.</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20.10 </w:t>
      </w:r>
      <w:r>
        <w:rPr>
          <w:rFonts w:ascii="Times New Roman" w:cs="Times New Roman" w:eastAsia="Times New Roman" w:hAnsi="Times New Roman"/>
          <w:sz w:val="20"/>
          <w:szCs w:val="20"/>
          <w:b w:val="1"/>
          <w:bCs w:val="1"/>
          <w:u w:val="single" w:color="auto"/>
          <w:color w:val="auto"/>
        </w:rPr>
        <w:t>Survival</w:t>
      </w:r>
      <w:r>
        <w:rPr>
          <w:rFonts w:ascii="Times New Roman" w:cs="Times New Roman" w:eastAsia="Times New Roman" w:hAnsi="Times New Roman"/>
          <w:sz w:val="20"/>
          <w:szCs w:val="20"/>
          <w:color w:val="auto"/>
        </w:rPr>
        <w:t xml:space="preserve">. Each covenant, agreement, representation, warranty and indemnification made by Tenant or Landlord set forth in this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xml:space="preserve"> shall survive the expiration or earlier termination of this Lease and shall remain effective until all of such party's obligations under this </w:t>
      </w:r>
      <w:r>
        <w:rPr>
          <w:rFonts w:ascii="Times New Roman" w:cs="Times New Roman" w:eastAsia="Times New Roman" w:hAnsi="Times New Roman"/>
          <w:sz w:val="20"/>
          <w:szCs w:val="20"/>
          <w:u w:val="single" w:color="auto"/>
          <w:color w:val="auto"/>
        </w:rPr>
        <w:t>Article 20</w:t>
      </w:r>
      <w:r>
        <w:rPr>
          <w:rFonts w:ascii="Times New Roman" w:cs="Times New Roman" w:eastAsia="Times New Roman" w:hAnsi="Times New Roman"/>
          <w:sz w:val="20"/>
          <w:szCs w:val="20"/>
          <w:color w:val="auto"/>
        </w:rPr>
        <w:t xml:space="preserve"> have been completely performed and satisfied.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SECURITY DEPOSIT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Concurrently with Tenant's execution of this Lease, Tenant shall deposit with Landlord a security deposit (the "</w:t>
      </w:r>
      <w:r>
        <w:rPr>
          <w:rFonts w:ascii="Times New Roman" w:cs="Times New Roman" w:eastAsia="Times New Roman" w:hAnsi="Times New Roman"/>
          <w:sz w:val="19"/>
          <w:szCs w:val="19"/>
          <w:b w:val="1"/>
          <w:bCs w:val="1"/>
          <w:color w:val="auto"/>
        </w:rPr>
        <w:t>Security Deposit</w:t>
      </w:r>
      <w:r>
        <w:rPr>
          <w:rFonts w:ascii="Times New Roman" w:cs="Times New Roman" w:eastAsia="Times New Roman" w:hAnsi="Times New Roman"/>
          <w:sz w:val="19"/>
          <w:szCs w:val="19"/>
          <w:color w:val="auto"/>
        </w:rPr>
        <w:t xml:space="preserve">") in the amount set forth in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of the Summary, as security for the faithful performance by Tenant of all of its obligations under this Lease. If any Tenant Event of Default occurs with respect to any provisions of this Lease, including, but not limited to, the provisions relating to the payment of Rent, or the removal requirements in </w:t>
      </w:r>
      <w:r>
        <w:rPr>
          <w:rFonts w:ascii="Times New Roman" w:cs="Times New Roman" w:eastAsia="Times New Roman" w:hAnsi="Times New Roman"/>
          <w:sz w:val="19"/>
          <w:szCs w:val="19"/>
          <w:u w:val="single" w:color="auto"/>
          <w:color w:val="auto"/>
        </w:rPr>
        <w:t>Article 15</w:t>
      </w:r>
      <w:r>
        <w:rPr>
          <w:rFonts w:ascii="Times New Roman" w:cs="Times New Roman" w:eastAsia="Times New Roman" w:hAnsi="Times New Roman"/>
          <w:sz w:val="19"/>
          <w:szCs w:val="19"/>
          <w:color w:val="auto"/>
        </w:rPr>
        <w:t xml:space="preserve">, Landlord may, without notice to Tenant, but shall not be required to, apply all or any part of the Security Deposit for the payment of any Rent or any other sum in Event of Default. Tenant shall, within fourteen (14) days of demand therefor, restore the Security Deposit to its original amount (including, without limitation, during any eviction moratorium, to the extent allowed by Applicable Laws). Tenant's failure to timely restore the Security Deposit to its original amount shall constitute an Event of Default under this Lease with no requirement for any additional notice or cure period. The Security Deposit is not an advance payment of Rent or a measure or limit of Landlord's damages upon an Event of Default. Any unapplied portion of the Security Deposit shall be returned to Tenant, or, at Landlord's option, to the last assignee of Tenant's interest hereunder, within thirty (30) days following the expiration of the Lease Term. Tenant shall not be entitled to any interest on the Security Deposit. Tenant hereby irrevocably waives and relinquishes any and all rights, benefits, or protections, if any, Tenant now has, or in the future may have, under Section 1950.7 of the California Civil Code, any successor statute, and all other provisions of law, now or hereafter in effect, including, but not limited to, any provision of law which (i) establish the time frame by which a landlord must refund a security deposit under a lease, or (ii) provide that a landlord may claim from a security deposit only those sums reasonably necessary to remedy defaults in the payment of rent, to repair damage caused by a tenant, or to clean the subject premises. Tenant acknowledges and agrees that (a) any statutory time frames for the return of a security deposit are superseded by the express period identified in this </w:t>
      </w:r>
      <w:r>
        <w:rPr>
          <w:rFonts w:ascii="Times New Roman" w:cs="Times New Roman" w:eastAsia="Times New Roman" w:hAnsi="Times New Roman"/>
          <w:sz w:val="19"/>
          <w:szCs w:val="19"/>
          <w:u w:val="single" w:color="auto"/>
          <w:color w:val="auto"/>
        </w:rPr>
        <w:t>Article 21</w:t>
      </w:r>
      <w:r>
        <w:rPr>
          <w:rFonts w:ascii="Times New Roman" w:cs="Times New Roman" w:eastAsia="Times New Roman" w:hAnsi="Times New Roman"/>
          <w:sz w:val="19"/>
          <w:szCs w:val="19"/>
          <w:color w:val="auto"/>
        </w:rPr>
        <w:t xml:space="preserve"> above, and (b) rather than be so limited, Landlord may claim from the Security Deposit (1) any and all sums expressly identified in this </w:t>
      </w:r>
      <w:r>
        <w:rPr>
          <w:rFonts w:ascii="Times New Roman" w:cs="Times New Roman" w:eastAsia="Times New Roman" w:hAnsi="Times New Roman"/>
          <w:sz w:val="19"/>
          <w:szCs w:val="19"/>
          <w:u w:val="single" w:color="auto"/>
          <w:color w:val="auto"/>
        </w:rPr>
        <w:t>Article 21</w:t>
      </w:r>
      <w:r>
        <w:rPr>
          <w:rFonts w:ascii="Times New Roman" w:cs="Times New Roman" w:eastAsia="Times New Roman" w:hAnsi="Times New Roman"/>
          <w:sz w:val="19"/>
          <w:szCs w:val="19"/>
          <w:color w:val="auto"/>
        </w:rPr>
        <w:t xml:space="preserve"> above, and (2) any additional sums reasonably necessary to compensate Landlord for any and all losses or damages caused by the occurrence of a Tenant Event of Default under this Lease, including, but not limited to, all damages or rent due upon termination of this Lease pursuant to Section 1951.2 of the California Civil Code.</w:t>
      </w:r>
    </w:p>
    <w:p>
      <w:pPr>
        <w:sectPr>
          <w:pgSz w:w="11900" w:h="16838" w:orient="portrait"/>
          <w:cols w:equalWidth="0" w:num="1">
            <w:col w:w="11240"/>
          </w:cols>
          <w:pgMar w:left="320" w:top="1440" w:right="339" w:bottom="1440" w:gutter="0" w:footer="0" w:header="0"/>
        </w:sectPr>
      </w:pPr>
    </w:p>
    <w:p>
      <w:pPr>
        <w:spacing w:after="0" w:line="182" w:lineRule="exact"/>
        <w:rPr>
          <w:sz w:val="20"/>
          <w:szCs w:val="20"/>
          <w:color w:val="auto"/>
        </w:rPr>
      </w:pPr>
    </w:p>
    <w:p>
      <w:pPr>
        <w:jc w:val="center"/>
        <w:ind w:left="2260"/>
        <w:spacing w:after="0"/>
        <w:rPr>
          <w:sz w:val="20"/>
          <w:szCs w:val="20"/>
          <w:color w:val="auto"/>
        </w:rPr>
      </w:pPr>
      <w:r>
        <w:rPr>
          <w:rFonts w:ascii="Times New Roman" w:cs="Times New Roman" w:eastAsia="Times New Roman" w:hAnsi="Times New Roman"/>
          <w:sz w:val="20"/>
          <w:szCs w:val="20"/>
          <w:b w:val="1"/>
          <w:bCs w:val="1"/>
          <w:u w:val="single" w:color="auto"/>
          <w:color w:val="auto"/>
        </w:rPr>
        <w:t>ARTICLE 22</w:t>
      </w:r>
    </w:p>
    <w:p>
      <w:pPr>
        <w:spacing w:after="0" w:line="2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u w:val="single" w:color="auto"/>
          <w:color w:val="auto"/>
        </w:rPr>
        <w:t>SUBSTITUTION OF OTHER PREMISES</w:t>
      </w: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Landlord shall not no right to relocate Tenant.</w:t>
      </w:r>
    </w:p>
    <w:p>
      <w:pPr>
        <w:spacing w:after="0" w:line="200" w:lineRule="exact"/>
        <w:rPr>
          <w:sz w:val="20"/>
          <w:szCs w:val="20"/>
          <w:color w:val="auto"/>
        </w:rPr>
      </w:pPr>
    </w:p>
    <w:p>
      <w:pPr>
        <w:spacing w:after="0" w:line="3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[Olema Pharmaceuticals, Inc.]</w:t>
      </w:r>
    </w:p>
    <w:p>
      <w:pPr>
        <w:jc w:val="right"/>
        <w:spacing w:after="0" w:line="234" w:lineRule="auto"/>
        <w:rPr>
          <w:sz w:val="20"/>
          <w:szCs w:val="20"/>
          <w:color w:val="auto"/>
        </w:rPr>
      </w:pPr>
      <w:r>
        <w:rPr>
          <w:rFonts w:ascii="Times New Roman" w:cs="Times New Roman" w:eastAsia="Times New Roman" w:hAnsi="Times New Roman"/>
          <w:sz w:val="13"/>
          <w:szCs w:val="13"/>
          <w:color w:val="auto"/>
        </w:rPr>
        <w:t>[Kilroy Oyster Point]</w:t>
      </w:r>
    </w:p>
    <w:p>
      <w:pPr>
        <w:jc w:val="right"/>
        <w:spacing w:after="0"/>
        <w:rPr>
          <w:sz w:val="20"/>
          <w:szCs w:val="20"/>
          <w:color w:val="auto"/>
        </w:rPr>
      </w:pPr>
      <w:r>
        <w:rPr>
          <w:rFonts w:ascii="Times New Roman" w:cs="Times New Roman" w:eastAsia="Times New Roman" w:hAnsi="Times New Roman"/>
          <w:sz w:val="13"/>
          <w:szCs w:val="13"/>
          <w:color w:val="auto"/>
        </w:rPr>
        <w:t>[365 Oyster Point Blvd.]</w:t>
      </w:r>
    </w:p>
    <w:p>
      <w:pPr>
        <w:sectPr>
          <w:pgSz w:w="11900" w:h="16838" w:orient="portrait"/>
          <w:cols w:equalWidth="0" w:num="2">
            <w:col w:w="8980" w:space="720"/>
            <w:col w:w="1540"/>
          </w:cols>
          <w:pgMar w:left="320" w:top="1440" w:right="339" w:bottom="1440" w:gutter="0" w:footer="0" w:header="0"/>
          <w:type w:val="continuous"/>
        </w:sectPr>
      </w:pPr>
    </w:p>
    <w:bookmarkStart w:id="166" w:name="page167"/>
    <w:bookmarkEnd w:id="166"/>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23.1 </w:t>
      </w:r>
      <w:r>
        <w:rPr>
          <w:rFonts w:ascii="Times New Roman" w:cs="Times New Roman" w:eastAsia="Times New Roman" w:hAnsi="Times New Roman"/>
          <w:sz w:val="20"/>
          <w:szCs w:val="20"/>
          <w:b w:val="1"/>
          <w:bCs w:val="1"/>
          <w:u w:val="single" w:color="auto"/>
          <w:color w:val="auto"/>
        </w:rPr>
        <w:t>Full Floors</w:t>
      </w:r>
      <w:r>
        <w:rPr>
          <w:rFonts w:ascii="Times New Roman" w:cs="Times New Roman" w:eastAsia="Times New Roman" w:hAnsi="Times New Roman"/>
          <w:sz w:val="20"/>
          <w:szCs w:val="20"/>
          <w:color w:val="auto"/>
        </w:rPr>
        <w:t>. If the Premises comprise an entire floor of the Building, and provided all signs are in keeping with the quality, design and style of the Building and Project, Tenant, at Landlord's sole cost and expense for the initial identification signage, may install identification signage anywhere in the Premises (including, but not limited to, in the elevator lobby of the Premises), provided that such signs must not be visible from the exterior of the Building.</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23.2 </w:t>
      </w:r>
      <w:r>
        <w:rPr>
          <w:rFonts w:ascii="Times New Roman" w:cs="Times New Roman" w:eastAsia="Times New Roman" w:hAnsi="Times New Roman"/>
          <w:sz w:val="20"/>
          <w:szCs w:val="20"/>
          <w:b w:val="1"/>
          <w:bCs w:val="1"/>
          <w:u w:val="single" w:color="auto"/>
          <w:color w:val="auto"/>
        </w:rPr>
        <w:t>Multi-Tenant Floors</w:t>
      </w:r>
      <w:r>
        <w:rPr>
          <w:rFonts w:ascii="Times New Roman" w:cs="Times New Roman" w:eastAsia="Times New Roman" w:hAnsi="Times New Roman"/>
          <w:sz w:val="20"/>
          <w:szCs w:val="20"/>
          <w:color w:val="auto"/>
        </w:rPr>
        <w:t>. If other tenants occupy space on the floor of the Building on which the Premises is located, Tenant's identifying signage shall be provided by Landlord, at Landlord's cost, and such signage shall be comparable to that used by Landlord for other similar floors in the Building and shall comply with Landlord's Building standard signage program. Any subsequent changes to Tenant's identifying signage shall be at Tenant's sole cost and expense following Tenant's receipt of Landlord's consent thereto (which consent shall not be unreasonably withheld, conditioned or delayed).</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23.3 </w:t>
      </w:r>
      <w:r>
        <w:rPr>
          <w:rFonts w:ascii="Times New Roman" w:cs="Times New Roman" w:eastAsia="Times New Roman" w:hAnsi="Times New Roman"/>
          <w:sz w:val="20"/>
          <w:szCs w:val="20"/>
          <w:b w:val="1"/>
          <w:bCs w:val="1"/>
          <w:u w:val="single" w:color="auto"/>
          <w:color w:val="auto"/>
        </w:rPr>
        <w:t>Building Directory</w:t>
      </w:r>
      <w:r>
        <w:rPr>
          <w:rFonts w:ascii="Times New Roman" w:cs="Times New Roman" w:eastAsia="Times New Roman" w:hAnsi="Times New Roman"/>
          <w:sz w:val="20"/>
          <w:szCs w:val="20"/>
          <w:color w:val="auto"/>
        </w:rPr>
        <w:t>. If a building directory is located in the lobby of the Building, Tenant shall have the right, at Landlord's sole cost and expense, to designate one (1) name strip on such directory. Any subsequent changes to Tenant's name strip shall be at Tenant's sole cost and expense following Tenant's receipt of Landlord's consent thereto (which consent shall not be unreasonably withheld, conditioned or delayed).</w:t>
      </w:r>
    </w:p>
    <w:p>
      <w:pPr>
        <w:spacing w:after="0" w:line="17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23.4 </w:t>
      </w:r>
      <w:r>
        <w:rPr>
          <w:rFonts w:ascii="Times New Roman" w:cs="Times New Roman" w:eastAsia="Times New Roman" w:hAnsi="Times New Roman"/>
          <w:sz w:val="20"/>
          <w:szCs w:val="20"/>
          <w:b w:val="1"/>
          <w:bCs w:val="1"/>
          <w:u w:val="single" w:color="auto"/>
          <w:color w:val="auto"/>
        </w:rPr>
        <w:t>Tenant's Signage</w:t>
      </w:r>
      <w:r>
        <w:rPr>
          <w:rFonts w:ascii="Times New Roman" w:cs="Times New Roman" w:eastAsia="Times New Roman" w:hAnsi="Times New Roman"/>
          <w:sz w:val="20"/>
          <w:szCs w:val="20"/>
          <w:color w:val="auto"/>
        </w:rPr>
        <w:t>. Tenant shall, to the extent allowed pursuant to Applicable Laws, be entitled to install one (1) monument signage strip located on the existing Building monument sign (the exact location of such signage strip to be designated by Landlord from the available spaces on such monument sign) (the "</w:t>
      </w:r>
      <w:r>
        <w:rPr>
          <w:rFonts w:ascii="Times New Roman" w:cs="Times New Roman" w:eastAsia="Times New Roman" w:hAnsi="Times New Roman"/>
          <w:sz w:val="20"/>
          <w:szCs w:val="20"/>
          <w:b w:val="1"/>
          <w:bCs w:val="1"/>
          <w:color w:val="auto"/>
        </w:rPr>
        <w:t>Tenant Signage</w:t>
      </w:r>
      <w:r>
        <w:rPr>
          <w:rFonts w:ascii="Times New Roman" w:cs="Times New Roman" w:eastAsia="Times New Roman" w:hAnsi="Times New Roman"/>
          <w:sz w:val="20"/>
          <w:szCs w:val="20"/>
          <w:color w:val="auto"/>
        </w:rPr>
        <w:t>"). Tenant Signage shall set forth Tenant's name or logo as determined by Tenant; provided, however, in no event shall the Tenant Signage include an "Objectionable Name or Logo," as that term is defined below. The graphics, materials, color, design, lettering and specifications of the Tenant Signage (collectively, the "</w:t>
      </w:r>
      <w:r>
        <w:rPr>
          <w:rFonts w:ascii="Times New Roman" w:cs="Times New Roman" w:eastAsia="Times New Roman" w:hAnsi="Times New Roman"/>
          <w:sz w:val="20"/>
          <w:szCs w:val="20"/>
          <w:b w:val="1"/>
          <w:bCs w:val="1"/>
          <w:color w:val="auto"/>
        </w:rPr>
        <w:t>Sign Specifications</w:t>
      </w:r>
      <w:r>
        <w:rPr>
          <w:rFonts w:ascii="Times New Roman" w:cs="Times New Roman" w:eastAsia="Times New Roman" w:hAnsi="Times New Roman"/>
          <w:sz w:val="20"/>
          <w:szCs w:val="20"/>
          <w:color w:val="auto"/>
        </w:rPr>
        <w:t>") shall be subject to the prior written reasonable approval of Landlord, not to be unreasonably withheld, conditioned or delayed, and shall be consistent and compatible with the quality and nature of the Project and the monument signage of other tenants of the Building. In no event shall Tenant's Signage (nor any signage provided by or to Tenant) contain content which is generally considered pornographic, obscene or defamatory, or consists of any material or activity with a primary context (I) aimed at furthering a political candidacy, (II) advancing a political stance, or (III) that is reasonably likely to incite protest (an "</w:t>
      </w:r>
      <w:r>
        <w:rPr>
          <w:rFonts w:ascii="Times New Roman" w:cs="Times New Roman" w:eastAsia="Times New Roman" w:hAnsi="Times New Roman"/>
          <w:sz w:val="20"/>
          <w:szCs w:val="20"/>
          <w:b w:val="1"/>
          <w:bCs w:val="1"/>
          <w:color w:val="auto"/>
        </w:rPr>
        <w:t>Objectionable Name or Logo</w:t>
      </w:r>
      <w:r>
        <w:rPr>
          <w:rFonts w:ascii="Times New Roman" w:cs="Times New Roman" w:eastAsia="Times New Roman" w:hAnsi="Times New Roman"/>
          <w:sz w:val="20"/>
          <w:szCs w:val="20"/>
          <w:color w:val="auto"/>
        </w:rPr>
        <w:t xml:space="preserve">"). The parties hereby agree that neither the name "Olema Pharmaceuticals, Inc.", nor any reasonable derivative thereof, shall be deemed an Objectionable Name or Logo. The initial Tenant's Signage shall be provided by Landlord, at Landlord's cost. Any subsequent changes to Tenant's Signage shall be at Tenant's sole cost and expense following Tenant's receipt of Landlord's consent thereto (which consent may be withheld in Landlord's reasonable discretion). Should the Tenant Signage require repairs and/or maintenance, as determined in Landlord's reasonable judgment, Landlord shall cause such repairs and/or maintenance to be performed at Landlord’s sole cost and expense. Upon the expiration or earlier termination of this Lease (or within twenty (20) business days following Tenant's receipt of written notice from Landlord that Tenant's rights to such Tenant Signage have terminated as contemplated in the last sentence of this Section 23.4), Tenant shall, at Tenant's sole cost and expense, cause the Tenant Signage to be removed and shall cause the area in which such Tenant Signage was located to be restored to the condition existing immediately prior to the installation of such Tenant Signage. If Tenant fails to timely remove such Tenant Signage or to restore the areas in which such Tenant Signage was located, as provided in the immediately preceding sentence, then Landlord may perform such work, and all reasonable and actual costs incurred by Landlord in so performing shall be reimbursed by Tenant to Landlord within thirty (30) days after Tenant's receipt of an invoice therefor together with reasonable documented evidence of such costs. The terms of this </w:t>
      </w:r>
      <w:r>
        <w:rPr>
          <w:rFonts w:ascii="Times New Roman" w:cs="Times New Roman" w:eastAsia="Times New Roman" w:hAnsi="Times New Roman"/>
          <w:sz w:val="20"/>
          <w:szCs w:val="20"/>
          <w:u w:val="single" w:color="auto"/>
          <w:color w:val="auto"/>
        </w:rPr>
        <w:t>Section 23.4</w:t>
      </w:r>
      <w:r>
        <w:rPr>
          <w:rFonts w:ascii="Times New Roman" w:cs="Times New Roman" w:eastAsia="Times New Roman" w:hAnsi="Times New Roman"/>
          <w:sz w:val="20"/>
          <w:szCs w:val="20"/>
          <w:color w:val="auto"/>
        </w:rPr>
        <w:t xml:space="preserve"> shall survive the expiration or earlier termination of this Lease. The rights contained in this </w:t>
      </w:r>
      <w:r>
        <w:rPr>
          <w:rFonts w:ascii="Times New Roman" w:cs="Times New Roman" w:eastAsia="Times New Roman" w:hAnsi="Times New Roman"/>
          <w:sz w:val="20"/>
          <w:szCs w:val="20"/>
          <w:u w:val="single" w:color="auto"/>
          <w:color w:val="auto"/>
        </w:rPr>
        <w:t>Section 23.4</w:t>
      </w:r>
      <w:r>
        <w:rPr>
          <w:rFonts w:ascii="Times New Roman" w:cs="Times New Roman" w:eastAsia="Times New Roman" w:hAnsi="Times New Roman"/>
          <w:sz w:val="20"/>
          <w:szCs w:val="20"/>
          <w:color w:val="auto"/>
        </w:rPr>
        <w:t xml:space="preserve"> shall terminate upon Tenant's failure to lease at least 30,000 rentable square feet of space in the Project.</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23.5 </w:t>
      </w:r>
      <w:r>
        <w:rPr>
          <w:rFonts w:ascii="Times New Roman" w:cs="Times New Roman" w:eastAsia="Times New Roman" w:hAnsi="Times New Roman"/>
          <w:sz w:val="20"/>
          <w:szCs w:val="20"/>
          <w:b w:val="1"/>
          <w:bCs w:val="1"/>
          <w:u w:val="single" w:color="auto"/>
          <w:color w:val="auto"/>
        </w:rPr>
        <w:t>Prohibited Signage and Other Items</w:t>
      </w:r>
      <w:r>
        <w:rPr>
          <w:rFonts w:ascii="Times New Roman" w:cs="Times New Roman" w:eastAsia="Times New Roman" w:hAnsi="Times New Roman"/>
          <w:sz w:val="20"/>
          <w:szCs w:val="20"/>
          <w:color w:val="auto"/>
        </w:rPr>
        <w:t>. Any signs, notices, logos, pictures, names or advertisements which are installed outside of the Premises or visible from the exterior of the Premises and that have not been separately approved by Landlord may be removed without notice by Landlord at the sole expense of Tenant. Except for Tenant's Signage, Tenant may not install any signs on the exterior or roof of the Project or in any Common Areas. Any signs, window coverings, or blinds (even if the same are located behind the Landlord-approved window coverings for the Building), or other items visible from the exterior of the Premises or Building, shall be subject to the prior approval of Landlord, which approval shall not be unreasonably withheld, conditioned or delayed.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-47-</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4"/>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COMPLIANCE WITH LAW</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 xml:space="preserve">24.1 </w:t>
      </w:r>
      <w:r>
        <w:rPr>
          <w:rFonts w:ascii="Times New Roman" w:cs="Times New Roman" w:eastAsia="Times New Roman" w:hAnsi="Times New Roman"/>
          <w:sz w:val="19"/>
          <w:szCs w:val="19"/>
          <w:b w:val="1"/>
          <w:bCs w:val="1"/>
          <w:u w:val="single" w:color="auto"/>
          <w:color w:val="auto"/>
        </w:rPr>
        <w:t>Tenant's Compliance Obligations</w:t>
      </w:r>
      <w:r>
        <w:rPr>
          <w:rFonts w:ascii="Times New Roman" w:cs="Times New Roman" w:eastAsia="Times New Roman" w:hAnsi="Times New Roman"/>
          <w:sz w:val="19"/>
          <w:szCs w:val="19"/>
          <w:color w:val="auto"/>
        </w:rPr>
        <w:t>. Tenant shall not do anything or suffer anything to be done in or about the Premises or the Project which will in any way violate any law, statute, ordinance or other rule, directive, order, regulation or requirement of any governmental entity or governmental agency now in force or which may hereafter be enacted or promulgated (collectively, "</w:t>
      </w:r>
      <w:r>
        <w:rPr>
          <w:rFonts w:ascii="Times New Roman" w:cs="Times New Roman" w:eastAsia="Times New Roman" w:hAnsi="Times New Roman"/>
          <w:sz w:val="19"/>
          <w:szCs w:val="19"/>
          <w:b w:val="1"/>
          <w:bCs w:val="1"/>
          <w:color w:val="auto"/>
        </w:rPr>
        <w:t>Applicable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Laws</w:t>
      </w:r>
      <w:r>
        <w:rPr>
          <w:rFonts w:ascii="Times New Roman" w:cs="Times New Roman" w:eastAsia="Times New Roman" w:hAnsi="Times New Roman"/>
          <w:sz w:val="19"/>
          <w:szCs w:val="19"/>
          <w:color w:val="auto"/>
        </w:rPr>
        <w:t>"). Subject to Landlord's obligations under this Lease, including without limitation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24.2</w:t>
      </w:r>
      <w:r>
        <w:rPr>
          <w:rFonts w:ascii="Times New Roman" w:cs="Times New Roman" w:eastAsia="Times New Roman" w:hAnsi="Times New Roman"/>
          <w:sz w:val="19"/>
          <w:szCs w:val="19"/>
          <w:color w:val="auto"/>
        </w:rPr>
        <w:t>, at its sole cost and expense, Tenant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promptly comply with all Applicable Laws (including the making of any alterations to the Premises required by Applicable Laws not arising from a preexisting violation of Applicable Laws) which relate to (i) Tenant's use of the Premises, (ii) Tenant's Repair Obligations, and</w:t>
      </w:r>
    </w:p>
    <w:p>
      <w:pPr>
        <w:spacing w:after="0" w:line="5" w:lineRule="exact"/>
        <w:rPr>
          <w:sz w:val="20"/>
          <w:szCs w:val="20"/>
          <w:color w:val="auto"/>
        </w:rPr>
      </w:pPr>
    </w:p>
    <w:p>
      <w:pPr>
        <w:jc w:val="both"/>
        <w:ind w:firstLine="8"/>
        <w:spacing w:after="0"/>
        <w:tabs>
          <w:tab w:leader="none" w:pos="35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Tenant's Insured Property.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at its sole cost and expense, shall comply promptly with such standards or regulations. The judgment of any court of competent jurisdiction or the admission of Tenant in any judicial action, regardless of whether Landlord is a party thereto, that Tenant has violated any of said governmental measures, shall be conclusive of that fact as between Landlord and Tenant.</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24.2 </w:t>
      </w:r>
      <w:r>
        <w:rPr>
          <w:rFonts w:ascii="Times New Roman" w:cs="Times New Roman" w:eastAsia="Times New Roman" w:hAnsi="Times New Roman"/>
          <w:sz w:val="19"/>
          <w:szCs w:val="19"/>
          <w:b w:val="1"/>
          <w:bCs w:val="1"/>
          <w:u w:val="single" w:color="auto"/>
          <w:color w:val="auto"/>
        </w:rPr>
        <w:t>Landlord's Compliance Obligations</w:t>
      </w:r>
      <w:r>
        <w:rPr>
          <w:rFonts w:ascii="Times New Roman" w:cs="Times New Roman" w:eastAsia="Times New Roman" w:hAnsi="Times New Roman"/>
          <w:sz w:val="19"/>
          <w:szCs w:val="19"/>
          <w:color w:val="auto"/>
        </w:rPr>
        <w:t>. Landlord shall comply with all Applicable Laws relating to Landlord's Repair Obligations and Landlord's Insured Property, to the extent that Landlord's failure to comply therewith (i) would subject the certificate of occupancy for the Building to suspension or cancellation or would prohibit Tenant from obtaining or maintaining a certificate of occupancy, or any other permit, license, or approval, for the Premises allowing for the Permitted Use, (ii) would unreasonably and materially affect the safety of Tenant's employees or create a health hazard for Tenant's employees, (iii) would materially increase Tenant's obligations under this Lease, or materially decrease Tenant's rights under this Lease; or (iv) is required to be remedied by order of a governmental authority. If any changes are required to areas of the Project that are subject to Landlord's Repair Obligations or Landlord's Insured Property as a result of Tenant's Alterations, or specific use of the Premises for a use other than the Permitted Use or Tenant’s use of the Premises at an occupancy density in excess of the density reasonably derivable from the Approved Working Drawings, then Landlord shall notify Tenant. If Tenant elects to proceed with Tenant’s Alterations or continue with such specific use of the Premises or Tenant’s occupancy density in excess of one</w:t>
      </w:r>
    </w:p>
    <w:p>
      <w:pPr>
        <w:spacing w:after="0" w:line="9" w:lineRule="exact"/>
        <w:rPr>
          <w:sz w:val="20"/>
          <w:szCs w:val="20"/>
          <w:color w:val="auto"/>
        </w:rPr>
      </w:pPr>
    </w:p>
    <w:p>
      <w:pPr>
        <w:jc w:val="both"/>
        <w:ind w:firstLine="8"/>
        <w:spacing w:after="0" w:line="241" w:lineRule="auto"/>
        <w:tabs>
          <w:tab w:leader="none" w:pos="30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person per one hundred fifty (150) rentable square feet of the Premises, Landlord shall make such changes at Tenant's sole cost and expense, provided such costs shall be limited to the reasonable, out-of-pocket costs incurred by Landlord. Landlord shall be permitted to include in Operating Expenses any costs or expenses incurred by Landlord under this </w:t>
      </w:r>
      <w:r>
        <w:rPr>
          <w:rFonts w:ascii="Times New Roman" w:cs="Times New Roman" w:eastAsia="Times New Roman" w:hAnsi="Times New Roman"/>
          <w:sz w:val="20"/>
          <w:szCs w:val="20"/>
          <w:u w:val="single" w:color="auto"/>
          <w:color w:val="auto"/>
        </w:rPr>
        <w:t>Article 24</w:t>
      </w:r>
      <w:r>
        <w:rPr>
          <w:rFonts w:ascii="Times New Roman" w:cs="Times New Roman" w:eastAsia="Times New Roman" w:hAnsi="Times New Roman"/>
          <w:sz w:val="20"/>
          <w:szCs w:val="20"/>
          <w:color w:val="auto"/>
        </w:rPr>
        <w:t xml:space="preserve"> to the extent permitted and not prohibited by the terms of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above.</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24.3 </w:t>
      </w:r>
      <w:r>
        <w:rPr>
          <w:rFonts w:ascii="Times New Roman" w:cs="Times New Roman" w:eastAsia="Times New Roman" w:hAnsi="Times New Roman"/>
          <w:sz w:val="20"/>
          <w:szCs w:val="20"/>
          <w:b w:val="1"/>
          <w:bCs w:val="1"/>
          <w:u w:val="single" w:color="auto"/>
          <w:color w:val="auto"/>
        </w:rPr>
        <w:t>Certified Access Specialist</w:t>
      </w:r>
      <w:r>
        <w:rPr>
          <w:rFonts w:ascii="Times New Roman" w:cs="Times New Roman" w:eastAsia="Times New Roman" w:hAnsi="Times New Roman"/>
          <w:sz w:val="20"/>
          <w:szCs w:val="20"/>
          <w:color w:val="auto"/>
        </w:rPr>
        <w:t xml:space="preserve">. For purposes of Section 1938 of the California Civil Code, Landlord hereby discloses to Tenant, and Tenant hereby acknowledges, that the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(i) any CASp inspection requested by Tenant shall be conducted, at Tenant's sole cost and expense, by a CASp reasonably approved by Landlord; and (ii) Tenant's and Landlord's respective obligations for making any improvements or repairs to correct violations of construction-related accessibility standards shall be as set forth in </w:t>
      </w:r>
      <w:r>
        <w:rPr>
          <w:rFonts w:ascii="Times New Roman" w:cs="Times New Roman" w:eastAsia="Times New Roman" w:hAnsi="Times New Roman"/>
          <w:sz w:val="20"/>
          <w:szCs w:val="20"/>
          <w:u w:val="single" w:color="auto"/>
          <w:color w:val="auto"/>
        </w:rPr>
        <w:t>Sections 24.1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24.2</w:t>
      </w:r>
      <w:r>
        <w:rPr>
          <w:rFonts w:ascii="Times New Roman" w:cs="Times New Roman" w:eastAsia="Times New Roman" w:hAnsi="Times New Roman"/>
          <w:sz w:val="20"/>
          <w:szCs w:val="20"/>
          <w:color w:val="auto"/>
        </w:rPr>
        <w:t xml:space="preserve"> above.</w:t>
      </w:r>
    </w:p>
    <w:p>
      <w:pPr>
        <w:spacing w:after="0" w:line="18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24.4 </w:t>
      </w:r>
      <w:r>
        <w:rPr>
          <w:rFonts w:ascii="Times New Roman" w:cs="Times New Roman" w:eastAsia="Times New Roman" w:hAnsi="Times New Roman"/>
          <w:sz w:val="20"/>
          <w:szCs w:val="20"/>
          <w:b w:val="1"/>
          <w:bCs w:val="1"/>
          <w:u w:val="single" w:color="auto"/>
          <w:color w:val="auto"/>
        </w:rPr>
        <w:t>Permits</w:t>
      </w:r>
      <w:r>
        <w:rPr>
          <w:rFonts w:ascii="Times New Roman" w:cs="Times New Roman" w:eastAsia="Times New Roman" w:hAnsi="Times New Roman"/>
          <w:sz w:val="20"/>
          <w:szCs w:val="20"/>
          <w:color w:val="auto"/>
        </w:rPr>
        <w:t>. Tenant shall, at Tenant's sole cost and expense, apply for, seek and obtain prior to the date on which Tenant commences occupancy of all or any portion of the Premises all necessary state and local licenses, permits (including, without limitation, all Environmental Permits) and approvals needed for the operation of Tenant's business in the Premises and/or Tenant's Off-Premises Equipment, including any and all necessary permits and approvals directly or indirectly relating or incident to the conduct of its activities on the Premises, its scientific experimentation, transportation, storage, handling, use and disposal of any Hazardous Materials or laboratory specimens (collectively, the "</w:t>
      </w:r>
      <w:r>
        <w:rPr>
          <w:rFonts w:ascii="Times New Roman" w:cs="Times New Roman" w:eastAsia="Times New Roman" w:hAnsi="Times New Roman"/>
          <w:sz w:val="20"/>
          <w:szCs w:val="20"/>
          <w:b w:val="1"/>
          <w:bCs w:val="1"/>
          <w:color w:val="auto"/>
        </w:rPr>
        <w:t>Required Permits</w:t>
      </w:r>
      <w:r>
        <w:rPr>
          <w:rFonts w:ascii="Times New Roman" w:cs="Times New Roman" w:eastAsia="Times New Roman" w:hAnsi="Times New Roman"/>
          <w:sz w:val="20"/>
          <w:szCs w:val="20"/>
          <w:color w:val="auto"/>
        </w:rPr>
        <w:t>"); provided, however, that Required Permits shall not include any permits, certificates of occupancy, licenses, approvals or entitlements that are the responsibility of Landlord under this Lease or that relate to the Base Building, Improvements, Landlord’s Repair Obligations, Landlord’s Insured Property and/or the development, construction or operation of the Building as a first-class life sciences project. Tenant shall thereafter maintain all Required Permits. Tenant, at Tenant's expense, shall at all times comply with the terms and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-48-</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22" w:gutter="0" w:footer="0" w:header="0"/>
        </w:sectPr>
      </w:pPr>
    </w:p>
    <w:bookmarkStart w:id="168" w:name="page169"/>
    <w:bookmarkEnd w:id="168"/>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conditions of each Required Permit. Within ten (10) business days of Tenant's receipt of such request by Landlord, Tenant shall furnish Landlord with copies of all Required Permits.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LATE CHARGES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any installment of Rent or any other sum due from Tenant shall not be received by Landlord or Landlord's designee within five</w:t>
      </w:r>
    </w:p>
    <w:p>
      <w:pPr>
        <w:spacing w:after="0" w:line="22" w:lineRule="exact"/>
        <w:rPr>
          <w:sz w:val="20"/>
          <w:szCs w:val="20"/>
          <w:color w:val="auto"/>
        </w:rPr>
      </w:pPr>
    </w:p>
    <w:p>
      <w:pPr>
        <w:jc w:val="both"/>
        <w:ind w:firstLine="8"/>
        <w:spacing w:after="0"/>
        <w:tabs>
          <w:tab w:leader="none" w:pos="28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when due, then Tenant shall pay to Landlord a late charge equal to three percent (3%) of the overdue amount; provided, however, with regard to the first such failure in any twelve (12) month period, Landlord will waive such late charge to the extent Tenant cures such failure within five (5) business days following Tenant's receipt of written notice from Landlord that the same was not received when due. The parties agree that such late charge represents a fair and reasonable estimate of the costs that Landlord will incur by reason of such late payment by Tenant. The late charge shall be deemed Additional Rent and the right to require it shall be in addition to all of Landlord's other rights and remedies hereunder or at law and shall not be construed as limiting Landlord's remedies in any manner. In addition to the late charge described above, any Rent or other amounts owing hereunder which are not paid within ten (10) days after the date they are due shall bear interest from the date when due until paid at an annual interest rate (the "</w:t>
      </w:r>
      <w:r>
        <w:rPr>
          <w:rFonts w:ascii="Times New Roman" w:cs="Times New Roman" w:eastAsia="Times New Roman" w:hAnsi="Times New Roman"/>
          <w:sz w:val="20"/>
          <w:szCs w:val="20"/>
          <w:b w:val="1"/>
          <w:bCs w:val="1"/>
          <w:color w:val="auto"/>
        </w:rPr>
        <w:t>Interest Rate</w:t>
      </w:r>
      <w:r>
        <w:rPr>
          <w:rFonts w:ascii="Times New Roman" w:cs="Times New Roman" w:eastAsia="Times New Roman" w:hAnsi="Times New Roman"/>
          <w:sz w:val="20"/>
          <w:szCs w:val="20"/>
          <w:color w:val="auto"/>
        </w:rPr>
        <w:t>") equal to the lesser of (i) the annual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Prime Loan</w:t>
      </w:r>
      <w:r>
        <w:rPr>
          <w:rFonts w:ascii="Times New Roman" w:cs="Times New Roman" w:eastAsia="Times New Roman" w:hAnsi="Times New Roman"/>
          <w:sz w:val="20"/>
          <w:szCs w:val="20"/>
          <w:color w:val="auto"/>
        </w:rPr>
        <w:t>" rate cited in the Federal Reserve Statistical Release Publication H.15(519), published weekly (or such other comparable index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Landlord and Tenant shall reasonably agree upon if such rate ceases to be published), plus two (2) percentage points, and (ii) the highest rate permitted by Applicable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LANDLORD'S RIGHT TO CURE DEFAULT; PAYMENTS BY TENANT</w:t>
      </w:r>
    </w:p>
    <w:p>
      <w:pPr>
        <w:spacing w:after="0" w:line="21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 xml:space="preserve">26.1 </w:t>
      </w:r>
      <w:r>
        <w:rPr>
          <w:rFonts w:ascii="Times New Roman" w:cs="Times New Roman" w:eastAsia="Times New Roman" w:hAnsi="Times New Roman"/>
          <w:sz w:val="19"/>
          <w:szCs w:val="19"/>
          <w:b w:val="1"/>
          <w:bCs w:val="1"/>
          <w:u w:val="single" w:color="auto"/>
          <w:color w:val="auto"/>
        </w:rPr>
        <w:t>Landlord's Cure</w:t>
      </w:r>
      <w:r>
        <w:rPr>
          <w:rFonts w:ascii="Times New Roman" w:cs="Times New Roman" w:eastAsia="Times New Roman" w:hAnsi="Times New Roman"/>
          <w:sz w:val="19"/>
          <w:szCs w:val="19"/>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19.1.6</w:t>
      </w:r>
      <w:r>
        <w:rPr>
          <w:rFonts w:ascii="Times New Roman" w:cs="Times New Roman" w:eastAsia="Times New Roman" w:hAnsi="Times New Roman"/>
          <w:sz w:val="19"/>
          <w:szCs w:val="19"/>
          <w:color w:val="auto"/>
        </w:rPr>
        <w:t xml:space="preserve">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 During the occurrence and continuance of an Event of Default, Landlord shall have the right to apply payments received from Tenant pursuant to this Lease, regardless of Tenant's designation of such payments, to satisfy any obligations of Tenant hereunder, in such order and amounts as Landlord, in its sole discretion, may elect. Prior to commencing any cure or incurring any expense for the account of Tenant pursuant to this </w:t>
      </w:r>
      <w:r>
        <w:rPr>
          <w:rFonts w:ascii="Times New Roman" w:cs="Times New Roman" w:eastAsia="Times New Roman" w:hAnsi="Times New Roman"/>
          <w:sz w:val="19"/>
          <w:szCs w:val="19"/>
          <w:u w:val="single" w:color="auto"/>
          <w:color w:val="auto"/>
        </w:rPr>
        <w:t>Section 26.1</w:t>
      </w:r>
      <w:r>
        <w:rPr>
          <w:rFonts w:ascii="Times New Roman" w:cs="Times New Roman" w:eastAsia="Times New Roman" w:hAnsi="Times New Roman"/>
          <w:sz w:val="19"/>
          <w:szCs w:val="19"/>
          <w:color w:val="auto"/>
        </w:rPr>
        <w:t>, Landlord shall deliver written notice to Tenant of its intent to effect such cure, and shall reasonably cooperate with Tenant if Tenant has already commenced and is diligently pursuing such cure on its own account.</w:t>
      </w:r>
    </w:p>
    <w:p>
      <w:pPr>
        <w:spacing w:after="0" w:line="17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26.2 </w:t>
      </w:r>
      <w:r>
        <w:rPr>
          <w:rFonts w:ascii="Times New Roman" w:cs="Times New Roman" w:eastAsia="Times New Roman" w:hAnsi="Times New Roman"/>
          <w:sz w:val="20"/>
          <w:szCs w:val="20"/>
          <w:b w:val="1"/>
          <w:bCs w:val="1"/>
          <w:u w:val="single" w:color="auto"/>
          <w:color w:val="auto"/>
        </w:rPr>
        <w:t>Tenant's Reimbursement</w:t>
      </w:r>
      <w:r>
        <w:rPr>
          <w:rFonts w:ascii="Times New Roman" w:cs="Times New Roman" w:eastAsia="Times New Roman" w:hAnsi="Times New Roman"/>
          <w:sz w:val="20"/>
          <w:szCs w:val="20"/>
          <w:color w:val="auto"/>
        </w:rPr>
        <w:t xml:space="preserve">. Except as may be specifically provided to the contrary in this Lease, Tenant shall pay to Landlord, within thirty (30) days after receipt from Landlord of statements therefor: sums equal to expenditures reasonably made and obligations incurred by Landlord in connection with the remedying by Landlord of Tenant's defaults pursuant to the provisions of </w:t>
      </w:r>
      <w:r>
        <w:rPr>
          <w:rFonts w:ascii="Times New Roman" w:cs="Times New Roman" w:eastAsia="Times New Roman" w:hAnsi="Times New Roman"/>
          <w:sz w:val="20"/>
          <w:szCs w:val="20"/>
          <w:u w:val="single" w:color="auto"/>
          <w:color w:val="auto"/>
        </w:rPr>
        <w:t>Section 26.1</w:t>
      </w:r>
      <w:r>
        <w:rPr>
          <w:rFonts w:ascii="Times New Roman" w:cs="Times New Roman" w:eastAsia="Times New Roman" w:hAnsi="Times New Roman"/>
          <w:sz w:val="20"/>
          <w:szCs w:val="20"/>
          <w:color w:val="auto"/>
        </w:rPr>
        <w:t xml:space="preserve">. Tenant's obligations under this </w:t>
      </w:r>
      <w:r>
        <w:rPr>
          <w:rFonts w:ascii="Times New Roman" w:cs="Times New Roman" w:eastAsia="Times New Roman" w:hAnsi="Times New Roman"/>
          <w:sz w:val="20"/>
          <w:szCs w:val="20"/>
          <w:u w:val="single" w:color="auto"/>
          <w:color w:val="auto"/>
        </w:rPr>
        <w:t>Section 26.2</w:t>
      </w:r>
      <w:r>
        <w:rPr>
          <w:rFonts w:ascii="Times New Roman" w:cs="Times New Roman" w:eastAsia="Times New Roman" w:hAnsi="Times New Roman"/>
          <w:sz w:val="20"/>
          <w:szCs w:val="20"/>
          <w:color w:val="auto"/>
        </w:rPr>
        <w:t xml:space="preserve"> shall survive the expiration or sooner termination of the Lease Term.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ENTRY BY LANDLORD</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Landlord reserves the right at all reasonable times (during Building Hours with respect to items (i) and (ii) below unless otherwise agreed by Tenant in its reasonable discretion) and upon at least one (1) full business day's prior notice to Tenant (except in the case of an emergency, in which case no prior notice is required, and except in the case of item (iv), where Landlord's entry could reasonably be expected to result in material interference with Tenant's business or item (ii), where Landlord intends to show the Premises to a known competitor of Tenant, in which cases at least five (5) business days' prior notice to Tenant shall be required) to enter the Premises to (i) inspect them; (ii) show the Premises to prospective purchasers, or to current or prospective Mortgagees or insurers, or during the last six (6) months of the Lease Term (or at any time during which there is a continuing monetary or material non-monetary Event of Default under this Lease), to prospective tenants; (iii) post notices of non-responsibility; or (iv) perform Landlord's Repair Obligations or Modifications. Notwithstanding anything to the contrary contained in this </w:t>
      </w:r>
      <w:r>
        <w:rPr>
          <w:rFonts w:ascii="Times New Roman" w:cs="Times New Roman" w:eastAsia="Times New Roman" w:hAnsi="Times New Roman"/>
          <w:sz w:val="20"/>
          <w:szCs w:val="20"/>
          <w:u w:val="single" w:color="auto"/>
          <w:color w:val="auto"/>
        </w:rPr>
        <w:t>Article 27</w:t>
      </w:r>
      <w:r>
        <w:rPr>
          <w:rFonts w:ascii="Times New Roman" w:cs="Times New Roman" w:eastAsia="Times New Roman" w:hAnsi="Times New Roman"/>
          <w:sz w:val="20"/>
          <w:szCs w:val="20"/>
          <w:color w:val="auto"/>
        </w:rPr>
        <w:t>, Landlord may enter the Premises at any reasonable time without notice to (a) perform regularly recurring services required of Landlord, including janitorial service; (b) take possession due to an ongoing Event of Default (after expiration of any applicable notice and cure period) in the manner provided herein; and (c) perform any covenants of Tenant which Tenant fails to perform after expiration of any applicable notice and cure period. Landlord may make any such entries without the abatement of Rent, except as otherwise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-49-</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204" w:gutter="0" w:footer="0" w:header="0"/>
        </w:sectPr>
      </w:pPr>
    </w:p>
    <w:bookmarkStart w:id="169" w:name="page170"/>
    <w:bookmarkEnd w:id="169"/>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provided in this Lease, and may take such reasonable steps as required to accomplish the stated purposes; provided, however, any such entry (other than under (b) above) shall be performed in a manner so as not to unreasonably interfere with Tenant's use of or access to the Premises and, except for (</w:t>
      </w:r>
      <w:r>
        <w:rPr>
          <w:rFonts w:ascii="Times New Roman" w:cs="Times New Roman" w:eastAsia="Times New Roman" w:hAnsi="Times New Roman"/>
          <w:sz w:val="20"/>
          <w:szCs w:val="20"/>
          <w:i w:val="1"/>
          <w:iCs w:val="1"/>
          <w:color w:val="auto"/>
        </w:rPr>
        <w:t>x</w:t>
      </w:r>
      <w:r>
        <w:rPr>
          <w:rFonts w:ascii="Times New Roman" w:cs="Times New Roman" w:eastAsia="Times New Roman" w:hAnsi="Times New Roman"/>
          <w:sz w:val="20"/>
          <w:szCs w:val="20"/>
          <w:color w:val="auto"/>
        </w:rPr>
        <w:t>) emergencies, or (</w:t>
      </w:r>
      <w:r>
        <w:rPr>
          <w:rFonts w:ascii="Times New Roman" w:cs="Times New Roman" w:eastAsia="Times New Roman" w:hAnsi="Times New Roman"/>
          <w:sz w:val="20"/>
          <w:szCs w:val="20"/>
          <w:i w:val="1"/>
          <w:iCs w:val="1"/>
          <w:color w:val="auto"/>
        </w:rPr>
        <w:t>y</w:t>
      </w:r>
      <w:r>
        <w:rPr>
          <w:rFonts w:ascii="Times New Roman" w:cs="Times New Roman" w:eastAsia="Times New Roman" w:hAnsi="Times New Roman"/>
          <w:sz w:val="20"/>
          <w:szCs w:val="20"/>
          <w:color w:val="auto"/>
        </w:rPr>
        <w:t xml:space="preserve">) repairs, alterations, improvements or additions required by Applicable Laws, shall be performed after normal business hours if reasonably practical. Provided Landlord complies with the terms of this </w:t>
      </w:r>
      <w:r>
        <w:rPr>
          <w:rFonts w:ascii="Times New Roman" w:cs="Times New Roman" w:eastAsia="Times New Roman" w:hAnsi="Times New Roman"/>
          <w:sz w:val="20"/>
          <w:szCs w:val="20"/>
          <w:u w:val="single" w:color="auto"/>
          <w:color w:val="auto"/>
        </w:rPr>
        <w:t>Article 27</w:t>
      </w:r>
      <w:r>
        <w:rPr>
          <w:rFonts w:ascii="Times New Roman" w:cs="Times New Roman" w:eastAsia="Times New Roman" w:hAnsi="Times New Roman"/>
          <w:sz w:val="20"/>
          <w:szCs w:val="20"/>
          <w:color w:val="auto"/>
        </w:rPr>
        <w:t xml:space="preserve">, Tenant hereby waives any Losses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Secured Areas, including special security areas designated in advance by Tenant. In an emergency, Landlord shall have the right to use any reasonable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In exercising its rights pursuant to this </w:t>
      </w:r>
      <w:r>
        <w:rPr>
          <w:rFonts w:ascii="Times New Roman" w:cs="Times New Roman" w:eastAsia="Times New Roman" w:hAnsi="Times New Roman"/>
          <w:sz w:val="20"/>
          <w:szCs w:val="20"/>
          <w:u w:val="single" w:color="auto"/>
          <w:color w:val="auto"/>
        </w:rPr>
        <w:t>Article 27</w:t>
      </w:r>
      <w:r>
        <w:rPr>
          <w:rFonts w:ascii="Times New Roman" w:cs="Times New Roman" w:eastAsia="Times New Roman" w:hAnsi="Times New Roman"/>
          <w:sz w:val="20"/>
          <w:szCs w:val="20"/>
          <w:color w:val="auto"/>
        </w:rPr>
        <w:t xml:space="preserve">, Landlord shall use commercially reasonable efforts to prevent any material interference with Tenant's use of, or access to, the Premises, and promptly finish any work for which it entered and promptly repair any damage caused to the Premises by Landlord or anyone accessing the Premises under this Article. Tenant shall at all times, except in the case of emergencies or where Tenant does not make an escort reasonably available, have the right to escort Landlord or any Landlord Parties while the same are in the Premises. Notwithstanding anything to the contrary set forth in this </w:t>
      </w:r>
      <w:r>
        <w:rPr>
          <w:rFonts w:ascii="Times New Roman" w:cs="Times New Roman" w:eastAsia="Times New Roman" w:hAnsi="Times New Roman"/>
          <w:sz w:val="20"/>
          <w:szCs w:val="20"/>
          <w:u w:val="single" w:color="auto"/>
          <w:color w:val="auto"/>
        </w:rPr>
        <w:t>Article 27</w:t>
      </w:r>
      <w:r>
        <w:rPr>
          <w:rFonts w:ascii="Times New Roman" w:cs="Times New Roman" w:eastAsia="Times New Roman" w:hAnsi="Times New Roman"/>
          <w:sz w:val="20"/>
          <w:szCs w:val="20"/>
          <w:color w:val="auto"/>
        </w:rPr>
        <w:t>, Tenant may reasonably designate in writing certain reasonable areas of the Premises as "</w:t>
      </w:r>
      <w:r>
        <w:rPr>
          <w:rFonts w:ascii="Times New Roman" w:cs="Times New Roman" w:eastAsia="Times New Roman" w:hAnsi="Times New Roman"/>
          <w:sz w:val="20"/>
          <w:szCs w:val="20"/>
          <w:b w:val="1"/>
          <w:bCs w:val="1"/>
          <w:color w:val="auto"/>
        </w:rPr>
        <w:t>Secured Areas</w:t>
      </w:r>
      <w:r>
        <w:rPr>
          <w:rFonts w:ascii="Times New Roman" w:cs="Times New Roman" w:eastAsia="Times New Roman" w:hAnsi="Times New Roman"/>
          <w:sz w:val="20"/>
          <w:szCs w:val="20"/>
          <w:color w:val="auto"/>
        </w:rPr>
        <w:t>" to the extent Tenant requires such areas for the protection of confidential information, proprietary materials, regulated materials, sensitive equipment, or to comply with Tenant's reasonable safety, security or regulatory requirements. Landlord shall not enter such Secured Areas except (a) in the event of an emergency, or (b) subject to the terms of this Lease, to perform Landlord's repair, maintenance or compliance with Applicable Laws obligations under this Lease, and then in accordance with Tenant's reasonable security, safety and confidentiality protocols. Access to the Premises by Landlord shall be in accordance with Tenant's reasonable security, safety and confidentiality requirements as Tenant may reasonably adopt from time to time, provided that such requirements do not materially interfere with Landlord's rights or obligations under this Lease or emergency access, and may include a requirement that persons entering the Premises execute Tenant's reasonable confidentiality and nondisclosure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TENANT PARKING AND TRANSPORTATION</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28.1 </w:t>
      </w:r>
      <w:r>
        <w:rPr>
          <w:rFonts w:ascii="Times New Roman" w:cs="Times New Roman" w:eastAsia="Times New Roman" w:hAnsi="Times New Roman"/>
          <w:sz w:val="20"/>
          <w:szCs w:val="20"/>
          <w:b w:val="1"/>
          <w:bCs w:val="1"/>
          <w:u w:val="single" w:color="auto"/>
          <w:color w:val="auto"/>
        </w:rPr>
        <w:t>Parking Passes</w:t>
      </w:r>
      <w:r>
        <w:rPr>
          <w:rFonts w:ascii="Times New Roman" w:cs="Times New Roman" w:eastAsia="Times New Roman" w:hAnsi="Times New Roman"/>
          <w:sz w:val="20"/>
          <w:szCs w:val="20"/>
          <w:color w:val="auto"/>
        </w:rPr>
        <w:t xml:space="preserve">. Tenant shall be entitled to use throughout the Lease Term, commencing on the Phase I Commencement Date, the amount of unreserved and reserved parking passes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of the Summary, which parking passes shall pertain to the Project's parking facilities (the "</w:t>
      </w:r>
      <w:r>
        <w:rPr>
          <w:rFonts w:ascii="Times New Roman" w:cs="Times New Roman" w:eastAsia="Times New Roman" w:hAnsi="Times New Roman"/>
          <w:sz w:val="20"/>
          <w:szCs w:val="20"/>
          <w:b w:val="1"/>
          <w:bCs w:val="1"/>
          <w:color w:val="auto"/>
        </w:rPr>
        <w:t>Parking Facilities</w:t>
      </w:r>
      <w:r>
        <w:rPr>
          <w:rFonts w:ascii="Times New Roman" w:cs="Times New Roman" w:eastAsia="Times New Roman" w:hAnsi="Times New Roman"/>
          <w:sz w:val="20"/>
          <w:szCs w:val="20"/>
          <w:color w:val="auto"/>
        </w:rPr>
        <w:t xml:space="preserve">") at no additional cost. The number of Tenant's unreserved parking passes allocated to Tenant under this Lease shall be free of charge for the Lease Term (including the Option Term) (except that Tenant shall remain responsible for paying any parking taxes or other charges imposed by governmental authorities in connection with Tenant's use of such parking, as more particularly described below). Tenant shall be responsible for the full amount of any taxes imposed by any governmental authority in connection with the use of such parking passes by Tenant or the use of the Parking Facilities by Tenant, if any. The parking passes used by Tenant pursuant to this </w:t>
      </w:r>
      <w:r>
        <w:rPr>
          <w:rFonts w:ascii="Times New Roman" w:cs="Times New Roman" w:eastAsia="Times New Roman" w:hAnsi="Times New Roman"/>
          <w:sz w:val="20"/>
          <w:szCs w:val="20"/>
          <w:u w:val="single" w:color="auto"/>
          <w:color w:val="auto"/>
        </w:rPr>
        <w:t>Article 28</w:t>
      </w:r>
      <w:r>
        <w:rPr>
          <w:rFonts w:ascii="Times New Roman" w:cs="Times New Roman" w:eastAsia="Times New Roman" w:hAnsi="Times New Roman"/>
          <w:sz w:val="20"/>
          <w:szCs w:val="20"/>
          <w:color w:val="auto"/>
        </w:rPr>
        <w:t xml:space="preserve"> are provided to Tenant solely for use by Tenant's own personnel and such passes may not be transferred, assigned, subleased or otherwise alienated by Tenant (nor may parking passes be shared among Tenant's personnel or with any party other than the particular party to whom each such pass has been issued) without Landlord's prior approval (which shall not be unreasonably withheld, conditioned or delayed), except to a Permitted Transferee or another assignee or subtenant consented to by Landlord in accordance with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above.</w:t>
      </w:r>
    </w:p>
    <w:p>
      <w:pPr>
        <w:spacing w:after="0" w:line="18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28.2 </w:t>
      </w:r>
      <w:r>
        <w:rPr>
          <w:rFonts w:ascii="Times New Roman" w:cs="Times New Roman" w:eastAsia="Times New Roman" w:hAnsi="Times New Roman"/>
          <w:sz w:val="20"/>
          <w:szCs w:val="20"/>
          <w:b w:val="1"/>
          <w:bCs w:val="1"/>
          <w:u w:val="single" w:color="auto"/>
          <w:color w:val="auto"/>
        </w:rPr>
        <w:t>Use of Parking Facilities</w:t>
      </w:r>
      <w:r>
        <w:rPr>
          <w:rFonts w:ascii="Times New Roman" w:cs="Times New Roman" w:eastAsia="Times New Roman" w:hAnsi="Times New Roman"/>
          <w:sz w:val="20"/>
          <w:szCs w:val="20"/>
          <w:color w:val="auto"/>
        </w:rPr>
        <w:t>. With respect to Tenant's use of the Parking Facilities, Tenant shall abide by all reasonable rules and regulations which are prescribed from time to time for the orderly operation and use of the Parking Facilities, including any sticker or other identification system reasonably established by Landlord, and Tenant will cooperate in seeing that Tenant's employees and visitors comply with such rules and regulations. Landlord may, at any time, institute valet assisted parking, tandem parking stalls, "stack" parking, or other parking program within the Parking Facilities, the cost of which shall be included in Operating Expenses. Landlord may delegate its responsibilities hereunder to a parking operator in which case such parking operator shall have all the rights of control attributed hereby to the Landlord.</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28.3 </w:t>
      </w:r>
      <w:r>
        <w:rPr>
          <w:rFonts w:ascii="Times New Roman" w:cs="Times New Roman" w:eastAsia="Times New Roman" w:hAnsi="Times New Roman"/>
          <w:sz w:val="20"/>
          <w:szCs w:val="20"/>
          <w:b w:val="1"/>
          <w:bCs w:val="1"/>
          <w:u w:val="single" w:color="auto"/>
          <w:color w:val="auto"/>
        </w:rPr>
        <w:t>Transportation Management</w:t>
      </w:r>
      <w:r>
        <w:rPr>
          <w:rFonts w:ascii="Times New Roman" w:cs="Times New Roman" w:eastAsia="Times New Roman" w:hAnsi="Times New Roman"/>
          <w:sz w:val="20"/>
          <w:szCs w:val="20"/>
          <w:color w:val="auto"/>
        </w:rPr>
        <w:t>. Tenant shall, at no additional cost, fully comply with all present or future programs intended to manage parking, transportation or traffic in and around the Project,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28.4 </w:t>
      </w:r>
      <w:r>
        <w:rPr>
          <w:rFonts w:ascii="Times New Roman" w:cs="Times New Roman" w:eastAsia="Times New Roman" w:hAnsi="Times New Roman"/>
          <w:sz w:val="20"/>
          <w:szCs w:val="20"/>
          <w:b w:val="1"/>
          <w:bCs w:val="1"/>
          <w:u w:val="single" w:color="auto"/>
          <w:color w:val="auto"/>
        </w:rPr>
        <w:t>EV Charging Stations</w:t>
      </w:r>
      <w:r>
        <w:rPr>
          <w:rFonts w:ascii="Times New Roman" w:cs="Times New Roman" w:eastAsia="Times New Roman" w:hAnsi="Times New Roman"/>
          <w:sz w:val="20"/>
          <w:szCs w:val="20"/>
          <w:color w:val="auto"/>
        </w:rPr>
        <w:t>. As of the Effective Date, the Parking Facilities contain forty (40) parking spaces serviced by electric vehicle charging stations. Tenant shall have the right to use any electric</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-50-</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406" w:gutter="0" w:footer="0" w:header="0"/>
        </w:sectPr>
      </w:pPr>
    </w:p>
    <w:bookmarkStart w:id="170" w:name="page171"/>
    <w:bookmarkEnd w:id="170"/>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vehicle charging stations at the Parking Facilities installed and maintained by Landlord in unreserved areas of the Parking Facilities on a first-come, first-serve basis.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SUSTAINABILITY AND WELLNESS</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29.1 </w:t>
      </w:r>
      <w:r>
        <w:rPr>
          <w:rFonts w:ascii="Times New Roman" w:cs="Times New Roman" w:eastAsia="Times New Roman" w:hAnsi="Times New Roman"/>
          <w:sz w:val="20"/>
          <w:szCs w:val="20"/>
          <w:b w:val="1"/>
          <w:bCs w:val="1"/>
          <w:u w:val="single" w:color="auto"/>
          <w:color w:val="auto"/>
        </w:rPr>
        <w:t>Sustainability and Wellness Requirements</w:t>
      </w:r>
      <w:r>
        <w:rPr>
          <w:rFonts w:ascii="Times New Roman" w:cs="Times New Roman" w:eastAsia="Times New Roman" w:hAnsi="Times New Roman"/>
          <w:sz w:val="20"/>
          <w:szCs w:val="20"/>
          <w:color w:val="auto"/>
        </w:rPr>
        <w:t>. Landlord's ownership and operation of the Project is informed by an awareness of best practices within the commercial real estate industry concerning sustainability and wellness of the Building and its occupants. In connection therewith, Landlord may, in its reasonable discretion, provided the same are at no material cost or material administrative burden to Tenant, (i) implement a green cleaning program, a recycling program (which may include, without limitation, a requirement that Tenant separate waste appropriately so that it can be efficiently processed by Landlord's particular recycling contractors), Building wellness program, energy efficiency program, or other standards for efficient operation and management of the Building or Project (collectively, as the same may be updated by Landlord from time to time, "</w:t>
      </w:r>
      <w:r>
        <w:rPr>
          <w:rFonts w:ascii="Times New Roman" w:cs="Times New Roman" w:eastAsia="Times New Roman" w:hAnsi="Times New Roman"/>
          <w:sz w:val="20"/>
          <w:szCs w:val="20"/>
          <w:b w:val="1"/>
          <w:bCs w:val="1"/>
          <w:color w:val="auto"/>
        </w:rPr>
        <w:t>Sustainability and Wellness Programs</w:t>
      </w:r>
      <w:r>
        <w:rPr>
          <w:rFonts w:ascii="Times New Roman" w:cs="Times New Roman" w:eastAsia="Times New Roman" w:hAnsi="Times New Roman"/>
          <w:sz w:val="20"/>
          <w:szCs w:val="20"/>
          <w:color w:val="auto"/>
        </w:rPr>
        <w:t>"), and (ii) pursue and/or maintain certification(s) for the Building and/or Project (or any portion thereof) under the U.S. Green Building Council's Leadership in Energy and Environmental Design ("</w:t>
      </w:r>
      <w:r>
        <w:rPr>
          <w:rFonts w:ascii="Times New Roman" w:cs="Times New Roman" w:eastAsia="Times New Roman" w:hAnsi="Times New Roman"/>
          <w:sz w:val="20"/>
          <w:szCs w:val="20"/>
          <w:b w:val="1"/>
          <w:bCs w:val="1"/>
          <w:color w:val="auto"/>
        </w:rPr>
        <w:t>LEED</w:t>
      </w:r>
      <w:r>
        <w:rPr>
          <w:rFonts w:ascii="Times New Roman" w:cs="Times New Roman" w:eastAsia="Times New Roman" w:hAnsi="Times New Roman"/>
          <w:sz w:val="20"/>
          <w:szCs w:val="20"/>
          <w:color w:val="auto"/>
        </w:rPr>
        <w:t>"), Fitwel, WELL, and/or ENERGY STAR certification or other applicable certification agency (any of the foregoing, a "</w:t>
      </w:r>
      <w:r>
        <w:rPr>
          <w:rFonts w:ascii="Times New Roman" w:cs="Times New Roman" w:eastAsia="Times New Roman" w:hAnsi="Times New Roman"/>
          <w:sz w:val="20"/>
          <w:szCs w:val="20"/>
          <w:b w:val="1"/>
          <w:bCs w:val="1"/>
          <w:color w:val="auto"/>
        </w:rPr>
        <w:t>Sustainability and Wellness Certification</w:t>
      </w:r>
      <w:r>
        <w:rPr>
          <w:rFonts w:ascii="Times New Roman" w:cs="Times New Roman" w:eastAsia="Times New Roman" w:hAnsi="Times New Roman"/>
          <w:sz w:val="20"/>
          <w:szCs w:val="20"/>
          <w:color w:val="auto"/>
        </w:rPr>
        <w:t>"). The Sustainability and Wellness Programs and Sustainability and Wellness Certifications are, collectively, the "</w:t>
      </w:r>
      <w:r>
        <w:rPr>
          <w:rFonts w:ascii="Times New Roman" w:cs="Times New Roman" w:eastAsia="Times New Roman" w:hAnsi="Times New Roman"/>
          <w:sz w:val="20"/>
          <w:szCs w:val="20"/>
          <w:b w:val="1"/>
          <w:bCs w:val="1"/>
          <w:color w:val="auto"/>
        </w:rPr>
        <w:t>Sustainability and Wellness Initiatives</w:t>
      </w:r>
      <w:r>
        <w:rPr>
          <w:rFonts w:ascii="Times New Roman" w:cs="Times New Roman" w:eastAsia="Times New Roman" w:hAnsi="Times New Roman"/>
          <w:sz w:val="20"/>
          <w:szCs w:val="20"/>
          <w:color w:val="auto"/>
        </w:rPr>
        <w:t>", and any sustainability and wellness practices and requirements with respect to the Building and/or the Project established by Landlord to implement the Sustainability and Wellness Initiatives are, collectively, as the same may be updated by Landlord from time to time, "</w:t>
      </w:r>
      <w:r>
        <w:rPr>
          <w:rFonts w:ascii="Times New Roman" w:cs="Times New Roman" w:eastAsia="Times New Roman" w:hAnsi="Times New Roman"/>
          <w:sz w:val="20"/>
          <w:szCs w:val="20"/>
          <w:b w:val="1"/>
          <w:bCs w:val="1"/>
          <w:color w:val="auto"/>
        </w:rPr>
        <w:t>Sustainability and Wellness Requirements</w:t>
      </w:r>
      <w:r>
        <w:rPr>
          <w:rFonts w:ascii="Times New Roman" w:cs="Times New Roman" w:eastAsia="Times New Roman" w:hAnsi="Times New Roman"/>
          <w:sz w:val="20"/>
          <w:szCs w:val="20"/>
          <w:color w:val="auto"/>
        </w:rPr>
        <w:t xml:space="preserve">". Nothing contained in this </w:t>
      </w:r>
      <w:r>
        <w:rPr>
          <w:rFonts w:ascii="Times New Roman" w:cs="Times New Roman" w:eastAsia="Times New Roman" w:hAnsi="Times New Roman"/>
          <w:sz w:val="20"/>
          <w:szCs w:val="20"/>
          <w:u w:val="single" w:color="auto"/>
          <w:color w:val="auto"/>
        </w:rPr>
        <w:t>Section 29.1</w:t>
      </w:r>
      <w:r>
        <w:rPr>
          <w:rFonts w:ascii="Times New Roman" w:cs="Times New Roman" w:eastAsia="Times New Roman" w:hAnsi="Times New Roman"/>
          <w:sz w:val="20"/>
          <w:szCs w:val="20"/>
          <w:color w:val="auto"/>
        </w:rPr>
        <w:t xml:space="preserve"> shall obligate Landlord to incur any costs or expenses that are not otherwise an obligation of Landlord pursuant to the other TCCs of this Lease.</w:t>
      </w:r>
    </w:p>
    <w:p>
      <w:pPr>
        <w:spacing w:after="0" w:line="19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29.2 </w:t>
      </w:r>
      <w:r>
        <w:rPr>
          <w:rFonts w:ascii="Times New Roman" w:cs="Times New Roman" w:eastAsia="Times New Roman" w:hAnsi="Times New Roman"/>
          <w:sz w:val="20"/>
          <w:szCs w:val="20"/>
          <w:b w:val="1"/>
          <w:bCs w:val="1"/>
          <w:u w:val="single" w:color="auto"/>
          <w:color w:val="auto"/>
        </w:rPr>
        <w:t>Tenant's Compliance</w:t>
      </w:r>
      <w:r>
        <w:rPr>
          <w:rFonts w:ascii="Times New Roman" w:cs="Times New Roman" w:eastAsia="Times New Roman" w:hAnsi="Times New Roman"/>
          <w:sz w:val="20"/>
          <w:szCs w:val="20"/>
          <w:color w:val="auto"/>
        </w:rPr>
        <w:t>. Tenant shall use commercially reasonable efforts to comply with (and cause its employees, vendors, and contractors use commercially reasonable efforts to comply with) all Sustainability and Wellness Requirements and the terms of any Sustainability and Wellness Initiatives and otherwise cooperate with Landlord in connection with Landlord's efforts in connection therewith, which compliance and cooperation may include, without limitation, (i) Tenant's compliance with certain standards pertaining to the purchase of materials used in connection with the performance of Tenant's Repair Obligations and/or any Alterations or Improvements undertaken by the Tenant in the Project, and (ii) Tenant sharing with Landlord documentation pertaining to any of Tenant's Repair Obligations, Alterations or Improvements undertaken by Tenant in the Project, Tenant's billing information pertaining to trash removal and recycling related to Tenant's operations in the Project, and otherwise providing Landlord with any documentation reasonably requested by Landlord in order to obtain or maintain any Sustainability and Wellness Certification(s); provided, however, that the Sustainability and Wellness Initiatives and the Sustainability and Wellness Requirements do not materially disrupt or otherwise interfere with Tenant's operations in the Premises, and Tenant shall not be required to incur any material out-of-pocket cost in connection therewith, except for costs and expenses of Tenant's compliance with the Sustainability and Wellness Initiatives and the Sustainability and Wellness Requirements to the extent such costs are commercially reasonable and customary for comparable laboratory facilities. Tenant shall not perform any alterations which negatively impact the Project's LEED rating. A description of Landlord's then-existing Sustainability and Wellness Initiatives for the Project, and the terms of any Sustainability and Wellness Requirements will be provided to Tenant upon written request, and any inquiries from Tenant concerning Sustainability and Wellness Requirements or Landlord's sustainability efforts in general may be directed to sustainability@kilroyrealty.com.</w:t>
      </w:r>
    </w:p>
    <w:p>
      <w:pPr>
        <w:spacing w:after="0" w:line="19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29.3 </w:t>
      </w:r>
      <w:r>
        <w:rPr>
          <w:rFonts w:ascii="Times New Roman" w:cs="Times New Roman" w:eastAsia="Times New Roman" w:hAnsi="Times New Roman"/>
          <w:sz w:val="20"/>
          <w:szCs w:val="20"/>
          <w:b w:val="1"/>
          <w:bCs w:val="1"/>
          <w:u w:val="single" w:color="auto"/>
          <w:color w:val="auto"/>
        </w:rPr>
        <w:t>Utility Information</w:t>
      </w:r>
      <w:r>
        <w:rPr>
          <w:rFonts w:ascii="Times New Roman" w:cs="Times New Roman" w:eastAsia="Times New Roman" w:hAnsi="Times New Roman"/>
          <w:sz w:val="20"/>
          <w:szCs w:val="20"/>
          <w:color w:val="auto"/>
        </w:rPr>
        <w:t xml:space="preserve">. Tenant hereby acknowledges that Landlord may be required to disclose certain information concerning the energy performance of the Building pursuant to Applicable Laws or in connection with Sustainability and Wellness Initiatives, and Tenant hereby (i) consents to all such disclosures, and (ii) acknowledges that Landlord shall not be required to notify Tenant of any disclosures. In the event that Tenant is permitted to contract directly for the provision of electricity, gas, water or other utility services to the Premises with the third-party provider as described in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then (x) Tenant shall provide Landlord a copy of every invoice for such services within twenty (20) business days following Tenant's receipt of Landlord's written request, and (y) upon request of Landlord, Tenant shall provide Landlord with written authorization to any such utility company to release utility consumption information to Landlord (and such other information or authorization(s) as may be necessary for any such utility company to provide such information to Landlord). In addition, Tenant shall otherwise cooperate with Landlord (at no material cost to Tenant) as reasonably necessary for Landlord to obtain information and data on the energy and other utility services being consumed at the Premises, and Tenant agrees to take such further actions as are necessary in connection with the same (or to otherwise further the purposes of this paragraph). Any utility information provided by Tenant to Landlord hereunder shall be considered confidential information and subject to the terms of </w:t>
      </w:r>
      <w:r>
        <w:rPr>
          <w:rFonts w:ascii="Times New Roman" w:cs="Times New Roman" w:eastAsia="Times New Roman" w:hAnsi="Times New Roman"/>
          <w:sz w:val="20"/>
          <w:szCs w:val="20"/>
          <w:u w:val="single" w:color="auto"/>
          <w:color w:val="auto"/>
        </w:rPr>
        <w:t>Section 30.23</w:t>
      </w:r>
      <w:r>
        <w:rPr>
          <w:rFonts w:ascii="Times New Roman" w:cs="Times New Roman" w:eastAsia="Times New Roman" w:hAnsi="Times New Roman"/>
          <w:sz w:val="20"/>
          <w:szCs w:val="20"/>
          <w:color w:val="auto"/>
        </w:rPr>
        <w:t xml:space="preserve"> below. The terms of this paragraph shall survive the expiration or earlier termination of this Lease.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-51-</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52" w:gutter="0" w:footer="0" w:header="0"/>
        </w:sectPr>
      </w:pPr>
    </w:p>
    <w:bookmarkStart w:id="171" w:name="page172"/>
    <w:bookmarkEnd w:id="171"/>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30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 PROVISIONS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30.1 </w:t>
      </w:r>
      <w:r>
        <w:rPr>
          <w:rFonts w:ascii="Times New Roman" w:cs="Times New Roman" w:eastAsia="Times New Roman" w:hAnsi="Times New Roman"/>
          <w:sz w:val="20"/>
          <w:szCs w:val="20"/>
          <w:b w:val="1"/>
          <w:bCs w:val="1"/>
          <w:u w:val="single" w:color="auto"/>
          <w:color w:val="auto"/>
        </w:rPr>
        <w:t>Terms; Captions</w:t>
      </w:r>
      <w:r>
        <w:rPr>
          <w:rFonts w:ascii="Times New Roman" w:cs="Times New Roman" w:eastAsia="Times New Roman" w:hAnsi="Times New Roman"/>
          <w:sz w:val="20"/>
          <w:szCs w:val="20"/>
          <w:color w:val="auto"/>
        </w:rPr>
        <w:t>.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30.2 </w:t>
      </w: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xml:space="preserve">. Subject to all other provisions of this Lease, each of the TCCs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of this Lease.</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30.3 </w:t>
      </w:r>
      <w:r>
        <w:rPr>
          <w:rFonts w:ascii="Times New Roman" w:cs="Times New Roman" w:eastAsia="Times New Roman" w:hAnsi="Times New Roman"/>
          <w:sz w:val="20"/>
          <w:szCs w:val="20"/>
          <w:b w:val="1"/>
          <w:bCs w:val="1"/>
          <w:u w:val="single" w:color="auto"/>
          <w:color w:val="auto"/>
        </w:rPr>
        <w:t>No Air Rights</w:t>
      </w:r>
      <w:r>
        <w:rPr>
          <w:rFonts w:ascii="Times New Roman" w:cs="Times New Roman" w:eastAsia="Times New Roman" w:hAnsi="Times New Roman"/>
          <w:sz w:val="20"/>
          <w:szCs w:val="20"/>
          <w:color w:val="auto"/>
        </w:rPr>
        <w:t>. No rights to any view or to light or air over any property, whether belonging to Landlord or any other person, are granted to Tenant by this Lease. If at any time any windows of the Premises is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30.4 </w:t>
      </w:r>
      <w:r>
        <w:rPr>
          <w:rFonts w:ascii="Times New Roman" w:cs="Times New Roman" w:eastAsia="Times New Roman" w:hAnsi="Times New Roman"/>
          <w:sz w:val="20"/>
          <w:szCs w:val="20"/>
          <w:b w:val="1"/>
          <w:bCs w:val="1"/>
          <w:u w:val="single" w:color="auto"/>
          <w:color w:val="auto"/>
        </w:rPr>
        <w:t>Transfer of Landlord's Interest</w:t>
      </w:r>
      <w:r>
        <w:rPr>
          <w:rFonts w:ascii="Times New Roman" w:cs="Times New Roman" w:eastAsia="Times New Roman" w:hAnsi="Times New Roman"/>
          <w:sz w:val="20"/>
          <w:szCs w:val="20"/>
          <w:color w:val="auto"/>
        </w:rPr>
        <w:t>. Landlord has the right to transfer all or any portion of its interest in the Project or Building and in this Lease, and in the event of any such transfer, provided that such transferee assumes all of Landlord's obligations under this Lease in writing, (i) Landlord shall automatically be released from all liability under this Lease arising from and after the date of transfer, (ii) Tenant shall look solely to such transferee for the performance of Landlord's obligations hereunder after the date of transfer, (iii) such transferee shall be deemed to have fully assumed and be liable for all obligations of this Lease to be performed by Landlord, including the return of any Security Deposit, and (iv) Tenant shall attorn to such transferee. Landlord may also assign its interest in this Lease to a Mortgagee as additional security, but such an assignment shall not release Landlord from its obligations hereunder and Tenant shall continue to look to Landlord for the performance of its obligations hereunder.</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30.5 </w:t>
      </w:r>
      <w:r>
        <w:rPr>
          <w:rFonts w:ascii="Times New Roman" w:cs="Times New Roman" w:eastAsia="Times New Roman" w:hAnsi="Times New Roman"/>
          <w:sz w:val="20"/>
          <w:szCs w:val="20"/>
          <w:b w:val="1"/>
          <w:bCs w:val="1"/>
          <w:u w:val="single" w:color="auto"/>
          <w:color w:val="auto"/>
        </w:rPr>
        <w:t>Prohibition Against Recording or Publication</w:t>
      </w:r>
      <w:r>
        <w:rPr>
          <w:rFonts w:ascii="Times New Roman" w:cs="Times New Roman" w:eastAsia="Times New Roman" w:hAnsi="Times New Roman"/>
          <w:sz w:val="20"/>
          <w:szCs w:val="20"/>
          <w:color w:val="auto"/>
        </w:rPr>
        <w:t>. Neither this Lease, nor any memorandum, affidavit or other writing with respect thereto, shall be recorded or otherwise published by Tenant or by anyone acting through, under or on behalf of Tenant.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30.6 </w:t>
      </w:r>
      <w:r>
        <w:rPr>
          <w:rFonts w:ascii="Times New Roman" w:cs="Times New Roman" w:eastAsia="Times New Roman" w:hAnsi="Times New Roman"/>
          <w:sz w:val="20"/>
          <w:szCs w:val="20"/>
          <w:b w:val="1"/>
          <w:bCs w:val="1"/>
          <w:u w:val="single" w:color="auto"/>
          <w:color w:val="auto"/>
        </w:rPr>
        <w:t>Relationship of Parties</w:t>
      </w:r>
      <w:r>
        <w:rPr>
          <w:rFonts w:ascii="Times New Roman" w:cs="Times New Roman" w:eastAsia="Times New Roman" w:hAnsi="Times New Roman"/>
          <w:sz w:val="20"/>
          <w:szCs w:val="20"/>
          <w:color w:val="auto"/>
        </w:rPr>
        <w:t>. Nothing contained in this Lease shall be deemed or construed by the parties hereto or by any third party to create the relationship of principal and agent, partnership, joint venture or any association between Landlord and Tenant.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30.7 </w:t>
      </w:r>
      <w:r>
        <w:rPr>
          <w:rFonts w:ascii="Times New Roman" w:cs="Times New Roman" w:eastAsia="Times New Roman" w:hAnsi="Times New Roman"/>
          <w:sz w:val="20"/>
          <w:szCs w:val="20"/>
          <w:b w:val="1"/>
          <w:bCs w:val="1"/>
          <w:u w:val="single" w:color="auto"/>
          <w:color w:val="auto"/>
        </w:rPr>
        <w:t>Time of Essence</w:t>
      </w:r>
      <w:r>
        <w:rPr>
          <w:rFonts w:ascii="Times New Roman" w:cs="Times New Roman" w:eastAsia="Times New Roman" w:hAnsi="Times New Roman"/>
          <w:sz w:val="20"/>
          <w:szCs w:val="20"/>
          <w:color w:val="auto"/>
        </w:rPr>
        <w:t>. Time is of the essence with respect to the performance of every provision of this Lease in which time of performance is a factor.</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30.8 </w:t>
      </w:r>
      <w:r>
        <w:rPr>
          <w:rFonts w:ascii="Times New Roman" w:cs="Times New Roman" w:eastAsia="Times New Roman" w:hAnsi="Times New Roman"/>
          <w:sz w:val="20"/>
          <w:szCs w:val="20"/>
          <w:b w:val="1"/>
          <w:bCs w:val="1"/>
          <w:u w:val="single" w:color="auto"/>
          <w:color w:val="auto"/>
        </w:rPr>
        <w:t>Partial Invalidity</w:t>
      </w:r>
      <w:r>
        <w:rPr>
          <w:rFonts w:ascii="Times New Roman" w:cs="Times New Roman" w:eastAsia="Times New Roman" w:hAnsi="Times New Roman"/>
          <w:sz w:val="20"/>
          <w:szCs w:val="20"/>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30.9 </w:t>
      </w:r>
      <w:r>
        <w:rPr>
          <w:rFonts w:ascii="Times New Roman" w:cs="Times New Roman" w:eastAsia="Times New Roman" w:hAnsi="Times New Roman"/>
          <w:sz w:val="20"/>
          <w:szCs w:val="20"/>
          <w:b w:val="1"/>
          <w:bCs w:val="1"/>
          <w:u w:val="single" w:color="auto"/>
          <w:color w:val="auto"/>
        </w:rPr>
        <w:t>No Warranty</w:t>
      </w:r>
      <w:r>
        <w:rPr>
          <w:rFonts w:ascii="Times New Roman" w:cs="Times New Roman" w:eastAsia="Times New Roman" w:hAnsi="Times New Roman"/>
          <w:sz w:val="20"/>
          <w:szCs w:val="20"/>
          <w:color w:val="auto"/>
        </w:rPr>
        <w:t>. In executing and delivering this Lease, Tenant has not relied on any representations, including, but not limited to, any representation as to the amount of any item included in Direct Expenses or the amount of Direct Expenses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30.10 </w:t>
      </w:r>
      <w:r>
        <w:rPr>
          <w:rFonts w:ascii="Times New Roman" w:cs="Times New Roman" w:eastAsia="Times New Roman" w:hAnsi="Times New Roman"/>
          <w:sz w:val="20"/>
          <w:szCs w:val="20"/>
          <w:b w:val="1"/>
          <w:bCs w:val="1"/>
          <w:u w:val="single" w:color="auto"/>
          <w:color w:val="auto"/>
        </w:rPr>
        <w:t>Landlord Exculpation</w:t>
      </w:r>
      <w:r>
        <w:rPr>
          <w:rFonts w:ascii="Times New Roman" w:cs="Times New Roman" w:eastAsia="Times New Roman" w:hAnsi="Times New Roman"/>
          <w:sz w:val="20"/>
          <w:szCs w:val="20"/>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interest of Landlord in the Building, including all proceeds thereof (including, without limitation, any and all sales, insurance, condemnation, and rental proceeds thereof).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cs="Times New Roman" w:eastAsia="Times New Roman" w:hAnsi="Times New Roman"/>
          <w:sz w:val="20"/>
          <w:szCs w:val="20"/>
          <w:u w:val="single" w:color="auto"/>
          <w:color w:val="auto"/>
        </w:rPr>
        <w:t>Section 30.10</w:t>
      </w:r>
      <w:r>
        <w:rPr>
          <w:rFonts w:ascii="Times New Roman" w:cs="Times New Roman" w:eastAsia="Times New Roman" w:hAnsi="Times New Roman"/>
          <w:sz w:val="20"/>
          <w:szCs w:val="20"/>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-52-</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474" w:gutter="0" w:footer="0" w:header="0"/>
        </w:sectPr>
      </w:pPr>
    </w:p>
    <w:bookmarkStart w:id="172" w:name="page173"/>
    <w:bookmarkEnd w:id="172"/>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 trust), have any liability for the performance of Landlord's obligations under this Lease. Notwithstanding any contrary provision herein, neither Landlord nor the Landlord Parties nor Tenant nor Tenant nor any Tenant Parties shall be liable under any circumstances for consequential damages, injury or damage to, or interference with, the other's business, including but not limited to, loss of profits, loss of rents or other revenues, loss of business opportunity, loss of goodwill or loss of use, in each case, however occurring, other than Tenant's liability to Landlord for holding over pursuant to </w:t>
      </w:r>
      <w:r>
        <w:rPr>
          <w:rFonts w:ascii="Times New Roman" w:cs="Times New Roman" w:eastAsia="Times New Roman" w:hAnsi="Times New Roman"/>
          <w:sz w:val="20"/>
          <w:szCs w:val="20"/>
          <w:u w:val="single" w:color="auto"/>
          <w:color w:val="auto"/>
        </w:rPr>
        <w:t>Article 16</w:t>
      </w:r>
      <w:r>
        <w:rPr>
          <w:rFonts w:ascii="Times New Roman" w:cs="Times New Roman" w:eastAsia="Times New Roman" w:hAnsi="Times New Roman"/>
          <w:sz w:val="20"/>
          <w:szCs w:val="20"/>
          <w:color w:val="auto"/>
        </w:rPr>
        <w:t xml:space="preserve"> of this Lease.</w:t>
      </w:r>
    </w:p>
    <w:p>
      <w:pPr>
        <w:spacing w:after="0" w:line="18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30.11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(including, without limitation, any confidentiality agreement, letter of intent, request for proposal, or similar agreement previously entered into between Landlord and Tenant in anticipation of this Lease) or displayed by Landlord to Tenant with respect to the subject matter thereof, and none thereof shall be used to interpret or construe this Lease. None of the TCCs of this Lease can be modified, deleted or added to except in writing signed by the parties hereto.</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30.12 </w:t>
      </w:r>
      <w:r>
        <w:rPr>
          <w:rFonts w:ascii="Times New Roman" w:cs="Times New Roman" w:eastAsia="Times New Roman" w:hAnsi="Times New Roman"/>
          <w:sz w:val="20"/>
          <w:szCs w:val="20"/>
          <w:b w:val="1"/>
          <w:bCs w:val="1"/>
          <w:u w:val="single" w:color="auto"/>
          <w:color w:val="auto"/>
        </w:rPr>
        <w:t>Right to Lease</w:t>
      </w:r>
      <w:r>
        <w:rPr>
          <w:rFonts w:ascii="Times New Roman" w:cs="Times New Roman" w:eastAsia="Times New Roman" w:hAnsi="Times New Roman"/>
          <w:sz w:val="20"/>
          <w:szCs w:val="20"/>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30.13 </w:t>
      </w:r>
      <w:r>
        <w:rPr>
          <w:rFonts w:ascii="Times New Roman" w:cs="Times New Roman" w:eastAsia="Times New Roman" w:hAnsi="Times New Roman"/>
          <w:sz w:val="20"/>
          <w:szCs w:val="20"/>
          <w:b w:val="1"/>
          <w:bCs w:val="1"/>
          <w:u w:val="single" w:color="auto"/>
          <w:color w:val="auto"/>
        </w:rPr>
        <w:t>Force Majeure</w:t>
      </w:r>
      <w:r>
        <w:rPr>
          <w:rFonts w:ascii="Times New Roman" w:cs="Times New Roman" w:eastAsia="Times New Roman" w:hAnsi="Times New Roman"/>
          <w:sz w:val="20"/>
          <w:szCs w:val="20"/>
          <w:color w:val="auto"/>
        </w:rPr>
        <w:t xml:space="preserve">. Notwithstanding anything to the contrary contained in this Lease (but subject to the remaining TCCs of this </w:t>
      </w:r>
      <w:r>
        <w:rPr>
          <w:rFonts w:ascii="Times New Roman" w:cs="Times New Roman" w:eastAsia="Times New Roman" w:hAnsi="Times New Roman"/>
          <w:sz w:val="20"/>
          <w:szCs w:val="20"/>
          <w:u w:val="single" w:color="auto"/>
          <w:color w:val="auto"/>
        </w:rPr>
        <w:t>Section 30.13</w:t>
      </w:r>
      <w:r>
        <w:rPr>
          <w:rFonts w:ascii="Times New Roman" w:cs="Times New Roman" w:eastAsia="Times New Roman" w:hAnsi="Times New Roman"/>
          <w:sz w:val="20"/>
          <w:szCs w:val="20"/>
          <w:color w:val="auto"/>
        </w:rPr>
        <w:t>), any prevention, delay or stoppage due to strikes, lockouts, labor disputes, acts of God, acts of war, terrorist acts, inability to obtain services, labor, or materials or reasonable substitutes therefor, governmental actions, governmental laws, regulations or restrictions, civil commotions, Casualty, actual or threatened public health emergency (including, without limitation, epidemic, pandemic, famine, disease, plague, quarantine, and other significant public health risk), governmental edicts, actions, declarations or quarantines by a governmental entity or health organization (including, without limitation, any shelter-in-place orders, stay at home orders or any restrictions on travel related thereto that preclude Tenant, its agents, contractors or its employees from accessing the Premises, national or regional emergency), breaches in cybersecurity, and other causes beyond the reasonable control of the party obligated to perform, regardless of whether such other causes are (i) foreseeable or unforeseeable or (ii) related to the specifically enumerated events in this paragraph (collectively, a "</w:t>
      </w: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xml:space="preserve">"), shall excuse the performance of such party for a period of time equal to any such prevention, delay or stoppage. If this Lease specifies a time period for performance of an obligation of either party, that time period shall be extended by the period of any delay in such party's performance caused by a Force Majeure. Notwithstanding the foregoing or anything to the contrary contained in this Lease, in no event shall Force Majeure: (a) excuse Tenant's obligations to pay Rent and other charges due pursuant to this Lease, or excuse Landlord's obligations to pay any sums or other amounts due pursuant to this Lease, or (b) entitle either party to terminate this Lease, except as allowed pursuant to </w:t>
      </w:r>
      <w:r>
        <w:rPr>
          <w:rFonts w:ascii="Times New Roman" w:cs="Times New Roman" w:eastAsia="Times New Roman" w:hAnsi="Times New Roman"/>
          <w:sz w:val="20"/>
          <w:szCs w:val="20"/>
          <w:u w:val="single" w:color="auto"/>
          <w:color w:val="auto"/>
        </w:rPr>
        <w:t>Articles 11 and 13</w:t>
      </w:r>
      <w:r>
        <w:rPr>
          <w:rFonts w:ascii="Times New Roman" w:cs="Times New Roman" w:eastAsia="Times New Roman" w:hAnsi="Times New Roman"/>
          <w:sz w:val="20"/>
          <w:szCs w:val="20"/>
          <w:color w:val="auto"/>
        </w:rPr>
        <w:t xml:space="preserve"> of this Lease, or (c) excuse Tenant's obligations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of this Lease, or (d) excuse Tenant from paying for utilities whether to Landlord or a utility provider, or (e) permit Tenant to interfere with other tenants and occupants at the Project or create or cause a nuisance or disturbance at the Project.</w:t>
      </w:r>
    </w:p>
    <w:p>
      <w:pPr>
        <w:spacing w:after="0" w:line="19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30.14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All notices, demands, statements or communications (collectively, "</w:t>
      </w: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xml:space="preserve">") given or required to be given by either party to the other hereunder shall be in writing, shall be (i) delivered by a nationally recognized overnight courier, (ii) delivered by registered or certified mail, return receipt requested, or (iii) delivered personally. Any such Notice shall be delivered (a) to Tenant at the appropriate address set forth in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of the Summary, or to such other place as Tenant may from time to time designate in a Notice to Landlord; or (b) to Landlord at the addresses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Summary, or to such other firm or to such other place as Landlord may from time to time designate in a Notice to Tenant. Any Notice will be deemed given on the date of receipted delivery, of refusal to accept delivery, or when delivery is first attempted but cannot be made due to a change of address for which no Notice was given. If Tenant is notified of the identity and address of any Mortgagee, Tenant shall give to such Mortgagee written notice of any default by Landlord under the terms of this Lease by registered or certified mail, and such Mortgagee shall be given a reasonable opportunity to cure such default prior to Tenant's exercising any remedy available to Tenant. The party delivering any Notice shall use commercially reasonable efforts to provide a copy of each such Notice to the receiving party via electronic mail.</w:t>
      </w:r>
    </w:p>
    <w:p>
      <w:pPr>
        <w:spacing w:after="0" w:line="19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30.15 </w:t>
      </w:r>
      <w:r>
        <w:rPr>
          <w:rFonts w:ascii="Times New Roman" w:cs="Times New Roman" w:eastAsia="Times New Roman" w:hAnsi="Times New Roman"/>
          <w:sz w:val="20"/>
          <w:szCs w:val="20"/>
          <w:b w:val="1"/>
          <w:bCs w:val="1"/>
          <w:u w:val="single" w:color="auto"/>
          <w:color w:val="auto"/>
        </w:rPr>
        <w:t>Joint and Several</w:t>
      </w:r>
      <w:r>
        <w:rPr>
          <w:rFonts w:ascii="Times New Roman" w:cs="Times New Roman" w:eastAsia="Times New Roman" w:hAnsi="Times New Roman"/>
          <w:sz w:val="20"/>
          <w:szCs w:val="20"/>
          <w:color w:val="auto"/>
        </w:rPr>
        <w:t>. If the "Tenant" under this Lease is comprised of more than one legal entity and/or persons, then the obligations imposed upon Tenant under this Lease shall be joint and several.</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30.16 </w:t>
      </w:r>
      <w:r>
        <w:rPr>
          <w:rFonts w:ascii="Times New Roman" w:cs="Times New Roman" w:eastAsia="Times New Roman" w:hAnsi="Times New Roman"/>
          <w:sz w:val="20"/>
          <w:szCs w:val="20"/>
          <w:b w:val="1"/>
          <w:bCs w:val="1"/>
          <w:u w:val="single" w:color="auto"/>
          <w:color w:val="auto"/>
        </w:rPr>
        <w:t>Authority</w:t>
      </w:r>
      <w:r>
        <w:rPr>
          <w:rFonts w:ascii="Times New Roman" w:cs="Times New Roman" w:eastAsia="Times New Roman" w:hAnsi="Times New Roman"/>
          <w:sz w:val="20"/>
          <w:szCs w:val="20"/>
          <w:color w:val="auto"/>
        </w:rPr>
        <w:t>. Each party hereby represents and warrants to the other party that it is a duly formed and existing entity qualified to do business in California and will remain so during the Lease Term, and has full right and authority to execute and deliver this Lease, and that each person signing on behalf of</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-53-</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49" w:gutter="0" w:footer="0" w:header="0"/>
        </w:sectPr>
      </w:pPr>
    </w:p>
    <w:bookmarkStart w:id="173" w:name="page174"/>
    <w:bookmarkEnd w:id="173"/>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such party is authorized to do so. Tenant shall, within ten (10) days after receipt of Landlord's request, deliver to Landlord satisfactory written evidence of (i) good standing in Tenant's state of incorporation and (ii) qualification to do business in the state in which the Project is located.</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30.17 </w:t>
      </w:r>
      <w:r>
        <w:rPr>
          <w:rFonts w:ascii="Times New Roman" w:cs="Times New Roman" w:eastAsia="Times New Roman" w:hAnsi="Times New Roman"/>
          <w:sz w:val="20"/>
          <w:szCs w:val="20"/>
          <w:b w:val="1"/>
          <w:bCs w:val="1"/>
          <w:u w:val="single" w:color="auto"/>
          <w:color w:val="auto"/>
        </w:rPr>
        <w:t>Attorneys' Fees</w:t>
      </w:r>
      <w:r>
        <w:rPr>
          <w:rFonts w:ascii="Times New Roman" w:cs="Times New Roman" w:eastAsia="Times New Roman" w:hAnsi="Times New Roman"/>
          <w:sz w:val="20"/>
          <w:szCs w:val="20"/>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30.18 </w:t>
      </w:r>
      <w:r>
        <w:rPr>
          <w:rFonts w:ascii="Times New Roman" w:cs="Times New Roman" w:eastAsia="Times New Roman" w:hAnsi="Times New Roman"/>
          <w:sz w:val="20"/>
          <w:szCs w:val="20"/>
          <w:b w:val="1"/>
          <w:bCs w:val="1"/>
          <w:u w:val="single" w:color="auto"/>
          <w:color w:val="auto"/>
        </w:rPr>
        <w:t>Governing Law; WAIVER OF TRIAL BY JURY</w:t>
      </w:r>
      <w:r>
        <w:rPr>
          <w:rFonts w:ascii="Times New Roman" w:cs="Times New Roman" w:eastAsia="Times New Roman" w:hAnsi="Times New Roman"/>
          <w:sz w:val="20"/>
          <w:szCs w:val="20"/>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87"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auto"/>
        </w:rPr>
        <w:t xml:space="preserve">30.19 </w:t>
      </w:r>
      <w:r>
        <w:rPr>
          <w:rFonts w:ascii="Times New Roman" w:cs="Times New Roman" w:eastAsia="Times New Roman" w:hAnsi="Times New Roman"/>
          <w:sz w:val="20"/>
          <w:szCs w:val="20"/>
          <w:b w:val="1"/>
          <w:bCs w:val="1"/>
          <w:u w:val="single" w:color="auto"/>
          <w:color w:val="auto"/>
        </w:rPr>
        <w:t>Submission of Lease</w:t>
      </w:r>
      <w:r>
        <w:rPr>
          <w:rFonts w:ascii="Times New Roman" w:cs="Times New Roman" w:eastAsia="Times New Roman" w:hAnsi="Times New Roman"/>
          <w:sz w:val="20"/>
          <w:szCs w:val="20"/>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6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30.20 </w:t>
      </w:r>
      <w:r>
        <w:rPr>
          <w:rFonts w:ascii="Times New Roman" w:cs="Times New Roman" w:eastAsia="Times New Roman" w:hAnsi="Times New Roman"/>
          <w:sz w:val="20"/>
          <w:szCs w:val="20"/>
          <w:b w:val="1"/>
          <w:bCs w:val="1"/>
          <w:u w:val="single" w:color="auto"/>
          <w:color w:val="auto"/>
        </w:rPr>
        <w:t>Brokers</w:t>
      </w:r>
      <w:r>
        <w:rPr>
          <w:rFonts w:ascii="Times New Roman" w:cs="Times New Roman" w:eastAsia="Times New Roman" w:hAnsi="Times New Roman"/>
          <w:sz w:val="20"/>
          <w:szCs w:val="20"/>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of the Summary (the "</w:t>
      </w:r>
      <w:r>
        <w:rPr>
          <w:rFonts w:ascii="Times New Roman" w:cs="Times New Roman" w:eastAsia="Times New Roman" w:hAnsi="Times New Roman"/>
          <w:sz w:val="20"/>
          <w:szCs w:val="20"/>
          <w:b w:val="1"/>
          <w:bCs w:val="1"/>
          <w:color w:val="auto"/>
        </w:rPr>
        <w:t>Brokers</w:t>
      </w:r>
      <w:r>
        <w:rPr>
          <w:rFonts w:ascii="Times New Roman" w:cs="Times New Roman" w:eastAsia="Times New Roman" w:hAnsi="Times New Roman"/>
          <w:sz w:val="20"/>
          <w:szCs w:val="20"/>
          <w:color w:val="auto"/>
        </w:rPr>
        <w:t>"), and that they know of no other real estate broker or agent who is entitled to a commission in connection with this Lease. Landlord shall pay the Brokers pursuant to separate written agreements with the Brokers. Each party shall indemnify and defend the other party against and hold the other party harmless from and against any and all Losses with respect to any leasing commission or equivalent compensation alleged to be owing on account of any dealings with any real estate broker or agent, other than the Brokers, occurring by, through, or under the indemnifying party.</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30.21 </w:t>
      </w:r>
      <w:r>
        <w:rPr>
          <w:rFonts w:ascii="Times New Roman" w:cs="Times New Roman" w:eastAsia="Times New Roman" w:hAnsi="Times New Roman"/>
          <w:sz w:val="20"/>
          <w:szCs w:val="20"/>
          <w:b w:val="1"/>
          <w:bCs w:val="1"/>
          <w:u w:val="single" w:color="auto"/>
          <w:color w:val="auto"/>
        </w:rPr>
        <w:t>Independent Covenants</w:t>
      </w:r>
      <w:r>
        <w:rPr>
          <w:rFonts w:ascii="Times New Roman" w:cs="Times New Roman" w:eastAsia="Times New Roman" w:hAnsi="Times New Roman"/>
          <w:sz w:val="20"/>
          <w:szCs w:val="20"/>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 except as expressly set forth in this Lease.</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30.22 </w:t>
      </w:r>
      <w:r>
        <w:rPr>
          <w:rFonts w:ascii="Times New Roman" w:cs="Times New Roman" w:eastAsia="Times New Roman" w:hAnsi="Times New Roman"/>
          <w:sz w:val="20"/>
          <w:szCs w:val="20"/>
          <w:b w:val="1"/>
          <w:bCs w:val="1"/>
          <w:u w:val="single" w:color="auto"/>
          <w:color w:val="auto"/>
        </w:rPr>
        <w:t>Project or Building Name and Signage</w:t>
      </w:r>
      <w:r>
        <w:rPr>
          <w:rFonts w:ascii="Times New Roman" w:cs="Times New Roman" w:eastAsia="Times New Roman" w:hAnsi="Times New Roman"/>
          <w:sz w:val="20"/>
          <w:szCs w:val="20"/>
          <w:color w:val="auto"/>
        </w:rPr>
        <w:t>. Landlord shall have the right at any time to change the address or name of the Project or Building and to install, affix and maintain any and all signs on the exterior and on the interior of the Project or Building (other than the Premises) as Landlord may, in Landlord's sole discretion, desire; provided such signage does not adversely affect or interfere with Tenant’s signage or rights under this Lease. Tenant shall not use the name of the Project or Building, or the name or logo of Landlord (or any of its affiliates), or use pictures or depictions of the Project or Building, in advertising or other publicity (including, without limitation, any websites or social media accounts) or for any purpose, without the prior written consent of Landlord, which shall not be unreasonably withheld, conditioned or delayed. Notwithstanding the foregoing, Tenant may use the name of the Building and Project as an element of Tenant's address with respect to the business to be conducted by Tenant in the Premises.</w:t>
      </w:r>
    </w:p>
    <w:p>
      <w:pPr>
        <w:spacing w:after="0" w:line="18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30.23 </w:t>
      </w:r>
      <w:r>
        <w:rPr>
          <w:rFonts w:ascii="Times New Roman" w:cs="Times New Roman" w:eastAsia="Times New Roman" w:hAnsi="Times New Roman"/>
          <w:sz w:val="20"/>
          <w:szCs w:val="20"/>
          <w:b w:val="1"/>
          <w:bCs w:val="1"/>
          <w:u w:val="single" w:color="auto"/>
          <w:color w:val="auto"/>
        </w:rPr>
        <w:t>Confidentiality; Press Releases</w:t>
      </w:r>
      <w:r>
        <w:rPr>
          <w:rFonts w:ascii="Times New Roman" w:cs="Times New Roman" w:eastAsia="Times New Roman" w:hAnsi="Times New Roman"/>
          <w:sz w:val="20"/>
          <w:szCs w:val="20"/>
          <w:color w:val="auto"/>
        </w:rPr>
        <w:t>. The content of this Lease and any related amendments, agreements and documents are confidential information. Landlord and Tenant shall keep such information strictly confidential and shall not disclose such confidential information to any person or entity other than (i) such party's respective financial, legal, space planning and construction consultants, and such party's parent, subsidiary or other affiliated companies, their partners, lenders, banks, auditors, underwriters, and attorneys and similar professionals, (ii) as may be required to enforce the provisions of this Lease, or (iii) as may be required to comply with Applicable Laws or any court order. In addition, notwithstanding the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-54-</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4"/>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63" w:gutter="0" w:footer="0" w:header="0"/>
        </w:sectPr>
      </w:pPr>
    </w:p>
    <w:bookmarkStart w:id="174" w:name="page175"/>
    <w:bookmarkEnd w:id="174"/>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foregoing or anything to the contrary herein, Landlord and Tenant shall be entitled to (a) disclose information relating to this Lease to the extent necessary to comply with the disclosure or regulatory requirements of the S.E.C., IRS or similar entities, or in connection with other S.E.C., IRS or other regulatory filings customarily made by publicly traded REIT entities; (b) disclose information relating to this Lease on earnings calls and/or at investor meetings, and (c) issue press releases in the ordinary course of business announcing that such party has entered into the Lease, including customary disclosures; provided that prior to issuing any such press release, the issuing party shall provide the other party with an advance courtesy copy of any press release prior to publication of the same, and will make reasonable, factual modifications requested by such other party (such modifications to be requested in a timely manner, taking into consideration the anticipated date of the press release); provided further that, to the extent Landlord elects to issue a press release prior to Tenant making such election, Landlord hereby agrees that, upon Tenant's request, Landlord shall permit Tenant to issue a press release concurrently with Landlord's initial press release.</w:t>
      </w:r>
    </w:p>
    <w:p>
      <w:pPr>
        <w:spacing w:after="0" w:line="18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30.24 </w:t>
      </w:r>
      <w:r>
        <w:rPr>
          <w:rFonts w:ascii="Times New Roman" w:cs="Times New Roman" w:eastAsia="Times New Roman" w:hAnsi="Times New Roman"/>
          <w:sz w:val="20"/>
          <w:szCs w:val="20"/>
          <w:b w:val="1"/>
          <w:bCs w:val="1"/>
          <w:u w:val="single" w:color="auto"/>
          <w:color w:val="auto"/>
        </w:rPr>
        <w:t>Modifications</w:t>
      </w:r>
      <w:r>
        <w:rPr>
          <w:rFonts w:ascii="Times New Roman" w:cs="Times New Roman" w:eastAsia="Times New Roman" w:hAnsi="Times New Roman"/>
          <w:sz w:val="20"/>
          <w:szCs w:val="20"/>
          <w:color w:val="auto"/>
        </w:rPr>
        <w:t>. During the Lease Term, Landlord may renovate, improve, alter, or modify (including temporary closures of the same) (collectively, the "</w:t>
      </w:r>
      <w:r>
        <w:rPr>
          <w:rFonts w:ascii="Times New Roman" w:cs="Times New Roman" w:eastAsia="Times New Roman" w:hAnsi="Times New Roman"/>
          <w:sz w:val="20"/>
          <w:szCs w:val="20"/>
          <w:b w:val="1"/>
          <w:bCs w:val="1"/>
          <w:color w:val="auto"/>
        </w:rPr>
        <w:t>Modifications</w:t>
      </w:r>
      <w:r>
        <w:rPr>
          <w:rFonts w:ascii="Times New Roman" w:cs="Times New Roman" w:eastAsia="Times New Roman" w:hAnsi="Times New Roman"/>
          <w:sz w:val="20"/>
          <w:szCs w:val="20"/>
          <w:color w:val="auto"/>
        </w:rPr>
        <w:t xml:space="preserve">") the Project, the Building and/or the Premises, including without limitation the Parking Facilities, Common Areas, and/or Base Building, which Modifications may include, without limitation, (i) installing sprinklers in the interior Common Areas and leased spaces, (ii) modifying the Common Areas and leased spaces to comply with Applicable Laws, including regulations relating to the physically disabled, seismic conditions, and building safety and security, (iii) installing new floor covering, lighting, and wall coverings in the interior Common Areas, and (iv) re-striping or reconfiguring the Parking Facilities. In connection with any Modifications, Landlord may, among other things, erect scaffolding or other necessary structures at the Building, limit or eliminate access to portions of the Project, including portions of the Common Areas, or perform work in the Building, which work may create noise, dust or leave debris in the Building. Notwithstanding anything herein to the contrary, Landlord shall use commercially reasonable efforts in the performance of any Modifications to (i) minimize interference with Tenant's use of the Premises and Project Parking Facilities, access thereto, and services and facilities furnished or available thereto, (ii) not reduce Tenant's usable space of the Premises or number of parking spaces reasonably available in the Project Parking Facilities; and (iii) Landlord shall repair all damage caused by the Modifications and restore any affected areas of the Premises to the condition existing immediately prior to such work. Provided Landlord complies with the terms of this </w:t>
      </w:r>
      <w:r>
        <w:rPr>
          <w:rFonts w:ascii="Times New Roman" w:cs="Times New Roman" w:eastAsia="Times New Roman" w:hAnsi="Times New Roman"/>
          <w:sz w:val="20"/>
          <w:szCs w:val="20"/>
          <w:u w:val="single" w:color="auto"/>
          <w:color w:val="auto"/>
        </w:rPr>
        <w:t>Section 29.24</w:t>
      </w:r>
      <w:r>
        <w:rPr>
          <w:rFonts w:ascii="Times New Roman" w:cs="Times New Roman" w:eastAsia="Times New Roman" w:hAnsi="Times New Roman"/>
          <w:sz w:val="20"/>
          <w:szCs w:val="20"/>
          <w:color w:val="auto"/>
        </w:rPr>
        <w:t>, except as otherwise set forth herein, such Modifications and Landlord's actions in connection with such Modifications shall in no way constitute a constructive eviction of Tenant nor entitle Tenant to any abatement of Rent. Except as otherwise provided herein or arising from the gross negligence, willful misconduct, breach of this Lease, or violation of Applicable Law by Landlord, its agents, employees, or contractors, Landlord shall have no responsibility or for any reason be liable to Tenant for any direct or indirect injury to or interference with Tenant's business arising from the Modifications, nor shall Tenant be entitled to any compensation or damages from Landlord for loss of the use of the whole or any part of the Premises resulting from the Modifications or for any inconvenience or annoyance occasioned by such Modifications. Landlord shall perform such Modifications in compliance with all of the terms of this Lease, and shall use commercially reasonable efforts to have all such work performed on a continuous basis, and once started, to be completed reasonably expeditiously, with such work being organized and conducted in a manner which will minimize any interference to Tenant's business operations in the Premises.</w:t>
      </w:r>
    </w:p>
    <w:p>
      <w:pPr>
        <w:spacing w:after="0" w:line="18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30.25 </w:t>
      </w:r>
      <w:r>
        <w:rPr>
          <w:rFonts w:ascii="Times New Roman" w:cs="Times New Roman" w:eastAsia="Times New Roman" w:hAnsi="Times New Roman"/>
          <w:sz w:val="20"/>
          <w:szCs w:val="20"/>
          <w:b w:val="1"/>
          <w:bCs w:val="1"/>
          <w:u w:val="single" w:color="auto"/>
          <w:color w:val="auto"/>
        </w:rPr>
        <w:t>No Violation</w:t>
      </w:r>
      <w:r>
        <w:rPr>
          <w:rFonts w:ascii="Times New Roman" w:cs="Times New Roman" w:eastAsia="Times New Roman" w:hAnsi="Times New Roman"/>
          <w:sz w:val="20"/>
          <w:szCs w:val="20"/>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from and against any Losses arising from Tenant's breach of this warranty and representation.</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30.26 </w:t>
      </w:r>
      <w:r>
        <w:rPr>
          <w:rFonts w:ascii="Times New Roman" w:cs="Times New Roman" w:eastAsia="Times New Roman" w:hAnsi="Times New Roman"/>
          <w:sz w:val="20"/>
          <w:szCs w:val="20"/>
          <w:b w:val="1"/>
          <w:bCs w:val="1"/>
          <w:u w:val="single" w:color="auto"/>
          <w:color w:val="auto"/>
        </w:rPr>
        <w:t>Covenant of Quiet Enjoyment</w:t>
      </w:r>
      <w:r>
        <w:rPr>
          <w:rFonts w:ascii="Times New Roman" w:cs="Times New Roman" w:eastAsia="Times New Roman" w:hAnsi="Times New Roman"/>
          <w:sz w:val="20"/>
          <w:szCs w:val="20"/>
          <w:color w:val="auto"/>
        </w:rPr>
        <w:t>. Landlord covenants that Tenant, so long as Tenant is not in default of this Lease beyond applicable notice and cure periods, Tenant shall, during the Lease Term, peaceably and quietly have, hold and enjoy the Premises subject to the TCCs, provisions and agreements hereof without interference by any persons lawfully claiming by or through Landlord. The foregoing covenant is in lieu of any other covenant express or implied.</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30.27 </w:t>
      </w:r>
      <w:r>
        <w:rPr>
          <w:rFonts w:ascii="Times New Roman" w:cs="Times New Roman" w:eastAsia="Times New Roman" w:hAnsi="Times New Roman"/>
          <w:sz w:val="20"/>
          <w:szCs w:val="20"/>
          <w:b w:val="1"/>
          <w:bCs w:val="1"/>
          <w:u w:val="single" w:color="auto"/>
          <w:color w:val="auto"/>
        </w:rPr>
        <w:t>No Discrimination</w:t>
      </w:r>
      <w:r>
        <w:rPr>
          <w:rFonts w:ascii="Times New Roman" w:cs="Times New Roman" w:eastAsia="Times New Roman" w:hAnsi="Times New Roman"/>
          <w:sz w:val="20"/>
          <w:szCs w:val="20"/>
          <w:color w:val="auto"/>
        </w:rPr>
        <w:t>. Tenant covenants by and for itself, its heirs, executors, administrators, assigns, agents and employees, and all persons claiming under or through Tenant, and this Lease is made and accepted upon and subject to the following conditions: that there shall be no discrimination against or segregation of any person or group of persons, on account of race, color, creed, sex, age, religion, marital status, veteran's status, disability, ancestry or national origin in the leasing, subleasing, transferring, use, or enjoyment of the Premises, nor shall Tenant itself, or any person claiming under or through Tenant, establish or permit such practice or practices of discrimination or segregation with reference to the selection, location, number, use or occupancy, of tenants, lessees, sublessees, subtenants or vendees in the Premises.</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30.28 </w:t>
      </w:r>
      <w:r>
        <w:rPr>
          <w:rFonts w:ascii="Times New Roman" w:cs="Times New Roman" w:eastAsia="Times New Roman" w:hAnsi="Times New Roman"/>
          <w:sz w:val="20"/>
          <w:szCs w:val="20"/>
          <w:b w:val="1"/>
          <w:bCs w:val="1"/>
          <w:u w:val="single" w:color="auto"/>
          <w:color w:val="auto"/>
        </w:rPr>
        <w:t>Prohibited Persons; Foreign Corrupt Practices Act and Anti-Money Laundering</w:t>
      </w:r>
      <w:r>
        <w:rPr>
          <w:rFonts w:ascii="Times New Roman" w:cs="Times New Roman" w:eastAsia="Times New Roman" w:hAnsi="Times New Roman"/>
          <w:sz w:val="20"/>
          <w:szCs w:val="20"/>
          <w:color w:val="auto"/>
        </w:rPr>
        <w:t>. Tenant represents and warrants to Landlord that neither Tenant nor, to Tenant's knowledge, any of its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-55-</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3"/>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36" w:gutter="0" w:footer="0" w:header="0"/>
        </w:sectPr>
      </w:pPr>
    </w:p>
    <w:bookmarkStart w:id="175" w:name="page176"/>
    <w:bookmarkEnd w:id="175"/>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affiliates, is a person or entity with whom U.S. persons or entities are restricted from doing business under (i) the Patriot Act (as defined below), (ii) any other requirements contained in the rules and regulations of the Office of Foreign Assets Control, Department of the Treasury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(including any "blocked" person or entity listed in the Annex to Executive Order Nos. 12947, 13099 and 13224 and any modifications thereto or thereof or any other person or entity named on OFAC's Specially Designated Blocked Persons List) or (iii) any other U.S. statute, Executive Order (including the September 24, 2001, Executive Order Blocking Property and Prohibiting Transactions with Persons Who Commit, Threaten to Commit or Support Terrorism) or other governmental action (collectively, "</w:t>
      </w:r>
      <w:r>
        <w:rPr>
          <w:rFonts w:ascii="Times New Roman" w:cs="Times New Roman" w:eastAsia="Times New Roman" w:hAnsi="Times New Roman"/>
          <w:sz w:val="20"/>
          <w:szCs w:val="20"/>
          <w:b w:val="1"/>
          <w:bCs w:val="1"/>
          <w:color w:val="auto"/>
        </w:rPr>
        <w:t>Prohibited Persons</w:t>
      </w:r>
      <w:r>
        <w:rPr>
          <w:rFonts w:ascii="Times New Roman" w:cs="Times New Roman" w:eastAsia="Times New Roman" w:hAnsi="Times New Roman"/>
          <w:sz w:val="20"/>
          <w:szCs w:val="20"/>
          <w:color w:val="auto"/>
        </w:rPr>
        <w:t>"). Tenant further represents and warrants to Landlord that Tenant and, to Tenant's knowledge, its employees and all persons acting on its behalf have at all times fully complied with, and are currently in full compliance with, the Foreign Corrupt Practices Act of 1977 and any other applicable anti-bribery or anti-corruption laws. Tenant agrees that Tenant is not entering into this Lease, directly or indirectly, in violation of any laws relating to drug trafficking, money laundering or predicate crimes to money laundering. As used herein, "</w:t>
      </w:r>
      <w:r>
        <w:rPr>
          <w:rFonts w:ascii="Times New Roman" w:cs="Times New Roman" w:eastAsia="Times New Roman" w:hAnsi="Times New Roman"/>
          <w:sz w:val="20"/>
          <w:szCs w:val="20"/>
          <w:b w:val="1"/>
          <w:bCs w:val="1"/>
          <w:color w:val="auto"/>
        </w:rPr>
        <w:t>Patriot Act</w:t>
      </w:r>
      <w:r>
        <w:rPr>
          <w:rFonts w:ascii="Times New Roman" w:cs="Times New Roman" w:eastAsia="Times New Roman" w:hAnsi="Times New Roman"/>
          <w:sz w:val="20"/>
          <w:szCs w:val="20"/>
          <w:color w:val="auto"/>
        </w:rPr>
        <w:t>" shall mean the USA Patriot Act of 2001, 107 Public Law 56 (October 26, 2001) and all other statutes, orders, rules and regulations of the U.S. government and its various executive departments, agencies and offices interpreting and implementing the Patriot Act.</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30.29 </w:t>
      </w:r>
      <w:r>
        <w:rPr>
          <w:rFonts w:ascii="Times New Roman" w:cs="Times New Roman" w:eastAsia="Times New Roman" w:hAnsi="Times New Roman"/>
          <w:sz w:val="20"/>
          <w:szCs w:val="20"/>
          <w:b w:val="1"/>
          <w:bCs w:val="1"/>
          <w:u w:val="single" w:color="auto"/>
          <w:color w:val="auto"/>
        </w:rPr>
        <w:t>REIT Provisions</w:t>
      </w:r>
      <w:r>
        <w:rPr>
          <w:rFonts w:ascii="Times New Roman" w:cs="Times New Roman" w:eastAsia="Times New Roman" w:hAnsi="Times New Roman"/>
          <w:sz w:val="20"/>
          <w:szCs w:val="20"/>
          <w:color w:val="auto"/>
        </w:rPr>
        <w:t>. Landlord and/or one or more of its affiliates (each, a "</w:t>
      </w:r>
      <w:r>
        <w:rPr>
          <w:rFonts w:ascii="Times New Roman" w:cs="Times New Roman" w:eastAsia="Times New Roman" w:hAnsi="Times New Roman"/>
          <w:sz w:val="20"/>
          <w:szCs w:val="20"/>
          <w:b w:val="1"/>
          <w:bCs w:val="1"/>
          <w:color w:val="auto"/>
        </w:rPr>
        <w:t>REIT Affiliate</w:t>
      </w:r>
      <w:r>
        <w:rPr>
          <w:rFonts w:ascii="Times New Roman" w:cs="Times New Roman" w:eastAsia="Times New Roman" w:hAnsi="Times New Roman"/>
          <w:sz w:val="20"/>
          <w:szCs w:val="20"/>
          <w:color w:val="auto"/>
        </w:rPr>
        <w:t>") qualifies as a real estate investment trust (a "</w:t>
      </w:r>
      <w:r>
        <w:rPr>
          <w:rFonts w:ascii="Times New Roman" w:cs="Times New Roman" w:eastAsia="Times New Roman" w:hAnsi="Times New Roman"/>
          <w:sz w:val="20"/>
          <w:szCs w:val="20"/>
          <w:b w:val="1"/>
          <w:bCs w:val="1"/>
          <w:color w:val="auto"/>
        </w:rPr>
        <w:t>REIT</w:t>
      </w:r>
      <w:r>
        <w:rPr>
          <w:rFonts w:ascii="Times New Roman" w:cs="Times New Roman" w:eastAsia="Times New Roman" w:hAnsi="Times New Roman"/>
          <w:sz w:val="20"/>
          <w:szCs w:val="20"/>
          <w:color w:val="auto"/>
        </w:rPr>
        <w:t>") within the meaning of Sections 856-860 of the Internal Revenue Code of 1986, as amended ("</w:t>
      </w:r>
      <w:r>
        <w:rPr>
          <w:rFonts w:ascii="Times New Roman" w:cs="Times New Roman" w:eastAsia="Times New Roman" w:hAnsi="Times New Roman"/>
          <w:sz w:val="20"/>
          <w:szCs w:val="20"/>
          <w:b w:val="1"/>
          <w:bCs w:val="1"/>
          <w:color w:val="auto"/>
        </w:rPr>
        <w:t>IRS Code</w:t>
      </w:r>
      <w:r>
        <w:rPr>
          <w:rFonts w:ascii="Times New Roman" w:cs="Times New Roman" w:eastAsia="Times New Roman" w:hAnsi="Times New Roman"/>
          <w:sz w:val="20"/>
          <w:szCs w:val="20"/>
          <w:color w:val="auto"/>
        </w:rPr>
        <w:t>"). As a result, avoiding (i) the loss of REIT status, (ii) the receipt of any income that does not constitute "rents from real property" within the meaning of Section 856(d) of the IRS Code, (iii) the ownership of nonqualifying assets for purposes of the asset tests set forth in Section 856(c)(4)(iv) of the IRS Code, and (iv) the imposition of income, penalty, or similar taxes (each an "</w:t>
      </w:r>
      <w:r>
        <w:rPr>
          <w:rFonts w:ascii="Times New Roman" w:cs="Times New Roman" w:eastAsia="Times New Roman" w:hAnsi="Times New Roman"/>
          <w:sz w:val="20"/>
          <w:szCs w:val="20"/>
          <w:b w:val="1"/>
          <w:bCs w:val="1"/>
          <w:color w:val="auto"/>
        </w:rPr>
        <w:t>Adverse REIT Event</w:t>
      </w:r>
      <w:r>
        <w:rPr>
          <w:rFonts w:ascii="Times New Roman" w:cs="Times New Roman" w:eastAsia="Times New Roman" w:hAnsi="Times New Roman"/>
          <w:sz w:val="20"/>
          <w:szCs w:val="20"/>
          <w:color w:val="auto"/>
        </w:rPr>
        <w:t xml:space="preserve">") is of material importance to Landlord and such REIT Affiliates. If this Lease or any document contemplated hereby could result in or cause an Adverse REIT Event, as determined by Landlord in its sole discretion, Tenant agrees it shall reasonably cooperate with Landlord in negotiating an amendment to or modification of this Lease or such document, and shall, at the request of Landlord, execute and deliver such documents reasonably required to effect such amendment or modification. Any amendment or modification pursuant to this </w:t>
      </w:r>
      <w:r>
        <w:rPr>
          <w:rFonts w:ascii="Times New Roman" w:cs="Times New Roman" w:eastAsia="Times New Roman" w:hAnsi="Times New Roman"/>
          <w:sz w:val="20"/>
          <w:szCs w:val="20"/>
          <w:u w:val="single" w:color="auto"/>
          <w:color w:val="auto"/>
        </w:rPr>
        <w:t>Section 30.30</w:t>
      </w:r>
      <w:r>
        <w:rPr>
          <w:rFonts w:ascii="Times New Roman" w:cs="Times New Roman" w:eastAsia="Times New Roman" w:hAnsi="Times New Roman"/>
          <w:sz w:val="20"/>
          <w:szCs w:val="20"/>
          <w:color w:val="auto"/>
        </w:rPr>
        <w:t xml:space="preserve"> shall be made at Landlord's expense and shall be structured so that Tenant does not incur any incremental non-</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payment obligation under the Lease as a result of such amendment or modification. Tenant expressly covenants and agrees not to enter into any license, concession, sublease or assignment with respect to the Premises (a) that provides for rent or other payments based in whole, or in part, on the income or profits derived by any person from the Premises (other than an amount based on a fixed percentage or percentages of gross receipts or sales,</w:t>
      </w:r>
    </w:p>
    <w:p>
      <w:pPr>
        <w:spacing w:after="0" w:line="7" w:lineRule="exact"/>
        <w:rPr>
          <w:sz w:val="20"/>
          <w:szCs w:val="20"/>
          <w:color w:val="auto"/>
        </w:rPr>
      </w:pPr>
    </w:p>
    <w:p>
      <w:pPr>
        <w:jc w:val="both"/>
        <w:ind w:firstLine="8"/>
        <w:spacing w:after="0"/>
        <w:tabs>
          <w:tab w:leader="none" w:pos="30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any person in which, to the best knowledge of Tenant, Landlord or a REIT Affiliate owns an interest, directly or indirectly (by applying constructive ownership rules set forth in Section 856(d)(5) of the IRS Code), (c) pursuant to which Tenant furnishes or renders any services to the licensee, concessionaire, subtenant or assignee, or (d) that could otherwise cause any portion of the amounts received by Landlord pursuant to this Lease to fail to qualify as "rents from real property" within the meaning of Section 856(d) of the IRS Code or constitute nonqualifying income for purposes of Section 856(c)(2) of the IRS Code. Any such purported license, concession, sublease or assignment shall be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xml:space="preserve"> and not convey any right to, or interest in, the possession, use, occupancy, or utilization of any portion of the Premises.</w:t>
      </w:r>
    </w:p>
    <w:p>
      <w:pPr>
        <w:spacing w:after="0" w:line="18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30.30 </w:t>
      </w:r>
      <w:r>
        <w:rPr>
          <w:rFonts w:ascii="Times New Roman" w:cs="Times New Roman" w:eastAsia="Times New Roman" w:hAnsi="Times New Roman"/>
          <w:sz w:val="20"/>
          <w:szCs w:val="20"/>
          <w:b w:val="1"/>
          <w:bCs w:val="1"/>
          <w:u w:val="single" w:color="auto"/>
          <w:color w:val="auto"/>
        </w:rPr>
        <w:t>Counterparts; Electronic Signatures</w:t>
      </w:r>
      <w:r>
        <w:rPr>
          <w:rFonts w:ascii="Times New Roman" w:cs="Times New Roman" w:eastAsia="Times New Roman" w:hAnsi="Times New Roman"/>
          <w:sz w:val="20"/>
          <w:szCs w:val="20"/>
          <w:color w:val="auto"/>
        </w:rPr>
        <w:t>. This Lease may be executed in counterparts with the same effect as of both parties hereto had executed the same document. Landlord and Tenant agree that (i) this Lease may be signed electronically, (ii) any electronic signatures on this Lease shall have the same validity, enforceability, and admissibility as handwritten signatures, and (iii) the electronic record of this signed Lease shall be legally binding to the same extent as a paper copy bearing handwritten signatures.</w:t>
      </w:r>
    </w:p>
    <w:p>
      <w:pPr>
        <w:sectPr>
          <w:pgSz w:w="11900" w:h="16838" w:orient="portrait"/>
          <w:cols w:equalWidth="0" w:num="1">
            <w:col w:w="11240"/>
          </w:cols>
          <w:pgMar w:left="320" w:top="1440" w:right="339" w:bottom="1440" w:gutter="0" w:footer="0" w:header="0"/>
        </w:sectPr>
      </w:pPr>
    </w:p>
    <w:p>
      <w:pPr>
        <w:spacing w:after="0" w:line="1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SIGNATURES APPEAR ON FOLLOWING PAGE(S)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40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[Olema Pharmaceuticals, Inc.]</w:t>
      </w:r>
    </w:p>
    <w:p>
      <w:pPr>
        <w:jc w:val="right"/>
        <w:spacing w:after="0" w:line="234" w:lineRule="auto"/>
        <w:rPr>
          <w:sz w:val="20"/>
          <w:szCs w:val="20"/>
          <w:color w:val="auto"/>
        </w:rPr>
      </w:pPr>
      <w:r>
        <w:rPr>
          <w:rFonts w:ascii="Times New Roman" w:cs="Times New Roman" w:eastAsia="Times New Roman" w:hAnsi="Times New Roman"/>
          <w:sz w:val="13"/>
          <w:szCs w:val="13"/>
          <w:color w:val="auto"/>
        </w:rPr>
        <w:t>[Kilroy Oyster Point]</w:t>
      </w:r>
    </w:p>
    <w:p>
      <w:pPr>
        <w:jc w:val="right"/>
        <w:spacing w:after="0"/>
        <w:rPr>
          <w:sz w:val="20"/>
          <w:szCs w:val="20"/>
          <w:color w:val="auto"/>
        </w:rPr>
      </w:pPr>
      <w:r>
        <w:rPr>
          <w:rFonts w:ascii="Times New Roman" w:cs="Times New Roman" w:eastAsia="Times New Roman" w:hAnsi="Times New Roman"/>
          <w:sz w:val="13"/>
          <w:szCs w:val="13"/>
          <w:color w:val="auto"/>
        </w:rPr>
        <w:t>[365 Oyster Point Blvd.]</w:t>
      </w:r>
    </w:p>
    <w:p>
      <w:pPr>
        <w:sectPr>
          <w:pgSz w:w="11900" w:h="16838" w:orient="portrait"/>
          <w:cols w:equalWidth="0" w:num="2">
            <w:col w:w="8980" w:space="720"/>
            <w:col w:w="1540"/>
          </w:cols>
          <w:pgMar w:left="320" w:top="1440" w:right="339" w:bottom="1440" w:gutter="0" w:footer="0" w:header="0"/>
          <w:type w:val="continuous"/>
        </w:sectPr>
      </w:pPr>
    </w:p>
    <w:bookmarkStart w:id="176" w:name="page177"/>
    <w:bookmarkEnd w:id="176"/>
    <w:p>
      <w:pPr>
        <w:spacing w:after="0" w:line="189" w:lineRule="exact"/>
        <w:rPr>
          <w:sz w:val="20"/>
          <w:szCs w:val="20"/>
          <w:color w:val="auto"/>
        </w:rPr>
      </w:pPr>
    </w:p>
    <w:p>
      <w:pPr>
        <w:ind w:right="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IN WITNESS WHEREOF, Landlord and Tenant have caused this Lease to be executed as of the Effective Date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of the Summary.</w:t>
      </w:r>
    </w:p>
    <w:p>
      <w:pPr>
        <w:spacing w:after="0" w:line="15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"LANDLORD":</w:t>
      </w: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KR OYSTER POINT II,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By: Kilroy Realty, L.P.,</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a Delaware limited partnership</w:t>
      </w:r>
    </w:p>
    <w:p>
      <w:pPr>
        <w:ind w:left="526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By: Kilroy Realty Corporation,</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a Maryland corporation,</w:t>
      </w:r>
    </w:p>
    <w:p>
      <w:pPr>
        <w:ind w:left="53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By: /s/ Michael Schmidt</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Name: Michael Schmidt</w:t>
      </w:r>
    </w:p>
    <w:p>
      <w:pPr>
        <w:ind w:left="5740"/>
        <w:spacing w:after="0"/>
        <w:rPr>
          <w:sz w:val="20"/>
          <w:szCs w:val="20"/>
          <w:color w:val="auto"/>
        </w:rPr>
      </w:pPr>
      <w:r>
        <w:rPr>
          <w:rFonts w:ascii="Times New Roman" w:cs="Times New Roman" w:eastAsia="Times New Roman" w:hAnsi="Times New Roman"/>
          <w:sz w:val="20"/>
          <w:szCs w:val="20"/>
          <w:color w:val="auto"/>
        </w:rPr>
        <w:t>Its: SVP, Leasing - Northern California  Region</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By: /s/ Tara Korlipara</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Name: Tara Korlipara</w:t>
      </w:r>
    </w:p>
    <w:p>
      <w:pPr>
        <w:ind w:left="5740"/>
        <w:spacing w:after="0"/>
        <w:rPr>
          <w:sz w:val="20"/>
          <w:szCs w:val="20"/>
          <w:color w:val="auto"/>
        </w:rPr>
      </w:pPr>
      <w:r>
        <w:rPr>
          <w:rFonts w:ascii="Times New Roman" w:cs="Times New Roman" w:eastAsia="Times New Roman" w:hAnsi="Times New Roman"/>
          <w:sz w:val="20"/>
          <w:szCs w:val="20"/>
          <w:color w:val="auto"/>
        </w:rPr>
        <w:t>Its: Vice President, Life Science Leasing Bay Area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"TENANT":</w:t>
      </w: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OLEMA PHARMACEUTICALS,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31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Shawnte Mitchell</w:t>
      </w:r>
    </w:p>
    <w:p>
      <w:pPr>
        <w:spacing w:after="0" w:line="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Name: Shawnte Mitchell</w:t>
      </w:r>
    </w:p>
    <w:p>
      <w:pPr>
        <w:ind w:left="4860"/>
        <w:spacing w:after="0"/>
        <w:rPr>
          <w:sz w:val="20"/>
          <w:szCs w:val="20"/>
          <w:color w:val="auto"/>
        </w:rPr>
      </w:pPr>
      <w:r>
        <w:rPr>
          <w:rFonts w:ascii="Times New Roman" w:cs="Times New Roman" w:eastAsia="Times New Roman" w:hAnsi="Times New Roman"/>
          <w:sz w:val="20"/>
          <w:szCs w:val="20"/>
          <w:color w:val="auto"/>
        </w:rPr>
        <w:t>Its: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2"/>
                <w:szCs w:val="12"/>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[Olema Pharmaceuticals, Inc.]</w:t>
            </w:r>
          </w:p>
        </w:tc>
        <w:tc>
          <w:tcPr>
            <w:tcW w:w="0" w:type="dxa"/>
            <w:vAlign w:val="bottom"/>
          </w:tcPr>
          <w:p>
            <w:pPr>
              <w:spacing w:after="0"/>
              <w:rPr>
                <w:sz w:val="1"/>
                <w:szCs w:val="1"/>
                <w:color w:val="auto"/>
              </w:rPr>
            </w:pPr>
          </w:p>
        </w:tc>
      </w:tr>
      <w:tr>
        <w:trPr>
          <w:trHeight w:val="135"/>
        </w:trPr>
        <w:tc>
          <w:tcPr>
            <w:tcW w:w="77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-57-</w:t>
            </w:r>
          </w:p>
        </w:tc>
        <w:tc>
          <w:tcPr>
            <w:tcW w:w="3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[Kilroy Oyster Point]</w:t>
            </w:r>
          </w:p>
        </w:tc>
        <w:tc>
          <w:tcPr>
            <w:tcW w:w="0" w:type="dxa"/>
            <w:vAlign w:val="bottom"/>
          </w:tcPr>
          <w:p>
            <w:pPr>
              <w:spacing w:after="0"/>
              <w:rPr>
                <w:sz w:val="1"/>
                <w:szCs w:val="1"/>
                <w:color w:val="auto"/>
              </w:rPr>
            </w:pPr>
          </w:p>
        </w:tc>
      </w:tr>
      <w:tr>
        <w:trPr>
          <w:trHeight w:val="164"/>
        </w:trPr>
        <w:tc>
          <w:tcPr>
            <w:tcW w:w="7740" w:type="dxa"/>
            <w:vAlign w:val="bottom"/>
            <w:vMerge w:val="continue"/>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 Oyster Point Blvd.]</w:t>
            </w:r>
          </w:p>
        </w:tc>
        <w:tc>
          <w:tcPr>
            <w:tcW w:w="0" w:type="dxa"/>
            <w:vAlign w:val="bottom"/>
          </w:tcPr>
          <w:p>
            <w:pPr>
              <w:spacing w:after="0"/>
              <w:rPr>
                <w:sz w:val="1"/>
                <w:szCs w:val="1"/>
                <w:color w:val="auto"/>
              </w:rPr>
            </w:pPr>
          </w:p>
        </w:tc>
      </w:tr>
      <w:tr>
        <w:trPr>
          <w:trHeight w:val="604"/>
        </w:trPr>
        <w:tc>
          <w:tcPr>
            <w:tcW w:w="77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1322705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A-2</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OUTLINE OF PROJECT AND PROJECT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1160780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A-3</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BAY TRAIL OWNERSHIP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1160780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WORK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1177290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NOTICE OF LEASE TERM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1322705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OF TENANT'S ESTOPPEL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84" w:name="page185"/>
    <w:bookmarkEnd w:id="18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EXTENSION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1177290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G</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ENVIRONMENTAL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1023620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H</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EXISTING UNDERLYING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1023620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RIGHT OF FIRST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1169035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88" w:name="page189"/>
    <w:bookmarkEnd w:id="188"/>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340" w:right="8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Bohen, M.D., Ph.D., certify that:</w:t>
      </w:r>
    </w:p>
    <w:p>
      <w:pPr>
        <w:spacing w:after="0" w:line="225" w:lineRule="exact"/>
        <w:rPr>
          <w:sz w:val="20"/>
          <w:szCs w:val="20"/>
          <w:color w:val="auto"/>
        </w:rPr>
      </w:pPr>
    </w:p>
    <w:p>
      <w:pPr>
        <w:ind w:left="380" w:hanging="372"/>
        <w:spacing w:after="0"/>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Olema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Sean Bohen, M.D., Ph.D.</w:t>
            </w:r>
          </w:p>
        </w:tc>
      </w:tr>
      <w:tr>
        <w:trPr>
          <w:trHeight w:val="191"/>
        </w:trPr>
        <w:tc>
          <w:tcPr>
            <w:tcW w:w="35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Bohen, M.D., Ph.D.</w:t>
            </w:r>
          </w:p>
        </w:tc>
      </w:tr>
      <w:tr>
        <w:trPr>
          <w:trHeight w:val="214"/>
        </w:trPr>
        <w:tc>
          <w:tcPr>
            <w:tcW w:w="3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 Principal Financial Officer)</w:t>
            </w:r>
          </w:p>
        </w:tc>
      </w:tr>
      <w:tr>
        <w:trPr>
          <w:trHeight w:val="979"/>
        </w:trPr>
        <w:tc>
          <w:tcPr>
            <w:tcW w:w="35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9" w:name="page190"/>
    <w:bookmarkEnd w:id="18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Bohen, M.D. Ph.D., President and Chief Executive Officer of Olema Pharmaceuticals, Inc. (the “Company”), hereby certifies that, to the best of his knowledge:</w:t>
      </w:r>
    </w:p>
    <w:p>
      <w:pPr>
        <w:spacing w:after="0" w:line="176" w:lineRule="exact"/>
        <w:rPr>
          <w:sz w:val="20"/>
          <w:szCs w:val="20"/>
          <w:color w:val="auto"/>
        </w:rPr>
      </w:pPr>
    </w:p>
    <w:p>
      <w:pPr>
        <w:ind w:left="900" w:right="240" w:hanging="383"/>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3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Sean Bohen, M.D., Ph.D.</w:t>
            </w:r>
          </w:p>
        </w:tc>
      </w:tr>
      <w:tr>
        <w:trPr>
          <w:trHeight w:val="191"/>
        </w:trPr>
        <w:tc>
          <w:tcPr>
            <w:tcW w:w="39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Bohen, M.D., Ph.D.</w:t>
            </w:r>
          </w:p>
        </w:tc>
      </w:tr>
      <w:tr>
        <w:trPr>
          <w:trHeight w:val="214"/>
        </w:trPr>
        <w:tc>
          <w:tcPr>
            <w:tcW w:w="3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9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 Principal Financial Officer)</w:t>
            </w:r>
          </w:p>
        </w:tc>
      </w:tr>
    </w:tbl>
    <w:p>
      <w:pPr>
        <w:spacing w:after="0" w:line="200" w:lineRule="exact"/>
        <w:rPr>
          <w:sz w:val="20"/>
          <w:szCs w:val="20"/>
          <w:color w:val="auto"/>
        </w:rPr>
      </w:pPr>
    </w:p>
    <w:p>
      <w:pPr>
        <w:spacing w:after="0" w:line="2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0" w:name="page191"/>
    <w:bookmarkEnd w:id="1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2"/>
    </w:lvl>
  </w:abstractNum>
  <w:abstractNum w:abstractNumId="4">
    <w:nsid w:val="1D4ED43B"/>
    <w:multiLevelType w:val="hybridMultilevel"/>
    <w:lvl w:ilvl="0">
      <w:lvlJc w:val="left"/>
      <w:lvlText w:val="(%1)"/>
      <w:numFmt w:val="lowerRoman"/>
      <w:start w:val="3"/>
    </w:lvl>
  </w:abstractNum>
  <w:abstractNum w:abstractNumId="5">
    <w:nsid w:val="725A06FB"/>
    <w:multiLevelType w:val="hybridMultilevel"/>
    <w:lvl w:ilvl="0">
      <w:lvlJc w:val="left"/>
      <w:lvlText w:val="%1."/>
      <w:numFmt w:val="decimal"/>
      <w:start w:val="3"/>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decimal"/>
      <w:start w:val="4"/>
    </w:lvl>
  </w:abstractNum>
  <w:abstractNum w:abstractNumId="8">
    <w:nsid w:val="7A6D8D3C"/>
    <w:multiLevelType w:val="hybridMultilevel"/>
    <w:lvl w:ilvl="0">
      <w:lvlJc w:val="left"/>
      <w:lvlText w:val="¹"/>
      <w:numFmt w:val="bullet"/>
      <w:start w:val="1"/>
    </w:lvl>
  </w:abstractNum>
  <w:abstractNum w:abstractNumId="9">
    <w:nsid w:val="4B588F54"/>
    <w:multiLevelType w:val="hybridMultilevel"/>
    <w:lvl w:ilvl="0">
      <w:lvlJc w:val="left"/>
      <w:lvlText w:val="%1."/>
      <w:numFmt w:val="decimal"/>
      <w:start w:val="5"/>
    </w:lvl>
  </w:abstractNum>
  <w:abstractNum w:abstractNumId="10">
    <w:nsid w:val="542289EC"/>
    <w:multiLevelType w:val="hybridMultilevel"/>
    <w:lvl w:ilvl="0">
      <w:lvlJc w:val="left"/>
      <w:lvlText w:val="%1."/>
      <w:numFmt w:val="decimal"/>
      <w:start w:val="6"/>
    </w:lvl>
  </w:abstractNum>
  <w:abstractNum w:abstractNumId="11">
    <w:nsid w:val="6DE91B18"/>
    <w:multiLevelType w:val="hybridMultilevel"/>
    <w:lvl w:ilvl="0">
      <w:lvlJc w:val="left"/>
      <w:lvlText w:val="%1."/>
      <w:numFmt w:val="decimal"/>
      <w:start w:val="7"/>
    </w:lvl>
  </w:abstractNum>
  <w:abstractNum w:abstractNumId="12">
    <w:nsid w:val="38437FDB"/>
    <w:multiLevelType w:val="hybridMultilevel"/>
    <w:lvl w:ilvl="0">
      <w:lvlJc w:val="left"/>
      <w:lvlText w:val="%1."/>
      <w:numFmt w:val="decimal"/>
      <w:start w:val="9"/>
    </w:lvl>
  </w:abstractNum>
  <w:abstractNum w:abstractNumId="13">
    <w:nsid w:val="7644A45C"/>
    <w:multiLevelType w:val="hybridMultilevel"/>
    <w:lvl w:ilvl="0">
      <w:lvlJc w:val="left"/>
      <w:lvlText w:val="(%1)"/>
      <w:numFmt w:val="lowerLetter"/>
      <w:start w:val="2"/>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o"/>
      <w:numFmt w:val="bullet"/>
      <w:start w:val="1"/>
    </w:lvl>
  </w:abstractNum>
  <w:abstractNum w:abstractNumId="23">
    <w:nsid w:val="70C6A529"/>
    <w:multiLevelType w:val="hybridMultilevel"/>
    <w:lvl w:ilvl="0">
      <w:lvlJc w:val="left"/>
      <w:lvlText w:val="o"/>
      <w:numFmt w:val="bullet"/>
      <w:start w:val="1"/>
    </w:lvl>
  </w:abstractNum>
  <w:abstractNum w:abstractNumId="24">
    <w:nsid w:val="520EEDD1"/>
    <w:multiLevelType w:val="hybridMultilevel"/>
    <w:lvl w:ilvl="0">
      <w:lvlJc w:val="left"/>
      <w:lvlText w:val="(%1)"/>
      <w:numFmt w:val="lowerRoman"/>
      <w:start w:val="2"/>
    </w:lvl>
  </w:abstractNum>
  <w:abstractNum w:abstractNumId="25">
    <w:nsid w:val="374A3FE6"/>
    <w:multiLevelType w:val="hybridMultilevel"/>
    <w:lvl w:ilvl="0">
      <w:lvlJc w:val="left"/>
      <w:lvlText w:val="(%1)"/>
      <w:numFmt w:val="lowerRoman"/>
      <w:start w:val="4"/>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lvl w:ilvl="1">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lvl w:ilvl="1">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lvl w:ilvl="1">
      <w:lvlJc w:val="left"/>
      <w:lvlText w:val="%2"/>
      <w:numFmt w:val="decimal"/>
      <w:start w:val="104"/>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7">
    <w:nsid w:val="5F5E7FD0"/>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1."/>
      <w:numFmt w:val="decimal"/>
      <w:start w:val="2"/>
    </w:lvl>
  </w:abstractNum>
  <w:abstractNum w:abstractNumId="60">
    <w:nsid w:val="6B94764"/>
    <w:multiLevelType w:val="hybridMultilevel"/>
    <w:lvl w:ilvl="0">
      <w:lvlJc w:val="left"/>
      <w:lvlText w:val="%1."/>
      <w:numFmt w:val="decimal"/>
      <w:start w:val="3"/>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lvl w:ilvl="1">
      <w:lvlJc w:val="left"/>
      <w:lvlText w:val="%2"/>
      <w:numFmt w:val="upperLetter"/>
      <w:start w:val="1"/>
    </w:lvl>
  </w:abstractNum>
  <w:abstractNum w:abstractNumId="65">
    <w:nsid w:val="5DC79EA8"/>
    <w:multiLevelType w:val="hybridMultilevel"/>
    <w:lvl w:ilvl="0">
      <w:lvlJc w:val="left"/>
      <w:lvlText w:val="%1."/>
      <w:numFmt w:val="decimal"/>
      <w:start w:val="5"/>
    </w:lvl>
  </w:abstractNum>
  <w:abstractNum w:abstractNumId="66">
    <w:nsid w:val="540A471C"/>
    <w:multiLevelType w:val="hybridMultilevel"/>
    <w:lvl w:ilvl="0">
      <w:lvlJc w:val="left"/>
      <w:lvlText w:val="(%1)"/>
      <w:numFmt w:val="decimal"/>
      <w:start w:val="12"/>
    </w:lvl>
  </w:abstractNum>
  <w:abstractNum w:abstractNumId="67">
    <w:nsid w:val="7BD3EE7B"/>
    <w:multiLevelType w:val="hybridMultilevel"/>
    <w:lvl w:ilvl="0">
      <w:lvlJc w:val="left"/>
      <w:lvlText w:val="(%1)"/>
      <w:numFmt w:val="lowerLetter"/>
      <w:start w:val="1"/>
    </w:lvl>
  </w:abstractNum>
  <w:abstractNum w:abstractNumId="68">
    <w:nsid w:val="51D9C564"/>
    <w:multiLevelType w:val="hybridMultilevel"/>
    <w:lvl w:ilvl="0">
      <w:lvlJc w:val="left"/>
      <w:lvlText w:val="(%1)"/>
      <w:numFmt w:val="lowerLetter"/>
      <w:start w:val="6"/>
    </w:lvl>
  </w:abstractNum>
  <w:abstractNum w:abstractNumId="69">
    <w:nsid w:val="613EFDC5"/>
    <w:multiLevelType w:val="hybridMultilevel"/>
    <w:lvl w:ilvl="0">
      <w:lvlJc w:val="left"/>
      <w:lvlText w:val="(%1)"/>
      <w:numFmt w:val="lowerLetter"/>
      <w:start w:val="19"/>
    </w:lvl>
  </w:abstractNum>
  <w:abstractNum w:abstractNumId="70">
    <w:nsid w:val="BF72B14"/>
    <w:multiLevelType w:val="hybridMultilevel"/>
    <w:lvl w:ilvl="0">
      <w:lvlJc w:val="left"/>
      <w:lvlText w:val="(%1)"/>
      <w:numFmt w:val="lowerLetter"/>
      <w:start w:val="27"/>
    </w:lvl>
  </w:abstractNum>
  <w:abstractNum w:abstractNumId="71">
    <w:nsid w:val="11447B73"/>
    <w:multiLevelType w:val="hybridMultilevel"/>
    <w:lvl w:ilvl="0">
      <w:lvlJc w:val="left"/>
      <w:lvlText w:val="(%1)"/>
      <w:numFmt w:val="lowerRoman"/>
      <w:start w:val="3"/>
    </w:lvl>
  </w:abstractNum>
  <w:abstractNum w:abstractNumId="72">
    <w:nsid w:val="42963E5A"/>
    <w:multiLevelType w:val="hybridMultilevel"/>
    <w:lvl w:ilvl="0">
      <w:lvlJc w:val="left"/>
      <w:lvlText w:val="(%1)"/>
      <w:numFmt w:val="lowerRoman"/>
      <w:start w:val="7"/>
    </w:lvl>
  </w:abstractNum>
  <w:abstractNum w:abstractNumId="73">
    <w:nsid w:val="A0382C5"/>
    <w:multiLevelType w:val="hybridMultilevel"/>
    <w:lvl w:ilvl="0">
      <w:lvlJc w:val="left"/>
      <w:lvlText w:val="(%1)"/>
      <w:numFmt w:val="lowerLetter"/>
      <w:start w:val="2"/>
    </w:lvl>
  </w:abstractNum>
  <w:abstractNum w:abstractNumId="74">
    <w:nsid w:val="8F2B15E"/>
    <w:multiLevelType w:val="hybridMultilevel"/>
    <w:lvl w:ilvl="0">
      <w:lvlJc w:val="left"/>
      <w:lvlText w:val="(%1)"/>
      <w:numFmt w:val="lowerLetter"/>
      <w:start w:val="2"/>
    </w:lvl>
  </w:abstractNum>
  <w:abstractNum w:abstractNumId="75">
    <w:nsid w:val="1A32234B"/>
    <w:multiLevelType w:val="hybridMultilevel"/>
    <w:lvl w:ilvl="0">
      <w:lvlJc w:val="left"/>
      <w:lvlText w:val="(%1)"/>
      <w:numFmt w:val="decimal"/>
      <w:start w:val="5"/>
    </w:lvl>
  </w:abstractNum>
  <w:abstractNum w:abstractNumId="76">
    <w:nsid w:val="3B0FD379"/>
    <w:multiLevelType w:val="hybridMultilevel"/>
    <w:lvl w:ilvl="0">
      <w:lvlJc w:val="left"/>
      <w:lvlText w:val="(%1)"/>
      <w:numFmt w:val="lowerRoman"/>
      <w:start w:val="3"/>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5"/>
    </w:lvl>
  </w:abstractNum>
  <w:abstractNum w:abstractNumId="79">
    <w:nsid w:val="60B6DF70"/>
    <w:multiLevelType w:val="hybridMultilevel"/>
    <w:lvl w:ilvl="0">
      <w:lvlJc w:val="left"/>
      <w:lvlText w:val="(%1)"/>
      <w:numFmt w:val="lowerLetter"/>
      <w:start w:val="2"/>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199" Type="http://schemas.openxmlformats.org/officeDocument/2006/relationships/hyperlink" Target="https://www.sec.gov/Archives/edgar/data/1750284/000110465920128482/tm2027048d18_ex3-1.htm" TargetMode="External"/><Relationship Id="rId200" Type="http://schemas.openxmlformats.org/officeDocument/2006/relationships/hyperlink" Target="https://www.sec.gov/Archives/edgar/data/1750284/000155837022018762/olma-20221215xex3d1.htm" TargetMode="External"/><Relationship Id="rId201" Type="http://schemas.openxmlformats.org/officeDocument/2006/relationships/hyperlink" Target="https://www.sec.gov/Archives/edgar/data/1750284/000119312526107169/olma-ex10_29.htm" TargetMode="External"/><Relationship Id="rId202" Type="http://schemas.openxmlformats.org/officeDocument/2006/relationships/hyperlink" Target="https://www.sec.gov/Archives/edgar/data/1750284/000119312526031792/d12662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2026-05-12T06:15:42Z</dcterms:created>
  <dcterms:modified xsi:type="dcterms:W3CDTF">2026-05-12T06:15:42Z</dcterms:modified>
</cp:coreProperties>
</file>