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177800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246380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80010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0" w:lineRule="exact"/>
        <w:rPr>
          <w:sz w:val="24"/>
          <w:szCs w:val="24"/>
          <w:color w:val="auto"/>
        </w:rPr>
      </w:pPr>
    </w:p>
    <w:p>
      <w:pPr>
        <w:ind w:left="3060" w:right="760" w:hanging="3051"/>
        <w:spacing w:after="0" w:line="388" w:lineRule="auto"/>
        <w:tabs>
          <w:tab w:leader="none" w:pos="27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9" w:lineRule="exact"/>
        <w:rPr>
          <w:sz w:val="24"/>
          <w:szCs w:val="24"/>
          <w:color w:val="auto"/>
        </w:rPr>
      </w:pPr>
    </w:p>
    <w:p>
      <w:pPr>
        <w:ind w:left="280" w:hanging="271"/>
        <w:spacing w:after="0"/>
        <w:tabs>
          <w:tab w:leader="none" w:pos="2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2980"/>
        <w:spacing w:after="0"/>
        <w:tabs>
          <w:tab w:leader="none" w:pos="6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3536315</wp:posOffset>
            </wp:positionH>
            <wp:positionV relativeFrom="paragraph">
              <wp:posOffset>-5080</wp:posOffset>
            </wp:positionV>
            <wp:extent cx="869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80010</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p>
      <w:pPr>
        <w:spacing w:after="0" w:line="334"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30-0409740</w:t>
      </w:r>
    </w:p>
    <w:p>
      <w:pPr>
        <w:spacing w:after="0" w:line="19"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(I.R.S. Employer Identification No.)</w:t>
      </w:r>
    </w:p>
    <w:p>
      <w:pPr>
        <w:spacing w:after="0" w:line="105" w:lineRule="exact"/>
        <w:rPr>
          <w:sz w:val="24"/>
          <w:szCs w:val="24"/>
          <w:color w:val="auto"/>
        </w:rPr>
      </w:pPr>
    </w:p>
    <w:p>
      <w:pPr>
        <w:sectPr>
          <w:pgSz w:w="11900" w:h="16838" w:orient="portrait"/>
          <w:cols w:equalWidth="0" w:num="2">
            <w:col w:w="5600" w:space="720"/>
            <w:col w:w="36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512 2nd Street, 4th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Francisco, California 94107</w:t>
      </w:r>
    </w:p>
    <w:p>
      <w:pPr>
        <w:jc w:val="center"/>
        <w:spacing w:after="0" w:line="216" w:lineRule="auto"/>
        <w:rPr>
          <w:sz w:val="20"/>
          <w:szCs w:val="20"/>
          <w:color w:val="auto"/>
        </w:rPr>
      </w:pPr>
      <w:r>
        <w:rPr>
          <w:rFonts w:ascii="Arial" w:cs="Arial" w:eastAsia="Arial" w:hAnsi="Arial"/>
          <w:sz w:val="13"/>
          <w:szCs w:val="13"/>
          <w:b w:val="1"/>
          <w:bCs w:val="1"/>
          <w:color w:val="auto"/>
        </w:rPr>
        <w:t>(Address of principal executive offices and zip code)</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(650) 243-5555</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 Registered</w:t>
            </w:r>
          </w:p>
        </w:tc>
        <w:tc>
          <w:tcPr>
            <w:tcW w:w="24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240" w:type="dxa"/>
            <w:vAlign w:val="bottom"/>
          </w:tcPr>
          <w:p>
            <w:pPr>
              <w:spacing w:after="0"/>
              <w:rPr>
                <w:sz w:val="15"/>
                <w:szCs w:val="15"/>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120" w:type="dxa"/>
            <w:vAlign w:val="bottom"/>
            <w:gridSpan w:val="2"/>
          </w:tcPr>
          <w:p>
            <w:pPr>
              <w:jc w:val="center"/>
              <w:ind w:right="220"/>
              <w:spacing w:after="0"/>
              <w:rPr>
                <w:sz w:val="20"/>
                <w:szCs w:val="20"/>
                <w:color w:val="auto"/>
              </w:rPr>
            </w:pPr>
            <w:r>
              <w:rPr>
                <w:rFonts w:ascii="Arial" w:cs="Arial" w:eastAsia="Arial" w:hAnsi="Arial"/>
                <w:sz w:val="14"/>
                <w:szCs w:val="14"/>
                <w:color w:val="auto"/>
              </w:rPr>
              <w:t>Common Stock, par value $0.0001 per share</w:t>
            </w: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color w:val="auto"/>
              </w:rPr>
              <w:t>OLMA</w:t>
            </w:r>
          </w:p>
        </w:tc>
        <w:tc>
          <w:tcPr>
            <w:tcW w:w="41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8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jc w:val="both"/>
        <w:ind w:right="20"/>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1"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jc w:val="both"/>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82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480"/>
              <w:spacing w:after="0"/>
              <w:rPr>
                <w:sz w:val="20"/>
                <w:szCs w:val="20"/>
                <w:color w:val="auto"/>
              </w:rPr>
            </w:pPr>
            <w:r>
              <w:rPr>
                <w:rFonts w:ascii="Arial" w:cs="Arial" w:eastAsia="Arial" w:hAnsi="Arial"/>
                <w:sz w:val="13"/>
                <w:szCs w:val="13"/>
                <w:color w:val="auto"/>
              </w:rPr>
              <w:t>Accelerated filer</w:t>
            </w:r>
          </w:p>
        </w:tc>
        <w:tc>
          <w:tcPr>
            <w:tcW w:w="860" w:type="dxa"/>
            <w:vAlign w:val="bottom"/>
          </w:tcPr>
          <w:p>
            <w:pPr>
              <w:ind w:left="7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5"/>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282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480"/>
              <w:spacing w:after="0"/>
              <w:rPr>
                <w:sz w:val="20"/>
                <w:szCs w:val="20"/>
                <w:color w:val="auto"/>
              </w:rPr>
            </w:pPr>
            <w:r>
              <w:rPr>
                <w:rFonts w:ascii="Arial" w:cs="Arial" w:eastAsia="Arial" w:hAnsi="Arial"/>
                <w:sz w:val="13"/>
                <w:szCs w:val="13"/>
                <w:color w:val="auto"/>
              </w:rPr>
              <w:t>Smaller reporting company</w:t>
            </w:r>
          </w:p>
        </w:tc>
        <w:tc>
          <w:tcPr>
            <w:tcW w:w="860" w:type="dxa"/>
            <w:vAlign w:val="bottom"/>
          </w:tcPr>
          <w:p>
            <w:pPr>
              <w:ind w:left="7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6"/>
        </w:trPr>
        <w:tc>
          <w:tcPr>
            <w:tcW w:w="14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740" w:type="dxa"/>
            <w:vAlign w:val="bottom"/>
          </w:tcPr>
          <w:p>
            <w:pPr>
              <w:ind w:left="2480"/>
              <w:spacing w:after="0"/>
              <w:rPr>
                <w:sz w:val="20"/>
                <w:szCs w:val="20"/>
                <w:color w:val="auto"/>
              </w:rPr>
            </w:pPr>
            <w:r>
              <w:rPr>
                <w:rFonts w:ascii="Arial" w:cs="Arial" w:eastAsia="Arial" w:hAnsi="Arial"/>
                <w:sz w:val="13"/>
                <w:szCs w:val="13"/>
                <w:color w:val="auto"/>
              </w:rPr>
              <w:t>Emerging growth company</w:t>
            </w:r>
          </w:p>
        </w:tc>
        <w:tc>
          <w:tcPr>
            <w:tcW w:w="860" w:type="dxa"/>
            <w:vAlign w:val="bottom"/>
          </w:tcPr>
          <w:p>
            <w:pPr>
              <w:ind w:left="7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91"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right="440"/>
        <w:spacing w:after="0" w:line="151"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7"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4"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spacing w:after="0" w:line="223"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sales price for such stock on June 30, 2022 as reported by The Nasdaq Global Select Market, was $119,732,713. This calculation excludes 29,418,357 shares held by executive officers, directors and stockholders that the Registrant has concluded are affiliates of the Registrant.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As of March 3, 2023, the number of outstanding shares of the Registrant’s common stock was 40,631,748.</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6" w:lineRule="exact"/>
        <w:rPr>
          <w:sz w:val="24"/>
          <w:szCs w:val="24"/>
          <w:color w:val="auto"/>
        </w:rPr>
      </w:pPr>
    </w:p>
    <w:p>
      <w:pPr>
        <w:jc w:val="both"/>
        <w:spacing w:after="0" w:line="225" w:lineRule="auto"/>
        <w:rPr>
          <w:sz w:val="20"/>
          <w:szCs w:val="20"/>
          <w:color w:val="auto"/>
        </w:rPr>
      </w:pPr>
      <w:r>
        <w:rPr>
          <w:rFonts w:ascii="Arial" w:cs="Arial" w:eastAsia="Arial" w:hAnsi="Arial"/>
          <w:sz w:val="13"/>
          <w:szCs w:val="13"/>
          <w:color w:val="auto"/>
        </w:rPr>
        <w:t>Portions of the registrant’s definitive Proxy Statement for the 2023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414020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36830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OLEMA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2022 ANNUAL REPORT ON FORM 10-K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203"/>
        </w:trPr>
        <w:tc>
          <w:tcPr>
            <w:tcW w:w="560" w:type="dxa"/>
            <w:vAlign w:val="bottom"/>
            <w:tcBorders>
              <w:bottom w:val="single" w:sz="8" w:color="0000EE"/>
            </w:tcBorders>
            <w:gridSpan w:val="2"/>
          </w:tcPr>
          <w:p>
            <w:pPr>
              <w:spacing w:after="0" w:line="202" w:lineRule="exact"/>
              <w:rPr>
                <w:sz w:val="20"/>
                <w:szCs w:val="20"/>
                <w:color w:val="auto"/>
              </w:rPr>
            </w:pPr>
            <w:r>
              <w:rPr>
                <w:rFonts w:ascii="Arial" w:cs="Arial" w:eastAsia="Arial" w:hAnsi="Arial"/>
                <w:sz w:val="18"/>
                <w:szCs w:val="18"/>
                <w:color w:val="0000EE"/>
                <w:w w:val="92"/>
              </w:rPr>
              <w:t>PART I</w:t>
            </w:r>
          </w:p>
        </w:tc>
        <w:tc>
          <w:tcPr>
            <w:tcW w:w="2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4"/>
        </w:trPr>
        <w:tc>
          <w:tcPr>
            <w:tcW w:w="120" w:type="dxa"/>
            <w:vAlign w:val="bottom"/>
          </w:tcPr>
          <w:p>
            <w:pPr>
              <w:spacing w:after="0"/>
              <w:rPr>
                <w:sz w:val="22"/>
                <w:szCs w:val="22"/>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Business.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89"/>
              </w:rPr>
              <w:t>Item 1A.</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89"/>
              </w:rPr>
              <w:t>Item 1B.</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Unresolved Staff Comments.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123</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Properties.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123</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123</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Mine Safety Disclosures.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123</w:t>
            </w:r>
          </w:p>
        </w:tc>
      </w:tr>
      <w:tr>
        <w:trPr>
          <w:trHeight w:val="20"/>
        </w:trPr>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60" w:type="dxa"/>
            <w:vAlign w:val="bottom"/>
            <w:gridSpan w:val="5"/>
          </w:tcPr>
          <w:p>
            <w:pPr>
              <w:spacing w:after="0"/>
              <w:rPr>
                <w:sz w:val="20"/>
                <w:szCs w:val="20"/>
                <w:color w:val="auto"/>
              </w:rPr>
            </w:pPr>
            <w:r>
              <w:rPr>
                <w:rFonts w:ascii="Arial" w:cs="Arial" w:eastAsia="Arial" w:hAnsi="Arial"/>
                <w:sz w:val="18"/>
                <w:szCs w:val="18"/>
                <w:color w:val="0000EE"/>
              </w:rPr>
              <w:t>PART II</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Market for Registrant’s Common Equity, Related Stockholder Matters and Issuer</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124</w:t>
            </w: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60" w:type="dxa"/>
            <w:vAlign w:val="bottom"/>
            <w:gridSpan w:val="24"/>
          </w:tcPr>
          <w:p>
            <w:pPr>
              <w:spacing w:after="0" w:line="182" w:lineRule="exact"/>
              <w:rPr>
                <w:sz w:val="20"/>
                <w:szCs w:val="20"/>
                <w:color w:val="auto"/>
              </w:rPr>
            </w:pPr>
            <w:r>
              <w:rPr>
                <w:rFonts w:ascii="Arial" w:cs="Arial" w:eastAsia="Arial" w:hAnsi="Arial"/>
                <w:sz w:val="18"/>
                <w:szCs w:val="18"/>
                <w:color w:val="0000EE"/>
              </w:rPr>
              <w:t>Purchases of Equity Securities.</w:t>
            </w:r>
          </w:p>
        </w:tc>
        <w:tc>
          <w:tcPr>
            <w:tcW w:w="920" w:type="dxa"/>
            <w:vAlign w:val="bottom"/>
          </w:tcPr>
          <w:p>
            <w:pPr>
              <w:spacing w:after="0"/>
              <w:rPr>
                <w:sz w:val="15"/>
                <w:szCs w:val="15"/>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Reserved.</w:t>
            </w:r>
          </w:p>
        </w:tc>
        <w:tc>
          <w:tcPr>
            <w:tcW w:w="4480" w:type="dxa"/>
            <w:vAlign w:val="bottom"/>
            <w:gridSpan w:val="10"/>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60" w:type="dxa"/>
            <w:vAlign w:val="bottom"/>
            <w:gridSpan w:val="24"/>
          </w:tcPr>
          <w:p>
            <w:pPr>
              <w:spacing w:after="0" w:line="182" w:lineRule="exact"/>
              <w:rPr>
                <w:sz w:val="20"/>
                <w:szCs w:val="20"/>
                <w:color w:val="auto"/>
              </w:rPr>
            </w:pPr>
            <w:r>
              <w:rPr>
                <w:rFonts w:ascii="Arial" w:cs="Arial" w:eastAsia="Arial" w:hAnsi="Arial"/>
                <w:sz w:val="18"/>
                <w:szCs w:val="18"/>
                <w:color w:val="0000EE"/>
              </w:rPr>
              <w:t>Operations.</w:t>
            </w:r>
          </w:p>
        </w:tc>
        <w:tc>
          <w:tcPr>
            <w:tcW w:w="9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89"/>
              </w:rPr>
              <w:t>Item 7A.</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136</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Consolidated Financial Statements and Supplementary Data.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137</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0000EE"/>
                <w:w w:val="94"/>
              </w:rPr>
              <w:t>Item 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Changes in and Disagreements with Accountants on Accounting and Financial</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164</w:t>
            </w: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60" w:type="dxa"/>
            <w:vAlign w:val="bottom"/>
            <w:gridSpan w:val="24"/>
          </w:tcPr>
          <w:p>
            <w:pPr>
              <w:spacing w:after="0" w:line="182" w:lineRule="exact"/>
              <w:rPr>
                <w:sz w:val="20"/>
                <w:szCs w:val="20"/>
                <w:color w:val="auto"/>
              </w:rPr>
            </w:pPr>
            <w:r>
              <w:rPr>
                <w:rFonts w:ascii="Arial" w:cs="Arial" w:eastAsia="Arial" w:hAnsi="Arial"/>
                <w:sz w:val="18"/>
                <w:szCs w:val="18"/>
                <w:color w:val="0000EE"/>
              </w:rPr>
              <w:t>Disclosure.</w:t>
            </w:r>
          </w:p>
        </w:tc>
        <w:tc>
          <w:tcPr>
            <w:tcW w:w="9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89"/>
              </w:rPr>
              <w:t>Item 9A.</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164</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89"/>
              </w:rPr>
              <w:t>Item 9B.</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Other Information.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165</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5"/>
              </w:rPr>
              <w:t>Item 9C</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Disclosure Regarding Foreign Jurisdictions that Prevent Inspections</w:t>
            </w:r>
            <w:r>
              <w:rPr>
                <w:rFonts w:ascii="Arial" w:cs="Arial" w:eastAsia="Arial" w:hAnsi="Arial"/>
                <w:sz w:val="18"/>
                <w:szCs w:val="18"/>
                <w:color w:val="000000"/>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166</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PART III</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10.</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11.</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Executive Compensation.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12.</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Security Ownership of Certain Beneficial Owners and Management and Related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60" w:type="dxa"/>
            <w:vAlign w:val="bottom"/>
            <w:gridSpan w:val="24"/>
          </w:tcPr>
          <w:p>
            <w:pPr>
              <w:spacing w:after="0" w:line="182" w:lineRule="exact"/>
              <w:rPr>
                <w:sz w:val="20"/>
                <w:szCs w:val="20"/>
                <w:color w:val="auto"/>
              </w:rPr>
            </w:pPr>
            <w:r>
              <w:rPr>
                <w:rFonts w:ascii="Arial" w:cs="Arial" w:eastAsia="Arial" w:hAnsi="Arial"/>
                <w:sz w:val="18"/>
                <w:szCs w:val="18"/>
                <w:color w:val="0000EE"/>
              </w:rPr>
              <w:t>Stockholder Matters.</w:t>
            </w:r>
          </w:p>
        </w:tc>
        <w:tc>
          <w:tcPr>
            <w:tcW w:w="9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13.</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14.</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Principal Accountant Fees and Services.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167</w:t>
            </w: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PART IV</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15.</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Exhibit and Consolidated Financial Statement Schedules.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168</w:t>
            </w:r>
          </w:p>
        </w:tc>
      </w:tr>
      <w:tr>
        <w:trPr>
          <w:trHeight w:val="20"/>
        </w:trPr>
        <w:tc>
          <w:tcPr>
            <w:tcW w:w="1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0000EE"/>
                <w:w w:val="92"/>
              </w:rPr>
              <w:t>Item 16.</w:t>
            </w:r>
          </w:p>
        </w:tc>
        <w:tc>
          <w:tcPr>
            <w:tcW w:w="26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Arial" w:cs="Arial" w:eastAsia="Arial" w:hAnsi="Arial"/>
                <w:sz w:val="18"/>
                <w:szCs w:val="18"/>
                <w:color w:val="0000EE"/>
              </w:rPr>
              <w:t>Form 10-K Summary.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172</w:t>
            </w:r>
          </w:p>
        </w:tc>
      </w:tr>
      <w:tr>
        <w:trPr>
          <w:trHeight w:val="20"/>
        </w:trPr>
        <w:tc>
          <w:tcPr>
            <w:tcW w:w="1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526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980" w:type="dxa"/>
            <w:vAlign w:val="bottom"/>
            <w:gridSpan w:val="30"/>
          </w:tcPr>
          <w:p>
            <w:pPr>
              <w:spacing w:after="0"/>
              <w:rPr>
                <w:sz w:val="20"/>
                <w:szCs w:val="20"/>
                <w:color w:val="auto"/>
              </w:rPr>
            </w:pPr>
            <w:r>
              <w:rPr>
                <w:rFonts w:ascii="Arial" w:cs="Arial" w:eastAsia="Arial" w:hAnsi="Arial"/>
                <w:sz w:val="18"/>
                <w:szCs w:val="18"/>
                <w:color w:val="0000EE"/>
              </w:rPr>
              <w:t>SIGNATURES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173</w:t>
            </w:r>
          </w:p>
        </w:tc>
      </w:tr>
      <w:tr>
        <w:trPr>
          <w:trHeight w:val="20"/>
        </w:trPr>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3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Unless the context suggests otherwise, references in this Annual Report on Form 10-K, or the Annual Report, to “us,” “our,” “Olema,” “Olema Pharmaceuticals,” “we,” the “Company” and similar designations refer to Olema Pharmaceuticals, Inc.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205" w:lineRule="exact"/>
        <w:rPr>
          <w:sz w:val="20"/>
          <w:szCs w:val="20"/>
          <w:color w:val="auto"/>
        </w:rPr>
      </w:pPr>
    </w:p>
    <w:p>
      <w:pPr>
        <w:ind w:left="920" w:hanging="330"/>
        <w:spacing w:after="0"/>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225"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sufficiency of our existing cash to fund our future operating expenses and capital expenditure requirements;</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accuracy of our estimates regarding expenses, future revenue, capital requirements, and needs for additional financing;</w:t>
      </w:r>
    </w:p>
    <w:p>
      <w:pPr>
        <w:spacing w:after="0" w:line="196" w:lineRule="exact"/>
        <w:rPr>
          <w:rFonts w:ascii="Arial" w:cs="Arial" w:eastAsia="Arial" w:hAnsi="Arial"/>
          <w:sz w:val="18"/>
          <w:szCs w:val="18"/>
          <w:color w:val="231F20"/>
        </w:rPr>
      </w:pPr>
    </w:p>
    <w:p>
      <w:pPr>
        <w:jc w:val="both"/>
        <w:ind w:left="920" w:right="79" w:hanging="330"/>
        <w:spacing w:after="0"/>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scope, progress, results and costs of developing OP-1250 or any other product candidates we may develop, and conducting nonclinical studies and clinical trials, including our OP-1250 Phase 1/2 clinical study;</w:t>
      </w:r>
    </w:p>
    <w:p>
      <w:pPr>
        <w:spacing w:after="0" w:line="202" w:lineRule="exact"/>
        <w:rPr>
          <w:rFonts w:ascii="Arial" w:cs="Arial" w:eastAsia="Arial" w:hAnsi="Arial"/>
          <w:sz w:val="18"/>
          <w:szCs w:val="18"/>
          <w:color w:val="231F20"/>
        </w:rPr>
      </w:pPr>
    </w:p>
    <w:p>
      <w:pPr>
        <w:jc w:val="both"/>
        <w:ind w:left="920" w:right="79" w:hanging="330"/>
        <w:spacing w:after="0" w:line="238"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and costs involved in obtaining and maintaining regulatory approval of OP-1250 or any other product candidates we may develop, and the timing or likelihood of regulatory filings and approvals, including our expectation to seek special designations for our product candidates for various diseases;</w:t>
      </w:r>
    </w:p>
    <w:p>
      <w:pPr>
        <w:spacing w:after="0" w:line="204"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plans relating to commercializing OP-1250 and any other product candidates we may develop, if approved, including the geographic areas of focus and our ability to grow a sales team;</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implementation of our strategic plans for our business and OP-1250 or any other product candidates we may develop;</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size of the market opportunity for OP-1250 or any other product candidates we may develop in each of the diseases we target;</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reliance on third parties to conduct nonclinical research activities, and for the manufacture of OP-1250 and any other product candidates we may develop;</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beneficial characteristics, safety, efficacy and therapeutic effects of OP-1250 and any other product candidates we may develop;</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estimates of the number of patients in the United States who suffer from the diseases we target and the number of subjects that will enroll in our clinical trials;</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progress and focus of our current and future clinical trials, and the reporting of data from those trials;</w:t>
      </w:r>
    </w:p>
    <w:p>
      <w:pPr>
        <w:spacing w:after="0" w:line="196" w:lineRule="exact"/>
        <w:rPr>
          <w:rFonts w:ascii="Arial" w:cs="Arial" w:eastAsia="Arial" w:hAnsi="Arial"/>
          <w:sz w:val="18"/>
          <w:szCs w:val="18"/>
          <w:color w:val="231F20"/>
        </w:rPr>
      </w:pPr>
    </w:p>
    <w:p>
      <w:pPr>
        <w:ind w:left="920" w:hanging="330"/>
        <w:spacing w:after="0"/>
        <w:tabs>
          <w:tab w:leader="none" w:pos="9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advance product candidates into and successfully complete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ability of our clinical trials to demonstrate the safety and efficacy of OP-1250 and any other product candidates we may develop, and other positive results;</w:t>
      </w:r>
    </w:p>
    <w:p>
      <w:pPr>
        <w:spacing w:after="0" w:line="196" w:lineRule="exact"/>
        <w:rPr>
          <w:rFonts w:ascii="Arial" w:cs="Arial" w:eastAsia="Arial" w:hAnsi="Arial"/>
          <w:sz w:val="18"/>
          <w:szCs w:val="18"/>
          <w:color w:val="231F20"/>
        </w:rPr>
      </w:pPr>
    </w:p>
    <w:p>
      <w:pPr>
        <w:ind w:left="920"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success of competing therapies that are or may become available;</w:t>
      </w:r>
    </w:p>
    <w:p>
      <w:pPr>
        <w:spacing w:after="0" w:line="225"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developments relating to our competitors and our industry, including competing product candidates and therapies;</w:t>
      </w:r>
    </w:p>
    <w:p>
      <w:pPr>
        <w:spacing w:after="0" w:line="196"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plans relating to the further development and manufacturing of OP-1250 and any other product candidates we may develop, including additional indications that we may pursue;</w:t>
      </w:r>
    </w:p>
    <w:p>
      <w:pPr>
        <w:spacing w:after="0" w:line="196" w:lineRule="exact"/>
        <w:rPr>
          <w:rFonts w:ascii="Arial" w:cs="Arial" w:eastAsia="Arial" w:hAnsi="Arial"/>
          <w:sz w:val="18"/>
          <w:szCs w:val="18"/>
          <w:color w:val="231F20"/>
        </w:rPr>
      </w:pPr>
    </w:p>
    <w:p>
      <w:pPr>
        <w:ind w:left="920"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existing regulations and regulatory developments in the United States and other jurisdictions;</w:t>
      </w:r>
    </w:p>
    <w:p>
      <w:pPr>
        <w:spacing w:after="0" w:line="225"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potential and ability to successfully manufacture and supply OP-1250 and any other product candidates we may develop for clinical trials and for commercial use, if approved;</w:t>
      </w:r>
    </w:p>
    <w:p>
      <w:pPr>
        <w:spacing w:after="0" w:line="196" w:lineRule="exact"/>
        <w:rPr>
          <w:rFonts w:ascii="Arial" w:cs="Arial" w:eastAsia="Arial" w:hAnsi="Arial"/>
          <w:sz w:val="18"/>
          <w:szCs w:val="18"/>
          <w:color w:val="231F20"/>
        </w:rPr>
      </w:pPr>
    </w:p>
    <w:p>
      <w:pPr>
        <w:jc w:val="both"/>
        <w:ind w:left="920" w:right="79"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rate and degree of market acceptance of OP-1250 and any other product candidates we may develop, as well as the pricing and reimbursement of OP-1250 and any other product candidates we may develop, if approved;</w:t>
      </w:r>
    </w:p>
    <w:p>
      <w:pPr>
        <w:spacing w:after="0" w:line="202"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continued reliance on third parties to conduct additional clinical trials of OP-1250 and any other product candidates we may develop, and for the manufacture of our product candidates;</w:t>
      </w:r>
    </w:p>
    <w:p>
      <w:pPr>
        <w:spacing w:after="0" w:line="196" w:lineRule="exact"/>
        <w:rPr>
          <w:rFonts w:ascii="Arial" w:cs="Arial" w:eastAsia="Arial" w:hAnsi="Arial"/>
          <w:sz w:val="18"/>
          <w:szCs w:val="18"/>
          <w:color w:val="231F20"/>
        </w:rPr>
      </w:pPr>
    </w:p>
    <w:p>
      <w:pPr>
        <w:ind w:left="920"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plans and ability to obtain and protect intellectual property rights;</w:t>
      </w:r>
    </w:p>
    <w:p>
      <w:pPr>
        <w:spacing w:after="0" w:line="225"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scope of protection we are able to establish and maintain for intellectual property rights, including OP-1250 and any other product candidates we may develop;</w:t>
      </w:r>
    </w:p>
    <w:p>
      <w:pPr>
        <w:spacing w:after="0" w:line="196" w:lineRule="exact"/>
        <w:rPr>
          <w:rFonts w:ascii="Arial" w:cs="Arial" w:eastAsia="Arial" w:hAnsi="Arial"/>
          <w:sz w:val="18"/>
          <w:szCs w:val="18"/>
          <w:color w:val="231F20"/>
        </w:rPr>
      </w:pPr>
    </w:p>
    <w:p>
      <w:pPr>
        <w:ind w:left="920"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ability to access capital resources on favorable terms, or at all;</w:t>
      </w:r>
    </w:p>
    <w:p>
      <w:pPr>
        <w:spacing w:after="0" w:line="225" w:lineRule="exact"/>
        <w:rPr>
          <w:rFonts w:ascii="Arial" w:cs="Arial" w:eastAsia="Arial" w:hAnsi="Arial"/>
          <w:sz w:val="18"/>
          <w:szCs w:val="18"/>
          <w:color w:val="231F20"/>
        </w:rPr>
      </w:pPr>
    </w:p>
    <w:p>
      <w:pPr>
        <w:ind w:left="920" w:right="79" w:hanging="330"/>
        <w:spacing w:after="0" w:line="246" w:lineRule="auto"/>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ability to retain the continued service of our key personnel and to identify, hire, and then retain additional qualified personnel; and</w:t>
      </w:r>
    </w:p>
    <w:p>
      <w:pPr>
        <w:spacing w:after="0" w:line="196" w:lineRule="exact"/>
        <w:rPr>
          <w:rFonts w:ascii="Arial" w:cs="Arial" w:eastAsia="Arial" w:hAnsi="Arial"/>
          <w:sz w:val="18"/>
          <w:szCs w:val="18"/>
          <w:color w:val="231F20"/>
        </w:rPr>
      </w:pPr>
    </w:p>
    <w:p>
      <w:pPr>
        <w:jc w:val="both"/>
        <w:ind w:left="920" w:right="79" w:hanging="330"/>
        <w:spacing w:after="0"/>
        <w:tabs>
          <w:tab w:leader="none" w:pos="9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expectations regarding the impact of the COVID-19 pandemic on our business and operations, including clinical trials, manufacturing suppliers, collaborators, use of contract research organizations, or CROs, and employees.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 SUMMARY</w:t>
      </w:r>
    </w:p>
    <w:p>
      <w:pPr>
        <w:spacing w:after="0" w:line="23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Investing in our common stock involves numerous risks, including the risks described in “Part I, Item 1A. Risk Factors” of this Annual Report. Below are some of these risks, any one of which could materially adversely affect our business, financial condition, results of operations, and prospects. ​</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nonclinical studies and clinical trials.</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and results of operations.</w:t>
      </w:r>
    </w:p>
    <w:p>
      <w:pPr>
        <w:spacing w:after="0" w:line="1"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spacing w:after="0" w:line="234" w:lineRule="auto"/>
        <w:rPr>
          <w:sz w:val="20"/>
          <w:szCs w:val="20"/>
          <w:color w:val="auto"/>
        </w:rPr>
      </w:pPr>
      <w:r>
        <w:rPr>
          <w:rFonts w:ascii="Arial" w:cs="Arial" w:eastAsia="Arial" w:hAnsi="Arial"/>
          <w:sz w:val="18"/>
          <w:szCs w:val="18"/>
          <w:color w:val="auto"/>
        </w:rPr>
        <w:t>OP-1250 and any other future product candidates we may develop and, accordingly, may not achieve our research, development and commercialization goals.</w:t>
      </w:r>
    </w:p>
    <w:p>
      <w:pPr>
        <w:spacing w:after="0" w:line="1" w:lineRule="exact"/>
        <w:rPr>
          <w:sz w:val="20"/>
          <w:szCs w:val="20"/>
          <w:color w:val="auto"/>
        </w:rPr>
      </w:pPr>
    </w:p>
    <w:p>
      <w:pPr>
        <w:jc w:val="both"/>
        <w:ind w:left="720" w:right="7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internal computer systems, or those of any of our CROs, manufacturers, other contractors, consultants, collaborators or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16"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w:t>
        <w:tab/>
        <w:t>Business.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Overview</w:t>
      </w:r>
    </w:p>
    <w:p>
      <w:pPr>
        <w:spacing w:after="0" w:line="21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anti-tumor activity in a range of preclinical xenograft models of breast cancer, including in ESR1 and PIK3CA mutations and central nervous system, or CNS, metastasis. In August 2020, we initiated an ongoing Phase 1/2 monotherapy dose escalation and expansion study evaluating OP-1250 for the treatment of recurrent, locally advanced or metastatic ER-positive, or ER+, human epidermal growth factor receptor 2-negative, or HER2-, breast cancer. We reported initial data from the Phase 1a dose escalation portion of this study in November 2021, which provided proof-of-concept for OP-1250 as a monotherapy treatment for ER+/HER2- breast cancer. We reported additional monotherapy data from the Phase 1b dose expansion portion of this study in October 2022 and initiated the Phase 2 portion of the study. In 2022, we also initiated Phase 1b/2 dose escalation and expansion studies evaluating OP-1250 in combination with CDK4/6 inhibitors palbociclib and ribociclib and phosphatidylinositol 3 kinase alpha, or PI3Ka inhibitor, alpelisib. In December 2022, we reported initial data from the Phase 1a dose escalation portion of the study in combination with palbociclib which demonstrated attractive combinability including no drug-drug interaction, or DDI, between the two agents. In July 2022, we were granted Fast Track designation from the U.S. Food and Drug Administration, or FDA, for OP-1250 for patients with ER+/HER2- metastatic breast cancer that has progressed following one or more lines of endocrine therapy with at least one line given in combination with a CDK4/6 inhibitor. Based on the clinical results we have achieved to date, we are advancing OP-1250 through to late-stage clinical development both as a monotherapy and in combination with other targeted agents.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22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initially focused on developing therapies for the treatment of breast cancer, which represents approximately 30% of all new diagnoses of cancer in women. In 2022, the American Cancer Society, or ACS, estimated there were approximately 288,000 new cases of female breast cancer and over 43,250 deaths from metastatic breast cancer in the United States. Treatment decisions are based on a combination of individual patient characteristics and tumor biology, most importantly the expression of three proteins: ER, progesterone receptor, or PR, and human epidermal growth factor receptor 2, or HER2. Approximately 75% of all breast cancers are ER+, and approximately 68% are HR+/HER2-, highlighting the central role of the ER in driving a large majority of breast cancer. Approximately 6-10% of breast cancer patients present with metastatic disease at diagnosis and a further 20-30% of patients initially diagnosed with early-stage disease ultimately develop metastatic disease. The current five-year survival rate for patients with ER+ metastatic breast cancer is approximately 30%. In 2020, the breast cancer therapy market totaled $22.3 billion, and it is set to grow at a CAGR of 8.7%, reaching $ 51.3 billion in 2030. All key breast cancer populations will experience strong sales growth. We expect sales in the HR+/HER2- population to rise from $11.3 billion in 2020 to $30.6 billion in 2030.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For more than four decades, researchers have been developing new approaches and therapies to prevent activation of the ER pathway, thereby inhibiting the ability of the ER to drive tumor cell growth. In 1977, the first endocrine therapeutic, the anti-estrogen tamoxifen, was approved by the FDA for the treatment of breast cancer. Tamoxifen is still commonly used today but is challenged by the development of acquired drug resistance, which in some cases may be due to its partial agonist activity. In search for a different mechanism to target the estrogen pathway, aromatase inhibitors, or AIs, were developed in the 1990s to block the synthesis of estrogen and deprive the ER+ cells of its activating ligand. However, up to 50% of patients taking AIs develop arthralgia, leading to suspension of treatment in up to 15% of patients. Additionally, most patients with metastatic breast cancer have been shown to ultimately develop resistance to AIs, the most common of which is the development of a ligand-independent activating mutation in the estrogen receptor gene, ESR1. AIs are also not used to treat pre-menopausal women without the addition of ovarian suppression.</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2002, fulvestrant was approved as a treatment for hormone receptor positive, or HR+, metastatic breast cancer patients and is typically used as a second- or third-line endocrine agent. Fulvestrant was designed to be a CERAN, and later discovered to also be a SERD, and represented a breakthrough for the field with improved outcomes for patients whose disease had progressed on prior endocrine therapy. However, fulvestrant has several limitations including its suboptimal drug exposure and route of administration as a monthly intramuscular injection. Despite these drawbacks, fulvestrant achieved worldwide sales of over $1.1 billion in 2019.</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 recently, the field has focused on the discovery and development of oral agents that have fulvestrant’s dual mechanism of action to completely inactivate and degrade the ER. Some of these oral SERD agents are CERANs, such as OP-1250, but others have partial agonist activity despite being SERDs and thus are not CERANs. These agents can be considered selective ER modulators, or SERM/SERDs. SERM/SERDs reduce the levels of the ER but they do not entirely eliminate it. Notably, naturally-occurring estrogen itself leads to ER degradation when binding the ER.</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designed our lead product candidate, OP-1250, based both on a detailed structural understanding of the ER and on known alterations to this structure induced by fulvestrant and other ligands. We have demonstrated in nonclinical studies that OP-1250 functions both as a CERAN and a SERD, but is distinguished from fulvestrant in several noteworthy ways, including:</w:t>
      </w:r>
    </w:p>
    <w:p>
      <w:pPr>
        <w:spacing w:after="0" w:line="205" w:lineRule="exact"/>
        <w:rPr>
          <w:sz w:val="20"/>
          <w:szCs w:val="20"/>
          <w:color w:val="auto"/>
        </w:rPr>
      </w:pPr>
    </w:p>
    <w:p>
      <w:pPr>
        <w:ind w:left="720" w:right="7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OP-1250 is orally bioavailable while fulvestrant is a highly insoluble compound that must be administered monthly by intramuscular injection into the buttocks;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OP-1250 has favorable biodistribution properties leading to significantly higher drug concentrations in the plasma and tumor than those achieved with fulvestrant;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OP-1250 has demonstrated the ability to shrink tumors in head-to-head nonclinical studies with fulvestrant, in contrast to fulvestrant, which has only been shown to inhibit tumor growth.</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Based on these differences, we believe that OP-1250 has the potential to demonstrate clinical outcomes superior to fulvestrant. Furthermore, OP-1250 has the potential to benefit patients with metastatic breast cancer, initially for patients who have previously received endocrine therapy, as well as those who are treatment naïve in the metastatic setting, and advance into the adjuvant setting for early-stage ER+ breast cancer. In multiple nonclinical animal models of anti-cancer activity, including patient-derived xenografts with tumors containing activating mutations in the ER, OP-1250 monotherapy led to tumor shrinkage or in some cases tumor eradication, as well as long-term post-treatment survival. In each of these nonclinical models, the effect of OP-1250 was superior to that of fulvestrant, an effect which we determined was driven both by improved pharmacokinetics, or PK, properties, and higher plasma and tumor drug concentrations. In nonclinical studies, OP-1250 demonstrated robust CNS penetration, and in an intracranial breast cancer brain metastases xenograft study, OP-1250 demonstrated the ability to shrink tumors and improve survival in mice. OP-1250 has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potential to address a critical unmet medical need as 10-15% of ER+ breast cancer patients develop brain metastases for which there are currently limited treatment options. In addition, we believe that combining OP-1250 with HER2 targeted agents may represent an opportunity to improve upon recent advancements in the treatment of CNS disease in patients that express both ER and HER2, as up to 50% of patients with metastatic HER2+ breast cancer develop CNS disease, and the majority of patients with HER2+ breast cancer also express ER. In nonclinical studies, the addition of OP-1250 to HER2 inhibitors improved tumor growth inhibition in both ER+/HER2+ cell line-derived xenograft and patient-derived xenograft models.</w:t>
      </w:r>
    </w:p>
    <w:p>
      <w:pPr>
        <w:spacing w:after="0" w:line="203"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As summarized in our pipeline figure below, our plan is to develop our wholly-owned lead product candidate, OP-1250, in a number of ER+ breast cancer indications, both as a monotherapy and in combination with approved targeted therapies that have shown improved outcomes with other endocrine therapies.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Olema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405765</wp:posOffset>
            </wp:positionV>
            <wp:extent cx="5280660" cy="3128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066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August 2020, we initiated a Phase 1/2 clinical study of OP-1250 in patients with recurrent, locally advanced or metastatic ER+/HER2- breast cancer whose disease has progressed on endocrine therapy. Phase 1a consisted of monotherapy dose escalation to evaluate the safety and PK of OP-1250 and to determine the maximum tolerated dose, or MTD, and/or the recommended Phase 2 dose, or RP2D. In November 2021, we reported interim Phase 1a data, with OP-1250 demonstrating attractive PK with oral bioavailability and dose-proportional exposures supporting once daily dosing; favorable tolerability with no maximum tolerated dose defined, and no clinically significant bradycardia, ocular toxicity or diarrhea; and evidence of single-agent activity in patients who had advanced on multiple prior therapies in the advanced setting, including CDK4/6 inhibitors, and confirmed partial responses in patients with baseline estrogen receptor 1, or ESR1, activating mutations.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2022, we completed enrollment in our Phase 1b dose expansion at two dose levels (60 mg and 120 mg daily) and selected 120 mg daily as our RP2D to advance into Phase 2 efficacy evaluation. Phase 2 efficacy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evaluation initiated in the second half of 2022 with approximately 80 patients expected to be enrolled across three cohorts: patients with measurable disease (n=50), patients with non-measurable disease (n=15), and patients with CNS metastasis (n=15). The first two primary cohorts, patients with measurable disease and patients with non-measurable disease, were fully enrolled in the fourth quarter of 2022.</w:t>
      </w:r>
    </w:p>
    <w:p>
      <w:pPr>
        <w:spacing w:after="0" w:line="192" w:lineRule="exact"/>
        <w:rPr>
          <w:sz w:val="20"/>
          <w:szCs w:val="20"/>
          <w:color w:val="auto"/>
        </w:rPr>
      </w:pPr>
    </w:p>
    <w:p>
      <w:pPr>
        <w:jc w:val="both"/>
        <w:ind w:left="60" w:right="59"/>
        <w:spacing w:after="0" w:line="227" w:lineRule="auto"/>
        <w:rPr>
          <w:sz w:val="20"/>
          <w:szCs w:val="20"/>
          <w:color w:val="auto"/>
        </w:rPr>
      </w:pPr>
      <w:r>
        <w:rPr>
          <w:rFonts w:ascii="Arial" w:cs="Arial" w:eastAsia="Arial" w:hAnsi="Arial"/>
          <w:sz w:val="18"/>
          <w:szCs w:val="18"/>
          <w:color w:val="auto"/>
        </w:rPr>
        <w:t>In October 2022, we reported preliminary Phase 1b clinical data at the 34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EORTC-NCI-AACR Symposium, with OP-1250 demonstrating attractive PK with oral bioavailability and high drug exposure, supporting once daily dosing; favorable tolerability with no dose-limiting toxicities and no maximum tolerated dose defined; and strong anti-tumor activity and durable benefit with 41% of patients seeing reductions in target tumor lesions, a 39% clinical benefit rate, or CBR, at our RP2D of 120 mg (seven out of 18 CBR-eligible patients) and six partial responses (four confirmed and two unconfirmed) out of 57 efficacy-evaluable patients. We believe that with this profile, OP-1250 has the potential to become the endocrine therapy of choice for the treatment of ER+/HER2-breast cancer. We anticipate presenting Phase 2 clinical data for OP-1250 as a monotherapy in the second half of 2023.</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Based on our clinical results to date, we intend to discuss plans to initiate a pivotal Phase 3 monotherapy trial in second- and third-line advanced or metastatic breast cancer patients at an End of Phase 2 meeting with the FDA and the European Medicines Agency, or EMA, prior to initiating such trial in what we expect to be the second half of 2023.</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January 2022, we initiated a Phase 1b dose escalation study evaluating OP-1250 in combination with the CDK4/6 inhibitor palbociclib for the treatment of recurrent, locally advanced or metastatic ER+/HER2 breast cancer. We presented preliminary results from this Phase 1b study in December 2022 at the 2022 San Antonio Breast Cancer Symposium. Across 12 patients, the combination of up to 120 mg of OP-1250 with 125 mg of palbociclib was shown to be well tolerated with no DDI, no induced metabolism of palbociclib, and exposure of OP-1250 in combination with palbociclib was consistent with the observed monotherapy OP-1250 exposure levels. In addition, there was no dose-related increase in the incidence or severity of adverse events, and neutropenia events observed were consistent with the expected profile of palbociclib plus an endocrine therapy. In the third quarter of 2022, we initiated the Phase 2 dose expansion portion of this study with 120 mg of OP-1250 in combination with 125 mg of palbociclib. We anticipate presenting results from this Phase 2 study in the second quarter of 2023.</w:t>
      </w:r>
    </w:p>
    <w:p>
      <w:pPr>
        <w:spacing w:after="0" w:line="20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Concurrently, in the third quarter of 2022, we initiated a Phase 1b dose escalation study of OP-1250 in combination with CDK4/6 inhibitor, ribociclib, and PI3Ka inhibitor, alpelisib, which have both been shown to lead to improvements in both progression-free and overall survival. These studies are ongoing and we anticipate presenting data from the Phase 1b clinical study for OP-1250 in combination with ribociclib in the second half of 2023. In July 2022, we were granted Fast Track designation from the FDA for OP-1250 for the treatment of ER+/HER2- metastatic breast cancer that has progressed following one or more lines of endocrine therapy with at least one line given in combination with a CDK4/6 inhibitor.</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July 2020, we entered into a non-exclusive agreement with Novartis Institutes for BioMedical Research, Inc., or Novartis, to evaluate the combination of OP-1250 and Novartis’ KISQALI® (ribociclib), a CDK4/6 inhibitor, as well as PIQRAY® (alpelisib), their PI3Ka inhibitor. Under the terms of the collaboration, Novartis will be responsible for funding a capped majority of the costs for the Phase 1b clinical study, as well as supplying their drugs. In November 2020, we entered into a non-exclusive agreement with Pfizer Inc., or Pfizer, to evaluate the safety and tolerability of OP-1250 in combination with Pfizer’s CDK4/6 inhibitor IBRANCE® (palbociclib) in patients with recurrent, locally advanced or metastatic ER+/HER2- breast cancer. Under the terms of the non-exclusive agreement, we will be responsible for conducting the clinical study for the combined therapy and Pfizer is responsible for supplying IBRANCE® (palbociclib) at no cost to us. As part of the collaboration, the parties granted to each other a non-exclusive, royalty- free license under certain of the parties’ respective patent rights in the combination of IBRANCE® and OP-1250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to present additional monotherapy and combination therapy data in 2023 and initiate a pivotal Phase 3 monotherapy trial of OP-1250 in the second- and third-line settings of ER+/HER2- advanced or metastatic breast cancer in the second half of 2023, subject to feedback from the FDA and EMA.</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goal is to discover, develop and commercialize next generation targeted therapies for women’s cancers.</w:t>
      </w:r>
    </w:p>
    <w:p>
      <w:pPr>
        <w:ind w:left="60"/>
        <w:spacing w:after="0"/>
        <w:rPr>
          <w:sz w:val="20"/>
          <w:szCs w:val="20"/>
          <w:color w:val="auto"/>
        </w:rPr>
      </w:pPr>
      <w:r>
        <w:rPr>
          <w:rFonts w:ascii="Arial" w:cs="Arial" w:eastAsia="Arial" w:hAnsi="Arial"/>
          <w:sz w:val="18"/>
          <w:szCs w:val="18"/>
          <w:color w:val="auto"/>
        </w:rPr>
        <w:t>The key elements of our business strategy to achieve this goal include:</w:t>
      </w:r>
    </w:p>
    <w:p>
      <w:pPr>
        <w:spacing w:after="0" w:line="190" w:lineRule="exact"/>
        <w:rPr>
          <w:sz w:val="20"/>
          <w:szCs w:val="20"/>
          <w:color w:val="auto"/>
        </w:rPr>
      </w:pPr>
    </w:p>
    <w:p>
      <w:pPr>
        <w:jc w:val="both"/>
        <w:ind w:left="920" w:right="79" w:hanging="330"/>
        <w:spacing w:after="0" w:line="239"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Applying our deep understanding of nuclear receptors — particularly the ER — and mechanisms of resistance to develop novel therapeutic approaches for endocrine-driven cancers. </w:t>
      </w:r>
      <w:r>
        <w:rPr>
          <w:rFonts w:ascii="Arial" w:cs="Arial" w:eastAsia="Arial" w:hAnsi="Arial"/>
          <w:sz w:val="18"/>
          <w:szCs w:val="18"/>
          <w:color w:val="auto"/>
        </w:rPr>
        <w:t>Our team has spent over a decade characterizing the structure and function of the 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role in driving tumor cell proliferation in HR+ breast cancer. Our knowledge of the ER’s functional domains combined with our medicinal chemistry expertise has allowed us to develop a potent and oral compound that both completely inactivates and strongly promotes degradation of the ER in nonclinical studies. We believe OP-1250’s oral formulation and dual mechanism of action as a CERAN/SERD directly address the limitations of current endocrine therapies, such as fulvestrant and tamoxifen, and has the potential to drive deeper, more durable responses.</w:t>
      </w:r>
    </w:p>
    <w:p>
      <w:pPr>
        <w:spacing w:after="0" w:line="183" w:lineRule="exact"/>
        <w:rPr>
          <w:rFonts w:ascii="Arial" w:cs="Arial" w:eastAsia="Arial" w:hAnsi="Arial"/>
          <w:sz w:val="18"/>
          <w:szCs w:val="18"/>
          <w:color w:val="auto"/>
        </w:rPr>
      </w:pPr>
    </w:p>
    <w:p>
      <w:pPr>
        <w:jc w:val="both"/>
        <w:ind w:left="920" w:right="79" w:hanging="330"/>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advancing our lead product candidate, OP-1250, through clinical development as a monotherapy for ER+/HER2 breast cancer. </w:t>
      </w:r>
      <w:r>
        <w:rPr>
          <w:rFonts w:ascii="Arial" w:cs="Arial" w:eastAsia="Arial" w:hAnsi="Arial"/>
          <w:sz w:val="18"/>
          <w:szCs w:val="18"/>
          <w:color w:val="auto"/>
        </w:rPr>
        <w:t>We are currently evaluating OP-1250 monotherapy in</w:t>
      </w:r>
      <w:r>
        <w:rPr>
          <w:rFonts w:ascii="Arial" w:cs="Arial" w:eastAsia="Arial" w:hAnsi="Arial"/>
          <w:sz w:val="18"/>
          <w:szCs w:val="18"/>
          <w:b w:val="1"/>
          <w:bCs w:val="1"/>
          <w:color w:val="auto"/>
        </w:rPr>
        <w:t xml:space="preserve"> </w:t>
      </w:r>
      <w:r>
        <w:rPr>
          <w:rFonts w:ascii="Arial" w:cs="Arial" w:eastAsia="Arial" w:hAnsi="Arial"/>
          <w:sz w:val="18"/>
          <w:szCs w:val="18"/>
          <w:color w:val="auto"/>
        </w:rPr>
        <w:t>a Phase 1/2 dose escalation and expansion clinical study in patients with recurrent, locally advanced or metastatic ER+/HER2 breast cancer whose disease has progressed on endocrine therapy. We plan to initiate a pivotal Phase 3 trial for OP-1250 as a monotherapy agent in the second- and third-line setting of ER+/HER2- advanced or metastatic breast cancer in the second half of 2023, subject to feedback from the FDA and EMA.</w:t>
      </w:r>
    </w:p>
    <w:p>
      <w:pPr>
        <w:spacing w:after="0" w:line="184" w:lineRule="exact"/>
        <w:rPr>
          <w:rFonts w:ascii="Arial" w:cs="Arial" w:eastAsia="Arial" w:hAnsi="Arial"/>
          <w:sz w:val="18"/>
          <w:szCs w:val="18"/>
          <w:color w:val="auto"/>
        </w:rPr>
      </w:pPr>
    </w:p>
    <w:p>
      <w:pPr>
        <w:jc w:val="both"/>
        <w:ind w:left="920" w:right="79" w:hanging="330"/>
        <w:spacing w:after="0" w:line="239"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Establishing OP-1250 as the endocrine therapy of choice with targeted therapy combinations for the treatment of metastatic ER+ breast cancers. </w:t>
      </w:r>
      <w:r>
        <w:rPr>
          <w:rFonts w:ascii="Arial" w:cs="Arial" w:eastAsia="Arial" w:hAnsi="Arial"/>
          <w:sz w:val="18"/>
          <w:szCs w:val="18"/>
          <w:color w:val="auto"/>
        </w:rPr>
        <w:t>We believe OP-1250’s differentiated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has the potential to overcome many of the limitations of current endocrine therapy options. While targeted chemotherapy and other targeted anti-body drug conjugates continue to show promising data and will likely gain further favorability as a treatment option, we believe these new treatment options will replace traditional chemotherapy, not endocrine therapies. Our goal is to successfully demonstrate improved efficacy and a favorable tolerability profile in combination with other targeted therapies in order to position OP-1250 as the endocrine therapy of choice in the first-line setting for advanced or metastatic ER+/HER2- breast cancer.</w:t>
      </w:r>
    </w:p>
    <w:p>
      <w:pPr>
        <w:spacing w:after="0" w:line="183" w:lineRule="exact"/>
        <w:rPr>
          <w:rFonts w:ascii="Arial" w:cs="Arial" w:eastAsia="Arial" w:hAnsi="Arial"/>
          <w:sz w:val="18"/>
          <w:szCs w:val="18"/>
          <w:color w:val="auto"/>
        </w:rPr>
      </w:pPr>
    </w:p>
    <w:p>
      <w:pPr>
        <w:jc w:val="both"/>
        <w:ind w:left="920" w:right="79" w:hanging="330"/>
        <w:spacing w:after="0" w:line="23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Exploring additional clinical opportunities for OP-1250, including metastatic breast cancer with brain metastases and other hormone sensitive tumors. </w:t>
      </w:r>
      <w:r>
        <w:rPr>
          <w:rFonts w:ascii="Arial" w:cs="Arial" w:eastAsia="Arial" w:hAnsi="Arial"/>
          <w:sz w:val="18"/>
          <w:szCs w:val="18"/>
          <w:color w:val="auto"/>
        </w:rPr>
        <w:t>Metastatic breast cancer is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most common cancer associated with brain metastases in the United States. Of women with ER+/HER2- metastatic breast cancer, 10% to 15% will develop brain metastases, which present a significant challenge to systemic therapy. The primary treatment for CNS metastases is typically surgery, radiation, or a combination of both and these patients tend to have a poor prognosis. In nonclinical studies, OP-1250 demonstrated robust CNS penetration, and in an intracranial breast cancer brain metastases xenograft study, OP-1250 demonstrated the ability to shrink tumors and improve survival in mice. In addition, we believe that combining OP-1250 with HER2 targeted agents may represent an opportunity to improve upon recent advancements in the treatment of CNS disease in patients that express both ER and HER2, as up to 50% of patients with metastatic HER2+ breast cancer develop CNS disease, and the majority of patients with HER2+ breast cancer also express ER. In nonclinical studies, the addition of OP-1250 to HER2 inhibitors improved tumor growth inhibition in both ER+/HER2+ cell line-derived xenograft and patient-derived xenograft models.</w:t>
      </w:r>
    </w:p>
    <w:p>
      <w:pPr>
        <w:spacing w:after="0" w:line="187" w:lineRule="exact"/>
        <w:rPr>
          <w:rFonts w:ascii="Arial" w:cs="Arial" w:eastAsia="Arial" w:hAnsi="Arial"/>
          <w:sz w:val="18"/>
          <w:szCs w:val="18"/>
          <w:color w:val="auto"/>
        </w:rPr>
      </w:pPr>
    </w:p>
    <w:p>
      <w:pPr>
        <w:jc w:val="both"/>
        <w:ind w:left="920" w:right="79" w:hanging="330"/>
        <w:spacing w:after="0" w:line="271"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evaluate opportunities to accelerate development timelines and enhance the commercial potential of our programs in collaboration with third parties. </w:t>
      </w:r>
      <w:r>
        <w:rPr>
          <w:rFonts w:ascii="Arial" w:cs="Arial" w:eastAsia="Arial" w:hAnsi="Arial"/>
          <w:sz w:val="18"/>
          <w:szCs w:val="18"/>
          <w:color w:val="auto"/>
        </w:rPr>
        <w:t>We own full worldwide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920" w:right="79"/>
        <w:spacing w:after="0" w:line="237" w:lineRule="auto"/>
        <w:rPr>
          <w:sz w:val="20"/>
          <w:szCs w:val="20"/>
          <w:color w:val="auto"/>
        </w:rPr>
      </w:pPr>
      <w:r>
        <w:rPr>
          <w:rFonts w:ascii="Arial" w:cs="Arial" w:eastAsia="Arial" w:hAnsi="Arial"/>
          <w:sz w:val="18"/>
          <w:szCs w:val="18"/>
          <w:color w:val="auto"/>
        </w:rPr>
        <w:t>development and commercialization rights to OP-1250. We have established clinical collaborations with both Novartis and Pfizer and we intend to continue evaluating opportunities to work with partners that meaningfully enhance our capabilities with respect to the development and commercialization of OP-1250. In addition, we intend to commercialize our product candidates in key markets either alone or with partners in order to maximize the worldwide commercial potential of our programs.</w:t>
      </w:r>
    </w:p>
    <w:p>
      <w:pPr>
        <w:spacing w:after="0" w:line="183" w:lineRule="exact"/>
        <w:rPr>
          <w:sz w:val="20"/>
          <w:szCs w:val="20"/>
          <w:color w:val="auto"/>
        </w:rPr>
      </w:pPr>
    </w:p>
    <w:p>
      <w:pPr>
        <w:jc w:val="both"/>
        <w:ind w:left="920" w:right="79" w:hanging="330"/>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Expanding our portfolio of therapies focused on women’s oncology through both internal research activities and business development efforts. </w:t>
      </w:r>
      <w:r>
        <w:rPr>
          <w:rFonts w:ascii="Arial" w:cs="Arial" w:eastAsia="Arial" w:hAnsi="Arial"/>
          <w:sz w:val="18"/>
          <w:szCs w:val="18"/>
          <w:color w:val="auto"/>
        </w:rPr>
        <w:t>We are applying our internal drug</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capabilities to identify and evaluate novel targeted therapies that can improve the lives of women with cancer. We have an active discovery research team exploring additional opportunities for targeted therapies for breast cancer. We will also continue to explore opportunities to acquire products and technologies that align with our core areas of expertise and complement our existing portfolio.</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Opportunity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Epidemiology and classification of breast cancer</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Breast cancer is the second-most common cancer worldwide, with nearly two million new diagnoses per year. In 2022, the ACS estimated there were approximately 288,000 new cases of female breast cancer and over 43,250 deaths in the United States, making it the second-leading cause of cancer death in women. Approximately 2,700 men are also diagnosed with breast cancer each year in the United States. Breast cancer is a heterogeneous disease which is grouped into several clinical subtypes based on the expression of three proteins: ER, PR and HER2. Both ER and PR are hormone receptors, and tumors that express either of these receptors are referred to as HR+. It is unusual for a tumor to express PR in the absence of the ER, therefore most tumors are referred to as either ER+ or ER-. Tumors that express HER2 are denoted HER2+, and tumors that do not express ER, PR or HER2 are classified as triple negative breast cancer. Approximately 78% of all breast cancers are HR+, and approximately 68% are HR+/HER2-, highlighting the central role of ER signaling in driving a large majority of breast cancer. The percentage breakdown of all breast cancers by subtype are shown in Figure 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 Types of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148590</wp:posOffset>
            </wp:positionV>
            <wp:extent cx="2623185" cy="3128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318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breast cancer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Early-stage breast cancer</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Breast cancer stage is determined by the size of the tumor and whether or not the cancer has spread to lymph nodes. A tumor that is confined to the breast with or without the involvement of local, ipsilateral lymph nodes is considered early-stage breast cancer. Treatment for patients with early-stage breast cancer involves two components. First, there is local treatment of the breast, chest wall and local lymph nodes, if any, with surgery, either a lumpectomy or mastectomy, and potentially radiation. Second, based on the biology and characteristics of the tumor, patients may also be offered systemic therapy, referred to as adjuvant therapy, in order to decrease the risk of recurrence of breast cancer anywhere in the body. Systemic therapy can be given either after surgery (adjuvant) or prior to surgery (neoadjuvant) or a combination of both.</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initial standard of care for patients with early-stage ER+ breast cancer is at least five years of adjuvant endocrine therapy. The endocrine treatment options for early-stage disease are AIs, such as anastrozole, exemestane or letrozole, or an ER antagonist such as a tamoxifen. For patients diagnosed with early-stage ER+ breast cancer who undergo surgical and adjuvant/neoadjuvant treatment, the five-year survival rate is over 90%.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Metastatic breast cancer</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When cancer has spread beyond local lymph nodes, either to distant lymph nodes, bones or visceral organs, the cancer is now considered metastatic. Approximately 6-10% of breast cancer patients present with de novo metastatic disease, also referred to as stage IV disease, at initial diagnosis. In addition, approximately 20-30% of patients diagnosed with early-stage breast cancer will develop metastatic disease. In contrast to the goals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adjuvant therapy, treatments for metastatic disease are palliative with the desired outcome of controlling symptoms and extending survival as long as possible. The current five-year survival rate for patients with ER+ metastatic breast cancer is approximately 30%.</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While there are national guidelines and recommendations for the treatment of metastatic breast cancer, the actual treatment decision is based on a combination of individual patient characteristics and tumor biology, including whether they received adjuvant therapy and if so, how quickly the cancer recurred. There is significant overlap in the agents that are recommended, but guidelines vary in the sequence in which these agents are used. In the past five years, several new classes of targeted therapies have been approved to be used in combination with endocrine agents for the treatment of HR+/HER2- breast cancer. Inhibitors of CDK4/6, such as palbociclib, ribociclib and abemaciclib, used in combination with an AI or fulvestrant, led to significant increases in progression-free survival and overall survival. Alpelisib, a PI3Ka inhibitor, was approved in 2019 in combination with fulvestrant for the treatment of HR+/HER2- breast cancers that have mutations in PIK3CA. Figure 3 shows the endocrine treatment options available for ER+ metastatic breast cancer, and an example of the sequence of treatments, by agent and line of therapy.</w:t>
      </w:r>
    </w:p>
    <w:p>
      <w:pPr>
        <w:spacing w:after="0" w:line="187" w:lineRule="exact"/>
        <w:rPr>
          <w:sz w:val="20"/>
          <w:szCs w:val="20"/>
          <w:color w:val="auto"/>
        </w:rPr>
      </w:pPr>
    </w:p>
    <w:p>
      <w:pPr>
        <w:jc w:val="center"/>
        <w:ind w:left="60" w:right="79"/>
        <w:spacing w:after="0" w:line="271" w:lineRule="auto"/>
        <w:rPr>
          <w:sz w:val="20"/>
          <w:szCs w:val="20"/>
          <w:color w:val="auto"/>
        </w:rPr>
      </w:pPr>
      <w:r>
        <w:rPr>
          <w:rFonts w:ascii="Arial" w:cs="Arial" w:eastAsia="Arial" w:hAnsi="Arial"/>
          <w:sz w:val="18"/>
          <w:szCs w:val="18"/>
          <w:b w:val="1"/>
          <w:bCs w:val="1"/>
          <w:color w:val="auto"/>
        </w:rPr>
        <w:t>Figure 3. Available endocrine options and example of sequential alternating of endocrine based therapy in ER+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377825</wp:posOffset>
            </wp:positionV>
            <wp:extent cx="5314950" cy="2391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When moving a patient from one line of therapy to the next, the standard of care is to switch to an endocrine agent with a different mechanism of action depending upon last therapy, co-morbidities, and individual patient characteristics.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Metastatic breast cancer is the second most common cancer associated with brain metastases in the United States. About 10% to 15% of women with metastatic breast cancer develop brain metastases. Brain metastases present a significant challenge to systemic therapy, and the primary treatment for CNS metastases is typically surgical resection, radiation, or a combination of both. Given the limited treatment options available for these patients, the prognosis remains poor, making it an area of continued, high unmet medical need. In addition, brain metastases in breast cancer patients are a major cause of morbidity, associated with progressive neurologic deficits that result in a reduced quality of life.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ER signaling in cancer</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The ER has three modular functional domains:</w:t>
      </w:r>
    </w:p>
    <w:p>
      <w:pPr>
        <w:spacing w:after="0" w:line="203" w:lineRule="exact"/>
        <w:rPr>
          <w:sz w:val="20"/>
          <w:szCs w:val="20"/>
          <w:color w:val="auto"/>
        </w:rPr>
      </w:pPr>
    </w:p>
    <w:p>
      <w:pPr>
        <w:ind w:left="720" w:right="79" w:hanging="319"/>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amino terminal domain, which contains the activation function 1, or AF1, the activity of which can be increased by multiple cell proliferative signaling pathways;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DNA binding domain, which directs the ER to bind to a specific set of ER-responsive genes;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ligand binding domain, which contains the activation function 2, or AF2, which is turned on when bound to estrogen.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Activation of either AF1 or AF2 can drive transcription and cancer cell proliferation.</w:t>
      </w:r>
    </w:p>
    <w:p>
      <w:pPr>
        <w:spacing w:after="0" w:line="190" w:lineRule="exact"/>
        <w:rPr>
          <w:sz w:val="20"/>
          <w:szCs w:val="20"/>
          <w:color w:val="auto"/>
        </w:rPr>
      </w:pPr>
    </w:p>
    <w:p>
      <w:pPr>
        <w:jc w:val="center"/>
        <w:ind w:left="60" w:right="79"/>
        <w:spacing w:after="0" w:line="271" w:lineRule="auto"/>
        <w:rPr>
          <w:sz w:val="20"/>
          <w:szCs w:val="20"/>
          <w:color w:val="auto"/>
        </w:rPr>
      </w:pPr>
      <w:r>
        <w:rPr>
          <w:rFonts w:ascii="Arial" w:cs="Arial" w:eastAsia="Arial" w:hAnsi="Arial"/>
          <w:sz w:val="18"/>
          <w:szCs w:val="18"/>
          <w:b w:val="1"/>
          <w:bCs w:val="1"/>
          <w:color w:val="auto"/>
        </w:rPr>
        <w:t>Figure 4. ER is a tripartite protein with two distinct transcription factor activation domains, AF1 and AF2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368935</wp:posOffset>
            </wp:positionV>
            <wp:extent cx="5554980" cy="2177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Classes of endocrine therapies and their limitations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more than four decades, researchers have been developing new approaches and therapies to prevent activation of the ER pathway, thereby inhibiting the ability of the ER to drive tumor cell growth. Figure 5 describes the two major classes of endocrine therapies, AIs and ER antagonists. In 2020, worldwide sales for endocrine and targeted therapies treating ER+ breast cancer patients totaled $20.5 billion.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Classes of endocrine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148590</wp:posOffset>
            </wp:positionV>
            <wp:extent cx="2897505" cy="13633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750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Antagonists with partial agonist activity</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1977, the first endocrine therapeutic, tamoxifen, was approved by the FDA for the treatment of breast cancer. Although tamoxifen directly competes with estrogen and prevents activation of the AF2 transcription factor activation domain, it does not block AF1 activity and therefore does not completely inhibit ER function (Figure 6). As a consequence of this partial agonist activity, tamoxifen mimics estrogen in some circumstances and promotes proliferation. In addition, some breast cancers can develop resistance to these partial agonists by activation of upstream AF1 signaling pathways, such as mTOR, PI3K, MAPK, c-SRC, EGFR, FGFR and IGFR. Therefore, while tamoxifen is commonly used today, it is challenged by acquired drug resistance and a relatively short duration of response.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Partial agonists, such as tamoxifen, are unable to completely block ER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148590</wp:posOffset>
            </wp:positionV>
            <wp:extent cx="5383530" cy="1971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8353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search of a different mechanism to target the estrogen pathway, AIs were developed in the 1990s to block the synthesis of estrogen and deprive the ER+ tumor of its activating ligand. However, most patients with metastatic breast cancer have been shown to ultimately develop resistance to these therapies. Similar to tamoxifen, resistance to AIs, such as anastrozole, exemestane or letrozole, can develop by multiple mechanisms, including activation of the AF1 pathway and development of mutations. Mutations in ESR1 that confer estrogen-independent ER activity arise in up to 50% of patients receiving treatment with an AI in combination with a CDK4/6 inhibitor in the first-line metastatic setting.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SERDs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the search for more potent ER antagonists, researchers focused on another class of ER drugs that were described as SERDs. This classification arose from the observation that certain ligands bind tightly to 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leading to ER degradation. The field shifted drug discovery efforts to SERDs based on the hypothesis that degrading ER would be more efficacious than inhibiting it. However, similar to tamoxifen, many compounds with SERD activity are not complete ER antagonists nor do they achieve complete degradation of the ER. Recent experiments conducted by us and third parties in nonclinical models of breast cancer suggest that ER degradation, as achieved by many SERDs, on its own is not sufficient to effectively treat tumors and that the ability to completely inhibit ER function is best achieved through complete antagonism.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CERANs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 CERAN is a molecule that completely blocks the ability of both AF1 and AF2 to stimulate gene transcription (Figure 7). CERANs inhibit activation of the AF2 transcription factor activation domain and inactivate AF1 activity by recruiting nuclear receptor corepressors of the N-CoR/SMRT family. Previous work by one of our co-founders identified specific interactions between fulvestrant-bound ER and N-CoR and that the strength of these interactions correlated with the ability of fulvestrant-bound ER to inactivate gene transcription through the transcription factor activating domain, AF1.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7. Complete antagonists turn off AF2 and recruit N-CoR to inactivate AF1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414655</wp:posOffset>
            </wp:positionV>
            <wp:extent cx="3514725" cy="1722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472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In 2002, fulvestrant was approved as a treatment for HR+ metastatic breast cancer and is typically used as a second- or third-line endocrine agent. Fulvestrant represented a breakthrough for the field based on its dual-mechanism of action as a CERAN and SERD which led to improved efficacy outcomes for patients. However, fulvestrant, the only FDA-approved anti-estrogen lacking agonist-type effects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uterotropic assays in immature or ovariectomized mice and rats, has several limitations including:</w:t>
      </w:r>
    </w:p>
    <w:p>
      <w:pPr>
        <w:spacing w:after="0" w:line="202" w:lineRule="exact"/>
        <w:rPr>
          <w:sz w:val="20"/>
          <w:szCs w:val="20"/>
          <w:color w:val="auto"/>
        </w:rPr>
      </w:pPr>
    </w:p>
    <w:p>
      <w:pPr>
        <w:jc w:val="both"/>
        <w:ind w:left="720" w:right="79" w:hanging="319"/>
        <w:spacing w:after="0" w:line="23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Painful and inconvenient route of administration. Fulvestrant is a highly insoluble compound with poor oral bioavailability and therefore must be given intramuscularly. Fulvestrant is administered every 28 days in two 5 ml intramuscular injections into the buttocks. Injection site reactions occur in approximately 10% of patients and include sciatica, neuralgia, neuropathic pain, and peripheral neuropathy.</w:t>
      </w:r>
    </w:p>
    <w:p>
      <w:pPr>
        <w:spacing w:after="0" w:line="20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Suboptimal drug exposure limits efficacy. In a nonclinical mouse model, an increase in antitumor activity and ER degradation was observed as the dose of fulvestrant was increased from 25 mg/kg to 200 mg/kg. However, researchers estimated that achieving an equivalent level of fulvestrant in humans to a 200 mg/kg dose in mice would require a dose that is eight times higher than is currently clinically achievable. Furthermore, xenograft models created using patient-derived tumors containing ESR1 mutations show that even plasma levels substantially higher than those achievable in humans at the approved dose fail to demonstrate optimal antitumor effect.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Candidate</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own worldwide development and commercialization rights to OP-1250. Our plan is to develop OP-1250 for the treatment of a number of ER+ breast cancer indications, both as a monotherapy and in combination with approved targeted therapies that have shown improved outcomes with other endocrine therapies.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solution, OP-1250</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OP-1250 is an oral small molecule clinical-stage product candidate for the treatment of endocrine-driven cancers. OP-1250 was designed by our scientific team based both on a detailed structural understanding of the ER and on known alterations to this structure induced by fulvestrant and other ER ligands. We have demonstrated in nonclinical studies that OP-1250 functions both as a CERAN, inactivating both AF1 and AF2 transcriptional activation functions, and a SERD, promoting degradation of the ER. We believe OP-1250’s oral formulation and dual mechanism of action directly address the limitations of current endocrine therapies, such as fulvestrant and tamoxifen, and position OP-1250 as a potential endocrine therapy of choice for the treatment of ER+ breast cancers.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1/2 monotherapy clinical study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Phase 1/2 monotherapy clinical development plan for OP-1250 is outlined in Figure 8 below. We initiated the Phase 1a dose escalation portion of our Phase 1/2 monotherapy clinical study in July 2020 and reported initial results across 41 patients in November 2021. In December 2021, we initiated the Phase 1b dose expansion portion of our monotherapy clinical development plan by expanding enrollment at two doses of 60 mg and 120 mg once daily. We enrolled a total of 68 patients across these two doses through the end of July 2022 and reported interim results in October 2022. In the third quarter of 2022, we selected 120 mg as our recommended Phase 2 dose, or RP2D, and initiated enrollment in the Phase 2 portion of our monotherapy study including targeting a total enrollment of 50 patients with measurable disease, 15 patients with non-measurable disease, and 15 patients with CNS metastasis. Our first two primary cohorts of 50 patients with measurable disease and 15 patients with non-measurable disease were fully enrolled in the fourth quarter of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8. Design of the Phase 1/2 OP-1250-001 monotherapy study for OP-1250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405765</wp:posOffset>
            </wp:positionV>
            <wp:extent cx="5246370" cy="1645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463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2"/>
          <w:szCs w:val="12"/>
          <w:i w:val="1"/>
          <w:iCs w:val="1"/>
          <w:color w:val="auto"/>
        </w:rPr>
        <w:t>Fully-enrolled.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1a dose-escalation results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reported the first clinical data from the Phase 1a dose-escalation portion of the ongoing Phase 1/2 clinical study of OP-1250 in November 2021, with a data cut-off of November 1, 2021. These initial data provide proof-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of-concept for OP-1250 as a once-daily oral monotherapy in women with recurrent, locally advanced or metastatic ER+/HER2- breast cancer.</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PK, safety, tolerability, and anti-tumor activity of once-daily OP-1250 monotherapy were evaluated in the open-label, dose-escalation portion of the ongoing Phase 1/2 clinical study (NCT04505826). As of November 1, 2021, a total of 41 patients with recurrent, locally advanced or metastatic ER+/HER2- breast cancer were enrolled across seven dose cohorts (30 mg, 60 mg, 90 mg, 120 mg, 150 mg, 210 mg, and 300 mg once-daily). This was a heavily pretreated population with 95% of patients previously treated with a CDK4/6 inhibitor (nine patients, or 22%, received two or more prior CDK4/6 inhibitor regimens), 68% of patients received prior fulvestrant, and 42% received prior chemotherapy in the advanced setting. Overall, patients received a median of three prior lines of anti-cancer therapy and two prior lines of endocrine therapy in advanced settings. Of 39 patients whose circulating tumor DNA, or ctDNA, was assessed, ESR1 mutations were detected in 49% at baseline.</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PK analyses demonstrated dose-proportional increases in OP-1250 exposures across all evaluated doses, high oral bioavailability and steady-state plasma levels with minimal peak-to-trough variability. OP-1250 was generally well tolerated, and no dose-limiting toxicities were reported at any of the seven dose levels studied. A maximum tolerated dose was not reached. The majority of reported adverse events were grade 1 or 2 at all dose levels, and the most common treatment-related adverse events, or TRAEs, as assessed by study investigator were nausea (49%), fatigue (34%), vomiting (22%) and headache (17%). No clinically significant bradycardia, ocular toxicities or diarrhea occurred. As of the data cut-off of November 1, 2021, three patients had grade 4 neutropenia attributed to study drug by the investigator. Two of these patients presented with fever and neutropenia. A RP2D range of 60 mg to 120 mg was identified for further evaluation based on PK, favorable tolerability, and initial evidence of anti-tumor activity.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Early evidence of anti-tumor activity was observed in patients across all dose levels tested in the Phase 1a dose escalation portion of the study. Patients were scheduled for tumor assessments at eight-week intervals. Patients were considered efficacy-evaluable for overall response rate, or ORR, if they had response evaluation criteria in solid tumors, or RECIST,-measurable disease at baseline and at least one post-baseline tumor assessment or discontinued treatment prior to their first post-baseline assessment, and for CBR if they were enrolled at least 24 weeks prior to the data cut-off date.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the data cut-off date of November 1, 2021, three partial responses were observed among 24 efficacy-evaluable patients, including two confirmed partial responses and one unconfirmed partial response. The patient with the unconfirmed partial response demonstrated robust target lesion reduction of 100% but remained unconfirmed due to progressive disease with a new lesion appearing at a follow-up visit. All three responses occurred in patients with ESR1 mutations and who had previously received CDK4/6 and aromatase inhibitors, and fulvestrant. As of the data cut-off date, 32% of patients (13/41) remained on treatment with efficacy data continuing to mature, including both patients with confirmed partial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1b/2 monotherapy dose expansion clinical study</w:t>
      </w:r>
    </w:p>
    <w:p>
      <w:pPr>
        <w:spacing w:after="0" w:line="234" w:lineRule="exact"/>
        <w:rPr>
          <w:sz w:val="20"/>
          <w:szCs w:val="20"/>
          <w:color w:val="auto"/>
        </w:rPr>
      </w:pPr>
    </w:p>
    <w:p>
      <w:pPr>
        <w:jc w:val="both"/>
        <w:ind w:left="60" w:right="79"/>
        <w:spacing w:after="0" w:line="218" w:lineRule="auto"/>
        <w:rPr>
          <w:sz w:val="20"/>
          <w:szCs w:val="20"/>
          <w:color w:val="auto"/>
        </w:rPr>
      </w:pPr>
      <w:r>
        <w:rPr>
          <w:rFonts w:ascii="Arial" w:cs="Arial" w:eastAsia="Arial" w:hAnsi="Arial"/>
          <w:sz w:val="18"/>
          <w:szCs w:val="18"/>
          <w:color w:val="auto"/>
        </w:rPr>
        <w:t>We reported interim clinical results from the Phase 1b monotherapy dose expansion portion of the Phase 1/2 study of OP-1250 in October 2022 at a poster session of the 34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EORTC-NCI-AACR Symposium on Molecular Targets and Cancer Therapeutics in Barcelona, Spain, with a data cut-off of September 2, 2022. The results continued to demonstrate that at doses of 60 mg and 120mg once daily, OP-1250 is well-tolerated, achieves high drug exposure, and has encouraging anti-tumor activity across both wild-type and ESR1 mutant tumors.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PK, safety, tolerability, and anti-tumor activity of once -daily OP-1250 monotherapy were evaluated in the ongoing Phase 1/2 clinical study (NCT04505826). As of September 2, 2022, 68 patients with recurrent, locally advanced or metastatic ER+/HER2- breast cancer were treated across two doses of 60 mg and 120 mg orally once per day. This group was heavily pretreated with 69% having received 2 or more prior lines of therapy and 32% having received prior chemotherapy in the advanced setting. Almost all patients (96%) received prior treatment with a CDK4/6 inhibitor, and 65% received prior treatment with fulvestrant. Of 46 patients whose ctDNA was assessed, 59% had activating mutations in ESR1 at baseline.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anticipate presenting Phase 2 clinical data for OP-1250 as a monotherapy in the second half of 2023.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9. Baseline patient characteristics for OP-1250 monotherapy Phase 1b expansion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414655</wp:posOffset>
            </wp:positionV>
            <wp:extent cx="5297805" cy="3377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9780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Pharmacokinetics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OP-1250 demonstrated favorable PK characterized by high oral bioavailability and dose proportional exposure. With an approximately 8-day half-life, OP-1250 exhibited the desired low peak-to-trough variability in a 24-hour period at steady state, supporting once daily dosing with complete inhibition of the ER for the full dosing interval.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 RP2D of 120 mg once per day orally was selected based on overall PK, tolerability and efficacy. Dosing at the RP2D yielded drug exposure that exceeded targeted efficacy thresholds based on pre-clinical models.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10. OP-1250 steady-state plasma concentration-time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414655</wp:posOffset>
            </wp:positionV>
            <wp:extent cx="4011930" cy="3463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1193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Tolerability</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Treatment with OP-1250 was well tolerated at both the 60 mg and 120 mg dose levels with no dose-limiting toxicities. The most common TRAEs that occurred in at least 15% of subjects as assessed by the treating physician were nausea (42%), fatigue (25%) and vomiting (15%). Of the 68 patients treated, one patient experienced Grade 3 neutropenia concurrent with progressive disease, and three patients experienced Grade 4 neutropenia at the 120 mg dose. Of these cases, one patient had dosing interrupted for one week, restarted therapy at 60 mg and subsequently had a confirmed response with no further incidence of neutropenia. The two other patients discontinued treatment with recovery of their neutrophil counts. These events have occurred at a low rate and are manageable and reversible.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Treatment-related adverse events for OP-1250 monotherapy Phase 1b expansion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148590</wp:posOffset>
            </wp:positionV>
            <wp:extent cx="5177790" cy="994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779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Efficacy</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Six partial responses across the two doses had been observed as of the data cut-off date of September 2, 2022 among 57 efficacy-evaluable patients (per RECIST measurable lesions and at least one on-treatment tumor assessment), including four confirmed partial responses and two unconfirmed partial responses awaiting confirmation at a follow-up scan. Strong anti-tumor activity was observed with 41% of patients demonstrating reduction in target lesions and evidence of activity in both wild-type and mutant estrogen receptors across both doses. As of the data cut-off date, 31% of patients (21/68) remained on treatment with efficacy data continuing to mature.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12: Meaningful anti-tumor activity in OP-1250 Phase 1b dose expansion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414655</wp:posOffset>
            </wp:positionV>
            <wp:extent cx="5023485" cy="2143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2348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24"/>
          <w:szCs w:val="24"/>
          <w:color w:val="auto"/>
          <w:vertAlign w:val="superscript"/>
        </w:rPr>
        <w:t>a</w:t>
      </w:r>
      <w:r>
        <w:rPr>
          <w:rFonts w:ascii="Arial" w:cs="Arial" w:eastAsia="Arial" w:hAnsi="Arial"/>
          <w:sz w:val="16"/>
          <w:szCs w:val="16"/>
          <w:color w:val="auto"/>
        </w:rPr>
        <w:t>Patient had an unconfirmed partial response and later progressed at a subsequent scan.</w:t>
      </w:r>
    </w:p>
    <w:p>
      <w:pPr>
        <w:jc w:val="both"/>
        <w:ind w:left="60" w:right="59"/>
        <w:spacing w:after="0" w:line="206" w:lineRule="auto"/>
        <w:rPr>
          <w:sz w:val="20"/>
          <w:szCs w:val="20"/>
          <w:color w:val="auto"/>
        </w:rPr>
      </w:pPr>
      <w:r>
        <w:rPr>
          <w:rFonts w:ascii="Arial" w:cs="Arial" w:eastAsia="Arial" w:hAnsi="Arial"/>
          <w:sz w:val="24"/>
          <w:szCs w:val="24"/>
          <w:color w:val="auto"/>
          <w:vertAlign w:val="superscript"/>
        </w:rPr>
        <w:t>b</w:t>
      </w:r>
      <w:r>
        <w:rPr>
          <w:rFonts w:ascii="Arial" w:cs="Arial" w:eastAsia="Arial" w:hAnsi="Arial"/>
          <w:sz w:val="16"/>
          <w:szCs w:val="16"/>
          <w:color w:val="auto"/>
        </w:rPr>
        <w:t>Dark shaded boxes indicate ESR mutation present, light shaded boxes indicate wild-type, and the absence of a box indicates missing data.</w:t>
      </w:r>
    </w:p>
    <w:p>
      <w:pPr>
        <w:spacing w:after="0" w:line="1"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6"/>
          <w:szCs w:val="16"/>
          <w:color w:val="auto"/>
        </w:rPr>
        <w:t>AI, aromatase inhibitor; CDK4/6i, CDK4/6 inhibitor; Chemo, chemotherapy; Fulv, fulvestrant; PD, progressive disease; PR, partial response; QD, once daily; SD, stable disease; uPR, unconfirmed partial response.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13: Treatment duration and response for OP-1250 Phase 1b monotherapy dose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414655</wp:posOffset>
            </wp:positionV>
            <wp:extent cx="4749165" cy="3625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916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0" w:right="59"/>
        <w:spacing w:after="0"/>
        <w:rPr>
          <w:sz w:val="20"/>
          <w:szCs w:val="20"/>
          <w:color w:val="auto"/>
        </w:rPr>
      </w:pPr>
      <w:r>
        <w:rPr>
          <w:rFonts w:ascii="Arial" w:cs="Arial" w:eastAsia="Arial" w:hAnsi="Arial"/>
          <w:sz w:val="24"/>
          <w:szCs w:val="24"/>
          <w:color w:val="auto"/>
          <w:vertAlign w:val="superscript"/>
        </w:rPr>
        <w:t>b</w:t>
      </w:r>
      <w:r>
        <w:rPr>
          <w:rFonts w:ascii="Arial" w:cs="Arial" w:eastAsia="Arial" w:hAnsi="Arial"/>
          <w:sz w:val="16"/>
          <w:szCs w:val="16"/>
          <w:color w:val="auto"/>
        </w:rPr>
        <w:t>Solid boxes indicate ESR mutation present, open boxes indicate wild-type, and the absence of a box indicates missing data.</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*Unconfirmed partial responses awaiting confirmation at a subsequent scan.</w:t>
      </w:r>
    </w:p>
    <w:p>
      <w:pPr>
        <w:spacing w:after="0" w:line="5"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6"/>
          <w:szCs w:val="16"/>
          <w:color w:val="auto"/>
        </w:rPr>
        <w:t>AI, aromatase inhibitor; CDK4/6i, CDK4/6 inhibitor; Chemo, chemotherapy; Fulv, fulvestrant; PD, progressive disease; PR, partial response.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1b/2 combination dose escalation and expansion clinical studies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clinical development strategy for OP-1250 includes exploring the potential for combination treatment of advanced or metastatic breast cancer with other targeted therapies. We are initially focused on exploring the potential for OP-1250 in combination with CDK4/6 inhibitors palbociclib and ribociclib and PI3Ka inhibitor, alpelisib. In December 2021, we initiated the Phase 1b dose escalation portion of our Phase 1b/2 combination clinical study in combination with palbociclib and reported preliminary results in December 2022. We are currently enrolling patients in the Phase 2 dose expansion portion of this study. We anticipate presenting results from this Phase 2 clinical study in the second quarter of 2023. In the third quarter of 2022, we initiated the Phase 1b dose escalation portion of our Phase 1b/2 combination clinical study in combination with both ribociclib and alpelisib. We anticipate presenting data from the Phase 1b clinical study for OP-1250 in combination with ribociclib in the second half of 2023.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1b/2 combination dose escalation and expansion clinical study with palbociclib</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December 2021, we initiated a Phase 1b/2 clinical study of OP-1250 in combination with palbociclib, a CDK4/6 inhibitor. We reported preliminary clinical data from the Phase 1b dose escalation portion of the clinical study in December 2022 at the 2022 San Antonio Breast Cancer Symposium in San Antonio, Texas. The preliminary results demonstrated attractive combinability with no dose-limiting toxicities, no dose-related increase in the incidence or severity of adverse events and no DDI with exposure levels of each drug consistent with monotherapy or standard of care combinations.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the data cut-off of September 12, 2022, 12 patients with recurrent, locally advanced or metastatic ER+/HER2- breast cancer were treated across four dose escalation cohorts: three patients per cohort dosed at 30, 60, 90, and 120 mg in combination with palbociclib 125 mg. Ten of the 12 patients received prior therapy for advanced disease, including eight patients who had received prior CDK4/6 inhibitors and nine patients who received prior endocrine therapy for advanced disease. Of 11 patients whose ctDNA was assessed, 36% had activating mutations in ESR1 at baseline.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14. Baseline patient characteristics from Phase 1b study in combination with palbociclib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414655</wp:posOffset>
            </wp:positionV>
            <wp:extent cx="4663440" cy="3291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634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Pharmacokinetics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OP-1250 demonstrated favorable PK characterized by high oral bioavailability, dose proportional exposure and a long half-life of eight days, with steady-state plasma levels showing minimal peak-to-trough variability, enabling consistent inhibition of ER for the full dosing interval. There was no observed DDI between palbociclib and OP-1250 in the dose range of 30 mg to 120 mg. Palbociclib did not affect OP-1250 drug exposures compared to monotherapy dosing, and OP-1250 had no effect on palbociclib 125 mg drug exposures when compared to published concentrations.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15. Steady state C</w:t>
      </w:r>
      <w:r>
        <w:rPr>
          <w:rFonts w:ascii="Arial" w:cs="Arial" w:eastAsia="Arial" w:hAnsi="Arial"/>
          <w:sz w:val="26"/>
          <w:szCs w:val="26"/>
          <w:b w:val="1"/>
          <w:bCs w:val="1"/>
          <w:color w:val="auto"/>
          <w:vertAlign w:val="subscript"/>
        </w:rPr>
        <w:t>max</w:t>
      </w:r>
      <w:r>
        <w:rPr>
          <w:rFonts w:ascii="Arial" w:cs="Arial" w:eastAsia="Arial" w:hAnsi="Arial"/>
          <w:sz w:val="18"/>
          <w:szCs w:val="18"/>
          <w:b w:val="1"/>
          <w:bCs w:val="1"/>
          <w:color w:val="auto"/>
        </w:rPr>
        <w:t xml:space="preserve"> of OP–1250 combination vs. single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434340</wp:posOffset>
            </wp:positionV>
            <wp:extent cx="3754755" cy="1569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5475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16. Steady state AUC</w:t>
      </w:r>
      <w:r>
        <w:rPr>
          <w:rFonts w:ascii="Arial" w:cs="Arial" w:eastAsia="Arial" w:hAnsi="Arial"/>
          <w:sz w:val="26"/>
          <w:szCs w:val="26"/>
          <w:b w:val="1"/>
          <w:bCs w:val="1"/>
          <w:color w:val="auto"/>
          <w:vertAlign w:val="subscript"/>
        </w:rPr>
        <w:t>(0-24)</w:t>
      </w:r>
      <w:r>
        <w:rPr>
          <w:rFonts w:ascii="Arial" w:cs="Arial" w:eastAsia="Arial" w:hAnsi="Arial"/>
          <w:sz w:val="18"/>
          <w:szCs w:val="18"/>
          <w:b w:val="1"/>
          <w:bCs w:val="1"/>
          <w:color w:val="auto"/>
        </w:rPr>
        <w:t xml:space="preserve"> of OP-1250 combination vs. single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434340</wp:posOffset>
            </wp:positionV>
            <wp:extent cx="3703320" cy="1560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332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17. Steady state AUC</w:t>
      </w:r>
      <w:r>
        <w:rPr>
          <w:rFonts w:ascii="Arial" w:cs="Arial" w:eastAsia="Arial" w:hAnsi="Arial"/>
          <w:sz w:val="25"/>
          <w:szCs w:val="25"/>
          <w:b w:val="1"/>
          <w:bCs w:val="1"/>
          <w:color w:val="auto"/>
          <w:vertAlign w:val="subscript"/>
        </w:rPr>
        <w:t>0-24</w:t>
      </w:r>
      <w:r>
        <w:rPr>
          <w:rFonts w:ascii="Arial" w:cs="Arial" w:eastAsia="Arial" w:hAnsi="Arial"/>
          <w:sz w:val="17"/>
          <w:szCs w:val="17"/>
          <w:b w:val="1"/>
          <w:bCs w:val="1"/>
          <w:color w:val="auto"/>
        </w:rPr>
        <w:t xml:space="preserve"> and C</w:t>
      </w:r>
      <w:r>
        <w:rPr>
          <w:rFonts w:ascii="Arial" w:cs="Arial" w:eastAsia="Arial" w:hAnsi="Arial"/>
          <w:sz w:val="25"/>
          <w:szCs w:val="25"/>
          <w:b w:val="1"/>
          <w:bCs w:val="1"/>
          <w:color w:val="auto"/>
          <w:vertAlign w:val="subscript"/>
        </w:rPr>
        <w:t>max</w:t>
      </w:r>
      <w:r>
        <w:rPr>
          <w:rFonts w:ascii="Arial" w:cs="Arial" w:eastAsia="Arial" w:hAnsi="Arial"/>
          <w:sz w:val="17"/>
          <w:szCs w:val="17"/>
          <w:b w:val="1"/>
          <w:bCs w:val="1"/>
          <w:color w:val="auto"/>
        </w:rPr>
        <w:t xml:space="preserve"> of palbociclib vs. published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175895</wp:posOffset>
            </wp:positionV>
            <wp:extent cx="3977640" cy="2391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77640" cy="239141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Tolerability</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Treatment with OP-1250 up to the RP2D of 120 mg was well tolerated with no dose-limiting toxicities, and maximum tolerated dose, or MTD, was not reached. The majority of treatment-emergent adverse events, or TEAEs, were Grade 1 or 2 and increasing the dose did not show an increase in frequency of events. OP-1250 was not dose-reduced in any patients, and no patients discontinued treatment with OP-1250 due to an adverse event, including neutropenia. Neutropenia events observed were consistent with the expected profile of palbociclib plus an endocrine therapy. There was no Grade 4 neutropenia, and eight of 12 patients reported Grade 3 neutropenia, a rate which is consistent with the FDA-approved label of palbociclib plus an endocrine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18. Treatment-emergent adverse events for OP-1250 in combination with palbociclib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414655</wp:posOffset>
            </wp:positionV>
            <wp:extent cx="2863215" cy="255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6321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19. Treatment duration and response for OP-1250 Phase 1b in combination with palbociclib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414655</wp:posOffset>
            </wp:positionV>
            <wp:extent cx="4937760" cy="3291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776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development plan for OP-1250 and additional clinical opportunities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the third quarter of 2022, we selected 120 mg once daily as the RP2D. We completed enrollment in the two primary cohorts of our Phase 2 monotherapy expansion study in the fourth quarter of 2022 (50 patients with measurable disease and 15 patients with non-measurable disease) at the RP2D. Based on our clinical results to date, we are actively planning to initiate a monotherapy pivotal Phase 3 trial in the second half of 2023 in the second- and third-line setting for locally advanced or metastatic ER+/HER2- breast cancer, subject to feedback from the FDA and EMA.</w:t>
      </w:r>
    </w:p>
    <w:p>
      <w:pPr>
        <w:spacing w:after="0" w:line="205"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are currently exploring the potential for OP-1250 to combine with CDK4/6 inhibitors palbociclib and ribociclib in Phase 1b/2 dose escalation and expansion studies. Subject to positive results from these ongoing studies, we anticipate initiating a pivotal Phase 3 clinical trial in combination with a CDK4/6 inhibitor in 2024 for the treatment of advanced or metastatic ER+/HER2- breast cancer in the first-line setting.</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While all populations described above are in patients with ER+/HER2- breast cancer, we believe that there is an opportunity for us to study OP-1250 in patients with ER+/HER2+ breast cancer, which represents approximately 11% of breast cancer patients and more than 50% of the patients with HER2+ breast cancer. In particular, up to 50% of patients with metastatic HER2+ breast cancer develop CNS disease. We believe that combining OP-1250 with HER2 targeted agents may represent an opportunity to improve upon recent advancements in the treatment of CNS disease in patients that express both ER and HER2.</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are conducting a series of pharmacology studies for OP-1250, including DDI fed/fast and bioequivalence to a tablet formulation, and expect to complete these studies in 2023. We believe that the conversion from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capsule to tablet formulation of OP-1250 may have certain clinical advantages and we expect to transition to tablet administration prior to initiation of a pivotal trial in what we expect to be the second half of 2023.</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While our initial studies are focused on treating breast cancer patients with metastatic disease, we believe that if OP-1250 is determined to be safe and effective in this population, there is potential for it to be used in earlier stage disease. Based on our extensive nonclinical studies, including certain head-to-head studies, we believe that OP-1250 could have superior PK properties and improved clinical outcomes than fulvestrant. If proven in the clinic, we believe that OP-1250 has the potential to not only replace fulvestrant but to become the endocrine treatment of choice for the treatment of both advanced/metastatic ER+ breast cancer as well as ultimately in early-stage ER+ breast cancer in the adjuvant setting.</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breast cancer, we intend to explore the use of OP-1250 in various gynecological malignancies, beginning with endometrial cancer. Approximately 80% of endometrial tumors are “endometriod” in nature and these tumors are driven by estrogen.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Nonclinical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Complete ER antagonism</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A key distinguishing feature of CERANs is that they completely lack any agonistic estrogen-like effects, and completely block the effects of estrogen. In a nonclinical model, we evaluated OP-1250 and other compounds with publicly-disclosed chemical structures that have been or are in clinical development for ER+ breast cancer to compare their ability to block breast cancer proliferation and degrade estrogen receptors. Alkaline phosphatase, or AP, is an estrogen-responsive gene in ECC-1 cells driven by AF1 action.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AP model is a method of determining complete ER antagonism. As shown in Figure 20 below, OP-1250 and other CERANs lack agonistic estrogen like effects and completely block the effects of estrogen.</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the absence of estrogen, OP-1250 and other CERANs completely inactivated AF1 and did not stimulate AF1-dependent AP activity. In the presence of estrogen, OP-1250 and other CERANS demonstrated complete antagonism while non-CERANs were unable to fully inhibit estrogen-stimulated AF-1 activity.</w:t>
      </w:r>
    </w:p>
    <w:p>
      <w:pPr>
        <w:spacing w:after="0" w:line="383" w:lineRule="exact"/>
        <w:rPr>
          <w:sz w:val="20"/>
          <w:szCs w:val="20"/>
          <w:color w:val="auto"/>
        </w:rPr>
      </w:pPr>
    </w:p>
    <w:p>
      <w:pPr>
        <w:jc w:val="center"/>
        <w:ind w:left="60" w:right="59"/>
        <w:spacing w:after="0" w:line="271" w:lineRule="auto"/>
        <w:rPr>
          <w:sz w:val="20"/>
          <w:szCs w:val="20"/>
          <w:color w:val="auto"/>
        </w:rPr>
      </w:pPr>
      <w:r>
        <w:rPr>
          <w:rFonts w:ascii="Arial" w:cs="Arial" w:eastAsia="Arial" w:hAnsi="Arial"/>
          <w:sz w:val="18"/>
          <w:szCs w:val="18"/>
          <w:b w:val="1"/>
          <w:bCs w:val="1"/>
          <w:color w:val="auto"/>
        </w:rPr>
        <w:t>Figure 20. CERANs do not activate AF1 in the absence of estrogen, and partial and strong agonists do not fully inhibit estrogen-stimulated AF-1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1817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SERD activity</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SERDs are ER ligands that lead to partial degradation of the ER. This degradation takes place within four hours after exposure of cells to the SERD, indicating that it comes from destabilization of the ER protein. In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nonclinical analysis, we have tested the ability of OP-1250, fulvestrant, other CERANs and several non-CERAN SERDs to degrade ER across five different cell lines. As shown in Figure 21, after treatment of these cell lines for four hours, OP-1250 and other CERANs strongly degraded the estrogen receptor in all five ER+ cell lines, while non-CERANS demonstrated variable and inconsistent ER degradation. Of note, Estradiol, or E2, the prototypical agonist of ERa, degraded ERa in all five ER+ cell lines. In all cases, none of the compounds achieved full ER degradation, further supporting our belief that complete ER antagonism is independent from degradation and key to inactivating any remaining ER receptor.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21. CERAN/SERDs and SERM/SERDs are strong degraders of ERα across multiple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414655</wp:posOffset>
            </wp:positionV>
            <wp:extent cx="5194935" cy="132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9493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0" w:right="59"/>
        <w:spacing w:after="0" w:line="206" w:lineRule="exact"/>
        <w:rPr>
          <w:sz w:val="20"/>
          <w:szCs w:val="20"/>
          <w:color w:val="auto"/>
        </w:rPr>
      </w:pPr>
      <w:r>
        <w:rPr>
          <w:rFonts w:ascii="Arial" w:cs="Arial" w:eastAsia="Arial" w:hAnsi="Arial"/>
          <w:sz w:val="16"/>
          <w:szCs w:val="16"/>
          <w:i w:val="1"/>
          <w:iCs w:val="1"/>
          <w:color w:val="auto"/>
        </w:rPr>
        <w:t>Immunoblot of ERa across multiple ER+ cell lines. Cells were incubated with 300nM compounds for 4h in estrogen-depleted media. Shown here are the densitometry results of the immunoblot showing ER</w:t>
      </w:r>
      <w:r>
        <w:rPr>
          <w:rFonts w:ascii="Arial Unicode MS" w:cs="Arial Unicode MS" w:eastAsia="Arial Unicode MS" w:hAnsi="Arial Unicode MS"/>
          <w:sz w:val="16"/>
          <w:szCs w:val="16"/>
          <w:i w:val="1"/>
          <w:iCs w:val="1"/>
          <w:color w:val="auto"/>
        </w:rPr>
        <w:t>⍺</w:t>
      </w:r>
      <w:r>
        <w:rPr>
          <w:rFonts w:ascii="Arial" w:cs="Arial" w:eastAsia="Arial" w:hAnsi="Arial"/>
          <w:sz w:val="16"/>
          <w:szCs w:val="16"/>
          <w:i w:val="1"/>
          <w:iCs w:val="1"/>
          <w:color w:val="auto"/>
        </w:rPr>
        <w:t xml:space="preserve"> protein levels relative to vehicle-treated cells after normalizing ER</w:t>
      </w:r>
      <w:r>
        <w:rPr>
          <w:rFonts w:ascii="Arial Unicode MS" w:cs="Arial Unicode MS" w:eastAsia="Arial Unicode MS" w:hAnsi="Arial Unicode MS"/>
          <w:sz w:val="16"/>
          <w:szCs w:val="16"/>
          <w:i w:val="1"/>
          <w:iCs w:val="1"/>
          <w:color w:val="auto"/>
        </w:rPr>
        <w:t>⍺</w:t>
      </w:r>
      <w:r>
        <w:rPr>
          <w:rFonts w:ascii="Arial" w:cs="Arial" w:eastAsia="Arial" w:hAnsi="Arial"/>
          <w:sz w:val="16"/>
          <w:szCs w:val="16"/>
          <w:i w:val="1"/>
          <w:iCs w:val="1"/>
          <w:color w:val="auto"/>
        </w:rPr>
        <w:t xml:space="preserve"> to actin.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 anti-proliferative activity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nonclinical studies, we found that OP-1250 was a potent inhibitor of proliferation in multiple breast cancer cell lines. As shown in Figure 22 below, in a cell proliferation assay using CAMA-1 cells, a human breast cancer line, OP-1250 and other CERANs inhibited estrogen-driven proliferation to a greater degree than non-CERANs.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0" w:right="79"/>
        <w:spacing w:after="0" w:line="271" w:lineRule="auto"/>
        <w:rPr>
          <w:sz w:val="20"/>
          <w:szCs w:val="20"/>
          <w:color w:val="auto"/>
        </w:rPr>
      </w:pPr>
      <w:r>
        <w:rPr>
          <w:rFonts w:ascii="Arial" w:cs="Arial" w:eastAsia="Arial" w:hAnsi="Arial"/>
          <w:sz w:val="18"/>
          <w:szCs w:val="18"/>
          <w:b w:val="1"/>
          <w:bCs w:val="1"/>
          <w:color w:val="auto"/>
        </w:rPr>
        <w:t>Figure 22. OP-1250 and CERANs more completely block estrogen-driven breast cancer proliferation than non-CERANs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5297805" cy="4260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97805"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Proliferation of CAMA-1 breast cancer cells treated with antiestrogens for 6-8 days in the presence of 100pM E2 in E2-depleted media. Cell number was approximated using a DNA-binding dye. Shown are mean values normalized to E2 from 3 independent experiments.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 antagonist activity on both wild-type and mutant ER</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Treatment of breast cancers with AI therapy has been shown to lead to the development of resistance mutations in the ESR1 gene. These mutations are acquired during treatment and are found in less than 2% of untreated early- stage breast tumors but in 30-40% of metastatic tumors after treatment with AIs. More than 80% of mutations are found at three locations corresponding to amino acid residues 380, 537 and 538.</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These mutations result in resistance to many estrogen therapies. We assessed the ability of estrogen compounds to inhibit ER-dependent transcription in cell lines containing ER alleles with mutations that have been found in patients. We used alkaline phosphatase, which is encoded by a gene activated by the ER primarily through the AF1 transcriptional activation function and has an enzymatic activity that can be readily measured in cells, as a surrogate for ER driven target gene transcription. We tested two clinical stage SERD compounds: ARN-810, also known as GDC-0810, a discontinued compound previously in Phase 2 clinical development by Genentech; and AZD9496, an AstraZeneca compound that has presented Phase 1 data. Both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compounds were unable to fully inhibit the activity of the mutant ER. At the highest concentrations tested of approximately 1 μM, these compounds were unable to fully inhibit the alkaline phosphatase activity stimulated by the D538G mutation and had no activity in cells containing the Y537S mutation. In contrast, both OP-1250 and fulvestrant were able to fully inhibit the alkaline phosphatase activity in cells containing these mutations. These observations suggest that tumors that become resistant to other estrogen therapies may remain sensitive to OP-1250.</w:t>
      </w:r>
    </w:p>
    <w:p>
      <w:pPr>
        <w:spacing w:after="0" w:line="183" w:lineRule="exact"/>
        <w:rPr>
          <w:sz w:val="20"/>
          <w:szCs w:val="20"/>
          <w:color w:val="auto"/>
        </w:rPr>
      </w:pPr>
    </w:p>
    <w:p>
      <w:pPr>
        <w:jc w:val="center"/>
        <w:ind w:left="60" w:right="59"/>
        <w:spacing w:after="0" w:line="301" w:lineRule="auto"/>
        <w:rPr>
          <w:sz w:val="20"/>
          <w:szCs w:val="20"/>
          <w:color w:val="auto"/>
        </w:rPr>
      </w:pPr>
      <w:r>
        <w:rPr>
          <w:rFonts w:ascii="Arial" w:cs="Arial" w:eastAsia="Arial" w:hAnsi="Arial"/>
          <w:sz w:val="17"/>
          <w:szCs w:val="17"/>
          <w:b w:val="1"/>
          <w:bCs w:val="1"/>
          <w:color w:val="auto"/>
        </w:rPr>
        <w:t>Figure 23. Both OP-1250 and fulvestrant inhibit the activity of the ER containing mutations that commonly arise in breast cancer patients treated with other antiestrogen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5160645" cy="2717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6064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i w:val="1"/>
          <w:iCs w:val="1"/>
          <w:color w:val="auto"/>
        </w:rPr>
        <w:t>AP activity mediated by Y537S and D538G mutant ERa in an endometrial cell line. AP activity was assayed by treating transiently transfected Ishikawa cells with ligands in E2-depleted media for 3 days. Absorbance was read after incubation with a chromogenic substrate for AP. Shown are mean values normalized to vehicle, along with SEM from triplicate wells. The line labeled “endogenous” represents the mean AP activity of cells transfected with an empty vector, indicating the AP activity of the endogenous receptor. ARN-810, also known as GDC-0810, has been discontinued by Genentech.</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 tumor shrinkage in nonclinical models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OP-1250 shrank or eliminated tumors in a wide variety of xenograft models including in an ovariectomized mouse breast cancer model designed to mimic the endocrine environment of post-menopausal women using HCI- 013EI, an estrogen-independent patient-derived xenograft model containing a Y537S mutation. In this model, tumor growth occurred even in the absence of estrogen production due to the constitutive or always-on activity of the Y537S mutant ER protein. At daily oral doses of 3 mg/kg and higher, dosing with OP-1250 led to tumor reductions in all treated mice. In contrast, fulvestrant led to a detectable reduction in only two of the seven treated mice.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0" w:right="59"/>
        <w:spacing w:after="0" w:line="271" w:lineRule="auto"/>
        <w:rPr>
          <w:sz w:val="20"/>
          <w:szCs w:val="20"/>
          <w:color w:val="auto"/>
        </w:rPr>
      </w:pPr>
      <w:r>
        <w:rPr>
          <w:rFonts w:ascii="Arial" w:cs="Arial" w:eastAsia="Arial" w:hAnsi="Arial"/>
          <w:sz w:val="18"/>
          <w:szCs w:val="18"/>
          <w:b w:val="1"/>
          <w:bCs w:val="1"/>
          <w:color w:val="auto"/>
        </w:rPr>
        <w:t>Figure 24. OP-1250 has demonstrated robust tumor shrinkage in both ESR1 wild-type and mutant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111760</wp:posOffset>
            </wp:positionV>
            <wp:extent cx="5040630" cy="2966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4063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Change in tumor volume of HCI013EI patient-derived tumors, carrying the Y537S mutation in the ER and adapted to grow without estrogen, implanted in the mammary fat pad of non-obese diabetic, or NOD/SCID ovariectomized mice. Mice were treated with oral OP-1250 at the dose indicated, or with subcutaneous fulvestrant (Faslodex preparation). Bottom panel shows tumor size of each tumor measured with calipers at termination. Top panel shows mean tumor size of each treatment group of 8 over the course of the study.</w:t>
      </w:r>
    </w:p>
    <w:p>
      <w:pPr>
        <w:spacing w:after="0" w:line="19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6"/>
          <w:szCs w:val="16"/>
          <w:i w:val="1"/>
          <w:iCs w:val="1"/>
          <w:color w:val="auto"/>
        </w:rPr>
        <w:t>Change in tumor volume of various human xenograft tumors implanted in the mammary fat pad of ovary intact immunodeficient mice supplemented with estrogen releasing pellets and treated with the indicated dose of oral OP-1250, oral OP-1250 plus oral palbociclib, or subcutaneous fulvestrant (Faslodex preparation). Bottom panel of Figure 24 shows tumor size of each tumor measured with calipers at termination. Top panel shows mean tumor size of each treatment group of eight over the course of the study. HCC1500, wild type ER cell line implanted in NSG mice; ST941 patient derived xenograft, or PDX, model with Y537S ER in JAX nude mice; HCI013 PDX model with Y537S ER in NOD/SCID mice.</w:t>
      </w:r>
    </w:p>
    <w:p>
      <w:pPr>
        <w:spacing w:after="0" w:line="20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Daily oral dosing with OP-1250 led to tumor shrinkage in multiple xenograft models in mice with intact ovaries. These models included the HCC1500 cell line, which have wild-type ER and the ST941 and HCI-013 patient-derived xenograft models, both of which contain ERs that have the Y537S mutation. Similar to what was seen in the ovariectomized mouse model, OP-1250 demonstrated more potent antitumor activity than fulvestrant, which failed to consistently shrink tumors in any of these models.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Brain penetration</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There remains an unmet medical need in the treatment of patients with metastatic ER+/HER2- breast cancer that has spread to the brain. The challenges in treating brain metastasis are multifactorial and likely include the presence of resistance mutations and the inability to achieve efficacious levels of effective drugs in brain tissue. In mice, we found that OP-1250 reached drug levels in the brain as high as 50% greater than in plasma. Combined with the ability to achieve higher drug levels with OP-1250, due to its improved PK properties, than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fulvestrant, we found that we could obtain brain exposure to concentrations of OP-1250 that were greater than 30 times that of fulvestrant.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25. OP-1250 demonstrated robust CNS penetration in the mouse brain</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Brain</w:t>
            </w:r>
          </w:p>
        </w:tc>
        <w:tc>
          <w:tcPr>
            <w:tcW w:w="18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980" w:type="dxa"/>
            <w:vAlign w:val="bottom"/>
          </w:tcPr>
          <w:p>
            <w:pPr>
              <w:jc w:val="right"/>
              <w:ind w:right="55"/>
              <w:spacing w:after="0"/>
              <w:rPr>
                <w:sz w:val="20"/>
                <w:szCs w:val="20"/>
                <w:color w:val="auto"/>
              </w:rPr>
            </w:pPr>
            <w:r>
              <w:rPr>
                <w:rFonts w:ascii="Arial" w:cs="Arial" w:eastAsia="Arial" w:hAnsi="Arial"/>
                <w:sz w:val="14"/>
                <w:szCs w:val="14"/>
                <w:b w:val="1"/>
                <w:bCs w:val="1"/>
                <w:color w:val="auto"/>
              </w:rPr>
              <w:t>Dose</w:t>
            </w:r>
          </w:p>
        </w:tc>
        <w:tc>
          <w:tcPr>
            <w:tcW w:w="1220" w:type="dxa"/>
            <w:vAlign w:val="bottom"/>
          </w:tcPr>
          <w:p>
            <w:pPr>
              <w:jc w:val="right"/>
              <w:ind w:right="37"/>
              <w:spacing w:after="0"/>
              <w:rPr>
                <w:sz w:val="20"/>
                <w:szCs w:val="20"/>
                <w:color w:val="auto"/>
              </w:rPr>
            </w:pPr>
            <w:r>
              <w:rPr>
                <w:rFonts w:ascii="Arial" w:cs="Arial" w:eastAsia="Arial" w:hAnsi="Arial"/>
                <w:sz w:val="14"/>
                <w:szCs w:val="14"/>
                <w:b w:val="1"/>
                <w:bCs w:val="1"/>
                <w:color w:val="auto"/>
              </w:rPr>
              <w:t>Concentration</w:t>
            </w:r>
          </w:p>
        </w:tc>
        <w:tc>
          <w:tcPr>
            <w:tcW w:w="1820" w:type="dxa"/>
            <w:vAlign w:val="bottom"/>
          </w:tcPr>
          <w:p>
            <w:pPr>
              <w:jc w:val="right"/>
              <w:ind w:right="55"/>
              <w:spacing w:after="0"/>
              <w:rPr>
                <w:sz w:val="20"/>
                <w:szCs w:val="20"/>
                <w:color w:val="auto"/>
              </w:rPr>
            </w:pPr>
            <w:r>
              <w:rPr>
                <w:rFonts w:ascii="Arial" w:cs="Arial" w:eastAsia="Arial" w:hAnsi="Arial"/>
                <w:sz w:val="14"/>
                <w:szCs w:val="14"/>
                <w:b w:val="1"/>
                <w:bCs w:val="1"/>
                <w:color w:val="auto"/>
              </w:rPr>
              <w:t>Plasma</w:t>
            </w:r>
          </w:p>
        </w:tc>
        <w:tc>
          <w:tcPr>
            <w:tcW w:w="1660" w:type="dxa"/>
            <w:vAlign w:val="bottom"/>
          </w:tcPr>
          <w:p>
            <w:pPr>
              <w:spacing w:after="0"/>
              <w:rPr>
                <w:sz w:val="14"/>
                <w:szCs w:val="14"/>
                <w:color w:val="auto"/>
              </w:rPr>
            </w:pPr>
          </w:p>
        </w:tc>
      </w:tr>
      <w:tr>
        <w:trPr>
          <w:trHeight w:val="17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Treatment</w:t>
            </w:r>
          </w:p>
        </w:tc>
        <w:tc>
          <w:tcPr>
            <w:tcW w:w="19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(mg/kg)</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(ng/g)</w:t>
            </w:r>
          </w:p>
        </w:tc>
        <w:tc>
          <w:tcPr>
            <w:tcW w:w="1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Concentration (ng/mL)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Brain to Plasma Ratio</w:t>
            </w:r>
          </w:p>
        </w:tc>
      </w:tr>
      <w:tr>
        <w:trPr>
          <w:trHeight w:val="209"/>
        </w:trPr>
        <w:tc>
          <w:tcPr>
            <w:tcW w:w="222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OP</w:t>
            </w:r>
            <w:r>
              <w:rPr>
                <w:rFonts w:ascii="MS PGothic" w:cs="MS PGothic" w:eastAsia="MS PGothic" w:hAnsi="MS PGothic"/>
                <w:sz w:val="18"/>
                <w:szCs w:val="18"/>
                <w:color w:val="auto"/>
              </w:rPr>
              <w:t>‑</w:t>
            </w:r>
            <w:r>
              <w:rPr>
                <w:rFonts w:ascii="Arial" w:cs="Arial" w:eastAsia="Arial" w:hAnsi="Arial"/>
                <w:sz w:val="18"/>
                <w:szCs w:val="18"/>
                <w:color w:val="auto"/>
              </w:rPr>
              <w:t>1250</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w:t>
            </w:r>
          </w:p>
        </w:tc>
        <w:tc>
          <w:tcPr>
            <w:tcW w:w="1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2220" w:type="dxa"/>
            <w:vAlign w:val="bottom"/>
          </w:tcPr>
          <w:p>
            <w:pPr>
              <w:ind w:left="20"/>
              <w:spacing w:after="0" w:line="207" w:lineRule="exact"/>
              <w:rPr>
                <w:sz w:val="20"/>
                <w:szCs w:val="20"/>
                <w:color w:val="auto"/>
              </w:rPr>
            </w:pPr>
            <w:r>
              <w:rPr>
                <w:rFonts w:ascii="Arial" w:cs="Arial" w:eastAsia="Arial" w:hAnsi="Arial"/>
                <w:sz w:val="18"/>
                <w:szCs w:val="18"/>
                <w:color w:val="auto"/>
              </w:rPr>
              <w:t>OP</w:t>
            </w:r>
            <w:r>
              <w:rPr>
                <w:rFonts w:ascii="MS PGothic" w:cs="MS PGothic" w:eastAsia="MS PGothic" w:hAnsi="MS PGothic"/>
                <w:sz w:val="18"/>
                <w:szCs w:val="18"/>
                <w:color w:val="auto"/>
              </w:rPr>
              <w:t>‑</w:t>
            </w:r>
            <w:r>
              <w:rPr>
                <w:rFonts w:ascii="Arial" w:cs="Arial" w:eastAsia="Arial" w:hAnsi="Arial"/>
                <w:sz w:val="18"/>
                <w:szCs w:val="18"/>
                <w:color w:val="auto"/>
              </w:rPr>
              <w:t>1250</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45</w:t>
            </w:r>
          </w:p>
        </w:tc>
        <w:tc>
          <w:tcPr>
            <w:tcW w:w="1820" w:type="dxa"/>
            <w:vAlign w:val="bottom"/>
          </w:tcPr>
          <w:p>
            <w:pPr>
              <w:jc w:val="right"/>
              <w:ind w:right="75"/>
              <w:spacing w:after="0"/>
              <w:rPr>
                <w:sz w:val="20"/>
                <w:szCs w:val="20"/>
                <w:color w:val="auto"/>
              </w:rPr>
            </w:pPr>
            <w:r>
              <w:rPr>
                <w:rFonts w:ascii="Arial" w:cs="Arial" w:eastAsia="Arial" w:hAnsi="Arial"/>
                <w:sz w:val="18"/>
                <w:szCs w:val="18"/>
                <w:color w:val="auto"/>
              </w:rPr>
              <w:t>54</w:t>
            </w:r>
          </w:p>
        </w:tc>
        <w:tc>
          <w:tcPr>
            <w:tcW w:w="16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222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OP</w:t>
            </w:r>
            <w:r>
              <w:rPr>
                <w:rFonts w:ascii="MS PGothic" w:cs="MS PGothic" w:eastAsia="MS PGothic" w:hAnsi="MS PGothic"/>
                <w:sz w:val="18"/>
                <w:szCs w:val="18"/>
                <w:color w:val="auto"/>
              </w:rPr>
              <w:t>‑</w:t>
            </w:r>
            <w:r>
              <w:rPr>
                <w:rFonts w:ascii="Arial" w:cs="Arial" w:eastAsia="Arial" w:hAnsi="Arial"/>
                <w:sz w:val="18"/>
                <w:szCs w:val="18"/>
                <w:color w:val="auto"/>
              </w:rPr>
              <w:t>1250</w:t>
            </w:r>
          </w:p>
        </w:tc>
        <w:tc>
          <w:tcPr>
            <w:tcW w:w="1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499</w:t>
            </w:r>
          </w:p>
        </w:tc>
        <w:tc>
          <w:tcPr>
            <w:tcW w:w="1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20" w:type="dxa"/>
            <w:vAlign w:val="bottom"/>
          </w:tcPr>
          <w:p>
            <w:pPr>
              <w:ind w:left="20"/>
              <w:spacing w:after="0" w:line="207" w:lineRule="exact"/>
              <w:rPr>
                <w:sz w:val="20"/>
                <w:szCs w:val="20"/>
                <w:color w:val="auto"/>
              </w:rPr>
            </w:pPr>
            <w:r>
              <w:rPr>
                <w:rFonts w:ascii="Arial" w:cs="Arial" w:eastAsia="Arial" w:hAnsi="Arial"/>
                <w:sz w:val="18"/>
                <w:szCs w:val="18"/>
                <w:color w:val="auto"/>
              </w:rPr>
              <w:t>OP</w:t>
            </w:r>
            <w:r>
              <w:rPr>
                <w:rFonts w:ascii="MS PGothic" w:cs="MS PGothic" w:eastAsia="MS PGothic" w:hAnsi="MS PGothic"/>
                <w:sz w:val="18"/>
                <w:szCs w:val="18"/>
                <w:color w:val="auto"/>
              </w:rPr>
              <w:t>‑</w:t>
            </w:r>
            <w:r>
              <w:rPr>
                <w:rFonts w:ascii="Arial" w:cs="Arial" w:eastAsia="Arial" w:hAnsi="Arial"/>
                <w:sz w:val="18"/>
                <w:szCs w:val="18"/>
                <w:color w:val="auto"/>
              </w:rPr>
              <w:t>1250</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1,920</w:t>
            </w:r>
          </w:p>
        </w:tc>
        <w:tc>
          <w:tcPr>
            <w:tcW w:w="1820" w:type="dxa"/>
            <w:vAlign w:val="bottom"/>
          </w:tcPr>
          <w:p>
            <w:pPr>
              <w:jc w:val="right"/>
              <w:ind w:right="75"/>
              <w:spacing w:after="0"/>
              <w:rPr>
                <w:sz w:val="20"/>
                <w:szCs w:val="20"/>
                <w:color w:val="auto"/>
              </w:rPr>
            </w:pPr>
            <w:r>
              <w:rPr>
                <w:rFonts w:ascii="Arial" w:cs="Arial" w:eastAsia="Arial" w:hAnsi="Arial"/>
                <w:sz w:val="18"/>
                <w:szCs w:val="18"/>
                <w:color w:val="auto"/>
              </w:rPr>
              <w:t>1,226</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3"/>
        </w:trPr>
        <w:tc>
          <w:tcPr>
            <w:tcW w:w="222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Fulvestrant</w:t>
            </w:r>
          </w:p>
        </w:tc>
        <w:tc>
          <w:tcPr>
            <w:tcW w:w="198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50/25</w:t>
            </w:r>
          </w:p>
        </w:tc>
        <w:tc>
          <w:tcPr>
            <w:tcW w:w="1220" w:type="dxa"/>
            <w:vAlign w:val="bottom"/>
            <w:tcBorders>
              <w:bottom w:val="single" w:sz="8" w:color="auto"/>
            </w:tcBorders>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60</w:t>
            </w:r>
          </w:p>
        </w:tc>
        <w:tc>
          <w:tcPr>
            <w:tcW w:w="182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69</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OP-1250 was dosed daily orally by gavage in the mouse. Plasma levels were measured by HPLC. Cranial tissue samples removed surgically, weighed, macerated, and extracted to determine the concentration of OP-1250.</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OP-1250 was effective in an intracranial xenograft brain metastasis model, in which ST941 tumor cells expressing mutant ESR1-Y537S receptors were implanted directly into the brain by stereotactic surgery. Tumors were stimulated with estrogen and allowed to grow for two or three weeks and their presence in the brain confirmed by MRI. The mice were then treated with one of the following: vehicle control; vehicle control with ovariectomy; 5 mg/mouse fulvestrant; 60 mg/kg tamoxifen; 10 mg/kg OP-1250; or 10 mg/kg OP-1250 in combination with 75 mg/kg ribociclib, a CDK4/6 inhibitor known to cross the blood brain barrier. Mice were treated once daily for up to 100 days and followed for tumor size with MRI and survival.</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shown in the figures below, OP-1250 shrank tumors in a preclinical intracranial xenograft metastatic tumor model expressing mutant estrogen receptor ESR1-Y537S. All tumors responded to OP-1250 treatment. At 100 days, tumors in mice treated with 10 mg/kg OP-1250 or the combination of 10 mg/kg OP-1250 and 75 mg/kg ribociclib remained small or undetectable while tumors in mice treated with fulvestrant and tamoxifen had started to grow. Further, treatment with OP-1250 alone or in combination with ribociclib prevented death in all animals at day 120 while the vast majority of untreated animals died by day 25. We believe that the ability of OP-1250 to eradicate brain metastasis in mice demonstrates that OP-1250 may have the potential to advance the treatment of patients with breast cancer with brain metastases.</w:t>
      </w:r>
    </w:p>
    <w:p>
      <w:pPr>
        <w:spacing w:after="0" w:line="186" w:lineRule="exact"/>
        <w:rPr>
          <w:sz w:val="20"/>
          <w:szCs w:val="20"/>
          <w:color w:val="auto"/>
        </w:rPr>
      </w:pPr>
    </w:p>
    <w:p>
      <w:pPr>
        <w:jc w:val="center"/>
        <w:ind w:left="40" w:right="59"/>
        <w:spacing w:after="0" w:line="301" w:lineRule="auto"/>
        <w:rPr>
          <w:sz w:val="20"/>
          <w:szCs w:val="20"/>
          <w:color w:val="auto"/>
        </w:rPr>
      </w:pPr>
      <w:r>
        <w:rPr>
          <w:rFonts w:ascii="Arial" w:cs="Arial" w:eastAsia="Arial" w:hAnsi="Arial"/>
          <w:sz w:val="17"/>
          <w:szCs w:val="17"/>
          <w:b w:val="1"/>
          <w:bCs w:val="1"/>
          <w:color w:val="auto"/>
        </w:rPr>
        <w:t>Figure 26: Treatment with 10 mg/kg OP-1250 was superior to tamoxifen, fulvestrant and ovariectomy in shrinking mutant ESR1-Y537S tumors in an intracranial model of ER+ breast cancer brain metastasis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97790</wp:posOffset>
            </wp:positionV>
            <wp:extent cx="5349240" cy="1894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27. Treatment with OP-1250 led to long-term survival in a xenograft model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breast cancer brain metastases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134620</wp:posOffset>
            </wp:positionV>
            <wp:extent cx="4080510" cy="256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805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Combinations with other breast cancer therapies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in most other solid tumors, effective antitumor activity often requires the use of combination therapy. In the case of ER+ breast cancer, for example, activation of the CDK4/6 pathway is associated with resistance to fulvestrant and CDK4/6 inhibitors are routinely used in combination with fulvestrant. We observed that OP-1250 in combination with three different CDK4/6 inhibitors resulted in increased inhibition of MCF-7 cell proliferation as did OP-1250 in combination with the PI3Ka inhibitor alpelisib in T47D cells.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28. The combination of OP-1250 and CDK4/6 inhibitors resulted in potent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anti-proliferative activity in MCF-7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520690" cy="2057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069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 vitro cell proliferation experiment measuring DNA content after 7-day treatment of MCF-7 breast cancer cells with ligands in the presence of 100 pM E2. Shown are mean values normalized to vehicle (+E2), along with SEM from triplicate wells.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29. The combination of OP-1250 and PI3Ka inhibitors resulted in potent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anti-proliferative activity in T47D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134620</wp:posOffset>
            </wp:positionV>
            <wp:extent cx="2383155" cy="2468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831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 vitro cell proliferation experiment measuring DNA content after 6-day treatment of T47D breast cancer cells with ligands in the presence of 100 pM E2. Shown are increasing concentrations of alpelisib with three different concentrations of OP-1250, mean values normalized to vehicle (+E2), and SEM from triplicate wells.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ER+/HER2+ breast cancer</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favorable efficacy profile of OP-1250 in the Phase 1a dose-escalation portion of the ongoing Phase 1/2 clinical study of OP-1250 for the treatment of ER+/HER2- breast cancer, we have shown that OP-1250 can also function in combination with HER2 inhibition in ER+/HER2+ breast cancer cell lines and patient-derived xenograft models. The HER2 oncogene is overexpressed in approximately 25% of breast cancer tumors, about half of which also express ER, and HER2+ tumors have a high rate of brain metastasis. In three ER+/HER2+ cell lines, treatment with OP-1250 reversed the increase in cellular growth induced by treatment with E2 and combined effectively at some dose ranges with the HER2 inhibitor tucatinib.</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Figure 30. OP-1250 inhibits estrogen receptor-driven proliferation in ER+/HER2+ breast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148590</wp:posOffset>
            </wp:positionV>
            <wp:extent cx="5143500" cy="1242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Proliferation assays of three ER+/HER2+ cell lines treated for 7 days with OP-1250, tucatinib, or the equimolar combination in stripped serum media supplemented with 500 pM estradiol. All cell lines demonstrate reduction in proliferation with OP-1250 treatment and efficacy of combined compound treatment.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OP-1250 also reduced growth of ER+/HER2+ cell lines or patient-derived xenograft models in mouse xenograft studies. Cells were implanted either subcutaneously or in the mammary fat pad and allowed to establish a tumor prior to dosing with OP-1250 and/or HER2 inhibitors tucatinib and trastuzumab. OP-1250 treatment demonstrated reduced tumor growth in combination with both individual HER2 inhibitors and dual HER2 therapy using both tucatinib and trastuzumab.</w:t>
      </w:r>
    </w:p>
    <w:p>
      <w:pPr>
        <w:spacing w:after="0" w:line="180" w:lineRule="exact"/>
        <w:rPr>
          <w:sz w:val="20"/>
          <w:szCs w:val="20"/>
          <w:color w:val="auto"/>
        </w:rPr>
      </w:pPr>
    </w:p>
    <w:p>
      <w:pPr>
        <w:jc w:val="center"/>
        <w:ind w:left="60" w:right="59"/>
        <w:spacing w:after="0" w:line="271" w:lineRule="auto"/>
        <w:rPr>
          <w:sz w:val="20"/>
          <w:szCs w:val="20"/>
          <w:color w:val="auto"/>
        </w:rPr>
      </w:pPr>
      <w:r>
        <w:rPr>
          <w:rFonts w:ascii="Arial" w:cs="Arial" w:eastAsia="Arial" w:hAnsi="Arial"/>
          <w:sz w:val="18"/>
          <w:szCs w:val="18"/>
          <w:b w:val="1"/>
          <w:bCs w:val="1"/>
          <w:color w:val="auto"/>
        </w:rPr>
        <w:t>Figure 31. The addition of OP-1250 to HER2 inhibitors Tucatinib and Trastuzumab enhances tumor growth inhibition in ER+/HER2+ cell line or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111760</wp:posOffset>
            </wp:positionV>
            <wp:extent cx="5554980" cy="1345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Xenograft studies of ER+/HER2+ cell line or patient-derived xenograft (PDX) treated with OP-1250 and HER2 inhibitors. Left, tumor volume of BT-474 cell line implanted into the mammary fat pad of NSG mice. Right, tumor growth of CTG-3266 PDX model implanted subcutaneously into nude mice. OP-1250 treatment inhibited growth in both models in combination with HER2 inhibitors. Animals were dosed orally with OP-1250 and tucatinib, and by intraperitoneal injection with trastuzumab at the doses listed.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nonclinical properties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OP-1250’s oral formulation and dual mechanism of action directly address the limitations of current endocrine therapies, such as fulvestrant and tamoxifen, and position OP-1250 as a potential endocrine therapy of choice for the treatment of ER+ breast cancers. We have demonstrated in nonclinical studies that OP-1250 functions both as a CERAN and a SERD, but is distinguished from fulvestrant in several noteworthy ways, including:</w:t>
      </w:r>
    </w:p>
    <w:p>
      <w:pPr>
        <w:spacing w:after="0" w:line="202" w:lineRule="exact"/>
        <w:rPr>
          <w:sz w:val="20"/>
          <w:szCs w:val="20"/>
          <w:color w:val="auto"/>
        </w:rPr>
      </w:pPr>
    </w:p>
    <w:p>
      <w:pPr>
        <w:jc w:val="both"/>
        <w:ind w:left="720" w:right="7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OP-1250 has favorable biodistribution properties leading to higher drug concentrations in the plasma and tumor than those achieved with fulvestrant, as shown in a head-to-head mouse xenograft study; and</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OP-1250 has demonstrated the ability to shrink tumors in head-to-head nonclinical studies with fulvestrant, in contrast to fulvestrant, which has only been shown to inhibit tumor growth.</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OP-1250 has the potential to improve clinical outcomes for patients with metastatic breast cancer, initially for patients who have previously received endocrine therapy, as well as those who are treatment naïve in the metastatic setting. Additionally, given the differentiated product profile, we believe that OP-1250 has the potential to advance into the adjuvant setting for early-stage ER+ breast cancer.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Trial Collaboration and Supply Agreement with Novartis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July 2020, we entered into a non-exclusive Clinical Collaboration and Supply Agreement, or the Novartis Agreement, with Novartis. The collaboration is focused on the evaluation of the safety, tolerability and efficacy of OP-1250 in combination with Novartis’ proprietary CDK4/6 inhibitor KISQALI® (ribociclib) and/or Novartis’ proprietary phosphatidylinositol 3-kinase inhibitor PIQRAY® (alpelisib), or collectively the Novartis Study Drugs, as part of our planned Phase 1b clinical study of OP-1250 in patients with metastatic ER+ breast cancer. We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will be responsible for the conduct of the clinical studies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studies for the combined therapies (other than those specific to each component study drug), will be jointly owned by the parties.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responsible for manufacturing, packaging and labeling OP-1250, and for packaging and labeling all drugs used in the clinical studies for the combined therapies (other than the Novartis Study Drugs). Novartis is responsible for manufacturing and delivering to us the Novartis Study Drugs in such quantities as reasonably needed for the clinical studies for the combined therapies. In accordance with an agreed budget, Novartis will reimburse us for a majority of the direct outside costs, but no more than an amount in the low single digit millions of U.S. dollars, that we incur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we may terminate the Novartis Agreement in the event we terminate all clinical studies of the combined therapies other than due to a material safety issue or upon a clinical hold.</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Novartis Agreement does not grant any right of first negotiation to participate in future clinical trials, and each of the parties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or with other parties.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Trial Agreement with Pfizer</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2020, we entered into a non-exclusive clinical trial agreement with Pfizer, or the Pfizer Agreement, to evaluate the safety and tolerability of OP-1250 in combination with Pfizer’s proprietary CDK4/6 inhibitor IBRANCE® (palbociclib) in patients with recurrent, locally advanced or metastatic ER+/HER2- breast cancer in a clinical trial. Under the terms of the non-exclusive agreement, we will be responsible for conducting the clinical study for the combined therapies and Pfizer is responsible for supplying IBRANCE® to us at no cost to us. As part of the collaboration, the parties granted to each other a non-exclusive, royalty- free license under certain of the parties’ respective patent rights in the combination of IBRANCE® and OP-1250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studies for the combined therapies.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enrolled in the clinical studies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studies, and each of the parties retains all rights and ability to evaluate their respective compounds.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License Agreement with Aurigene</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June 2022, we entered into an exclusive global license agreement with Aurigene Discovery Technologies Limited, or Aurigene, to research, develop and commercialize novel small molecule inhibitors of an undisclosed oncology target, or the Aurigene Agreement.</w:t>
      </w:r>
    </w:p>
    <w:p>
      <w:pPr>
        <w:spacing w:after="0" w:line="24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Under the terms of the Aurigene Agreement, Aurigene will provide to us an exclusive license to its portfolio of novel small molecule inhibitors of the target. Financial terms of the Aurigene Agreement include a $ 8.0 million upfront payment from us for rights to a pre-existing Aurigene program and potential future milestone payments of up to $60.0 million in clinical development and regulatory milestones, and up to $370.0 million in commercial milestones. Aurigene is also eligible to receive mid-single-digit to low double-digit royalties on product sales, if any. During the research term, we will contribute funding to Aurigene to facilitate Aurigene’s ongoing discovery efforts. We and Aurigene will jointly direct further preclinical work and, if successful, we will lead clinical development as well as regulatory and commercial activities. We and Aurigene jointly own collaboration compounds and rights to any inventions made during the research term.</w:t>
      </w:r>
    </w:p>
    <w:p>
      <w:pPr>
        <w:spacing w:after="0" w:line="24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us for convenience, in our sole discretion, upon prior written notice to Aurigene, (b) by either us or Aurigene in connection with the other party’s uncured material breach or (c) by either us or Aurigene in connection with the insolvency of the other party.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success depends, in part, on our ability to obtain, maintain and protect our intellectual property and other proprietary rights for OP-1250 and any future product candidates and other discoveries, inventions, trade secrets and know-how that are critical to our business operations. Our success also depends in part on our ability to operate without infringing, misappropriating or otherwise violating the intellectual property and proprietary rights of others, and in part, on our ability to prevent others from infringing, misappropriating or otherwise violating our intellectual property and proprietary rights. A comprehensive discussion on risks relating to intellectual property is provided under the section titled “Risk Factors—Risks Related to Our Intellectual Property.”</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Intellectual property rights relevant to pharmaceutical companies typically include a combination of patent rights, regulatory exclusivities, trademark rights, and trade secret protection. Our success depends, in part, on our ability to secure and enforce each of these types of intellectual property rights.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part on our success in obtaining, defending and enforcing patent claims that cover our technology, inventions, and improvements. 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utility patents have a presumptive term of 20 years from their effective filing date (which is the earliest non-provisional filing date to which the patent claims priority). However, many jurisdictions, including the United States, require the payment of periodic annuities or maintenance fees for patents to remain in force for the full 20-year term. The United States also has provisions that require a patent term to be shortened if its claims are too similar to another patent owned by the same party that has a shorter term. The term of a patent, and the protection it affords, is therefore limited and once the patent term of our issued patents has expired, we may face competition. Because of the extensive time required for clinical development and regulatory review of the drugs we develop, it is possible that, before OP-1250 or any future product candidates we may develop can be commercialized, any related patent may expire or remain in force for only a short period following commercialization, thereby reducing any advantage of any such patent.</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United States and certain other jurisdictions also have provisions that permit extension of patent term for patents that claim a drug or drug product, or its approved use, if the patent was issued before clinical trials and were completed and regulatory approval secured, so long as certain specific requirements were satisfied. In the United States, such extension associated with regulatory approval is called a Patent Term Extension, or PTE, and it is limited to a maximum of five years, or less if the extended patent term would exceed 14 years after the date of regulatory approval. Only one patent can receive regulatory extension (e.g., PTE) per product approval.</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20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 provisional patent application can establish a priority date for a patent, but only if certain deadlines and procedures are met. Specifically, a non-provisional application must be filed within 12 months of the provisional filing date, and such non-provisional filing must be made by an applicant who has properly documented its right to claim priority. Furthermore, if any changes are made to the application between the provisional and the non-provisional filings, the changed material may not be entitled to the priority filing date. Still further, in the biopharmaceutical industry, it is common for applicants to file a so-called “international” patent application under the Patent Cooperation Treaty, or PCT, as a non-provisional filing. Such an international application, often referred to as a “PCT application,” like a provisional application, cannot itself issue as a patent but rather preserves the applicant’s right to pursue patent filings in individual countries, which patent filings are referred to as “national applications” or “national phase filings” and can claim the benefit of priority to the prior PCT application (which may in turn claim priority to the prior provisional filing). For most jurisdictions, national phase applications claiming priority to a PCT application must be filed within 30 to 32 months of the PCT’s earliest priority date. If we fail to meet the deadline for filing non-provisional or national phase applications, or fail to complete all procedural requirements associated with such filings, we may lose our right to claim priority.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even if we comply with all deadlines and requirements, we may not be able to issue patents in relevant jurisdictions, and furthermore cannot predict whether any patents that might issue will provide us with any competitive advantage.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granted patents and pending applications relating to OP-1250, including granted claims that encompass the OP-1250 compound, pharmaceutical compositions that include OP-1250, and certain methods of using OP-1250, including in treatment which may involve combination therapy. The 20-year term for these patents expires in 2036. In the United States, it is uncertain whether any PTE will be available, and if so, how much. Additional applications are pending, including ones that relate to dosing regimens and treatment of particular cancers and patient populations, and, if granted, will have 20-year terms that expire between 2040 and 2043.</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Certain patents related to OP-1250 may be eligible for PTE in certain jurisdictions, including the United States and Europe, upon approval of a commercial use of the corresponding product by a regulatory agency in the jurisdiction where the patent was granted. However, there can be no assurance that we will receive or benefit from any PTE with respect to such patents.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patent term extension regulatory exclusivities, pharmaceutical marketing approval agencies, such as the FDA and the EMA, offer certain data exclusivities for first-approved products with a new chemical entity, or NCE, exclusivity, and/or for approvals related to orphan indications, or Orphan Drug designation, and/or pediatric approvals, or Pediatric Exclusivity.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Furthermore, as OP-1250 has not previously been approved in the United States for any indication, OP-1250 may be eligible for five years of NCE exclusivity upon its first approval. Should that approval be for an orphan indication for which we have received Orphan Drug designation, the NCE and Orphan Drug exclusivity would run concurrently.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With respect to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OP-1250 or any future product candidates and the methods used to manufacture them. Moreover, any issued patents and those that may issue in the future may not guarantee us the right to practice our technology in relation to the commercialization of OP-1250 or any future product candidates. Any patents and those that may issue in the future may be challenged, narrowed, circumvented or invalidated, which could limit our ability to stop competitors from marketing related product candidates or limit the length of the term of patent protection that we may have for OP-1250 or any future product candidates. In addition, the rights granted under any issued patents may not provide us with complete protection or competitive advantages against competitors with similar products to ours. For information regarding risks related to intellectual property, see the section titled “Risk Factors—Risks Related to Our Intellectual Property.”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also applied to register the “Olema,” “Olema Oncology,” “Olema Oncology and design,” and “Olema Therapeutics” trademarks with the USPTO. We do not currently own any U.S. registered trademarks for our brand or trade names.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patent, regulatory exclusivity, and trademark, we rely on trade secret and know-how protection to secure our proprietary position around our chemistry, technology and other discoveries and inventions that we consider important to our business.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also seek to protect our intellectual property, including our trade secrets and know-how,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 However, trade secrets and know-how can be difficult to protect. We cannot guarantee that we have entered into such agreements with each party that may have or have had access to our trade secrets or proprietary technology and processes or that these agreements will afford us adequate protection of our intellectual property and proprietary rights. Despite these efforts, any of these parties may breach the agreements and disclose our proprietary information, including our trade secrets, and we may not be able to obtain adequate remedies for such breaches. In addition, our trade secrets may otherwise become known or be independently discovered by competitors. For information regarding risks related to intellectual property, see the section titled “Risk Factors—Risks Related to Our Intellectual Property.”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any approved products. We intend to continue evaluating opportunities to work with partners that enhance our capabilities with respect to the development and commercialization of OP-1250. In addition, we intend to commercialize our product candidates, if approved, in key markets either alone or with partners in order to maximize the worldwide commercial potential of our programs.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currently do not own or operate any manufacturing facilities. We rely, and expect to continue to rely for the foreseeable future, on third-party contract manufacturing organizations, or CMOs, to produce OP-1250 for nonclinical and clinical testing, as well as for commercial manufacture if OP-1250 receives marketing approval. We require that our CMOs produce bulk drug substances and finished drug products in accordance with current Good Manufacturing Practices, or cGMPs, and all other applicable laws and regulations. We maintain agreements with our manufacturers that include confidentiality and intellectual property provisions to protect our proprietary rights related to OP-1250.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engaged CMOs to manufacture and package OP-1250 for nonclinical and clinical use. Additional CMOs are used to label and distribute OP-1250 for clinical use. We obtain our supplies from these CMOs on a purchase order basis and do not have long-term supply arrangements in place. Although we do not currently have contractual arrangements in place for redundant supply for OP-1250, it is our goal to identify and contract with at least two manufacturers for active pharmaceutical ingredient and two manufacturers for drug product. More broadly, for OP-1250 and any other product candidates we may develop, we intend to identify and qualify additional manufacturers to provide the active pharmaceutical ingredient and fill-and-finish services prior to seeking regulatory approval.</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nonclinical testing, conducting clinical trials, obtaining regulatory approvals and marketing approved products than we do. Mergers and acquisitions in the pharmaceutical, biotechnology and oncology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less expensive than any products we may develop. Our competitors also may obtain FDA or other regulatory approval for their product candidates more rapidly than we may obtain approval for ours, which could result in competitors establishing a strong market position before we are able to enter the market. We believe that the key competitive factors affecting the success of any of our product candidates, if approved, will include efficacy, combinability, safety profile, convenience, cost, level of promotional activity devoted to them and intellectual property protection.</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the product candidates for our priority programs are approved for the indications we are currently targeting, they will compete with the products discussed below. Furthermore, it is possible that other companies are also engaged in discovery or nonclinical development of product candidates for the same indications. These competitors, if successful in clinical development, may achieve regulatory approval and market adoption in advance of our product candidates, constraining our ability to gain significant market share for such product candidates. In addition, our product candidates, if approved, will complete with multiple approved products or products that may be approved for future indications for which we develop such product candidate.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23" w:lineRule="auto"/>
        <w:rPr>
          <w:sz w:val="20"/>
          <w:szCs w:val="20"/>
          <w:color w:val="auto"/>
        </w:rPr>
      </w:pPr>
      <w:r>
        <w:rPr>
          <w:rFonts w:ascii="Arial" w:cs="Arial" w:eastAsia="Arial" w:hAnsi="Arial"/>
          <w:sz w:val="18"/>
          <w:szCs w:val="18"/>
          <w:color w:val="auto"/>
        </w:rPr>
        <w:t>There are several currently marketed drugs and product candidates currently in development for the treatment of ER+ breast cancer that target the estrogen receptor that may compete with OP-1250: including fulvestrant, marketed as Faslodex® by AstraZeneca PLC and or any generic equivalents of Faslodex® that are marketed or in development; elacestrant, marketed as ORSERDU</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ARV-471, being developed by Arvinas, Inc.; and lasofoxifene, being developed by Sermonix Pharmaceuticals.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204" w:lineRule="exact"/>
        <w:rPr>
          <w:sz w:val="20"/>
          <w:szCs w:val="20"/>
          <w:color w:val="auto"/>
        </w:rPr>
      </w:pPr>
    </w:p>
    <w:p>
      <w:pPr>
        <w:jc w:val="both"/>
        <w:ind w:left="720" w:right="79"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nonclinical animal studies and formulation studies in accordance with applicable regulations, including the FDA’s Good Laboratory Practices, or GLP, regulations and other applicable regulations;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399"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regulations, including the FDA’s current good clinical practice, or GCP, regulations to establish the safety and efficacy of the proposed drug for its proposed indication;</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for a new drug;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nonclinical and/or clinical trial sites that generated the data in support of the NDA;</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9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nonclinical testing stage. Nonclinical tests include laboratory evaluations of product chemistry, toxicity and formulation, as well as animal studies, to assess the characteristics and potential safety and activity of the drug candidate. The conduct of the nonclinical tests must comply with federal regulations and requirements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nonclinical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may be placed on clinical hold and the IND sponsor and the FDA must resolve any outstanding concerns or questions before the clinical trial can begin. The FDA may also impose clinical holds on a drug candidate at any time before or during clinical trials due to safety concerns or non-compliance.</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20" w:right="79" w:hanging="319"/>
        <w:spacing w:after="0" w:line="23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and tested for safety, dosage tolerance, absorption, 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2. 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trials are used to gain additional experience from the treatment of patients in the intended therapeutic indication. In certain instances, the FDA may mandate the performance of Phase 4 trials. In certain instances, the FDA may mandate the performance of Phase 4 clinical trials as a condition of approval of an NDA.</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for a serious condition where no satisfactory alternative therapy exists or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 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this designation may not provide a material commercial advantage.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 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20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U.S. patents, if granted, may be eligible for limited PTE under the Drug Price Competition and Patent Term Restoration Act of 1984, commonly referred to as the Hatch-Waxman Amendments. As compensation for patent term lost during product development and the FDA regulatory review process, the Hatch-Waxman Amendments permit a patent restoration term, or PTE, which is limited to a maximum of five years, or less if the extended patent term would exceed 14 years after the date of the regulatory approval of the product. The patent term restoration period is generally one-half the time between the effective date of an IND and the submission date of an NDA plus the time between the submission date of an NDA and the approval of that application. Only one patent applicable to an approved drug or drug product, or its approved use,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a patent term for one of our currently owned or licensed patents to add patent life beyond its current expiration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date, depending on the expected length of the clinical trials and other factors involved in the filing of the relevant NDA.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PTE or favorable adjustment to the term of any of our patents.</w:t>
      </w:r>
    </w:p>
    <w:p>
      <w:pPr>
        <w:spacing w:after="0" w:line="20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 505(b)</w:t>
      </w:r>
    </w:p>
    <w:p>
      <w:pPr>
        <w:spacing w:after="0" w:line="4" w:lineRule="exact"/>
        <w:rPr>
          <w:sz w:val="20"/>
          <w:szCs w:val="20"/>
          <w:color w:val="auto"/>
        </w:rPr>
      </w:pPr>
    </w:p>
    <w:p>
      <w:pPr>
        <w:jc w:val="both"/>
        <w:ind w:left="60" w:right="59" w:hanging="10"/>
        <w:spacing w:after="0" w:line="235" w:lineRule="auto"/>
        <w:tabs>
          <w:tab w:leader="none" w:pos="3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fraud and abuse (such as anti-kickback and false claims), privacy and security, price reporting, and provider transparency laws and regulations.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but the exceptions and safe harbors are drawn narrowly and require strict compliance in order to offer protection.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Additionally, the intent standard under the Anti-Kickback Statute and certain criminal healthcare fraud statutes (discussed below) was amended by the Patient Protection and Affordable Care Act of 2010, as amended by the Health Care and Education Reconciliation Act of 2010, together with subsequent amendments and regulations,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the product for unapproved, and thus non- covered, uses.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certain ownership and investment interests held by these physicians and their immediate family members.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also be subject to data privacy and security regulations promulgated by both the federal government and the states in which we conduct our business. HIPAA, as amended by the Health Information Technology for Economic and Clinical Health Act, or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U.S. and foreign laws, regulations, rules, contractual obligations, policies and other obligations related to data privacy and security.</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or will become subject to privacy laws in the jurisdictions in which we are established or in which we sell or market our products or run clinical trials. For example, in Europe we are subject to the General Data Protection Regulation, or GDPR, in relation to our collection, control, processing and other use of personal data (i.e., data relating to an identified or identifiable living individual). We process personal data in relation to participants in our clinical trials in the European Economic Area, or EEA, including the health and medical information of these participants. The GDPR is directly applicable in each European Union Member State, however, it provides that European Union Member States may introduce further conditions that could cause our compliance costs to increase, ultimately having an adverse impact on our business.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we must comply with both the GDPR and separately the GDPR as implemented in the United Kingdom, or UK, each regime having the ability to fine up to the greater of €20 million / £17 million or 4% of global turnover. A breach of the GDPR or other applicable privacy and data protection laws and regulations could result in regulatory investigations, reputational damage, orders to cease/change our use of data, enforcement notices, or potential civil claims including class action type litigation. In general, if our efforts to comply with the GDPR or other applicable European Union laws and regulations are not successful, it could adversely affect our business in the European Union.</w:t>
      </w:r>
    </w:p>
    <w:p>
      <w:pPr>
        <w:spacing w:after="0" w:line="20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United States, the California Consumer Privacy Act, or CCPA,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(a) allows enforcement by the California Attorney General, with fines set at $2,500 per violation (i.e., per person) or $7,500 per intentional violation and (b) authorizes private lawsuits to recover statutory damages for certain data breaches.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the California Privacy Rights Act, or CPRA, significantly modifies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For example, Virginia, Colorado, Utah, and Connecticut have all enacted broad privacy legislation.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managed care providers, private health insurers and other organizations.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or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Across the European Union, member states carry out assessments of new pharmaceutical products from an economic, public health, and therapeutic perspective, through a Health Technology Assessment, or HTA, process, which is currently governed by the national laws of member states. In December 2021, the European Parliament voted to implement a regulation regarding HTAs, or the HTA Regulation. The HTA Regulation is scheduled to apply as of January 2025, and will provide a framework for pan-EU clinical assessments, scientific consultations, identification of emerging health technologies, and further cooperation. Entry into application of the Regulation could impose stricter and more detailed procedures to be followed by marketing authorization holders concerning conduct of HTAs in relation to their products which may influence related pricing and reimbursement decisions. However, under the HTA Regulation, member states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will still be free to make their own pricing and reimbursement decisions. Moreover, member states may, and do, choose to restrict the range of products for which their national health insurance systems or national healthcare systems provide reimbursement and to control the prices of such products. Member states may impose direct controls on pricing, or otherwise adopt a system of direct or indirect controls on the profitability of the companies placing such products on the market. Other member states allow companies to set their own prices but monitor and control prescription volumes and issue guidance to medical professionals to limit prescriptions of such products.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ACA was enacted, which affected existing government healthcare programs and resulted in the development of new programs.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the healthcare reform measures of the Biden administration will impact the ACA and our business.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Other legislative changes have also been proposed and adopted in the United States since the ACA was enacted. On August 2, 2011, the Budget Control Act of 2011, among other things, included aggregate reductions to Medicare payments to providers of 2% per fiscal year, which went into effect on April 1, 2013, and will remain in effect through 2031. Under current legislation, the actual reduction in Medicare payments will vary from 1% in 2022 to up to 4% in the final fiscal year of this sequester.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has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things, bring more transparency to product pricing, reduce the cost of prescription drugs under Medicare, review the relationship between pricing and manufacturer patient programs, and reform government program reimbursement methodologies for drug products. At the federal level, in July 2021, the Biden administration released an executive order that included multiple provisions aimed at prescription drugs. In response to Biden’s executive order, on September 9, 2021, the U.S. Department of Health and Human Services, or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 addition, it is possible that there will be further legislation or regulation that could harm our business, financial condition, and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U.S. Foreign Corrupt Practices Act of 1977,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trial application much like the IND prior to the commencement of human clinical trials. In the European Union, for example, pursuant to the Clinical Trials Regulation, which came into application on January 31, 2022, a clinical trial application, or CTA, must be submitted to via the EMA's Clinical Trials Information System, which will cover all regulatory and ethics assessments from the member states concerned. Once the CTA is approved in accordance with a country’s requirements, clinical trial development may proceed. Approval and monitoring of clinical trials in the European Union is the responsibility of individual member states but, compared to the position prior to the applicability of the Clinical Trials Regulation, there is likely to be more collaboration, information-sharing, and decision-making between member states.</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major territories, including the European Union,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must be conducted in accordance with GCP and the applicable regulatory requirements and the ethical principles that have their origin in the Declaration of Helsinki.</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European Union and the European Economic Area consist, at the time of writing, of the twenty-seven Member States of the European Union, plus Norway, Iceland and Liechtenstein which are Member States of the European Economic Area. To obtain regulatory approval of an investigational drug or biological product under European Union regulatory systems, we must submit a marketing authorization application either under the so-called centralized or national authorization procedures. There are three procedures for a marketing authorization to be obtained:</w:t>
      </w:r>
    </w:p>
    <w:p>
      <w:pPr>
        <w:spacing w:after="0" w:line="205" w:lineRule="exact"/>
        <w:rPr>
          <w:sz w:val="20"/>
          <w:szCs w:val="20"/>
          <w:color w:val="auto"/>
        </w:rPr>
      </w:pPr>
    </w:p>
    <w:p>
      <w:pPr>
        <w:jc w:val="both"/>
        <w:ind w:left="920" w:right="79" w:hanging="33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Centralized marketing authorization, which is issued by the European Commission through the Centralized Procedure, based on the scientific opinion of the EMA’s Committee for Medicinal Products for Human Use, and which is valid throughout the entire territory of the 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7" w:lineRule="exact"/>
        <w:rPr>
          <w:rFonts w:ascii="Arial" w:cs="Arial" w:eastAsia="Arial" w:hAnsi="Arial"/>
          <w:sz w:val="18"/>
          <w:szCs w:val="18"/>
          <w:color w:val="auto"/>
        </w:rPr>
      </w:pPr>
    </w:p>
    <w:p>
      <w:pPr>
        <w:jc w:val="both"/>
        <w:ind w:left="920" w:right="79" w:hanging="330"/>
        <w:spacing w:after="0" w:line="23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Decentralized Procedure marketing authorizations are available for products not falling within the mandatory scope of the Centralized Procedure. An identical dossier is submitted to the competent authorities of each of the Member States in which the marketing authorization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marketing authorization in conformity with the approved assessment report, SmPC and the labeling and package leaflet as approved. Where a product has already been authorized for marketing in a Member State of the European Economic Area, the granted national marketing authorization can be used for mutual recognition in other Member States through the Mutual Recognition Procedure, or MRP, resulting in progressive national approval of the product in the European Economic Area.</w:t>
      </w:r>
    </w:p>
    <w:p>
      <w:pPr>
        <w:spacing w:after="0" w:line="11" w:lineRule="exact"/>
        <w:rPr>
          <w:rFonts w:ascii="Arial" w:cs="Arial" w:eastAsia="Arial" w:hAnsi="Arial"/>
          <w:sz w:val="18"/>
          <w:szCs w:val="18"/>
          <w:color w:val="auto"/>
        </w:rPr>
      </w:pPr>
    </w:p>
    <w:p>
      <w:pPr>
        <w:jc w:val="both"/>
        <w:ind w:left="920" w:right="79" w:hanging="330"/>
        <w:spacing w:after="0" w:line="23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marketing authorizations, which are issued by a single competent authority of the Member States of the European Economic Area and only covers such authority’s respective territory, are also available for products not falling within the mandatory scope of the Centralized Procedure. Once a product has been authorized for marketing in a Member State of the European Economic Area through the National Procedure, this National marketing authorization can also be recognized in other Member States through the Mutual Recognition Procedure.</w:t>
      </w:r>
    </w:p>
    <w:p>
      <w:pPr>
        <w:spacing w:after="0" w:line="17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EMA grants orphan drug designation to promote the development of products that may offer therapeutic benefits for life-threatening or chronically debilitating conditions affecting not more than five in 10,000 people in the European Union. In addition, orphan drug designation can be granted if the drug is intended for a life threatening, seriously debilitating or serious and chronic condition in the European Union and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major territories, clinical trials must be conducted in accordance with GCP and the applicable regulatory requirements and the ethical principles that have their origin in the Declaration of Helsinki. 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 and Human Capital</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January 31, 2023, we had 86 employees, 83 of whom were full time, consisting of clinical, research, operations, regulatory, finance and business development personnel. Thirty-two of our employees hold Ph.D. or M.D. degrees. None of our employees is subject to a collective bargaining agreement. We consider our relationship with our employees to be good.</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Our commitment to innovation begins with the commitment to creating an environment with the ability to attract and retain highly skilled people, including top scientific talent, as a critical factor for us to deliver on our mission and create value.</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we have grown significantly since our initial public offering in November 2020, we have focused on diversity, inclusion and belonging both at the Board level, where we appointed three global biotech female leaders to our Board, and for all employees. We have been successful in hiring employees with a broad diversity of experiences and backgrounds. We face significant competition for biotechnology talent from both established and early-stage biotechnology companies. Further, we are headquartered in the San Francisco Bay Area and have operations in Cambridge, Massachusetts, both global biotechnology hubs with many employment choices. Despite our early stage, we have been successful in hiring highly qualified staff to join Olema. As of January 31, 2023, 54% of our employee population is male, and 46% is female.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strive to create a positive employee experience by fostering an inclusive and equitable culture. We are committed to the health, safety, and well-being of our employees, with a particular focus on COVID-19 related protections and precautions for our workforce. This commitment is reflected in our ability to attract and retain high performers. We believe we have a robust employment package that promotes well-being across all aspects of our employees’ lives, including healthcare, paid time-off, retirement savings with a company match through a 401(k) plan, our equity incentive plans, and our employee stock purchase plan. The principal purposes of our equity incentive plans are to attract, motivate and retain our employees and directors through the granting of stock-based compensation awards. From time to time, we may offer additional stock-based compensation awards to our employees to continue to motivate them and support retention, particularly at times when our stock price, or the stock price of biotechnology companies generally, is volatile. We grant stock options to all full-time employees to foster alignment and promote a spirit of ownership.</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were incorporated in Delaware on August 7, 2006 under the legal name of CombiThera, Inc., and, on March 25, 2009, were renamed Olema Pharmaceuticals, Inc.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Exchange Act, are filed with the SEC.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Such reports and other information filed by us with the SEC are available free of charge on the Investors section of our website, www.olema.com,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any references to website URLs are intended to be inactive textual references only.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a Phase 1/2 clinical study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We anticipate incurring significant costs associated with the development of OP-1250 and any future drug candidates we may develop. Our expenses could increase beyond expectations if we are required by the FDA,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December 31, 2022, we had $204.4 million in cash, cash equivalents, and marketable securities. Based on our current operating plans, we believe that our cash, cash equivalents, and marketable securities as of December 31, 2022 will be sufficient to fund our operating expenses and capital expenditures requirements into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the COVID-19 pandemic and the ongoing conflict between Ukraine and Russia and related sanctions. Advancing the development of OP-1250 and any future product candidates we may develop will require a significant amount of capital, and our existing cash, cash equivalents and marketable securities will not be sufficient to fund all of the activities that are necessary to complete the development of OP-1250.</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geopolitical and macroeconomic events such as the COVID-19 pandemic and the ongoing conflict between Ukraine and Russia and related sanctions, could adversely increase our need to access capital and likewise, adversely impact our ability to access capital as and when needed.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OP-1250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$104.8 million and $ 71.1 million for the years ended December 31, 2022 and 2021, respectively. We had an accumulated deficit of $209.0 million as of December 31, 2022.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consolidated financial statements for the years ended December 31, 2022 and 2021 included elsewhere in this Annual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 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our product candidate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European Commission (based on the positive opinion of the EMA’s Committee for Medicinal Products for Human Use,</w:t>
      </w:r>
    </w:p>
    <w:p>
      <w:pPr>
        <w:spacing w:after="0" w:line="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commonly referred to as EMA approval</w:t>
      </w:r>
      <w:r>
        <w:rPr>
          <w:rFonts w:ascii="Arial" w:cs="Arial" w:eastAsia="Arial" w:hAnsi="Arial"/>
          <w:sz w:val="21"/>
          <w:szCs w:val="21"/>
          <w:color w:val="auto"/>
        </w:rPr>
        <w:t>)</w:t>
      </w:r>
      <w:r>
        <w:rPr>
          <w:rFonts w:ascii="Arial" w:cs="Arial" w:eastAsia="Arial" w:hAnsi="Arial"/>
          <w:sz w:val="18"/>
          <w:szCs w:val="18"/>
          <w:color w:val="auto"/>
        </w:rPr>
        <w:t>,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8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large-scale clinical trials.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stockholder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231F20"/>
        </w:rPr>
      </w:pPr>
    </w:p>
    <w:p>
      <w:pPr>
        <w:jc w:val="both"/>
        <w:ind w:left="720" w:right="79" w:hanging="319"/>
        <w:spacing w:after="0" w:line="238"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may be unable to demonstrate to the FDA, EMA or other comparable foreign regulatory authorities that OP-1250’s risk-benefit ratio for its proposed indication is acceptable;</w:t>
      </w:r>
    </w:p>
    <w:p>
      <w:pPr>
        <w:spacing w:after="0" w:line="196" w:lineRule="exact"/>
        <w:rPr>
          <w:rFonts w:ascii="Arial" w:cs="Arial" w:eastAsia="Arial" w:hAnsi="Arial"/>
          <w:sz w:val="18"/>
          <w:szCs w:val="18"/>
          <w:color w:val="231F20"/>
        </w:rPr>
      </w:pPr>
    </w:p>
    <w:p>
      <w:pPr>
        <w:jc w:val="both"/>
        <w:ind w:left="720" w:right="79" w:hanging="319"/>
        <w:spacing w:after="0"/>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2"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line="238" w:lineRule="auto"/>
        <w:rPr>
          <w:sz w:val="20"/>
          <w:szCs w:val="20"/>
          <w:color w:val="auto"/>
        </w:rPr>
      </w:pPr>
      <w:r>
        <w:rPr>
          <w:rFonts w:ascii="Arial" w:cs="Arial" w:eastAsia="Arial" w:hAnsi="Arial"/>
          <w:sz w:val="18"/>
          <w:szCs w:val="18"/>
          <w:color w:val="231F20"/>
        </w:rPr>
        <w:t>competent authorities of EU Member States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5"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For instance, as a result of industry-wide COVID-19 impacts on clinical sites, we have experienced subject enrollment timeline delays in a Phase 1b clinical study of OP-1250 in combination with another CDK4/6 inhibitor and with a PI3Ka inhibitor.</w:t>
      </w:r>
    </w:p>
    <w:p>
      <w:pPr>
        <w:spacing w:after="0" w:line="21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We could also encounter delays if a clinical trial is suspended or terminated by us, by the IRBs of the institutions in which such trials are being conducted, by a Data Safety Monitoring Board for such trial or by the FDA, </w:t>
      </w:r>
      <w:r>
        <w:rPr>
          <w:rFonts w:ascii="Arial" w:cs="Arial" w:eastAsia="Arial" w:hAnsi="Arial"/>
          <w:sz w:val="18"/>
          <w:szCs w:val="18"/>
          <w:color w:val="231F20"/>
        </w:rPr>
        <w:t xml:space="preserve">competent authorities of EU Member States </w:t>
      </w:r>
      <w:r>
        <w:rPr>
          <w:rFonts w:ascii="Arial" w:cs="Arial" w:eastAsia="Arial" w:hAnsi="Arial"/>
          <w:sz w:val="18"/>
          <w:szCs w:val="18"/>
          <w:color w:val="000000"/>
        </w:rPr>
        <w:t>or comparable foreign regulatory authorities. Such authorities may</w:t>
      </w:r>
      <w:r>
        <w:rPr>
          <w:rFonts w:ascii="Arial" w:cs="Arial" w:eastAsia="Arial" w:hAnsi="Arial"/>
          <w:sz w:val="18"/>
          <w:szCs w:val="18"/>
          <w:color w:val="231F20"/>
        </w:rPr>
        <w:t xml:space="preserve"> </w:t>
      </w:r>
      <w:r>
        <w:rPr>
          <w:rFonts w:ascii="Arial" w:cs="Arial" w:eastAsia="Arial" w:hAnsi="Arial"/>
          <w:sz w:val="18"/>
          <w:szCs w:val="18"/>
          <w:color w:val="000000"/>
        </w:rPr>
        <w:t xml:space="preserve">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Although we have received Fast Track designation for OP-1250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July 2022, we were granted FDA Fast Track designation for OP-1250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a result of the COVID-19 pandemic, we have faced risk that enrollment of patients in our clinical trials and maintaining patients in our ongoing clinical trials could be delayed or limited as our clinical trial sites limit their onsite staff or temporarily close as a result of the COVID-19 pandemic, or are otherwise resource constrained, and may continue to face these risks as the COVID-19 pandemic continues to evolve. In addition, if, for any reason, patients are unable to visit clinical trial sites for dosing or data collection purposes related to the COVID-19 pandemic or for other reasons, such factors could delay the anticipated readouts from our clinical trials and ultimately delay future regulatory submissions. For instance, given industry wide COVID-19 impacts on clinical sites, we have experienced subject enrollment timeline delays in a Phase 1b clinical study of OP-1250 in combination with another CDK4/6 inhibitor and with a PI3Ka inhibitor.</w:t>
      </w:r>
    </w:p>
    <w:p>
      <w:pPr>
        <w:spacing w:after="0" w:line="22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3"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 develop in the future. Furthermore, even if we are able to enroll a sufficient number of patients for our clinical trials, we may have difficulty maintaining enrollment of such patients in our clinical trials.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in December 2021, we initiated a Phase 1b clinical study of OP-1250 in a combination trial with a cyclin-dependent kinase 4 and 6 inhibitor, and in the third quarter of 2022 we initiated Phase 1b clinical studies of OP-1250 in combination with another CDK4/6 inhibitor and with a PI3Ka inhibitor.</w:t>
      </w:r>
    </w:p>
    <w:p>
      <w:pPr>
        <w:spacing w:after="0" w:line="21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8" w:lineRule="exact"/>
        <w:rPr>
          <w:sz w:val="20"/>
          <w:szCs w:val="20"/>
          <w:color w:val="auto"/>
        </w:rPr>
      </w:pPr>
    </w:p>
    <w:p>
      <w:pPr>
        <w:jc w:val="both"/>
        <w:ind w:left="60" w:right="59"/>
        <w:spacing w:after="0" w:line="224"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or any generic equivalents of Faslodex® that are marketed or in development; elacestrant, marketed as ORSERDU</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ARV 471, being developed by Arvinas, Inc.; and lasofoxifene, being developed by Sermonix Pharmaceuticals.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candidate we may develop will progress through required clinical testing and obtain the regulatory approvals necessary for us to begin selling them.</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The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For example, during the Phase 1a portion of our Phase 1/2 clinical study, three patients had grade 4 neutropenia attributed to study drug by the investigator, and two of these patients presented with fever and neutropenia.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may suspend</w:t>
      </w:r>
      <w:r>
        <w:rPr>
          <w:rFonts w:ascii="Arial" w:cs="Arial" w:eastAsia="Arial" w:hAnsi="Arial"/>
          <w:sz w:val="18"/>
          <w:szCs w:val="18"/>
          <w:color w:val="231F20"/>
        </w:rPr>
        <w:t xml:space="preserve"> </w:t>
      </w:r>
      <w:r>
        <w:rPr>
          <w:rFonts w:ascii="Arial" w:cs="Arial" w:eastAsia="Arial" w:hAnsi="Arial"/>
          <w:sz w:val="18"/>
          <w:szCs w:val="18"/>
          <w:color w:val="000000"/>
        </w:rPr>
        <w:t>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3"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delayed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in July 2020 only restarted 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2031, except for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It is currently unclear how the IRA will be implemented but is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disclosure and transparency measures, and, in some cases, designed to encourage importation from other countries and bulk purchasing.</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line="23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 other healthcare professionals (such as physician assistants and nurse practitioners), </w:t>
      </w:r>
      <w:r>
        <w:rPr>
          <w:rFonts w:ascii="Arial" w:cs="Arial" w:eastAsia="Arial" w:hAnsi="Arial"/>
          <w:sz w:val="18"/>
          <w:szCs w:val="18"/>
          <w:color w:val="231F20"/>
        </w:rPr>
        <w:t>and teaching hospitals, as well as information regarding ownership</w:t>
      </w:r>
      <w:r>
        <w:rPr>
          <w:rFonts w:ascii="Arial" w:cs="Arial" w:eastAsia="Arial" w:hAnsi="Arial"/>
          <w:sz w:val="18"/>
          <w:szCs w:val="18"/>
          <w:color w:val="000000"/>
        </w:rPr>
        <w:t xml:space="preserve"> </w:t>
      </w:r>
      <w:r>
        <w:rPr>
          <w:rFonts w:ascii="Arial" w:cs="Arial" w:eastAsia="Arial" w:hAnsi="Arial"/>
          <w:sz w:val="18"/>
          <w:szCs w:val="18"/>
          <w:color w:val="231F20"/>
        </w:rPr>
        <w:t>and investment interests held by physicians and their immediate family members. The information reported is publicly available on a searchable website, with disclosure required annually; and</w:t>
      </w:r>
    </w:p>
    <w:p>
      <w:pPr>
        <w:spacing w:after="0" w:line="207"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State and international laws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UK, security breach notifications and the security and confidentiality of personal data. Further, the UK has implemented legislation similar to the GDPR, including the UK Data Protection Act and the UK GDPR, which provides for fines of up to the greater of 17.5 million British Pounds or 4% of a company’s worldwide turnover, whichever is higher.</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the UK. Guidance on implementation and compliance practices is often updated or otherwise revised. The GDPR may increase our responsibility and liability in relation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personal data that we process, and we may be required to put in place additional mechanisms ensuring compliance with the GDPR.</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and the United Kingdom’s ‘International Data Transfer Agreement / Addendum’, all such mechanisms are subject to legal challenges, and there is no assurance that we can always satisfy or rely on these mechanisms to lawfully effect cross-border transfers of personal data where required.</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Additionally, California voters approved a new privacy law, the California Privacy Rights Act, or CPRA, which went into effect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Virginia, Colorado, Utah and Connecticut all passed comprehensive privacy laws that have or will go into effect in 2023.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of our systems or our third-party service providers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COVID-19 pandemic could adversely impact our business, including our nonclinical studies and clinical trials.</w:t>
      </w:r>
    </w:p>
    <w:p>
      <w:pPr>
        <w:spacing w:after="0" w:line="13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closed our offices and limited the number of staff in any given research and development laboratory. In March 2022, we fully re-opened our offices to all employees and continue to comply with protocols implemented by respective health authorities. However, we may close our offices again in the future. As a result of the COVID-19 pandemic, we experienced some delays in setting up our current Phase 1/2 clinical study and in clinical site initiation, including delays in recruiting clinical site investigators and clinical site staff. We also experienced subject enrollment timeline delays in a Phase 1b clinical study of OP-1250 in combination with another CDK4/6 inhibitor and with a PI3Ka inhibitor. We may experience these or other continuing impacts of the COVID-19 pandemic in the future. Additionally, we may experience further disruptions that could severely impact our business, nonclinical studies and clinical trials, including:</w:t>
      </w:r>
    </w:p>
    <w:p>
      <w:pPr>
        <w:spacing w:after="0" w:line="203"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 of key clinical trial activities, such as clinical trial site data monitoring, due to the COVID-19 pandemic, employers and others or interruption of clinical trial subject visits and study procedures, which may impact the integrity of subject data and clinical study endpoints;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 of, or delays in receiving, supplies of OP-1250 from our CMOs, due to staffing shortages, production slowdowns or stoppages and disruptions in delivery systems;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interruption or delays to our sourced discovery and clinical activities.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COVID-19 pandemic continues to evolve. The extent to which the outbreak impacts our business, nonclinical studies and clinical trials will depend on future developments, which are highly uncertain and cannot be predicted with confidence, such as the ultimate geographic spread of the disease and the duration of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pandemic in the United States and other countries, business closures or disruptions and the effectiveness of actions taken in the United States and other countries to contain and treat the disease.</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and results of operations.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including the COVID-19 pandemic and the ongoing conflict between Ukraine and Russia and related sanctions. U.S. and global market and economic conditions have been, and continue to be, disrupted and volatile due to many factors, including component shortages and related supply chain challenges, geopolitical developments such as the ongoing COVID-19 pandemic and the conflict between Ukraine and Russia and related sanctions,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and commercialize OP-1250 or any other product candidate will be limited and the potential for successfully growing our business will be harmed.</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January 31, 2023, we had 86 employees, 83 of whom were full-time, including 53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202"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We have in the past and may in the future be subject to security breaches. For instance, we have had company laptops containing corporate information stolen from company offices.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study of OP-1250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OP-1250 will depend significantly on the availability of adequate coverage and reimbursement from third-party payors for OP-1250 and may be affected by existing and future healthcare reform measures.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we may not be able to detect infringement of our issued patents;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1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8"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Hatch -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Phase 1b clinical study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 clinical study may be delayed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205"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spacing w:after="0" w:line="246" w:lineRule="auto"/>
        <w:rPr>
          <w:sz w:val="20"/>
          <w:szCs w:val="20"/>
          <w:color w:val="auto"/>
        </w:rPr>
      </w:pPr>
      <w:r>
        <w:rPr>
          <w:rFonts w:ascii="Arial" w:cs="Arial" w:eastAsia="Arial" w:hAnsi="Arial"/>
          <w:sz w:val="18"/>
          <w:szCs w:val="18"/>
          <w:color w:val="231F20"/>
        </w:rPr>
        <w:t>successfully developed or can be commercialized under terms that are more economically attractive than ours;</w:t>
      </w:r>
    </w:p>
    <w:p>
      <w:pPr>
        <w:spacing w:after="0" w:line="197" w:lineRule="exact"/>
        <w:rPr>
          <w:sz w:val="20"/>
          <w:szCs w:val="20"/>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2022 to March 3, 2023 has ranged from a low of $2.04 to a high of $9.43.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general geopolitical, macroeconomic, industry and market conditions, including the COVID-19 pandemic and the ongoing conflict between Ukraine and Russia and related sanctions.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As of December 31, 2022, we had 40,287,097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$560.0 million measured on the last business day of our second fiscal quarter for the year ending December 31, 2022, we qualify again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such changes or future legislation could increase our U.S. tax expense and could have a material adverse impact on our business and financial condition.</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8"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04"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662⁄3%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For example, during August 2020, in connection with the preparation of our financial statements as of and for the years ended December 31, 2019 and 2018, we identified material weaknesses in our control over financial reporting. While we have remediated these material weaknesses and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corporate headquarters are located in San Francisco, California, where we lease approximately 15,000 square feet of office and laboratory space pursuant to lease agreements that expire between August 2023 and February 2026. We also lease a co-working space in Boston, Massachusetts. We believe that these existing facilities will be adequate for our near-term needs. If required, we believe that suitable additional or alternative space would be available in the future on commercially reasonable terms.</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3.</w:t>
        <w:tab/>
        <w:t>Legal Proceedings.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8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1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Our common stock has been listed on the Nasdaq Global Select Market under the symbol “OLMA” since November 19, 2020. Prior to that date, there was no public trading market for our common stock.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the close of business on March 3, 2023, there were 59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1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The following Management’s discussion and analysis of our financial condition and results of operations should be read in conjunction with the consolidated financial statements and notes thereto included as part of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anti-tumor activity in a range of preclinical xenograft models of breast cancer, including in ESR1 and PIK3CA mutations and central nervous system, or CNS, metastasis. In August 2020, we initiated an ongoing Phase 1/2 monotherapy dose escalation and expansion study evaluating OP-1250 for the treatment of recurrent, locally advanced or metastatic ER-positive, or ER+, human epidermal growth factor receptor 2-negative, or HER2-, breast cancer. We reported initial data from the Phase 1a dose escalation portion of this study in November 2021, which provided proof-of-concept for OP-1250 as a monotherapy treatment for ER+/HER2- breast cancer. We reported additional monotherapy data from the Phase 1b dose expansion portion of this study in October 2022 and initiated the Phase 2 portion of the study. We anticipate presenting Phase 2 clinical data for OP-1250 as a monotherapy in the second half of 2023. In 2022, we also initiated Phase 1b/2 dose escalation and expansion studies evaluating OP-1250 in combination with cyclin-dependent kinase or CDK4/6 inhibitors palbociclib and ribociclib and phosphatidylinositol 3-kinase alpha, or PI3Ka inhibitor, alpelisib. In December 2022, we reported initial data from the Phase 1a dose escalation portion of the study in combination with palbociclib which demonstrated combinability including no drug-drug interaction, or DDI, between the two agents. We anticipate presenting results from the Phase 2 clinical study for OP-1250 in combination with palbociclib in the second quarter of 2023 and from the Phase 1b clinical study for OP-1250 in combination with ribociclib in the second half of 2023. In July 2022, we were granted Fast Track designation from the FDA for OP-1250 for patients with ER+/HER2- metastatic breast cancer that has progressed following one or more lines of endocrine therapy with at least one line given in combination with a CDK4/6 inhibitor. Based on the clinical results we have achieved to date, we are advancing OP-1250 through to late stage clinical development both as a monotherapy and in combination with other targeted agents.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22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December 31, 2022, we had cash, cash equivalents, and marketable securities of $204.4 million. Based on our current operating plan, we believe that our cash, cash equivalents, and marketable securities as of December 31, 2022 will be sufficient to fund our planned operating expenses and capital expenditure requirements into 2025.</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$104.8 million and $71.1 million for the years ended December 31, 2022 and 2021, respectively. We expect to incur significant and increasing losses for the foreseeable future as we continue to advance our product candidate, make potential milestone payments to our licensors, and as we continue to operate as a public company. Our net losses may fluctuate significantly from period to period, depending on the timing of expenditures on our research and development activities. As of December 31, 2022, we had an accumulated deficit of $209.0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potential milestone payments to our licensors, and our expenditures on other research and development activities.</w:t>
      </w:r>
    </w:p>
    <w:p>
      <w:pPr>
        <w:spacing w:after="0" w:line="205"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We will require substantial additional funding to develop our product candidate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geopolitical and macroeconomic events such as the COVID-19 pandemic and the ongoing conflict between Ukraine and Russia and related sanctions.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COVID-19 pandemic continues to evolve. As a result of the COVID-19 pandemic, we experienced some delays in setting up our current Phase 1/2 clinical study and in clinical site initiation, including delays in recruiting clinical site investigators and clinical site staff, which we may experience again in the future for clinical trials, including ongoing clinical trials involving OP-1250 in combination with other therapies. The extent of the impact of the COVID-19 pandemic on our business, operations, development timelines and plans, including the resulting impact on our expenditures and capital needs, remains uncertain, and will depend on factors, including the duration of the COVID-19 pandemic, frequency of outbreaks and the resultant impact on our development activities, planned clinical trial enrollment, future trial sites, CROs, third-party manufacturers, and other third parties with whom we do business, as well as its impact on regulatory authorities and our key scientific and management personnel. We continue to actively monitor the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During 2021 and 2022, although we modified our operations and practices due to the COVID-19 pandemic and to comply with federal, state and local requirements, our business, operations and development timelines were not materially adversely affected. In March 2022, we fully re-opened our offices to all employees and continue to comply with protocols implemented by respective health authorities. As a result of the COVID-19 pandemic, we experienced some delays in setting up our current Phase 1/2 clinical study and in clinical site initiation, including delays in recruiting clinical site investigators and clinical site staff. We also experienced subject enrollment timeline delays in a Phase 1b clinical study of OP-1250 in combination with another CDK4/6 inhibitor and with a PI3Ka inhibitor. We may experience these or other continuing impacts of the COVID-19 pandemic in the future. We continue to monitor developments related to COVID-19 and may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close our offices again in the future. The extent to which the COVID-19 pandemic may affect our business, operations and development timelines and plans in the future, including the resulting impact on our expenditures and capital needs, remains uncertain.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ongoing COVID-19 pandemic, global economic and business activities continue to face widespread macroeconomic uncertainties, including labor shortages, inflation and monetary supply shifts, recession risks and potential disruptions from the Russia-Ukraine conflict,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macroeconomic factors on our results of operations, financial condition and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$82.3 million, and $51.1 million for the years ended December 31, 2022, and 2021, respectively.</w:t>
      </w:r>
    </w:p>
    <w:p>
      <w:pPr>
        <w:spacing w:after="0" w:line="203"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maintaining a continued acceptable safety profile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34"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color w:val="auto"/>
        </w:rPr>
        <w:t>Total other income consists of interest income and other expenses. Interest income primarily consists of interest income on our cash equivalents and marketable securities. Other expense primarily consists of unrealized</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foreign currency remeasurement gain (loss) and miscellaneous income (expense) not related to operating activities.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2022 and 2021</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8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vMerge w:val="continue"/>
          </w:tcPr>
          <w:p>
            <w:pPr>
              <w:spacing w:after="0"/>
              <w:rPr>
                <w:sz w:val="13"/>
                <w:szCs w:val="13"/>
                <w:color w:val="auto"/>
              </w:rPr>
            </w:pPr>
          </w:p>
        </w:tc>
        <w:tc>
          <w:tcPr>
            <w:tcW w:w="700" w:type="dxa"/>
            <w:vAlign w:val="bottom"/>
            <w:tcBorders>
              <w:top w:val="single" w:sz="8" w:color="auto"/>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gridSpan w:val="3"/>
          </w:tcPr>
          <w:p>
            <w:pPr>
              <w:ind w:left="140"/>
              <w:spacing w:after="0" w:line="155" w:lineRule="exact"/>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82,274</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51,100</w:t>
            </w:r>
          </w:p>
        </w:tc>
        <w:tc>
          <w:tcPr>
            <w:tcW w:w="140" w:type="dxa"/>
            <w:vAlign w:val="bottom"/>
          </w:tcPr>
          <w:p>
            <w:pPr>
              <w:spacing w:after="0"/>
              <w:rPr>
                <w:sz w:val="17"/>
                <w:szCs w:val="17"/>
                <w:color w:val="auto"/>
              </w:rPr>
            </w:pPr>
          </w:p>
        </w:tc>
        <w:tc>
          <w:tcPr>
            <w:tcW w:w="3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24,714</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20,391</w:t>
            </w:r>
          </w:p>
        </w:tc>
        <w:tc>
          <w:tcPr>
            <w:tcW w:w="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106,988</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71,491</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(106,988)</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(71,491)</w:t>
            </w: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2,228</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expense</w:t>
            </w: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2,201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(104,787)</w:t>
            </w:r>
          </w:p>
        </w:tc>
        <w:tc>
          <w:tcPr>
            <w:tcW w:w="32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(71,096)</w:t>
            </w:r>
          </w:p>
        </w:tc>
        <w:tc>
          <w:tcPr>
            <w:tcW w:w="3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(33,691)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year ended December 31, 2022 were $82.3 million, compared to $51.1 million for the year ended December 31, 2021. The increase of $31.2 million was primarily due to increased spending in (i) advancing the clinical study for our lead product candidate OP-1250 and the associated contract manufacturing costs, (ii) other nonclinical research and discovery program costs, including the $8.0 million upfront payment in connection with the Aurigene Agreement, and (iii) personnel-related costs due to increased headcount, including non-cash stock-based compensation expense increase of $3.1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General and administrative expenses for the year ended December 31, 2022 were $24.7 million, compared to $20.4 million for the year ended December 31, 2021. The increase of $4.3 million was primarily due to increased spending in (i) personnel-related expenses due to higher headcount, and (ii) public company-related costs, including legal compliance and other corporate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Other income for the year ended December 31, 2022 was $2.2 million, compared to $0.4 million expense for the year ended December 31, 2021. The increase of $1.8 million was primarily due to an increase in interest income from our marketable securities.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$104.8 million and $ 71.1 million for the years ended December 31, 2022 and 2021, respectively. As of December 31, 2022, we had $204.4 million in cash, cash equivalents and marketable securities and an accumulated deficit of $209.0 million. We had no debt outstanding as of December 31, 2022. Through December 31, 2022, we had received aggregate gross proceeds of $393.2 million from sales of our common stock, convertible preferred stock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issuance of convertible promissory notes, stock option exercises, and the sale of stock through the 2020 Employee Stock Purchase Plan (“2020 ESPP”).</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OP-1250 and other nonclinical research and development programs. We expect that our research and development and general and administrative costs will increase in connection with conducting clinical trials and additional nonclinical programs for our current and future research programs and product candidates, contracting with CMOs to support clinical trials and other nonclinical programs,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make potential milestone payments to our licensors,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our cash, cash equivalents and marketable securities as of December 31, 2022 will enable us to fund our operating expenses and capital expenditure requirements into 2025 at which point we would need to obtain substantial additional funding in connection with our continuing operations.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material cash requirements for future periods: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5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180" w:type="dxa"/>
            <w:vAlign w:val="bottom"/>
            <w:tcBorders>
              <w:top w:val="single" w:sz="8" w:color="auto"/>
              <w:bottom w:val="single" w:sz="8" w:color="auto"/>
            </w:tcBorders>
            <w:gridSpan w:val="5"/>
          </w:tcPr>
          <w:p>
            <w:pPr>
              <w:jc w:val="center"/>
              <w:ind w:right="119"/>
              <w:spacing w:after="0"/>
              <w:rPr>
                <w:sz w:val="20"/>
                <w:szCs w:val="20"/>
                <w:color w:val="auto"/>
              </w:rPr>
            </w:pPr>
            <w:r>
              <w:rPr>
                <w:rFonts w:ascii="Arial" w:cs="Arial" w:eastAsia="Arial" w:hAnsi="Arial"/>
                <w:sz w:val="14"/>
                <w:szCs w:val="14"/>
                <w:b w:val="1"/>
                <w:bCs w:val="1"/>
                <w:color w:val="auto"/>
              </w:rPr>
              <w:t>Material cash requirements due by period</w:t>
            </w:r>
          </w:p>
        </w:tc>
      </w:tr>
      <w:tr>
        <w:trPr>
          <w:trHeight w:val="142"/>
        </w:trPr>
        <w:tc>
          <w:tcPr>
            <w:tcW w:w="5520" w:type="dxa"/>
            <w:vAlign w:val="bottom"/>
          </w:tcPr>
          <w:p>
            <w:pPr>
              <w:spacing w:after="0"/>
              <w:rPr>
                <w:sz w:val="12"/>
                <w:szCs w:val="12"/>
                <w:color w:val="auto"/>
              </w:rPr>
            </w:pPr>
          </w:p>
        </w:tc>
        <w:tc>
          <w:tcPr>
            <w:tcW w:w="1080" w:type="dxa"/>
            <w:vAlign w:val="bottom"/>
            <w:gridSpan w:val="2"/>
          </w:tcPr>
          <w:p>
            <w:pPr>
              <w:jc w:val="center"/>
              <w:ind w:right="42"/>
              <w:spacing w:after="0" w:line="143" w:lineRule="exact"/>
              <w:rPr>
                <w:sz w:val="20"/>
                <w:szCs w:val="20"/>
                <w:color w:val="auto"/>
              </w:rPr>
            </w:pPr>
            <w:r>
              <w:rPr>
                <w:rFonts w:ascii="Arial" w:cs="Arial" w:eastAsia="Arial" w:hAnsi="Arial"/>
                <w:sz w:val="14"/>
                <w:szCs w:val="14"/>
                <w:b w:val="1"/>
                <w:bCs w:val="1"/>
                <w:color w:val="auto"/>
              </w:rPr>
              <w:t>Less than 1</w:t>
            </w: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More than 1</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Total</w:t>
            </w:r>
          </w:p>
        </w:tc>
      </w:tr>
      <w:tr>
        <w:trPr>
          <w:trHeight w:val="196"/>
        </w:trPr>
        <w:tc>
          <w:tcPr>
            <w:tcW w:w="5520" w:type="dxa"/>
            <w:vAlign w:val="bottom"/>
            <w:tcBorders>
              <w:bottom w:val="single" w:sz="8" w:color="auto"/>
            </w:tcBorders>
            <w:shd w:val="clear" w:color="auto" w:fill="CCEEFF"/>
          </w:tcPr>
          <w:p>
            <w:pPr>
              <w:ind w:left="120"/>
              <w:spacing w:after="0" w:line="195" w:lineRule="exact"/>
              <w:rPr>
                <w:sz w:val="20"/>
                <w:szCs w:val="20"/>
                <w:color w:val="auto"/>
              </w:rPr>
            </w:pPr>
            <w:r>
              <w:rPr>
                <w:rFonts w:ascii="Arial" w:cs="Arial" w:eastAsia="Arial" w:hAnsi="Arial"/>
                <w:sz w:val="16"/>
                <w:szCs w:val="16"/>
                <w:color w:val="auto"/>
              </w:rPr>
              <w:t>Operating leases</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rPr>
              <w:t>1,185</w:t>
            </w:r>
          </w:p>
        </w:tc>
        <w:tc>
          <w:tcPr>
            <w:tcW w:w="360" w:type="dxa"/>
            <w:vAlign w:val="bottom"/>
            <w:tcBorders>
              <w:bottom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1,690</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2,875</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both"/>
        <w:ind w:left="380" w:right="79" w:hanging="330"/>
        <w:spacing w:after="0" w:line="237"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4"/>
          <w:szCs w:val="14"/>
          <w:color w:val="231F20"/>
        </w:rPr>
        <w:t xml:space="preserve">We conduct our research and development programs internally and through </w:t>
      </w:r>
      <w:r>
        <w:rPr>
          <w:rFonts w:ascii="Arial" w:cs="Arial" w:eastAsia="Arial" w:hAnsi="Arial"/>
          <w:sz w:val="14"/>
          <w:szCs w:val="14"/>
          <w:color w:val="000000"/>
        </w:rPr>
        <w:t>third parties that include, among others, arrangements</w:t>
      </w:r>
      <w:r>
        <w:rPr>
          <w:rFonts w:ascii="Arial" w:cs="Arial" w:eastAsia="Arial" w:hAnsi="Arial"/>
          <w:sz w:val="14"/>
          <w:szCs w:val="14"/>
          <w:color w:val="231F20"/>
        </w:rPr>
        <w:t xml:space="preserve"> </w:t>
      </w:r>
      <w:r>
        <w:rPr>
          <w:rFonts w:ascii="Arial" w:cs="Arial" w:eastAsia="Arial" w:hAnsi="Arial"/>
          <w:sz w:val="14"/>
          <w:szCs w:val="14"/>
          <w:color w:val="000000"/>
        </w:rPr>
        <w:t>with vendors, consultants, CMOs, and CROs. We have contractual arrangements in the normal course of business with these parties, however, our contracts with them are cancelable generally on reasonable notice within one year and our obligations under these contracts are primarily based on services performed. We included certain contracts that have significant cancellation penalties and are material, which make the continuation of these arrangements reasonable.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under the Aurigene Agreement, we have payment obligations that are contingent upon future events such as the achievement of specified development, regulatory and commercial milestones. Financial terms of the Aurigene Agreement include potential future milestone payments of up to $60.0 million in clinical development and regulatory milestones, and up to $ 370.0 million in commercial milestones. Aurigene is also eligible to receive mid-single digit to the low double digit royalties on product sales, if any. The amount and timing of milestone obligations are unknown or uncertain as we are unable to estimate the timing or likelihood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of achieving the milestone events. Additionally, the amount of royalty payments are based upon future product sales, which we are unable to predict with certainty. These potential obligations are further described in Note 12 to our audited consolidated financial statements.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also enter into contracts in the normal course of business with CROs and clinical sites for the conduct of clinical trials, non-clinical research studies, professional consultants for expert advice and other vendors for clinical supply manufacturing or other services. These contracts generally provide for termination on notice, and therefore are cancelable contracts.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3" w:lineRule="exact"/>
        <w:rPr>
          <w:sz w:val="20"/>
          <w:szCs w:val="20"/>
          <w:color w:val="auto"/>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3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3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(82,065)</w:t>
            </w:r>
          </w:p>
        </w:tc>
        <w:tc>
          <w:tcPr>
            <w:tcW w:w="3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(50,690)</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7"/>
                <w:szCs w:val="17"/>
                <w:color w:val="auto"/>
              </w:rPr>
            </w:pP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91,479</w:t>
            </w: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(275,438)</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476</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1,391</w:t>
            </w:r>
          </w:p>
        </w:tc>
      </w:tr>
      <w:tr>
        <w:trPr>
          <w:trHeight w:val="196"/>
        </w:trPr>
        <w:tc>
          <w:tcPr>
            <w:tcW w:w="6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9,890</w:t>
            </w:r>
          </w:p>
        </w:tc>
        <w:tc>
          <w:tcPr>
            <w:tcW w:w="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(324,737)</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during the year ended December 31, 2022 consisted primarily of our net loss of $104.8 million, partially offset by non-cash charges of $18.4 million and a net increase of $4.3 million in net operating assets and liabilities. The net loss consisted primarily of $82.3 million in research and development expenses and $24.7 million in general and administrative expenses. The non-cash charges consisted primarily of stock-based compensation of $ 18.8 million, depreciation and amortization expenses of $0.4 million, and non-cash lease expense of less than $0.1 million, net of cash payments of $1.3 million. These non-cash expenses were partially offset by net discount accretion on our marketable securities of $0.8 million. The change in operating assets and liabilities was primarily due to (i) an increase of $7.0 million in other current liabilities, and (ii) an increase of $0.4 million in accounts payable, which is primarily resulted from timing of invoicing by vendors and related payments. The changes are partially offset by (i) an increase of $2.0 million in prepaid expenses and other current assets, and (ii) an increase of $1.1 million in other assets mostly due to vendor deposits paid for clinical studies.</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during the year ended December 31, 2021 consisted primarily of our net loss of $71.1 million, partially offset by non-cash charges of $16.6 million and a net increase of $3.8 million in net operating assets and liabilities. The net loss consisted primarily of $51.1 million in research and development expenses and $20.4 million in general and administrative expenses. The non-cash charges consisted primarily of stock-based compensation of $15.9 million, depreciation and amortization expenses of $0.4 million, and non-cash lease expense of $0.2 million, net of cash payments of $1.0 million. The change in operating assets and liabilities was primarily due to a net increase of $0.1 million in other assets and prepaid expenses and other current assets related to advanced payments for corporate insurance and subscriptions and licenses, and a decrease of $ 0.7 million in accounts payable, partially offset by an increase of $4.6 million in accrued liabilities, primarily as a result of timing of receipts of invoices.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Net cash provided by investing activities during the year ended December 31, 2022 was predominately due to maturities of marketable securities which was partially offset by the purchase of marketable securities.</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used in investing activities during the year ended December 31, 2021 was predominately due to purchases of marketable securities which was financed through the proceeds from the IPO and convertible preferred stock sale, and purchases of equipment, partially offset by the maturities of marketable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during the year ended December 31, 2022 consisted of $0.3 million and $ 0.1 million in net proceeds from the sale of our common stock under the 2020 ESPP and the exercise of stock options, respectively.</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during the year ended December 31, 2021 consisted of $0.7 million and $ 0.7 million in net proceeds from the sale of our common stock under the 2020 ESPP and the exercise of stock options,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elsewhere in this Annual Report, we believe that the following accounting policies are those most critical to the judgments and estimates used in the preparation of our audited consolidated financial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purchase orders and open contracts, communicating with our personnel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Smaller reporting company</w:t>
      </w:r>
    </w:p>
    <w:p>
      <w:pPr>
        <w:spacing w:after="0" w:line="19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our annual revenue was less than $100.0 million in 2022 and the market value of our voting and non-voting common stock held by non-affiliates was less than $700.0 million measured on the last business day of our second fiscal quarter in 2022, we qualify as a “smaller reporting company” as defined in the Exchange Act. We took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See Note 2 to our consolidated financial statements contained in this Annual Report for a description of recent accounting pronouncements applicable to our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3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December 31, 2022 and 2021, we had cash, cash equivalents and marketable securities of $ 204.4 million and $287.3 million, respectively. We generally hold our cash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marketable securities.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institution risk</w:t>
      </w:r>
    </w:p>
    <w:p>
      <w:pPr>
        <w:spacing w:after="0" w:line="23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Substantially all of our cash is held with a single financial institution. Due to its size, this financial institution represents a minimal credit risk. Cash amounts held at financial institutions are insured by the Federal Deposit Insurance Corporation up to $250,000.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exchange risk</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expenses are generally denominated in U.S. dollars. To date, we have not had any significant foreign currency transactions, and we do not have a formal hedging program with respect to foreign currency. A 10.0% increase or decrease in current exchange rates would not have a material effect on our financial results.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of inflation</w:t>
      </w:r>
    </w:p>
    <w:p>
      <w:pPr>
        <w:spacing w:after="0" w:line="1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has had a material effect on our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2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r>
      <w:tr>
        <w:trPr>
          <w:trHeight w:val="216"/>
        </w:trPr>
        <w:tc>
          <w:tcPr>
            <w:tcW w:w="768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42)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138</w:t>
            </w:r>
          </w:p>
        </w:tc>
      </w:tr>
      <w:tr>
        <w:trPr>
          <w:trHeight w:val="250"/>
        </w:trPr>
        <w:tc>
          <w:tcPr>
            <w:tcW w:w="23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Consolidated Balance Sheets</w:t>
            </w:r>
          </w:p>
        </w:tc>
        <w:tc>
          <w:tcPr>
            <w:tcW w:w="2240" w:type="dxa"/>
            <w:vAlign w:val="bottom"/>
            <w:tcBorders>
              <w:top w:val="single" w:sz="8" w:color="0000EE"/>
            </w:tcBorders>
            <w:gridSpan w:val="4"/>
          </w:tcPr>
          <w:p>
            <w:pPr>
              <w:spacing w:after="0"/>
              <w:rPr>
                <w:sz w:val="21"/>
                <w:szCs w:val="21"/>
                <w:color w:val="auto"/>
              </w:rPr>
            </w:pPr>
          </w:p>
        </w:tc>
        <w:tc>
          <w:tcPr>
            <w:tcW w:w="3080" w:type="dxa"/>
            <w:vAlign w:val="bottom"/>
            <w:gridSpan w:val="2"/>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140</w:t>
            </w:r>
          </w:p>
        </w:tc>
      </w:tr>
      <w:tr>
        <w:trPr>
          <w:trHeight w:val="250"/>
        </w:trPr>
        <w:tc>
          <w:tcPr>
            <w:tcW w:w="768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Loss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141</w:t>
            </w:r>
          </w:p>
        </w:tc>
      </w:tr>
      <w:tr>
        <w:trPr>
          <w:trHeight w:val="250"/>
        </w:trPr>
        <w:tc>
          <w:tcPr>
            <w:tcW w:w="5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Stockholders’ Equity</w:t>
            </w: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142</w:t>
            </w:r>
          </w:p>
        </w:tc>
      </w:tr>
      <w:tr>
        <w:trPr>
          <w:trHeight w:val="250"/>
        </w:trPr>
        <w:tc>
          <w:tcPr>
            <w:tcW w:w="3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Consolidated Statements of Cash Flows</w:t>
            </w:r>
          </w:p>
        </w:tc>
        <w:tc>
          <w:tcPr>
            <w:tcW w:w="680" w:type="dxa"/>
            <w:vAlign w:val="bottom"/>
            <w:tcBorders>
              <w:top w:val="single" w:sz="8" w:color="0000EE"/>
            </w:tcBorders>
            <w:gridSpan w:val="2"/>
          </w:tcPr>
          <w:p>
            <w:pPr>
              <w:spacing w:after="0"/>
              <w:rPr>
                <w:sz w:val="21"/>
                <w:szCs w:val="21"/>
                <w:color w:val="auto"/>
              </w:rPr>
            </w:pPr>
          </w:p>
        </w:tc>
        <w:tc>
          <w:tcPr>
            <w:tcW w:w="3800" w:type="dxa"/>
            <w:vAlign w:val="bottom"/>
            <w:gridSpan w:val="3"/>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143</w:t>
            </w:r>
          </w:p>
        </w:tc>
      </w:tr>
      <w:tr>
        <w:trPr>
          <w:trHeight w:val="250"/>
        </w:trPr>
        <w:tc>
          <w:tcPr>
            <w:tcW w:w="3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180" w:type="dxa"/>
            <w:vAlign w:val="bottom"/>
            <w:gridSpan w:val="4"/>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Olema Pharmaceuticals, Inc.</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audited the accompanying consolidated balance sheets of Olema Pharmaceuticals,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20"/>
        <w:spacing w:after="0"/>
        <w:rPr>
          <w:sz w:val="20"/>
          <w:szCs w:val="20"/>
          <w:color w:val="auto"/>
        </w:rPr>
      </w:pPr>
      <w:r>
        <w:rPr>
          <w:rFonts w:ascii="Arial" w:cs="Arial" w:eastAsia="Arial" w:hAnsi="Arial"/>
          <w:sz w:val="18"/>
          <w:szCs w:val="18"/>
          <w:b w:val="1"/>
          <w:bCs w:val="1"/>
          <w:i w:val="1"/>
          <w:iCs w:val="1"/>
          <w:color w:val="auto"/>
        </w:rPr>
        <w:t>Clinical Trial Accrual</w:t>
      </w:r>
    </w:p>
    <w:p>
      <w:pPr>
        <w:spacing w:after="0" w:line="184"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discussed in Note 2 in the consolidated financial statements, the Company enters</w:t>
      </w:r>
    </w:p>
    <w:p>
      <w:pPr>
        <w:spacing w:after="0" w:line="14" w:lineRule="exact"/>
        <w:rPr>
          <w:sz w:val="20"/>
          <w:szCs w:val="20"/>
          <w:color w:val="auto"/>
        </w:rPr>
      </w:pPr>
    </w:p>
    <w:p>
      <w:pPr>
        <w:jc w:val="both"/>
        <w:ind w:left="2020" w:right="20" w:hanging="1879"/>
        <w:spacing w:after="0" w:line="238" w:lineRule="auto"/>
        <w:tabs>
          <w:tab w:leader="none" w:pos="20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into contracts with clinical research organizations (CROs) to conduct clinical services on their behalf. Judgments and estimates are required to determine the amounts accrued for estimated ongoing research and development costs. The Company analyzes the progress of the studies or clinical trials, including the phase or completion of activities, invoices received and contracted costs.</w:t>
      </w:r>
    </w:p>
    <w:p>
      <w:pPr>
        <w:spacing w:after="0" w:line="202" w:lineRule="exact"/>
        <w:rPr>
          <w:sz w:val="20"/>
          <w:szCs w:val="20"/>
          <w:color w:val="auto"/>
        </w:rPr>
      </w:pPr>
    </w:p>
    <w:p>
      <w:pPr>
        <w:jc w:val="both"/>
        <w:ind w:left="2020"/>
        <w:spacing w:after="0" w:line="237" w:lineRule="auto"/>
        <w:rPr>
          <w:sz w:val="20"/>
          <w:szCs w:val="20"/>
          <w:color w:val="auto"/>
        </w:rPr>
      </w:pPr>
      <w:r>
        <w:rPr>
          <w:rFonts w:ascii="Arial" w:cs="Arial" w:eastAsia="Arial" w:hAnsi="Arial"/>
          <w:sz w:val="18"/>
          <w:szCs w:val="18"/>
          <w:color w:val="auto"/>
        </w:rPr>
        <w:t>Auditing the Company’s accrual for clinical trial costs is complex since the information necessary to estimate the accruals is accumulated from the CROs and the Company's assessment of that information is subject to variability and uncertainty. In addition, in certain circumstances, the determination of the nature and amounts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180"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8"/>
          <w:szCs w:val="18"/>
          <w:color w:val="auto"/>
        </w:rPr>
        <w:t>To test the clinical trial accrual, our audit procedures included, among others, reading a</w:t>
      </w:r>
    </w:p>
    <w:p>
      <w:pPr>
        <w:spacing w:after="0" w:line="9"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8"/>
          <w:szCs w:val="18"/>
          <w:color w:val="auto"/>
        </w:rPr>
        <w:t>sample of the Company’s agreement contracts with the CROs to understand key</w:t>
      </w:r>
    </w:p>
    <w:p>
      <w:pPr>
        <w:jc w:val="both"/>
        <w:ind w:left="2020" w:hanging="1879"/>
        <w:spacing w:after="0" w:line="236" w:lineRule="auto"/>
        <w:tabs>
          <w:tab w:leader="none" w:pos="200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financial and contractual terms and testing the accuracy and completeness of the underlying data used in the accrual computations. We also evaluated management’s estimates of the vendor’s progress for a sample of clinical trials by inquiring of the Company’s operations personnel overseeing the clinical trials and obtaining information directly from third party vendors regarding their estimate of costs that have been incurred through December 31, 2022. We analyzed the data underlying the accrual balance to evaluate the impact of reasonable changes in the data on the recorded amount of the clinical trial accrual.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Iselin, New Jersey</w:t>
      </w:r>
    </w:p>
    <w:p>
      <w:pPr>
        <w:ind w:left="60"/>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for share amounts)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47"/>
        </w:trPr>
        <w:tc>
          <w:tcPr>
            <w:tcW w:w="6520" w:type="dxa"/>
            <w:vAlign w:val="bottom"/>
            <w:tcBorders>
              <w:top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149"/>
        </w:trPr>
        <w:tc>
          <w:tcPr>
            <w:tcW w:w="6520" w:type="dxa"/>
            <w:vAlign w:val="bottom"/>
          </w:tcPr>
          <w:p>
            <w:pPr>
              <w:spacing w:after="0"/>
              <w:rPr>
                <w:sz w:val="12"/>
                <w:szCs w:val="12"/>
                <w:color w:val="auto"/>
              </w:rPr>
            </w:pPr>
          </w:p>
        </w:tc>
        <w:tc>
          <w:tcPr>
            <w:tcW w:w="122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231F20"/>
              </w:rPr>
              <w:t>December 31,</w:t>
            </w: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231F20"/>
              </w:rPr>
              <w:t>December 31,</w:t>
            </w:r>
          </w:p>
        </w:tc>
        <w:tc>
          <w:tcPr>
            <w:tcW w:w="20" w:type="dxa"/>
            <w:vAlign w:val="bottom"/>
          </w:tcPr>
          <w:p>
            <w:pPr>
              <w:spacing w:after="0"/>
              <w:rPr>
                <w:sz w:val="12"/>
                <w:szCs w:val="12"/>
                <w:color w:val="auto"/>
              </w:rPr>
            </w:pPr>
          </w:p>
        </w:tc>
      </w:tr>
      <w:tr>
        <w:trPr>
          <w:trHeight w:val="168"/>
        </w:trPr>
        <w:tc>
          <w:tcPr>
            <w:tcW w:w="65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4896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564896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4896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line="235" w:lineRule="auto"/>
        <w:rPr>
          <w:sz w:val="20"/>
          <w:szCs w:val="20"/>
          <w:color w:val="auto"/>
        </w:rPr>
      </w:pPr>
      <w:r>
        <w:rPr>
          <w:rFonts w:ascii="Arial" w:cs="Arial" w:eastAsia="Arial" w:hAnsi="Arial"/>
          <w:sz w:val="18"/>
          <w:szCs w:val="18"/>
          <w:color w:val="auto"/>
        </w:rPr>
        <w:t>Operating lease right-of-use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4896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 equity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Accounts payable</w:t>
      </w:r>
    </w:p>
    <w:p>
      <w:pPr>
        <w:ind w:left="160"/>
        <w:spacing w:after="0" w:line="235" w:lineRule="auto"/>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4896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460" w:val="left"/>
          <w:tab w:leader="none" w:pos="128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23,702</w:t>
        <w:tab/>
        <w:t>$</w:t>
      </w:r>
      <w:r>
        <w:rPr>
          <w:sz w:val="20"/>
          <w:szCs w:val="20"/>
          <w:color w:val="auto"/>
        </w:rPr>
        <w:tab/>
      </w:r>
      <w:r>
        <w:rPr>
          <w:rFonts w:ascii="Arial" w:cs="Arial" w:eastAsia="Arial" w:hAnsi="Arial"/>
          <w:sz w:val="17"/>
          <w:szCs w:val="17"/>
          <w:color w:val="auto"/>
        </w:rPr>
        <w:t>13,812</w:t>
      </w:r>
    </w:p>
    <w:p>
      <w:pPr>
        <w:ind w:left="380"/>
        <w:spacing w:after="0"/>
        <w:tabs>
          <w:tab w:leader="none" w:pos="1660" w:val="left"/>
        </w:tabs>
        <w:rPr>
          <w:sz w:val="20"/>
          <w:szCs w:val="20"/>
          <w:color w:val="auto"/>
        </w:rPr>
      </w:pPr>
      <w:r>
        <w:rPr>
          <w:rFonts w:ascii="Arial" w:cs="Arial" w:eastAsia="Arial" w:hAnsi="Arial"/>
          <w:sz w:val="17"/>
          <w:szCs w:val="17"/>
          <w:color w:val="auto"/>
        </w:rPr>
        <w:t>180,719</w:t>
      </w:r>
      <w:r>
        <w:rPr>
          <w:sz w:val="20"/>
          <w:szCs w:val="20"/>
          <w:color w:val="auto"/>
        </w:rPr>
        <w:tab/>
      </w:r>
      <w:r>
        <w:rPr>
          <w:rFonts w:ascii="Arial" w:cs="Arial" w:eastAsia="Arial" w:hAnsi="Arial"/>
          <w:sz w:val="17"/>
          <w:szCs w:val="17"/>
          <w:color w:val="auto"/>
        </w:rPr>
        <w:t>273,438</w:t>
      </w:r>
    </w:p>
    <w:p>
      <w:pPr>
        <w:spacing w:after="0" w:line="7" w:lineRule="exact"/>
        <w:rPr>
          <w:sz w:val="20"/>
          <w:szCs w:val="20"/>
          <w:color w:val="auto"/>
        </w:rPr>
      </w:pPr>
    </w:p>
    <w:p>
      <w:pPr>
        <w:jc w:val="both"/>
        <w:ind w:left="580"/>
        <w:spacing w:after="0"/>
        <w:tabs>
          <w:tab w:leader="none" w:pos="1860" w:val="left"/>
        </w:tabs>
        <w:rPr>
          <w:sz w:val="20"/>
          <w:szCs w:val="20"/>
          <w:color w:val="auto"/>
        </w:rPr>
      </w:pPr>
      <w:r>
        <w:rPr>
          <w:rFonts w:ascii="Arial" w:cs="Arial" w:eastAsia="Arial" w:hAnsi="Arial"/>
          <w:sz w:val="18"/>
          <w:szCs w:val="18"/>
          <w:color w:val="auto"/>
        </w:rPr>
        <w:t>4,478</w:t>
      </w:r>
      <w:r>
        <w:rPr>
          <w:sz w:val="20"/>
          <w:szCs w:val="20"/>
          <w:color w:val="auto"/>
        </w:rPr>
        <w:tab/>
      </w:r>
      <w:r>
        <w:rPr>
          <w:rFonts w:ascii="Arial" w:cs="Arial" w:eastAsia="Arial" w:hAnsi="Arial"/>
          <w:sz w:val="18"/>
          <w:szCs w:val="18"/>
          <w:color w:val="auto"/>
        </w:rPr>
        <w:t>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5176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ind w:left="380"/>
        <w:spacing w:after="0"/>
        <w:tabs>
          <w:tab w:leader="none" w:pos="1660" w:val="left"/>
        </w:tabs>
        <w:rPr>
          <w:sz w:val="20"/>
          <w:szCs w:val="20"/>
          <w:color w:val="auto"/>
        </w:rPr>
      </w:pPr>
      <w:r>
        <w:rPr>
          <w:rFonts w:ascii="Arial" w:cs="Arial" w:eastAsia="Arial" w:hAnsi="Arial"/>
          <w:sz w:val="17"/>
          <w:szCs w:val="17"/>
          <w:color w:val="auto"/>
        </w:rPr>
        <w:t>208,899</w:t>
      </w:r>
      <w:r>
        <w:rPr>
          <w:sz w:val="20"/>
          <w:szCs w:val="20"/>
          <w:color w:val="auto"/>
        </w:rPr>
        <w:tab/>
      </w:r>
      <w:r>
        <w:rPr>
          <w:rFonts w:ascii="Arial" w:cs="Arial" w:eastAsia="Arial" w:hAnsi="Arial"/>
          <w:sz w:val="17"/>
          <w:szCs w:val="17"/>
          <w:color w:val="auto"/>
        </w:rPr>
        <w:t>290,685</w:t>
      </w:r>
    </w:p>
    <w:p>
      <w:pPr>
        <w:spacing w:after="0" w:line="3" w:lineRule="exact"/>
        <w:rPr>
          <w:sz w:val="20"/>
          <w:szCs w:val="20"/>
          <w:color w:val="auto"/>
        </w:rPr>
      </w:pPr>
    </w:p>
    <w:p>
      <w:pPr>
        <w:jc w:val="both"/>
        <w:ind w:left="580"/>
        <w:spacing w:after="0"/>
        <w:tabs>
          <w:tab w:leader="none" w:pos="1860" w:val="left"/>
        </w:tabs>
        <w:rPr>
          <w:sz w:val="20"/>
          <w:szCs w:val="20"/>
          <w:color w:val="auto"/>
        </w:rPr>
      </w:pPr>
      <w:r>
        <w:rPr>
          <w:rFonts w:ascii="Arial" w:cs="Arial" w:eastAsia="Arial" w:hAnsi="Arial"/>
          <w:sz w:val="18"/>
          <w:szCs w:val="18"/>
          <w:color w:val="auto"/>
        </w:rPr>
        <w:t>1,480</w:t>
      </w:r>
      <w:r>
        <w:rPr>
          <w:sz w:val="20"/>
          <w:szCs w:val="20"/>
          <w:color w:val="auto"/>
        </w:rPr>
        <w:tab/>
      </w:r>
      <w:r>
        <w:rPr>
          <w:rFonts w:ascii="Arial" w:cs="Arial" w:eastAsia="Arial" w:hAnsi="Arial"/>
          <w:sz w:val="18"/>
          <w:szCs w:val="18"/>
          <w:color w:val="auto"/>
        </w:rPr>
        <w:t>1,474</w:t>
      </w:r>
    </w:p>
    <w:p>
      <w:pPr>
        <w:jc w:val="both"/>
        <w:ind w:left="580"/>
        <w:spacing w:after="0" w:line="234" w:lineRule="auto"/>
        <w:tabs>
          <w:tab w:leader="none" w:pos="1860" w:val="left"/>
        </w:tabs>
        <w:rPr>
          <w:sz w:val="20"/>
          <w:szCs w:val="20"/>
          <w:color w:val="auto"/>
        </w:rPr>
      </w:pPr>
      <w:r>
        <w:rPr>
          <w:rFonts w:ascii="Arial" w:cs="Arial" w:eastAsia="Arial" w:hAnsi="Arial"/>
          <w:sz w:val="18"/>
          <w:szCs w:val="18"/>
          <w:color w:val="auto"/>
        </w:rPr>
        <w:t>2,495</w:t>
      </w:r>
      <w:r>
        <w:rPr>
          <w:sz w:val="20"/>
          <w:szCs w:val="20"/>
          <w:color w:val="auto"/>
        </w:rPr>
        <w:tab/>
      </w:r>
      <w:r>
        <w:rPr>
          <w:rFonts w:ascii="Arial" w:cs="Arial" w:eastAsia="Arial" w:hAnsi="Arial"/>
          <w:sz w:val="18"/>
          <w:szCs w:val="18"/>
          <w:color w:val="auto"/>
        </w:rPr>
        <w:t>3,246</w:t>
      </w:r>
    </w:p>
    <w:p>
      <w:pPr>
        <w:spacing w:after="0" w:line="1" w:lineRule="exact"/>
        <w:rPr>
          <w:sz w:val="20"/>
          <w:szCs w:val="20"/>
          <w:color w:val="auto"/>
        </w:rPr>
      </w:pPr>
    </w:p>
    <w:p>
      <w:pPr>
        <w:ind w:left="580"/>
        <w:spacing w:after="0"/>
        <w:tabs>
          <w:tab w:leader="none" w:pos="2000" w:val="left"/>
        </w:tabs>
        <w:rPr>
          <w:sz w:val="20"/>
          <w:szCs w:val="20"/>
          <w:color w:val="auto"/>
        </w:rPr>
      </w:pPr>
      <w:r>
        <w:rPr>
          <w:rFonts w:ascii="Arial" w:cs="Arial" w:eastAsia="Arial" w:hAnsi="Arial"/>
          <w:sz w:val="17"/>
          <w:szCs w:val="17"/>
          <w:color w:val="auto"/>
        </w:rPr>
        <w:t>2,771</w:t>
      </w:r>
      <w:r>
        <w:rPr>
          <w:sz w:val="20"/>
          <w:szCs w:val="20"/>
          <w:color w:val="auto"/>
        </w:rPr>
        <w:tab/>
      </w:r>
      <w:r>
        <w:rPr>
          <w:rFonts w:ascii="Arial" w:cs="Arial" w:eastAsia="Arial" w:hAnsi="Arial"/>
          <w:sz w:val="17"/>
          <w:szCs w:val="17"/>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5176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1" w:lineRule="exact"/>
        <w:rPr>
          <w:sz w:val="20"/>
          <w:szCs w:val="20"/>
          <w:color w:val="auto"/>
        </w:rPr>
      </w:pPr>
    </w:p>
    <w:p>
      <w:pPr>
        <w:spacing w:after="0"/>
        <w:tabs>
          <w:tab w:leader="none" w:pos="360" w:val="left"/>
          <w:tab w:leader="none" w:pos="1280" w:val="left"/>
          <w:tab w:leader="none" w:pos="1660" w:val="left"/>
        </w:tabs>
        <w:rPr>
          <w:sz w:val="20"/>
          <w:szCs w:val="20"/>
          <w:color w:val="auto"/>
        </w:rPr>
      </w:pPr>
      <w:r>
        <w:rPr>
          <w:rFonts w:ascii="Arial" w:cs="Arial" w:eastAsia="Arial" w:hAnsi="Arial"/>
          <w:sz w:val="18"/>
          <w:szCs w:val="18"/>
          <w:u w:val="single" w:color="auto"/>
          <w:color w:val="auto"/>
        </w:rPr>
        <w:t>$</w:t>
        <w:tab/>
        <w:t>215,645</w:t>
        <w:tab/>
        <w:t>$</w:t>
      </w:r>
      <w:r>
        <w:rPr>
          <w:sz w:val="20"/>
          <w:szCs w:val="20"/>
          <w:color w:val="auto"/>
        </w:rPr>
        <w:tab/>
      </w:r>
      <w:r>
        <w:rPr>
          <w:rFonts w:ascii="Arial" w:cs="Arial" w:eastAsia="Arial" w:hAnsi="Arial"/>
          <w:sz w:val="17"/>
          <w:szCs w:val="17"/>
          <w:u w:val="single" w:color="auto"/>
          <w:color w:val="auto"/>
        </w:rPr>
        <w:t>295,945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3"/>
        </w:trPr>
        <w:tc>
          <w:tcPr>
            <w:tcW w:w="30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1,015</w:t>
            </w:r>
          </w:p>
        </w:tc>
        <w:tc>
          <w:tcPr>
            <w:tcW w:w="4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r>
      <w:tr>
        <w:trPr>
          <w:trHeight w:val="201"/>
        </w:trPr>
        <w:tc>
          <w:tcPr>
            <w:tcW w:w="300" w:type="dxa"/>
            <w:vAlign w:val="bottom"/>
          </w:tcPr>
          <w:p>
            <w:pPr>
              <w:spacing w:after="0"/>
              <w:rPr>
                <w:sz w:val="17"/>
                <w:szCs w:val="17"/>
                <w:color w:val="auto"/>
              </w:rPr>
            </w:pPr>
          </w:p>
        </w:tc>
        <w:tc>
          <w:tcPr>
            <w:tcW w:w="8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15,160</w:t>
            </w:r>
          </w:p>
        </w:tc>
        <w:tc>
          <w:tcPr>
            <w:tcW w:w="48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8,065</w:t>
            </w:r>
          </w:p>
        </w:tc>
      </w:tr>
    </w:tbl>
    <w:p>
      <w:pPr>
        <w:spacing w:after="0" w:line="1" w:lineRule="exact"/>
        <w:rPr>
          <w:sz w:val="20"/>
          <w:szCs w:val="20"/>
          <w:color w:val="auto"/>
        </w:rPr>
      </w:pPr>
    </w:p>
    <w:p>
      <w:pPr>
        <w:sectPr>
          <w:pgSz w:w="11900" w:h="16838" w:orient="portrait"/>
          <w:cols w:equalWidth="0" w:num="2">
            <w:col w:w="5840" w:space="720"/>
            <w:col w:w="245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6520" w:type="dxa"/>
            <w:vAlign w:val="bottom"/>
            <w:tcBorders>
              <w:top w:val="single" w:sz="8" w:color="CCEEFF"/>
            </w:tcBorders>
            <w:shd w:val="clear" w:color="auto" w:fill="CCEEFF"/>
          </w:tcPr>
          <w:p>
            <w:pPr>
              <w:ind w:left="220"/>
              <w:spacing w:after="0" w:line="198" w:lineRule="exact"/>
              <w:rPr>
                <w:sz w:val="20"/>
                <w:szCs w:val="20"/>
                <w:color w:val="auto"/>
              </w:rPr>
            </w:pPr>
            <w:r>
              <w:rPr>
                <w:rFonts w:ascii="Arial" w:cs="Arial" w:eastAsia="Arial" w:hAnsi="Arial"/>
                <w:sz w:val="18"/>
                <w:szCs w:val="18"/>
                <w:color w:val="auto"/>
              </w:rPr>
              <w:t>Total current liabilities</w:t>
            </w:r>
          </w:p>
        </w:tc>
        <w:tc>
          <w:tcPr>
            <w:tcW w:w="1200" w:type="dxa"/>
            <w:vAlign w:val="bottom"/>
            <w:tcBorders>
              <w:top w:val="single" w:sz="8" w:color="auto"/>
            </w:tcBorders>
            <w:shd w:val="clear" w:color="auto" w:fill="CCEEFF"/>
          </w:tcPr>
          <w:p>
            <w:pPr>
              <w:jc w:val="right"/>
              <w:ind w:right="90"/>
              <w:spacing w:after="0" w:line="198" w:lineRule="exact"/>
              <w:rPr>
                <w:sz w:val="20"/>
                <w:szCs w:val="20"/>
                <w:color w:val="auto"/>
              </w:rPr>
            </w:pPr>
            <w:r>
              <w:rPr>
                <w:rFonts w:ascii="Arial" w:cs="Arial" w:eastAsia="Arial" w:hAnsi="Arial"/>
                <w:sz w:val="18"/>
                <w:szCs w:val="18"/>
                <w:color w:val="auto"/>
              </w:rPr>
              <w:t>16,549</w:t>
            </w:r>
          </w:p>
        </w:tc>
        <w:tc>
          <w:tcPr>
            <w:tcW w:w="11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9,019</w:t>
            </w:r>
          </w:p>
        </w:tc>
      </w:tr>
      <w:tr>
        <w:trPr>
          <w:trHeight w:val="203"/>
        </w:trPr>
        <w:tc>
          <w:tcPr>
            <w:tcW w:w="65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2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1,550</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w:t>
            </w:r>
          </w:p>
        </w:tc>
      </w:tr>
      <w:tr>
        <w:trPr>
          <w:trHeight w:val="196"/>
        </w:trPr>
        <w:tc>
          <w:tcPr>
            <w:tcW w:w="65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18,099</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11,377</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12)</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Stockholders’ equity:</w:t>
            </w: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2"/>
        </w:trPr>
        <w:tc>
          <w:tcPr>
            <w:tcW w:w="6520" w:type="dxa"/>
            <w:vAlign w:val="bottom"/>
          </w:tcPr>
          <w:p>
            <w:pPr>
              <w:ind w:left="20"/>
              <w:spacing w:after="0" w:line="201" w:lineRule="exact"/>
              <w:rPr>
                <w:sz w:val="20"/>
                <w:szCs w:val="20"/>
                <w:color w:val="auto"/>
              </w:rPr>
            </w:pPr>
            <w:r>
              <w:rPr>
                <w:rFonts w:ascii="Arial" w:cs="Arial" w:eastAsia="Arial" w:hAnsi="Arial"/>
                <w:sz w:val="18"/>
                <w:szCs w:val="18"/>
                <w:color w:val="231F20"/>
              </w:rPr>
              <w:t>Preferred stock, $0.0001 par value; 10,000,000 shares authorized as of</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231F20"/>
              </w:rPr>
              <w:t>December 31, 2022 and December 31, 2021; no shares issued and</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520" w:type="dxa"/>
            <w:vAlign w:val="bottom"/>
          </w:tcPr>
          <w:p>
            <w:pPr>
              <w:ind w:left="20"/>
              <w:spacing w:after="0" w:line="203" w:lineRule="exact"/>
              <w:rPr>
                <w:sz w:val="20"/>
                <w:szCs w:val="20"/>
                <w:color w:val="auto"/>
              </w:rPr>
            </w:pPr>
            <w:r>
              <w:rPr>
                <w:rFonts w:ascii="Arial" w:cs="Arial" w:eastAsia="Arial" w:hAnsi="Arial"/>
                <w:sz w:val="18"/>
                <w:szCs w:val="18"/>
                <w:color w:val="231F20"/>
              </w:rPr>
              <w:t>outstanding as of December 31, 2022 and December 31, 2021.</w:t>
            </w:r>
          </w:p>
        </w:tc>
        <w:tc>
          <w:tcPr>
            <w:tcW w:w="12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6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$0.0001 par value; 490,000,000 shares authorized as of</w:t>
            </w: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2022 and December 31, 2021; 40,601,648 and 40,337,046</w:t>
            </w: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2"/>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issued as of December 31, 2022 and December 31, 2021, respectively;</w:t>
            </w: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40,287,097 and 39,797,263 shares outstanding as of December 31, 2022 and</w:t>
            </w:r>
          </w:p>
        </w:tc>
        <w:tc>
          <w:tcPr>
            <w:tcW w:w="1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December 31, 2021, respectively.</w:t>
            </w:r>
          </w:p>
        </w:tc>
        <w:tc>
          <w:tcPr>
            <w:tcW w:w="12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231F20"/>
              </w:rPr>
              <w:t>Additional paid-in capital</w:t>
            </w: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408,333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388,904</w:t>
            </w:r>
          </w:p>
        </w:tc>
      </w:tr>
      <w:tr>
        <w:trPr>
          <w:trHeight w:val="203"/>
        </w:trPr>
        <w:tc>
          <w:tcPr>
            <w:tcW w:w="65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Accumulated other comprehensive loss</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(1,813)</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5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Accumulated deficit</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(208,977)</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196"/>
        </w:trPr>
        <w:tc>
          <w:tcPr>
            <w:tcW w:w="65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stockholders’ equity</w:t>
            </w:r>
          </w:p>
        </w:tc>
        <w:tc>
          <w:tcPr>
            <w:tcW w:w="12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231F20"/>
              </w:rPr>
              <w:t>197,546</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284,568</w:t>
            </w:r>
          </w:p>
        </w:tc>
      </w:tr>
      <w:tr>
        <w:trPr>
          <w:trHeight w:val="196"/>
        </w:trPr>
        <w:tc>
          <w:tcPr>
            <w:tcW w:w="65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12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215,645</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295,945</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59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5"/>
        </w:trPr>
        <w:tc>
          <w:tcPr>
            <w:tcW w:w="59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82,274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51,100</w:t>
            </w: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24,714</w:t>
            </w: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20,391</w:t>
            </w:r>
          </w:p>
        </w:tc>
        <w:tc>
          <w:tcPr>
            <w:tcW w:w="0" w:type="dxa"/>
            <w:vAlign w:val="bottom"/>
          </w:tcPr>
          <w:p>
            <w:pPr>
              <w:spacing w:after="0"/>
              <w:rPr>
                <w:sz w:val="1"/>
                <w:szCs w:val="1"/>
                <w:color w:val="auto"/>
              </w:rPr>
            </w:pPr>
          </w:p>
        </w:tc>
      </w:tr>
      <w:tr>
        <w:trPr>
          <w:trHeight w:val="156"/>
        </w:trPr>
        <w:tc>
          <w:tcPr>
            <w:tcW w:w="59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106,988</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71,491</w:t>
            </w:r>
          </w:p>
        </w:tc>
        <w:tc>
          <w:tcPr>
            <w:tcW w:w="0" w:type="dxa"/>
            <w:vAlign w:val="bottom"/>
          </w:tcPr>
          <w:p>
            <w:pPr>
              <w:spacing w:after="0"/>
              <w:rPr>
                <w:sz w:val="1"/>
                <w:szCs w:val="1"/>
                <w:color w:val="auto"/>
              </w:rPr>
            </w:pPr>
          </w:p>
        </w:tc>
      </w:tr>
      <w:tr>
        <w:trPr>
          <w:trHeight w:val="155"/>
        </w:trPr>
        <w:tc>
          <w:tcPr>
            <w:tcW w:w="59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(106,988)</w:t>
            </w: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(71,491)</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2,228</w:t>
            </w: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62"/>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expense</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59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Total other income</w:t>
            </w:r>
          </w:p>
        </w:tc>
        <w:tc>
          <w:tcPr>
            <w:tcW w:w="1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2,201</w:t>
            </w:r>
          </w:p>
        </w:tc>
        <w:tc>
          <w:tcPr>
            <w:tcW w:w="4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(104,787)</w:t>
            </w:r>
          </w:p>
        </w:tc>
        <w:tc>
          <w:tcPr>
            <w:tcW w:w="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(71,096)</w:t>
            </w:r>
          </w:p>
        </w:tc>
        <w:tc>
          <w:tcPr>
            <w:tcW w:w="0" w:type="dxa"/>
            <w:vAlign w:val="bottom"/>
          </w:tcPr>
          <w:p>
            <w:pPr>
              <w:spacing w:after="0"/>
              <w:rPr>
                <w:sz w:val="1"/>
                <w:szCs w:val="1"/>
                <w:color w:val="auto"/>
              </w:rPr>
            </w:pPr>
          </w:p>
        </w:tc>
      </w:tr>
      <w:tr>
        <w:trPr>
          <w:trHeight w:val="143"/>
        </w:trPr>
        <w:tc>
          <w:tcPr>
            <w:tcW w:w="590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231F20"/>
              </w:rPr>
              <w:t>Net loss per share, basic and diluted</w:t>
            </w:r>
          </w:p>
        </w:tc>
        <w:tc>
          <w:tcPr>
            <w:tcW w:w="380" w:type="dxa"/>
            <w:vAlign w:val="bottom"/>
            <w:tcBorders>
              <w:bottom w:val="single" w:sz="8" w:color="auto"/>
            </w:tcBorders>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08"/>
              <w:spacing w:after="0" w:line="143" w:lineRule="exact"/>
              <w:rPr>
                <w:sz w:val="20"/>
                <w:szCs w:val="20"/>
                <w:color w:val="auto"/>
              </w:rPr>
            </w:pPr>
            <w:r>
              <w:rPr>
                <w:rFonts w:ascii="Arial" w:cs="Arial" w:eastAsia="Arial" w:hAnsi="Arial"/>
                <w:sz w:val="14"/>
                <w:szCs w:val="14"/>
                <w:color w:val="231F20"/>
              </w:rPr>
              <w:t>(2.62)</w:t>
            </w:r>
          </w:p>
        </w:tc>
        <w:tc>
          <w:tcPr>
            <w:tcW w:w="420" w:type="dxa"/>
            <w:vAlign w:val="bottom"/>
            <w:tcBorders>
              <w:bottom w:val="single" w:sz="8" w:color="auto"/>
            </w:tcBorders>
            <w:shd w:val="clear" w:color="auto" w:fill="CCEEFF"/>
          </w:tcPr>
          <w:p>
            <w:pPr>
              <w:jc w:val="right"/>
              <w:ind w:right="68"/>
              <w:spacing w:after="0" w:line="143" w:lineRule="exact"/>
              <w:rPr>
                <w:sz w:val="20"/>
                <w:szCs w:val="20"/>
                <w:color w:val="auto"/>
              </w:rPr>
            </w:pPr>
            <w:r>
              <w:rPr>
                <w:rFonts w:ascii="Arial" w:cs="Arial" w:eastAsia="Arial" w:hAnsi="Arial"/>
                <w:sz w:val="14"/>
                <w:szCs w:val="14"/>
                <w:color w:val="231F20"/>
              </w:rPr>
              <w:t>$</w:t>
            </w:r>
          </w:p>
        </w:tc>
        <w:tc>
          <w:tcPr>
            <w:tcW w:w="9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(1.80)</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4"/>
                <w:szCs w:val="14"/>
                <w:color w:val="231F20"/>
              </w:rPr>
              <w:t>Weighted average shares used to compute net loss per share, basic and diluted</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rPr>
              <w:t>39,995,460</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39,524,272</w:t>
            </w:r>
          </w:p>
        </w:tc>
        <w:tc>
          <w:tcPr>
            <w:tcW w:w="0" w:type="dxa"/>
            <w:vAlign w:val="bottom"/>
          </w:tcPr>
          <w:p>
            <w:pPr>
              <w:spacing w:after="0"/>
              <w:rPr>
                <w:sz w:val="1"/>
                <w:szCs w:val="1"/>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59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r>
      <w:tr>
        <w:trPr>
          <w:trHeight w:val="156"/>
        </w:trPr>
        <w:tc>
          <w:tcPr>
            <w:tcW w:w="59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231F20"/>
              </w:rPr>
              <w:t>Net loss</w:t>
            </w:r>
          </w:p>
        </w:tc>
        <w:tc>
          <w:tcPr>
            <w:tcW w:w="38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(104,787)</w:t>
            </w:r>
          </w:p>
        </w:tc>
        <w:tc>
          <w:tcPr>
            <w:tcW w:w="4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(71,096)</w:t>
            </w:r>
          </w:p>
        </w:tc>
      </w:tr>
      <w:tr>
        <w:trPr>
          <w:trHeight w:val="162"/>
        </w:trPr>
        <w:tc>
          <w:tcPr>
            <w:tcW w:w="5900" w:type="dxa"/>
            <w:vAlign w:val="bottom"/>
          </w:tcPr>
          <w:p>
            <w:pPr>
              <w:ind w:left="20"/>
              <w:spacing w:after="0"/>
              <w:rPr>
                <w:sz w:val="20"/>
                <w:szCs w:val="20"/>
                <w:color w:val="auto"/>
              </w:rPr>
            </w:pPr>
            <w:r>
              <w:rPr>
                <w:rFonts w:ascii="Arial" w:cs="Arial" w:eastAsia="Arial" w:hAnsi="Arial"/>
                <w:sz w:val="14"/>
                <w:szCs w:val="14"/>
                <w:color w:val="231F20"/>
              </w:rPr>
              <w:t>Other comprehensive loss: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marketable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(1,664)</w:t>
            </w: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55"/>
        </w:trPr>
        <w:tc>
          <w:tcPr>
            <w:tcW w:w="59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(106,451)</w:t>
            </w:r>
          </w:p>
        </w:tc>
        <w:tc>
          <w:tcPr>
            <w:tcW w:w="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(71,245)</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3"/>
                <w:szCs w:val="13"/>
                <w:b w:val="1"/>
                <w:bCs w:val="1"/>
                <w:color w:val="auto"/>
                <w:w w:val="97"/>
              </w:rPr>
              <w:t>Accumulated</w:t>
            </w: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jc w:val="right"/>
              <w:ind w:right="77"/>
              <w:spacing w:after="0" w:line="135" w:lineRule="exact"/>
              <w:rPr>
                <w:sz w:val="20"/>
                <w:szCs w:val="20"/>
                <w:color w:val="auto"/>
              </w:rPr>
            </w:pPr>
            <w:r>
              <w:rPr>
                <w:rFonts w:ascii="Arial" w:cs="Arial" w:eastAsia="Arial" w:hAnsi="Arial"/>
                <w:sz w:val="13"/>
                <w:szCs w:val="13"/>
                <w:b w:val="1"/>
                <w:bCs w:val="1"/>
                <w:color w:val="auto"/>
              </w:rPr>
              <w:t>Additional</w:t>
            </w:r>
          </w:p>
        </w:tc>
        <w:tc>
          <w:tcPr>
            <w:tcW w:w="320" w:type="dxa"/>
            <w:vAlign w:val="bottom"/>
          </w:tcPr>
          <w:p>
            <w:pPr>
              <w:spacing w:after="0"/>
              <w:rPr>
                <w:sz w:val="11"/>
                <w:szCs w:val="11"/>
                <w:color w:val="auto"/>
              </w:rPr>
            </w:pPr>
          </w:p>
        </w:tc>
        <w:tc>
          <w:tcPr>
            <w:tcW w:w="7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Paid-in</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Comprehensive</w:t>
            </w:r>
          </w:p>
        </w:tc>
        <w:tc>
          <w:tcPr>
            <w:tcW w:w="940" w:type="dxa"/>
            <w:vAlign w:val="bottom"/>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231F20"/>
              </w:rPr>
              <w:t>Shares</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231F20"/>
                <w:w w:val="97"/>
              </w:rPr>
              <w:t>Amount</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231F20"/>
              </w:rPr>
              <w:t>Capital</w:t>
            </w: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37"/>
              <w:spacing w:after="0" w:line="129" w:lineRule="exact"/>
              <w:rPr>
                <w:sz w:val="20"/>
                <w:szCs w:val="20"/>
                <w:color w:val="auto"/>
              </w:rPr>
            </w:pPr>
            <w:r>
              <w:rPr>
                <w:rFonts w:ascii="Arial" w:cs="Arial" w:eastAsia="Arial" w:hAnsi="Arial"/>
                <w:sz w:val="13"/>
                <w:szCs w:val="13"/>
                <w:b w:val="1"/>
                <w:bCs w:val="1"/>
                <w:color w:val="231F20"/>
                <w:w w:val="92"/>
              </w:rPr>
              <w:t>Loss</w:t>
            </w:r>
          </w:p>
        </w:tc>
        <w:tc>
          <w:tcPr>
            <w:tcW w:w="94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7"/>
              <w:spacing w:after="0" w:line="129" w:lineRule="exact"/>
              <w:rPr>
                <w:sz w:val="20"/>
                <w:szCs w:val="20"/>
                <w:color w:val="auto"/>
              </w:rPr>
            </w:pPr>
            <w:r>
              <w:rPr>
                <w:rFonts w:ascii="Arial" w:cs="Arial" w:eastAsia="Arial" w:hAnsi="Arial"/>
                <w:sz w:val="13"/>
                <w:szCs w:val="13"/>
                <w:b w:val="1"/>
                <w:bCs w:val="1"/>
                <w:color w:val="231F20"/>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shd w:val="clear" w:color="auto" w:fill="CCEEFF"/>
          </w:tcPr>
          <w:p>
            <w:pPr>
              <w:spacing w:after="0" w:line="129" w:lineRule="exact"/>
              <w:rPr>
                <w:sz w:val="20"/>
                <w:szCs w:val="20"/>
                <w:color w:val="auto"/>
              </w:rPr>
            </w:pPr>
            <w:r>
              <w:rPr>
                <w:rFonts w:ascii="Arial" w:cs="Arial" w:eastAsia="Arial" w:hAnsi="Arial"/>
                <w:sz w:val="13"/>
                <w:szCs w:val="13"/>
                <w:color w:val="231F20"/>
              </w:rPr>
              <w:t>Balances at December 31, 2020</w:t>
            </w: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92"/>
              </w:rPr>
              <w:t>39,308,238</w:t>
            </w: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371,228</w:t>
            </w:r>
          </w:p>
        </w:tc>
        <w:tc>
          <w:tcPr>
            <w:tcW w:w="3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(33,094)</w:t>
            </w:r>
          </w:p>
        </w:tc>
        <w:tc>
          <w:tcPr>
            <w:tcW w:w="2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338,137</w:t>
            </w:r>
          </w:p>
        </w:tc>
        <w:tc>
          <w:tcPr>
            <w:tcW w:w="0" w:type="dxa"/>
            <w:vAlign w:val="bottom"/>
          </w:tcPr>
          <w:p>
            <w:pPr>
              <w:spacing w:after="0"/>
              <w:rPr>
                <w:sz w:val="1"/>
                <w:szCs w:val="1"/>
                <w:color w:val="auto"/>
              </w:rPr>
            </w:pPr>
          </w:p>
        </w:tc>
      </w:tr>
      <w:tr>
        <w:trPr>
          <w:trHeight w:val="167"/>
        </w:trPr>
        <w:tc>
          <w:tcPr>
            <w:tcW w:w="3800" w:type="dxa"/>
            <w:vAlign w:val="bottom"/>
            <w:gridSpan w:val="2"/>
          </w:tcPr>
          <w:p>
            <w:pPr>
              <w:spacing w:after="0"/>
              <w:rPr>
                <w:sz w:val="20"/>
                <w:szCs w:val="20"/>
                <w:color w:val="auto"/>
              </w:rPr>
            </w:pPr>
            <w:r>
              <w:rPr>
                <w:rFonts w:ascii="Arial" w:cs="Arial" w:eastAsia="Arial" w:hAnsi="Arial"/>
                <w:sz w:val="13"/>
                <w:szCs w:val="13"/>
                <w:color w:val="auto"/>
              </w:rPr>
              <w:t>Vesting of early exercised stock options</w:t>
            </w:r>
          </w:p>
        </w:tc>
        <w:tc>
          <w:tcPr>
            <w:tcW w:w="8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79,608</w:t>
            </w: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372</w:t>
            </w:r>
          </w:p>
        </w:tc>
        <w:tc>
          <w:tcPr>
            <w:tcW w:w="320" w:type="dxa"/>
            <w:vAlign w:val="bottom"/>
          </w:tcPr>
          <w:p>
            <w:pPr>
              <w:spacing w:after="0"/>
              <w:rPr>
                <w:sz w:val="14"/>
                <w:szCs w:val="14"/>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372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Vesting of restricted stock awards</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242,109</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Exercise of stock options</w:t>
            </w:r>
          </w:p>
        </w:tc>
        <w:tc>
          <w:tcPr>
            <w:tcW w:w="8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126,937</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670</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670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Issuance of shares under the ESPP plan</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40,371</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721</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721</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5"/>
                <w:szCs w:val="15"/>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15,680</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15,680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ESPP expense</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233</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Net unrealized loss on marketable securities</w:t>
            </w:r>
          </w:p>
        </w:tc>
        <w:tc>
          <w:tcPr>
            <w:tcW w:w="140" w:type="dxa"/>
            <w:vAlign w:val="bottom"/>
          </w:tcPr>
          <w:p>
            <w:pPr>
              <w:spacing w:after="0"/>
              <w:rPr>
                <w:sz w:val="15"/>
                <w:szCs w:val="15"/>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(149)</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(149)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(71,096)</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(71,096)</w:t>
            </w:r>
          </w:p>
        </w:tc>
        <w:tc>
          <w:tcPr>
            <w:tcW w:w="0" w:type="dxa"/>
            <w:vAlign w:val="bottom"/>
          </w:tcPr>
          <w:p>
            <w:pPr>
              <w:spacing w:after="0"/>
              <w:rPr>
                <w:sz w:val="1"/>
                <w:szCs w:val="1"/>
                <w:color w:val="auto"/>
              </w:rPr>
            </w:pPr>
          </w:p>
        </w:tc>
      </w:tr>
      <w:tr>
        <w:trPr>
          <w:trHeight w:val="169"/>
        </w:trPr>
        <w:tc>
          <w:tcPr>
            <w:tcW w:w="3800" w:type="dxa"/>
            <w:vAlign w:val="bottom"/>
            <w:gridSpan w:val="2"/>
          </w:tcPr>
          <w:p>
            <w:pPr>
              <w:spacing w:after="0" w:line="129" w:lineRule="exact"/>
              <w:rPr>
                <w:sz w:val="20"/>
                <w:szCs w:val="20"/>
                <w:color w:val="auto"/>
              </w:rPr>
            </w:pPr>
            <w:r>
              <w:rPr>
                <w:rFonts w:ascii="Arial" w:cs="Arial" w:eastAsia="Arial" w:hAnsi="Arial"/>
                <w:sz w:val="13"/>
                <w:szCs w:val="13"/>
                <w:color w:val="auto"/>
              </w:rPr>
              <w:t>Balances at December 31, 2021</w:t>
            </w:r>
          </w:p>
        </w:tc>
        <w:tc>
          <w:tcPr>
            <w:tcW w:w="880" w:type="dxa"/>
            <w:vAlign w:val="bottom"/>
            <w:tcBorders>
              <w:top w:val="single" w:sz="8" w:color="auto"/>
              <w:bottom w:val="single" w:sz="8" w:color="auto"/>
            </w:tcBorders>
            <w:gridSpan w:val="2"/>
          </w:tcPr>
          <w:p>
            <w:pPr>
              <w:jc w:val="right"/>
              <w:ind w:right="57"/>
              <w:spacing w:after="0" w:line="129" w:lineRule="exact"/>
              <w:rPr>
                <w:sz w:val="20"/>
                <w:szCs w:val="20"/>
                <w:color w:val="auto"/>
              </w:rPr>
            </w:pPr>
            <w:r>
              <w:rPr>
                <w:rFonts w:ascii="Arial" w:cs="Arial" w:eastAsia="Arial" w:hAnsi="Arial"/>
                <w:sz w:val="13"/>
                <w:szCs w:val="13"/>
                <w:color w:val="auto"/>
              </w:rPr>
              <w:t>39,797,263</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388,904</w:t>
            </w:r>
          </w:p>
        </w:tc>
        <w:tc>
          <w:tcPr>
            <w:tcW w:w="3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(149)</w:t>
            </w:r>
          </w:p>
        </w:tc>
        <w:tc>
          <w:tcPr>
            <w:tcW w:w="94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(104,190)</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284,568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8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Vesting of early exercised stock options</w:t>
            </w:r>
          </w:p>
        </w:tc>
        <w:tc>
          <w:tcPr>
            <w:tcW w:w="88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27,958</w:t>
            </w: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124</w:t>
            </w: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231F20"/>
              </w:rPr>
              <w:t>124</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Vesting of restricted stock awards</w:t>
            </w:r>
          </w:p>
        </w:tc>
        <w:tc>
          <w:tcPr>
            <w:tcW w:w="8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197,274</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88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87,490</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146</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146</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Issuance of shares under the ESPP plan</w:t>
            </w:r>
          </w:p>
        </w:tc>
        <w:tc>
          <w:tcPr>
            <w:tcW w:w="88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177,112</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330</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330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18,453</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18,453</w:t>
            </w:r>
          </w:p>
        </w:tc>
        <w:tc>
          <w:tcPr>
            <w:tcW w:w="0" w:type="dxa"/>
            <w:vAlign w:val="bottom"/>
          </w:tcPr>
          <w:p>
            <w:pPr>
              <w:spacing w:after="0"/>
              <w:rPr>
                <w:sz w:val="1"/>
                <w:szCs w:val="1"/>
                <w:color w:val="auto"/>
              </w:rPr>
            </w:pPr>
          </w:p>
        </w:tc>
      </w:tr>
      <w:tr>
        <w:trPr>
          <w:trHeight w:val="173"/>
        </w:trPr>
        <w:tc>
          <w:tcPr>
            <w:tcW w:w="3800" w:type="dxa"/>
            <w:vAlign w:val="bottom"/>
            <w:gridSpan w:val="2"/>
          </w:tcPr>
          <w:p>
            <w:pPr>
              <w:spacing w:after="0"/>
              <w:rPr>
                <w:sz w:val="20"/>
                <w:szCs w:val="20"/>
                <w:color w:val="auto"/>
              </w:rPr>
            </w:pPr>
            <w:r>
              <w:rPr>
                <w:rFonts w:ascii="Arial" w:cs="Arial" w:eastAsia="Arial" w:hAnsi="Arial"/>
                <w:sz w:val="13"/>
                <w:szCs w:val="13"/>
                <w:color w:val="auto"/>
              </w:rPr>
              <w:t>ESPP expense</w:t>
            </w:r>
          </w:p>
        </w:tc>
        <w:tc>
          <w:tcPr>
            <w:tcW w:w="140" w:type="dxa"/>
            <w:vAlign w:val="bottom"/>
          </w:tcPr>
          <w:p>
            <w:pPr>
              <w:spacing w:after="0"/>
              <w:rPr>
                <w:sz w:val="15"/>
                <w:szCs w:val="15"/>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376</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376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unrealized loss on marketable securities</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(1,664)</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231F20"/>
              </w:rPr>
              <w:t>(1,664)</w:t>
            </w:r>
          </w:p>
        </w:tc>
        <w:tc>
          <w:tcPr>
            <w:tcW w:w="0" w:type="dxa"/>
            <w:vAlign w:val="bottom"/>
          </w:tcPr>
          <w:p>
            <w:pPr>
              <w:spacing w:after="0"/>
              <w:rPr>
                <w:sz w:val="1"/>
                <w:szCs w:val="1"/>
                <w:color w:val="auto"/>
              </w:rPr>
            </w:pPr>
          </w:p>
        </w:tc>
      </w:tr>
      <w:tr>
        <w:trPr>
          <w:trHeight w:val="186"/>
        </w:trPr>
        <w:tc>
          <w:tcPr>
            <w:tcW w:w="38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6"/>
                <w:szCs w:val="16"/>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7"/>
              <w:spacing w:after="0"/>
              <w:rPr>
                <w:sz w:val="20"/>
                <w:szCs w:val="20"/>
                <w:color w:val="auto"/>
              </w:rPr>
            </w:pPr>
            <w:r>
              <w:rPr>
                <w:rFonts w:ascii="Arial" w:cs="Arial" w:eastAsia="Arial" w:hAnsi="Arial"/>
                <w:sz w:val="13"/>
                <w:szCs w:val="13"/>
                <w:color w:val="auto"/>
              </w:rPr>
              <w:t>(104,787)</w:t>
            </w:r>
          </w:p>
        </w:tc>
        <w:tc>
          <w:tcPr>
            <w:tcW w:w="2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231F20"/>
              </w:rPr>
              <w:t>(104,787)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Balances at December 31, 2022</w:t>
            </w:r>
          </w:p>
        </w:tc>
        <w:tc>
          <w:tcPr>
            <w:tcW w:w="880" w:type="dxa"/>
            <w:vAlign w:val="bottom"/>
            <w:tcBorders>
              <w:bottom w:val="single" w:sz="8" w:color="auto"/>
            </w:tcBorders>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40,287,097</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408,333</w:t>
            </w:r>
          </w:p>
        </w:tc>
        <w:tc>
          <w:tcPr>
            <w:tcW w:w="32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(1,813)</w:t>
            </w:r>
          </w:p>
        </w:tc>
        <w:tc>
          <w:tcPr>
            <w:tcW w:w="9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(208,977)</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340360</wp:posOffset>
            </wp:positionV>
            <wp:extent cx="598360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60" w:type="dxa"/>
            <w:vAlign w:val="bottom"/>
            <w:tcBorders>
              <w:top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Years Ended December 31,</w:t>
            </w:r>
          </w:p>
        </w:tc>
      </w:tr>
      <w:tr>
        <w:trPr>
          <w:trHeight w:val="183"/>
        </w:trPr>
        <w:tc>
          <w:tcPr>
            <w:tcW w:w="6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2021</w:t>
            </w:r>
          </w:p>
        </w:tc>
      </w:tr>
      <w:tr>
        <w:trPr>
          <w:trHeight w:val="183"/>
        </w:trPr>
        <w:tc>
          <w:tcPr>
            <w:tcW w:w="67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6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(104,787)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(71,096)</w:t>
            </w:r>
          </w:p>
        </w:tc>
      </w:tr>
      <w:tr>
        <w:trPr>
          <w:trHeight w:val="189"/>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1,301</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ESPP expense</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18,829</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(1,959)</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676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351</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189"/>
        </w:trPr>
        <w:tc>
          <w:tcPr>
            <w:tcW w:w="676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7,018</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4,571</w:t>
            </w:r>
          </w:p>
        </w:tc>
      </w:tr>
      <w:tr>
        <w:trPr>
          <w:trHeight w:val="189"/>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(1,274)</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r>
      <w:tr>
        <w:trPr>
          <w:trHeight w:val="183"/>
        </w:trPr>
        <w:tc>
          <w:tcPr>
            <w:tcW w:w="67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(82,065)</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(50,690)</w:t>
            </w:r>
          </w:p>
        </w:tc>
      </w:tr>
      <w:tr>
        <w:trPr>
          <w:trHeight w:val="183"/>
        </w:trPr>
        <w:tc>
          <w:tcPr>
            <w:tcW w:w="67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6"/>
                <w:szCs w:val="16"/>
                <w:color w:val="auto"/>
              </w:rPr>
              <w:t>Purchase of equipment</w:t>
            </w:r>
          </w:p>
        </w:tc>
        <w:tc>
          <w:tcPr>
            <w:tcW w:w="1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305,502</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213,104</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marketable securities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(213,660)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(486,967)</w:t>
            </w:r>
          </w:p>
        </w:tc>
      </w:tr>
      <w:tr>
        <w:trPr>
          <w:trHeight w:val="182"/>
        </w:trPr>
        <w:tc>
          <w:tcPr>
            <w:tcW w:w="676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91,479</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(275,438)</w:t>
            </w:r>
          </w:p>
        </w:tc>
      </w:tr>
      <w:tr>
        <w:trPr>
          <w:trHeight w:val="183"/>
        </w:trPr>
        <w:tc>
          <w:tcPr>
            <w:tcW w:w="6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146</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issuance of common stock under the ESPP plan</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r>
      <w:tr>
        <w:trPr>
          <w:trHeight w:val="183"/>
        </w:trPr>
        <w:tc>
          <w:tcPr>
            <w:tcW w:w="676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476</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1,391</w:t>
            </w:r>
          </w:p>
        </w:tc>
      </w:tr>
      <w:tr>
        <w:trPr>
          <w:trHeight w:val="182"/>
        </w:trPr>
        <w:tc>
          <w:tcPr>
            <w:tcW w:w="67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160" w:type="dxa"/>
            <w:vAlign w:val="bottom"/>
          </w:tcPr>
          <w:p>
            <w:pPr>
              <w:spacing w:after="0"/>
              <w:rPr>
                <w:sz w:val="15"/>
                <w:szCs w:val="15"/>
                <w:color w:val="auto"/>
              </w:rPr>
            </w:pPr>
          </w:p>
        </w:tc>
        <w:tc>
          <w:tcPr>
            <w:tcW w:w="9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9,890</w:t>
            </w:r>
          </w:p>
        </w:tc>
        <w:tc>
          <w:tcPr>
            <w:tcW w:w="2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(324,737)</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13,812</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338,549</w:t>
            </w:r>
          </w:p>
        </w:tc>
      </w:tr>
      <w:tr>
        <w:trPr>
          <w:trHeight w:val="223"/>
        </w:trPr>
        <w:tc>
          <w:tcPr>
            <w:tcW w:w="67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23,702</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13,812</w:t>
            </w:r>
          </w:p>
        </w:tc>
      </w:tr>
      <w:tr>
        <w:trPr>
          <w:trHeight w:val="170"/>
        </w:trPr>
        <w:tc>
          <w:tcPr>
            <w:tcW w:w="676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231F20"/>
              </w:rPr>
              <w:t>Reclassification of prepaid expenses and other current liabilities into other assets</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1,117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Vesting of early exercised stock options</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spacing w:after="0" w:line="212" w:lineRule="exact"/>
        <w:rPr>
          <w:sz w:val="20"/>
          <w:szCs w:val="20"/>
          <w:color w:val="auto"/>
        </w:rPr>
      </w:pPr>
    </w:p>
    <w:p>
      <w:pPr>
        <w:ind w:left="400" w:hanging="350"/>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It is currently being evaluated as a single agent in an ongoing Phase 1/2 clinical study, and in Phase 1b/2 combination with palbociclib, ribociclib, and alpelisib, in patients with recurrent, locally advanced or metastatic estrogen receptor-positive (“ER+”), human epidermal growth factor receptor 2-negative (“HER2-“) breast cancer.</w:t>
      </w:r>
    </w:p>
    <w:p>
      <w:pPr>
        <w:spacing w:after="0" w:line="20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and other geopolitical and macroeconomic events, such as the COVID-19 pandemic and the ongoing conflict between Ukraine and Russia and related sanctions,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had $204.4 million of cash, cash equivalents and marketable securities at December 31, 2022, which management believes is sufficient to fund its operating expenses and capital expenditure requirements into 2025.</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and Other Geopolitical and Macroeconomic Events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contract research organizations (“CROs”), third-party manufacturers, and other third parties with whom the Company does business, as well as its impact on regulatory authorities and the Company’s key scientific and management personnel. During 2021 and 2022, although the Company modified its operations and practices due to the COVID-19 pandemic and to comply with federal, state and local requirements, its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In March 2022, the Company fully re-opened its offices to all employees and continues to comply with protocols implemented by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respective health authorities. As a result of the COVID-19 pandemic, we experienced some delays in setting up our current Phase 1/2 clinical study and in clinical site initiation, including delays in recruiting clinical site investigators and clinical site staff. We also experienced subject enrollment timeline delays in a Phase 1b clinical study of OP-1250 in combination with another CDK4/6 inhibitor and with a PI3Ka inhibitor. We may experience these or other continuing impacts of the COVID-19 pandemic in the future. The Company continues to monitor developments related to COVID-19 and may close its offices again in the future. The extent to which the COVID-19 pandemic may affect the Company’s business, operations and development timelines and plans in the future, including the resulting impact on its expenditures and capital needs, remains uncertain.</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ongoing COVID-19 pandemic, global economic and business activities continue to face widespread macroeconomic uncertainties, including labor shortages, inflation and monetary supply shifts, recession risks and potential disruptions from the Russia-Ukraine conflict, which has resulted in volatility in the U.S. and global financial markets and which has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macroeconomic factors on its results of operations, financial condition and cash flows.</w:t>
      </w:r>
    </w:p>
    <w:p>
      <w:pPr>
        <w:spacing w:after="0" w:line="206" w:lineRule="exact"/>
        <w:rPr>
          <w:sz w:val="20"/>
          <w:szCs w:val="20"/>
          <w:color w:val="auto"/>
        </w:rPr>
      </w:pPr>
    </w:p>
    <w:p>
      <w:pPr>
        <w:ind w:left="400" w:hanging="350"/>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(“GAAP”) and applicable rules and regulations of the Securities and Exchange Commission (the “SEC”) regarding financial reporting, and the instructions to Form 10-K and Article 10 of Regulation S-X. These consolidated financial statements include the accounts of Olema Pharmaceuticals, Inc. and its wholly owned subsidiary, Olema Oncology Australia Pty Ltd. All intercompany balances and transactions have been eliminated upon consolidation.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consolidated financial statements are prepared in accordance with GAAP. The preparation of the consolidated financial statements in conformity with GAAP requires management to make estimates and assumptions that affect the reported amounts of assets and liabilities at the date of the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as of December 31, 2022 and 2021. Cash and cash equivalents consisted of cash on deposit with U.S. banks, including the Company’s bank account for its Australia subsidiary, denominated in U.S. dollars and Australian dollars and investments in interest bearing money market funds.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In February 2016, the Financial Accounting Standards Board (“FASB”) issued new lease accounting guidance in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issued ASU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ASUs collectively referred to as “Topic 842”). Under the new guidance,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20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w:t>
      </w:r>
    </w:p>
    <w:p>
      <w:pPr>
        <w:spacing w:after="0" w:line="3" w:lineRule="exact"/>
        <w:rPr>
          <w:sz w:val="20"/>
          <w:szCs w:val="20"/>
          <w:color w:val="auto"/>
        </w:rPr>
      </w:pPr>
    </w:p>
    <w:p>
      <w:pPr>
        <w:jc w:val="both"/>
        <w:ind w:left="60" w:right="59" w:hanging="10"/>
        <w:spacing w:after="0" w:line="237" w:lineRule="auto"/>
        <w:tabs>
          <w:tab w:leader="none" w:pos="3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consolidated statements of operations and comprehensive loss.</w:t>
      </w:r>
    </w:p>
    <w:p>
      <w:pPr>
        <w:spacing w:after="0" w:line="20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11 “Lease”.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consolidated statements of operations and include personnel expenses, stock-based compensation expenses, allocated general and administrative expenses, and external costs including fees paid to consultants and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assets. Such amounts are recognized as an expense as the goods are delivered or the related services are performed.</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Reimbursements of certain costs associated with research activities performed under the agreement with Novartis Institutes for BioMedical Research, Inc. (“Novartis”) are recorded as a reduction of research and development expenses, as described in Note 12, Commitments and Contingencies – </w:t>
      </w:r>
      <w:r>
        <w:rPr>
          <w:rFonts w:ascii="Arial" w:cs="Arial" w:eastAsia="Arial" w:hAnsi="Arial"/>
          <w:sz w:val="18"/>
          <w:szCs w:val="18"/>
          <w:i w:val="1"/>
          <w:iCs w:val="1"/>
          <w:color w:val="auto"/>
        </w:rPr>
        <w:t>Clinical 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Supply Agreement</w:t>
      </w:r>
      <w:r>
        <w:rPr>
          <w:rFonts w:ascii="Arial" w:cs="Arial" w:eastAsia="Arial" w:hAnsi="Arial"/>
          <w:sz w:val="18"/>
          <w:szCs w:val="18"/>
          <w:color w:val="auto"/>
        </w:rPr>
        <w: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Property and equipment are stated at cost, net of accumulated depreciation. Depreciation is computed using the straight-line method over the estimated useful lives. The useful lives of equipment are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26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Estimated Useful Lives</w:t>
            </w:r>
          </w:p>
        </w:tc>
      </w:tr>
      <w:tr>
        <w:trPr>
          <w:trHeight w:val="196"/>
        </w:trPr>
        <w:tc>
          <w:tcPr>
            <w:tcW w:w="7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 – 7 years</w:t>
            </w:r>
          </w:p>
        </w:tc>
      </w:tr>
      <w:tr>
        <w:trPr>
          <w:trHeight w:val="203"/>
        </w:trPr>
        <w:tc>
          <w:tcPr>
            <w:tcW w:w="72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 years</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When assets are sold or retired, the cost and related accumulated depreciation are removed from the balance sheets, with any resulting gain or loss recorded in operating expenses in the statements of operations and comprehensive loss. Costs of repairs and maintenance are expensed as incurred.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Income taxes are computed using the asset and liability approach that requires the recognition of deferred tax assets and liabilities for the expected future tax consequences of events that have been recognized in the Company’s consolidated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2022 and 2021, the Company has recorded full valuation allowance against its net deferred tax assets.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had no unrecognized tax benefits for the years ended December 31, 2022 and 2021, respectively. The Company may be subject to U.S. Federal, state, and local tax examinations by tax authorities for years before 2022, which may include adjustments to carry-forward attributes (see Note 9, “Income Taxes”).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Company’s policy is to recognize interest and penalties related to uncertain tax positions in the provision for income taxes. As of December 31, 2022 and 2021, the Company had no accrued interest or penalties related to uncertain tax positions.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Comprehensive Loss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Comprehensive loss includes net loss and other comprehensive loss for each period presented. Other comprehensive loss represents net unrealized loss on marketable securities.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Compensation — Stock Compensation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Transactions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new accounting pronouncements that were relevant to the Company as of and for the year ended December 31, 2022.</w:t>
      </w:r>
    </w:p>
    <w:p>
      <w:pPr>
        <w:spacing w:after="0" w:line="197" w:lineRule="exact"/>
        <w:rPr>
          <w:sz w:val="20"/>
          <w:szCs w:val="20"/>
          <w:color w:val="auto"/>
        </w:rPr>
      </w:pPr>
    </w:p>
    <w:p>
      <w:pPr>
        <w:ind w:left="400" w:hanging="350"/>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380" w:right="79" w:hanging="330"/>
        <w:spacing w:after="0" w:line="277" w:lineRule="auto"/>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75"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6" w:lineRule="exact"/>
        <w:rPr>
          <w:rFonts w:ascii="Arial" w:cs="Arial" w:eastAsia="Arial" w:hAnsi="Arial"/>
          <w:sz w:val="18"/>
          <w:szCs w:val="18"/>
          <w:color w:val="231F20"/>
        </w:rPr>
      </w:pPr>
    </w:p>
    <w:p>
      <w:pPr>
        <w:jc w:val="both"/>
        <w:ind w:left="380" w:right="79"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489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w:t>
      </w:r>
    </w:p>
    <w:p>
      <w:pPr>
        <w:ind w:left="160"/>
        <w:spacing w:after="0" w:line="234" w:lineRule="auto"/>
        <w:rPr>
          <w:sz w:val="20"/>
          <w:szCs w:val="20"/>
          <w:color w:val="auto"/>
        </w:rPr>
      </w:pPr>
      <w:r>
        <w:rPr>
          <w:rFonts w:ascii="Arial" w:cs="Arial" w:eastAsia="Arial" w:hAnsi="Arial"/>
          <w:sz w:val="18"/>
          <w:szCs w:val="18"/>
          <w:color w:val="auto"/>
        </w:rPr>
        <w:t>Cash</w:t>
      </w:r>
    </w:p>
    <w:p>
      <w:pPr>
        <w:ind w:left="160"/>
        <w:spacing w:after="0" w:line="235" w:lineRule="auto"/>
        <w:rPr>
          <w:sz w:val="20"/>
          <w:szCs w:val="20"/>
          <w:color w:val="auto"/>
        </w:rPr>
      </w:pPr>
      <w:r>
        <w:rPr>
          <w:rFonts w:ascii="Arial" w:cs="Arial" w:eastAsia="Arial" w:hAnsi="Arial"/>
          <w:sz w:val="18"/>
          <w:szCs w:val="18"/>
          <w:color w:val="auto"/>
        </w:rPr>
        <w:t>Money market funds</w:t>
      </w:r>
    </w:p>
    <w:p>
      <w:pPr>
        <w:ind w:left="160"/>
        <w:spacing w:after="0" w:line="235" w:lineRule="auto"/>
        <w:rPr>
          <w:sz w:val="20"/>
          <w:szCs w:val="20"/>
          <w:color w:val="auto"/>
        </w:rPr>
      </w:pPr>
      <w:r>
        <w:rPr>
          <w:rFonts w:ascii="Arial" w:cs="Arial" w:eastAsia="Arial" w:hAnsi="Arial"/>
          <w:sz w:val="18"/>
          <w:szCs w:val="18"/>
          <w:color w:val="auto"/>
        </w:rPr>
        <w:t>Commercial paper</w:t>
      </w:r>
    </w:p>
    <w:p>
      <w:pPr>
        <w:ind w:left="160" w:right="560"/>
        <w:spacing w:after="0" w:line="242" w:lineRule="auto"/>
        <w:rPr>
          <w:sz w:val="20"/>
          <w:szCs w:val="20"/>
          <w:color w:val="auto"/>
        </w:rPr>
      </w:pPr>
      <w:r>
        <w:rPr>
          <w:rFonts w:ascii="Arial" w:cs="Arial" w:eastAsia="Arial" w:hAnsi="Arial"/>
          <w:sz w:val="18"/>
          <w:szCs w:val="18"/>
          <w:color w:val="auto"/>
        </w:rPr>
        <w:t>U.S. government treasury bills Government-sponsored enterprise securities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25114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39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7,273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7,273</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16,549</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16,549</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83,188</w:t>
            </w:r>
          </w:p>
        </w:tc>
        <w:tc>
          <w:tcPr>
            <w:tcW w:w="26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83,188</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77,025</w:t>
            </w: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77,025</w:t>
            </w:r>
          </w:p>
        </w:tc>
      </w:tr>
      <w:tr>
        <w:trPr>
          <w:trHeight w:val="203"/>
        </w:trPr>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20,507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20,507</w:t>
            </w:r>
          </w:p>
        </w:tc>
      </w:tr>
      <w:tr>
        <w:trPr>
          <w:trHeight w:val="21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100,847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103,695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-925830</wp:posOffset>
            </wp:positionV>
            <wp:extent cx="56489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-659765</wp:posOffset>
            </wp:positionV>
            <wp:extent cx="564896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-402590</wp:posOffset>
            </wp:positionV>
            <wp:extent cx="564896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-145415</wp:posOffset>
            </wp:positionV>
            <wp:extent cx="564896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403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48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98"/>
        </w:trPr>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center"/>
              <w:ind w:right="158"/>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7"/>
                <w:szCs w:val="17"/>
                <w:color w:val="auto"/>
              </w:rPr>
            </w:pPr>
          </w:p>
        </w:tc>
        <w:tc>
          <w:tcPr>
            <w:tcW w:w="82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9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Losses</w:t>
            </w: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23,822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23,822</w:t>
            </w: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Short-term marketable securities (&lt;12 months to maturity)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182,533</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180,720</w:t>
            </w:r>
          </w:p>
        </w:tc>
      </w:tr>
      <w:tr>
        <w:trPr>
          <w:trHeight w:val="203"/>
        </w:trPr>
        <w:tc>
          <w:tcPr>
            <w:tcW w:w="49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9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206,355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(1,830)</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204,542</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There were five marketable securities that have been in a consecutive loss position for more than 12 months as of December 31, 2022. They had $0.3 million unrealized loss with a fair value of $12.7 million as of December 31, 2022. The Company does not believe that the total unrealized losses of $1.8 million as of December 31, 2022 are credit related but are rather a reflection of current market yields and/or current marketplace bid/ask spreads. During the years ended December 31, 2022 and 2021, respectively, the Company did not recognize any other-than-temporary impairment loss. As of December 31, 2022, there was no allowance for losses on available-for-sale debt securities attributable to credit risk.</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December 31, 2022, all of the Company’s cash and cash equivalents consisted of cash on deposit with U.S. banks denominated in U. S. dollars and Australian dollars.</w:t>
      </w:r>
    </w:p>
    <w:p>
      <w:pPr>
        <w:spacing w:after="0" w:line="197" w:lineRule="exact"/>
        <w:rPr>
          <w:sz w:val="20"/>
          <w:szCs w:val="20"/>
          <w:color w:val="auto"/>
        </w:rPr>
      </w:pPr>
    </w:p>
    <w:p>
      <w:pPr>
        <w:ind w:left="400" w:hanging="350"/>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4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55"/>
        </w:trPr>
        <w:tc>
          <w:tcPr>
            <w:tcW w:w="344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3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2,002</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1,639</w:t>
            </w:r>
          </w:p>
        </w:tc>
        <w:tc>
          <w:tcPr>
            <w:tcW w:w="20" w:type="dxa"/>
            <w:vAlign w:val="bottom"/>
          </w:tcPr>
          <w:p>
            <w:pPr>
              <w:spacing w:after="0"/>
              <w:rPr>
                <w:sz w:val="17"/>
                <w:szCs w:val="17"/>
                <w:color w:val="auto"/>
              </w:rPr>
            </w:pPr>
          </w:p>
        </w:tc>
      </w:tr>
      <w:tr>
        <w:trPr>
          <w:trHeight w:val="203"/>
        </w:trPr>
        <w:tc>
          <w:tcPr>
            <w:tcW w:w="34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3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231F20"/>
              </w:rPr>
              <w:t>59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59</w:t>
            </w:r>
          </w:p>
        </w:tc>
        <w:tc>
          <w:tcPr>
            <w:tcW w:w="20" w:type="dxa"/>
            <w:vAlign w:val="bottom"/>
          </w:tcPr>
          <w:p>
            <w:pPr>
              <w:spacing w:after="0"/>
              <w:rPr>
                <w:sz w:val="17"/>
                <w:szCs w:val="17"/>
                <w:color w:val="auto"/>
              </w:rPr>
            </w:pPr>
          </w:p>
        </w:tc>
      </w:tr>
      <w:tr>
        <w:trPr>
          <w:trHeight w:val="196"/>
        </w:trPr>
        <w:tc>
          <w:tcPr>
            <w:tcW w:w="34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2,061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1,698</w:t>
            </w:r>
          </w:p>
        </w:tc>
        <w:tc>
          <w:tcPr>
            <w:tcW w:w="20" w:type="dxa"/>
            <w:vAlign w:val="bottom"/>
          </w:tcPr>
          <w:p>
            <w:pPr>
              <w:spacing w:after="0"/>
              <w:rPr>
                <w:sz w:val="17"/>
                <w:szCs w:val="17"/>
                <w:color w:val="auto"/>
              </w:rPr>
            </w:pPr>
          </w:p>
        </w:tc>
      </w:tr>
      <w:tr>
        <w:trPr>
          <w:trHeight w:val="203"/>
        </w:trPr>
        <w:tc>
          <w:tcPr>
            <w:tcW w:w="34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3300" w:type="dxa"/>
            <w:vAlign w:val="bottom"/>
            <w:tcBorders>
              <w:bottom w:val="single" w:sz="8" w:color="CCEEFF"/>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13"/>
              <w:spacing w:after="0" w:line="202" w:lineRule="exact"/>
              <w:rPr>
                <w:sz w:val="20"/>
                <w:szCs w:val="20"/>
                <w:color w:val="auto"/>
              </w:rPr>
            </w:pPr>
            <w:r>
              <w:rPr>
                <w:rFonts w:ascii="Arial" w:cs="Arial" w:eastAsia="Arial" w:hAnsi="Arial"/>
                <w:sz w:val="18"/>
                <w:szCs w:val="18"/>
                <w:color w:val="231F20"/>
              </w:rPr>
              <w:t>(581)</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(224)</w:t>
            </w:r>
          </w:p>
        </w:tc>
        <w:tc>
          <w:tcPr>
            <w:tcW w:w="20" w:type="dxa"/>
            <w:vAlign w:val="bottom"/>
          </w:tcPr>
          <w:p>
            <w:pPr>
              <w:spacing w:after="0"/>
              <w:rPr>
                <w:sz w:val="17"/>
                <w:szCs w:val="17"/>
                <w:color w:val="auto"/>
              </w:rPr>
            </w:pPr>
          </w:p>
        </w:tc>
      </w:tr>
      <w:tr>
        <w:trPr>
          <w:trHeight w:val="196"/>
        </w:trPr>
        <w:tc>
          <w:tcPr>
            <w:tcW w:w="34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3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4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1,480</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1,474</w:t>
            </w:r>
          </w:p>
        </w:tc>
        <w:tc>
          <w:tcPr>
            <w:tcW w:w="20" w:type="dxa"/>
            <w:vAlign w:val="bottom"/>
          </w:tcPr>
          <w:p>
            <w:pPr>
              <w:spacing w:after="0"/>
              <w:rPr>
                <w:sz w:val="17"/>
                <w:szCs w:val="17"/>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440" w:type="dxa"/>
            <w:vAlign w:val="bottom"/>
          </w:tcPr>
          <w:p>
            <w:pPr>
              <w:spacing w:after="0"/>
              <w:rPr>
                <w:sz w:val="24"/>
                <w:szCs w:val="24"/>
                <w:color w:val="auto"/>
              </w:rPr>
            </w:pPr>
          </w:p>
        </w:tc>
        <w:tc>
          <w:tcPr>
            <w:tcW w:w="3300" w:type="dxa"/>
            <w:vAlign w:val="bottom"/>
          </w:tcPr>
          <w:p>
            <w:pPr>
              <w:jc w:val="right"/>
              <w:ind w:right="203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hanging="350"/>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50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209"/>
        </w:trPr>
        <w:tc>
          <w:tcPr>
            <w:tcW w:w="6740" w:type="dxa"/>
            <w:vAlign w:val="bottom"/>
            <w:gridSpan w:val="3"/>
          </w:tcPr>
          <w:p>
            <w:pPr>
              <w:ind w:left="20"/>
              <w:spacing w:after="0"/>
              <w:rPr>
                <w:sz w:val="20"/>
                <w:szCs w:val="20"/>
                <w:color w:val="auto"/>
              </w:rPr>
            </w:pPr>
            <w:r>
              <w:rPr>
                <w:rFonts w:ascii="Arial" w:cs="Arial" w:eastAsia="Arial" w:hAnsi="Arial"/>
                <w:sz w:val="18"/>
                <w:szCs w:val="18"/>
                <w:color w:val="231F20"/>
              </w:rPr>
              <w:t>Prepaid insurance</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231F20"/>
              </w:rPr>
              <w:t>1,738</w:t>
            </w:r>
          </w:p>
        </w:tc>
        <w:tc>
          <w:tcPr>
            <w:tcW w:w="340" w:type="dxa"/>
            <w:vAlign w:val="bottom"/>
          </w:tcPr>
          <w:p>
            <w:pPr>
              <w:jc w:val="right"/>
              <w:ind w:right="16"/>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1,766</w:t>
            </w:r>
          </w:p>
        </w:tc>
        <w:tc>
          <w:tcPr>
            <w:tcW w:w="20" w:type="dxa"/>
            <w:vAlign w:val="bottom"/>
          </w:tcPr>
          <w:p>
            <w:pPr>
              <w:spacing w:after="0"/>
              <w:rPr>
                <w:sz w:val="18"/>
                <w:szCs w:val="18"/>
                <w:color w:val="auto"/>
              </w:rPr>
            </w:pPr>
          </w:p>
        </w:tc>
      </w:tr>
      <w:tr>
        <w:trPr>
          <w:trHeight w:val="203"/>
        </w:trPr>
        <w:tc>
          <w:tcPr>
            <w:tcW w:w="67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Reimbursable research and development costs from a collaboration partner</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231F20"/>
              </w:rPr>
              <w:t>1,387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3"/>
        </w:trPr>
        <w:tc>
          <w:tcPr>
            <w:tcW w:w="674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Prepaid clinical trial costs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506</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916</w:t>
            </w:r>
          </w:p>
        </w:tc>
        <w:tc>
          <w:tcPr>
            <w:tcW w:w="20" w:type="dxa"/>
            <w:vAlign w:val="bottom"/>
          </w:tcPr>
          <w:p>
            <w:pPr>
              <w:spacing w:after="0"/>
              <w:rPr>
                <w:sz w:val="17"/>
                <w:szCs w:val="17"/>
                <w:color w:val="auto"/>
              </w:rPr>
            </w:pPr>
          </w:p>
        </w:tc>
      </w:tr>
      <w:tr>
        <w:trPr>
          <w:trHeight w:val="203"/>
        </w:trPr>
        <w:tc>
          <w:tcPr>
            <w:tcW w:w="67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Prepaid subscriptions and licenses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231F20"/>
              </w:rPr>
              <w:t>399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291</w:t>
            </w:r>
          </w:p>
        </w:tc>
        <w:tc>
          <w:tcPr>
            <w:tcW w:w="20" w:type="dxa"/>
            <w:vAlign w:val="bottom"/>
          </w:tcPr>
          <w:p>
            <w:pPr>
              <w:spacing w:after="0"/>
              <w:rPr>
                <w:sz w:val="17"/>
                <w:szCs w:val="17"/>
                <w:color w:val="auto"/>
              </w:rPr>
            </w:pPr>
          </w:p>
        </w:tc>
      </w:tr>
      <w:tr>
        <w:trPr>
          <w:trHeight w:val="203"/>
        </w:trPr>
        <w:tc>
          <w:tcPr>
            <w:tcW w:w="674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Interest receivable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319</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130</w:t>
            </w:r>
          </w:p>
        </w:tc>
        <w:tc>
          <w:tcPr>
            <w:tcW w:w="20" w:type="dxa"/>
            <w:vAlign w:val="bottom"/>
          </w:tcPr>
          <w:p>
            <w:pPr>
              <w:spacing w:after="0"/>
              <w:rPr>
                <w:sz w:val="17"/>
                <w:szCs w:val="17"/>
                <w:color w:val="auto"/>
              </w:rPr>
            </w:pPr>
          </w:p>
        </w:tc>
      </w:tr>
      <w:tr>
        <w:trPr>
          <w:trHeight w:val="203"/>
        </w:trPr>
        <w:tc>
          <w:tcPr>
            <w:tcW w:w="67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Prepaid research contracts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231F20"/>
              </w:rPr>
              <w:t>12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239</w:t>
            </w:r>
          </w:p>
        </w:tc>
        <w:tc>
          <w:tcPr>
            <w:tcW w:w="20" w:type="dxa"/>
            <w:vAlign w:val="bottom"/>
          </w:tcPr>
          <w:p>
            <w:pPr>
              <w:spacing w:after="0"/>
              <w:rPr>
                <w:sz w:val="17"/>
                <w:szCs w:val="17"/>
                <w:color w:val="auto"/>
              </w:rPr>
            </w:pPr>
          </w:p>
        </w:tc>
      </w:tr>
      <w:tr>
        <w:trPr>
          <w:trHeight w:val="203"/>
        </w:trPr>
        <w:tc>
          <w:tcPr>
            <w:tcW w:w="674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8"/>
                <w:szCs w:val="18"/>
                <w:color w:val="231F20"/>
              </w:rPr>
              <w:t>Other</w:t>
            </w:r>
          </w:p>
        </w:tc>
        <w:tc>
          <w:tcPr>
            <w:tcW w:w="4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72"/>
              <w:spacing w:after="0" w:line="202" w:lineRule="exact"/>
              <w:rPr>
                <w:sz w:val="20"/>
                <w:szCs w:val="20"/>
                <w:color w:val="auto"/>
              </w:rPr>
            </w:pPr>
            <w:r>
              <w:rPr>
                <w:rFonts w:ascii="Arial" w:cs="Arial" w:eastAsia="Arial" w:hAnsi="Arial"/>
                <w:sz w:val="18"/>
                <w:szCs w:val="18"/>
                <w:color w:val="231F20"/>
              </w:rPr>
              <w:t>117</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93</w:t>
            </w:r>
          </w:p>
        </w:tc>
        <w:tc>
          <w:tcPr>
            <w:tcW w:w="20" w:type="dxa"/>
            <w:vAlign w:val="bottom"/>
          </w:tcPr>
          <w:p>
            <w:pPr>
              <w:spacing w:after="0"/>
              <w:rPr>
                <w:sz w:val="17"/>
                <w:szCs w:val="17"/>
                <w:color w:val="auto"/>
              </w:rPr>
            </w:pPr>
          </w:p>
        </w:tc>
      </w:tr>
      <w:tr>
        <w:trPr>
          <w:trHeight w:val="196"/>
        </w:trPr>
        <w:tc>
          <w:tcPr>
            <w:tcW w:w="6740" w:type="dxa"/>
            <w:vAlign w:val="bottom"/>
            <w:tcBorders>
              <w:bottom w:val="single" w:sz="8" w:color="auto"/>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231F20"/>
              </w:rPr>
              <w:t>$</w:t>
            </w: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4,478</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3,435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6500" w:type="dxa"/>
            <w:vAlign w:val="bottom"/>
          </w:tcPr>
          <w:p>
            <w:pPr>
              <w:ind w:left="80"/>
              <w:spacing w:after="0"/>
              <w:rPr>
                <w:sz w:val="20"/>
                <w:szCs w:val="20"/>
                <w:color w:val="auto"/>
              </w:rPr>
            </w:pPr>
            <w:r>
              <w:rPr>
                <w:rFonts w:ascii="Arial" w:cs="Arial" w:eastAsia="Arial" w:hAnsi="Arial"/>
                <w:sz w:val="18"/>
                <w:szCs w:val="18"/>
                <w:color w:val="auto"/>
              </w:rPr>
              <w:t>Other Current Liabilities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spacing w:after="0"/>
              <w:rPr>
                <w:sz w:val="17"/>
                <w:szCs w:val="17"/>
                <w:color w:val="auto"/>
              </w:rPr>
            </w:pPr>
          </w:p>
        </w:tc>
        <w:tc>
          <w:tcPr>
            <w:tcW w:w="108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80" w:type="dxa"/>
            <w:vAlign w:val="bottom"/>
            <w:gridSpan w:val="3"/>
          </w:tcPr>
          <w:p>
            <w:pPr>
              <w:jc w:val="right"/>
              <w:ind w:right="32"/>
              <w:spacing w:after="0" w:line="155"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5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231F20"/>
              </w:rPr>
              <w:t>2022</w:t>
            </w:r>
          </w:p>
        </w:tc>
        <w:tc>
          <w:tcPr>
            <w:tcW w:w="3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Borders>
              <w:top w:val="single" w:sz="8" w:color="auto"/>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231F20"/>
              </w:rPr>
              <w:t>Accrued research and development related costs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8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231F20"/>
              </w:rPr>
              <w:t>9,105</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2,645</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231F20"/>
              </w:rPr>
              <w:t>Accrued employee bonuses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4,518</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3,752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Accrued professional fees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1,091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1,011</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231F20"/>
              </w:rPr>
              <w:t>Accrued payroll related costs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296</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191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82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206</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231F20"/>
              </w:rPr>
              <w:t>Accrued taxes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67</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88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Other</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231F20"/>
            </w:tcBorders>
            <w:shd w:val="clear" w:color="auto" w:fill="CCEEFF"/>
          </w:tcPr>
          <w:p>
            <w:pPr>
              <w:spacing w:after="0"/>
              <w:rPr>
                <w:sz w:val="17"/>
                <w:szCs w:val="17"/>
                <w:color w:val="auto"/>
              </w:rPr>
            </w:pPr>
          </w:p>
        </w:tc>
        <w:tc>
          <w:tcPr>
            <w:tcW w:w="840" w:type="dxa"/>
            <w:vAlign w:val="bottom"/>
            <w:tcBorders>
              <w:bottom w:val="single" w:sz="8" w:color="231F20"/>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w:t>
            </w:r>
          </w:p>
        </w:tc>
        <w:tc>
          <w:tcPr>
            <w:tcW w:w="340" w:type="dxa"/>
            <w:vAlign w:val="bottom"/>
            <w:tcBorders>
              <w:bottom w:val="single" w:sz="8" w:color="231F20"/>
            </w:tcBorders>
            <w:shd w:val="clear" w:color="auto" w:fill="CCEEFF"/>
          </w:tcPr>
          <w:p>
            <w:pPr>
              <w:spacing w:after="0"/>
              <w:rPr>
                <w:sz w:val="17"/>
                <w:szCs w:val="17"/>
                <w:color w:val="auto"/>
              </w:rPr>
            </w:pPr>
          </w:p>
        </w:tc>
        <w:tc>
          <w:tcPr>
            <w:tcW w:w="74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172</w:t>
            </w:r>
          </w:p>
        </w:tc>
        <w:tc>
          <w:tcPr>
            <w:tcW w:w="20" w:type="dxa"/>
            <w:vAlign w:val="bottom"/>
            <w:tcBorders>
              <w:bottom w:val="single" w:sz="8" w:color="231F20"/>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w w:val="99"/>
              </w:rPr>
              <w:t>$</w:t>
            </w:r>
          </w:p>
        </w:tc>
        <w:tc>
          <w:tcPr>
            <w:tcW w:w="8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231F20"/>
              </w:rPr>
              <w:t>15,160</w:t>
            </w:r>
          </w:p>
        </w:tc>
        <w:tc>
          <w:tcPr>
            <w:tcW w:w="3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8,065</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3"/>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65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each of the balance sheet dates below, the Company had reserved shares of common stock for issuance in connection with the following:</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66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231F20"/>
              </w:rPr>
              <w:t>December 31,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55"/>
        </w:trPr>
        <w:tc>
          <w:tcPr>
            <w:tcW w:w="66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231F20"/>
              </w:rPr>
              <w:t>2022</w:t>
            </w:r>
          </w:p>
        </w:tc>
        <w:tc>
          <w:tcPr>
            <w:tcW w:w="11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6660" w:type="dxa"/>
            <w:vAlign w:val="bottom"/>
            <w:shd w:val="clear" w:color="auto" w:fill="CCEEFF"/>
          </w:tcPr>
          <w:p>
            <w:pPr>
              <w:ind w:left="20"/>
              <w:spacing w:after="0" w:line="195" w:lineRule="exact"/>
              <w:rPr>
                <w:sz w:val="20"/>
                <w:szCs w:val="20"/>
                <w:color w:val="auto"/>
              </w:rPr>
            </w:pPr>
            <w:r>
              <w:rPr>
                <w:rFonts w:ascii="Arial" w:cs="Arial" w:eastAsia="Arial" w:hAnsi="Arial"/>
                <w:sz w:val="16"/>
                <w:szCs w:val="16"/>
                <w:color w:val="231F20"/>
              </w:rPr>
              <w:t xml:space="preserve">Options outstanding under the 2014 Stock Plan </w:t>
            </w:r>
            <w:r>
              <w:rPr>
                <w:rFonts w:ascii="Arial" w:cs="Arial" w:eastAsia="Arial" w:hAnsi="Arial"/>
                <w:sz w:val="22"/>
                <w:szCs w:val="22"/>
                <w:color w:val="231F20"/>
                <w:vertAlign w:val="superscript"/>
              </w:rPr>
              <w:t>(1)(2)</w:t>
            </w:r>
          </w:p>
        </w:tc>
        <w:tc>
          <w:tcPr>
            <w:tcW w:w="112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231F20"/>
              </w:rPr>
              <w:t>2,332,441</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2,447,889</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231F20"/>
              </w:rPr>
              <w:t>Options outstanding under the 2020 Equity Incentive Plan</w:t>
            </w: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color w:val="231F20"/>
              </w:rPr>
              <w:t>5,332,617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231F20"/>
              </w:rPr>
              <w:t>3,320,139</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Options outstanding under the 2022 Inducement Plan</w:t>
            </w:r>
          </w:p>
        </w:tc>
        <w:tc>
          <w:tcPr>
            <w:tcW w:w="11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231F20"/>
              </w:rPr>
              <w:t>719,800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2"/>
        </w:trPr>
        <w:tc>
          <w:tcPr>
            <w:tcW w:w="6660" w:type="dxa"/>
            <w:vAlign w:val="bottom"/>
          </w:tcPr>
          <w:p>
            <w:pPr>
              <w:ind w:left="20"/>
              <w:spacing w:after="0" w:line="201" w:lineRule="exact"/>
              <w:rPr>
                <w:sz w:val="20"/>
                <w:szCs w:val="20"/>
                <w:color w:val="auto"/>
              </w:rPr>
            </w:pPr>
            <w:r>
              <w:rPr>
                <w:rFonts w:ascii="Arial" w:cs="Arial" w:eastAsia="Arial" w:hAnsi="Arial"/>
                <w:sz w:val="18"/>
                <w:szCs w:val="18"/>
                <w:color w:val="231F20"/>
              </w:rPr>
              <w:t>Shares available for future grant under the 2020 Equity Incentive Plan and the</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660" w:type="dxa"/>
            <w:vAlign w:val="bottom"/>
          </w:tcPr>
          <w:p>
            <w:pPr>
              <w:ind w:left="20"/>
              <w:spacing w:after="0" w:line="203" w:lineRule="exact"/>
              <w:rPr>
                <w:sz w:val="20"/>
                <w:szCs w:val="20"/>
                <w:color w:val="auto"/>
              </w:rPr>
            </w:pPr>
            <w:r>
              <w:rPr>
                <w:rFonts w:ascii="Arial" w:cs="Arial" w:eastAsia="Arial" w:hAnsi="Arial"/>
                <w:sz w:val="18"/>
                <w:szCs w:val="18"/>
                <w:color w:val="231F20"/>
              </w:rPr>
              <w:t>2022 Inducement Plan</w:t>
            </w:r>
          </w:p>
        </w:tc>
        <w:tc>
          <w:tcPr>
            <w:tcW w:w="1120" w:type="dxa"/>
            <w:vAlign w:val="bottom"/>
          </w:tcPr>
          <w:p>
            <w:pPr>
              <w:jc w:val="right"/>
              <w:ind w:right="14"/>
              <w:spacing w:after="0" w:line="203" w:lineRule="exact"/>
              <w:rPr>
                <w:sz w:val="20"/>
                <w:szCs w:val="20"/>
                <w:color w:val="auto"/>
              </w:rPr>
            </w:pPr>
            <w:r>
              <w:rPr>
                <w:rFonts w:ascii="Arial" w:cs="Arial" w:eastAsia="Arial" w:hAnsi="Arial"/>
                <w:sz w:val="18"/>
                <w:szCs w:val="18"/>
                <w:color w:val="231F20"/>
              </w:rPr>
              <w:t>1,392,584</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231F20"/>
              </w:rPr>
              <w:t>818,010</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Available for the 2020 Employee Stock Purchase Plan</w:t>
            </w:r>
          </w:p>
        </w:tc>
        <w:tc>
          <w:tcPr>
            <w:tcW w:w="11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231F20"/>
              </w:rPr>
              <w:t>1,018,000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791,742</w:t>
            </w:r>
          </w:p>
        </w:tc>
      </w:tr>
      <w:tr>
        <w:trPr>
          <w:trHeight w:val="202"/>
        </w:trPr>
        <w:tc>
          <w:tcPr>
            <w:tcW w:w="6660" w:type="dxa"/>
            <w:vAlign w:val="bottom"/>
          </w:tcPr>
          <w:p>
            <w:pPr>
              <w:ind w:left="20"/>
              <w:spacing w:after="0" w:line="201" w:lineRule="exact"/>
              <w:rPr>
                <w:sz w:val="20"/>
                <w:szCs w:val="20"/>
                <w:color w:val="auto"/>
              </w:rPr>
            </w:pPr>
            <w:r>
              <w:rPr>
                <w:rFonts w:ascii="Arial" w:cs="Arial" w:eastAsia="Arial" w:hAnsi="Arial"/>
                <w:sz w:val="18"/>
                <w:szCs w:val="18"/>
                <w:color w:val="231F20"/>
              </w:rPr>
              <w:t>Unvested performance-based restricted stock unit awards outstanding under the</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660" w:type="dxa"/>
            <w:vAlign w:val="bottom"/>
          </w:tcPr>
          <w:p>
            <w:pPr>
              <w:ind w:left="20"/>
              <w:spacing w:after="0" w:line="203" w:lineRule="exact"/>
              <w:rPr>
                <w:sz w:val="20"/>
                <w:szCs w:val="20"/>
                <w:color w:val="auto"/>
              </w:rPr>
            </w:pPr>
            <w:r>
              <w:rPr>
                <w:rFonts w:ascii="Arial" w:cs="Arial" w:eastAsia="Arial" w:hAnsi="Arial"/>
                <w:sz w:val="18"/>
                <w:szCs w:val="18"/>
                <w:color w:val="231F20"/>
              </w:rPr>
              <w:t>2020 Equity Incentive Plan</w:t>
            </w:r>
          </w:p>
        </w:tc>
        <w:tc>
          <w:tcPr>
            <w:tcW w:w="1120" w:type="dxa"/>
            <w:vAlign w:val="bottom"/>
          </w:tcPr>
          <w:p>
            <w:pPr>
              <w:jc w:val="right"/>
              <w:ind w:right="14"/>
              <w:spacing w:after="0" w:line="203" w:lineRule="exact"/>
              <w:rPr>
                <w:sz w:val="20"/>
                <w:szCs w:val="20"/>
                <w:color w:val="auto"/>
              </w:rPr>
            </w:pPr>
            <w:r>
              <w:rPr>
                <w:rFonts w:ascii="Arial" w:cs="Arial" w:eastAsia="Arial" w:hAnsi="Arial"/>
                <w:sz w:val="18"/>
                <w:szCs w:val="18"/>
                <w:color w:val="231F20"/>
              </w:rPr>
              <w:t>710,000</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231F20"/>
              </w:rPr>
              <w:t>—</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Unvested restricted stock awards outstanding under the 2014 Stock Plan</w:t>
            </w:r>
          </w:p>
        </w:tc>
        <w:tc>
          <w:tcPr>
            <w:tcW w:w="1120" w:type="dxa"/>
            <w:vAlign w:val="bottom"/>
            <w:tcBorders>
              <w:bottom w:val="single" w:sz="8" w:color="231F20"/>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231F20"/>
              </w:rPr>
              <w:t>295,911</w:t>
            </w:r>
          </w:p>
        </w:tc>
        <w:tc>
          <w:tcPr>
            <w:tcW w:w="112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493,185</w:t>
            </w:r>
          </w:p>
        </w:tc>
      </w:tr>
      <w:tr>
        <w:trPr>
          <w:trHeight w:val="196"/>
        </w:trPr>
        <w:tc>
          <w:tcPr>
            <w:tcW w:w="6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231F20"/>
              </w:rPr>
              <w:t>11,801,353</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7,870,965</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380" w:hanging="330"/>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Balance as of December 31, 2022 includes 18,640 unvested early exercised stock options (see Note 8, “Stock-Based Compensation”).</w:t>
      </w:r>
    </w:p>
    <w:p>
      <w:pPr>
        <w:spacing w:after="0" w:line="149" w:lineRule="exact"/>
        <w:rPr>
          <w:rFonts w:ascii="Arial" w:cs="Arial" w:eastAsia="Arial" w:hAnsi="Arial"/>
          <w:sz w:val="14"/>
          <w:szCs w:val="14"/>
          <w:color w:val="231F20"/>
        </w:rPr>
      </w:pPr>
    </w:p>
    <w:p>
      <w:pPr>
        <w:ind w:left="380" w:hanging="330"/>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Balance as of December 31, 2021 includes 46,598 unvested early exercised stock options (see Note 8, “Stock-Based Compensation”).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hanging="350"/>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permitted the grant of options and restricted stock awards (including restricted stock purchase rights and restricted stock bonus awards). 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2020, the Company’s Board of Directors and stockholders approved and adopted the 2020 Equity Incentive Plan (the “2020 Plan”). The 2020 Plan permits the grant of options, restricted stock awards, stock appreciation rights, restricted stock unit awards, performance awards, and other awards.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2022, the Company’s Board of Directors approved and adopted the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3" w:name="page154"/>
    <w:bookmarkEnd w:id="1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20" w:type="dxa"/>
            <w:vAlign w:val="bottom"/>
            <w:tcBorders>
              <w:top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231F20"/>
              </w:rPr>
              <w:t>December 31,</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231F20"/>
              </w:rPr>
              <w:t>December 31,</w:t>
            </w:r>
          </w:p>
        </w:tc>
      </w:tr>
      <w:tr>
        <w:trPr>
          <w:trHeight w:val="156"/>
        </w:trPr>
        <w:tc>
          <w:tcPr>
            <w:tcW w:w="63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231F20"/>
              </w:rPr>
              <w:t>2022</w:t>
            </w:r>
          </w:p>
        </w:tc>
        <w:tc>
          <w:tcPr>
            <w:tcW w:w="12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36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231F20"/>
              </w:rPr>
              <w:t>1.99%</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0.95%</w:t>
            </w: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360" w:type="dxa"/>
            <w:vAlign w:val="bottom"/>
          </w:tcPr>
          <w:p>
            <w:pPr>
              <w:jc w:val="right"/>
              <w:ind w:right="96"/>
              <w:spacing w:after="0" w:line="202" w:lineRule="exact"/>
              <w:rPr>
                <w:sz w:val="20"/>
                <w:szCs w:val="20"/>
                <w:color w:val="auto"/>
              </w:rPr>
            </w:pPr>
            <w:r>
              <w:rPr>
                <w:rFonts w:ascii="Arial" w:cs="Arial" w:eastAsia="Arial" w:hAnsi="Arial"/>
                <w:sz w:val="18"/>
                <w:szCs w:val="18"/>
                <w:color w:val="231F20"/>
              </w:rPr>
              <w:t>6.03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231F20"/>
              </w:rPr>
              <w:t>5.97</w:t>
            </w:r>
          </w:p>
        </w:tc>
      </w:tr>
      <w:tr>
        <w:trPr>
          <w:trHeight w:val="203"/>
        </w:trPr>
        <w:tc>
          <w:tcPr>
            <w:tcW w:w="6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3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231F20"/>
              </w:rPr>
              <w:t>79.71%</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77.55%</w:t>
            </w:r>
          </w:p>
        </w:tc>
      </w:tr>
      <w:tr>
        <w:trPr>
          <w:trHeight w:val="203"/>
        </w:trPr>
        <w:tc>
          <w:tcPr>
            <w:tcW w:w="63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36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231F20"/>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w:t>
      </w:r>
    </w:p>
    <w:p>
      <w:pPr>
        <w:ind w:left="60"/>
        <w:spacing w:after="0"/>
        <w:rPr>
          <w:sz w:val="20"/>
          <w:szCs w:val="20"/>
          <w:color w:val="auto"/>
        </w:rPr>
      </w:pPr>
      <w:r>
        <w:rPr>
          <w:rFonts w:ascii="Arial" w:cs="Arial" w:eastAsia="Arial" w:hAnsi="Arial"/>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56489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Contractual</w:t>
            </w:r>
          </w:p>
        </w:tc>
        <w:tc>
          <w:tcPr>
            <w:tcW w:w="180" w:type="dxa"/>
            <w:vAlign w:val="bottom"/>
          </w:tcPr>
          <w:p>
            <w:pPr>
              <w:spacing w:after="0"/>
              <w:rPr>
                <w:sz w:val="17"/>
                <w:szCs w:val="17"/>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5280" w:type="dxa"/>
            <w:vAlign w:val="bottom"/>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Price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(in years) (in thousands)</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2021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5,768,028</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11,365</w:t>
            </w: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3,293,640</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(115,448)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(561,362)</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23.64</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2022(2)</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8,384,858</w:t>
            </w:r>
          </w:p>
        </w:tc>
        <w:tc>
          <w:tcPr>
            <w:tcW w:w="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8.59</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8.30</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w:t>
            </w: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December 31, 2022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3,270,694</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Options expected to vest as of December 31, 2022</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5,114,164</w:t>
            </w:r>
          </w:p>
        </w:tc>
        <w:tc>
          <w:tcPr>
            <w:tcW w:w="1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8.63</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380" w:hanging="330"/>
        <w:spacing w:after="0"/>
        <w:tabs>
          <w:tab w:leader="none" w:pos="380" w:val="left"/>
        </w:tabs>
        <w:numPr>
          <w:ilvl w:val="0"/>
          <w:numId w:val="66"/>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66"/>
        </w:numPr>
        <w:rPr>
          <w:rFonts w:ascii="Arial" w:cs="Arial" w:eastAsia="Arial" w:hAnsi="Arial"/>
          <w:sz w:val="14"/>
          <w:szCs w:val="14"/>
          <w:color w:val="231F20"/>
        </w:rPr>
      </w:pPr>
      <w:r>
        <w:rPr>
          <w:rFonts w:ascii="Arial" w:cs="Arial" w:eastAsia="Arial" w:hAnsi="Arial"/>
          <w:sz w:val="14"/>
          <w:szCs w:val="14"/>
          <w:color w:val="231F20"/>
        </w:rPr>
        <w:t>Balance as of December 31, 2022 includes 18,640 unvested early exercised stock options.</w:t>
      </w:r>
    </w:p>
    <w:p>
      <w:pPr>
        <w:spacing w:after="0" w:line="21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2022 and 2021 was $3.83 and $21.87, respectively. For the years ended December 31, 2022 and 2021, there were 1,670,701 and 1,286,729 shares vested, respectively. The weighted-average grant date fair value per share of options vested during the years ended December 31, 2022 and 2021 was $6.76 and $7.48, respectively. The total fair value of options vested during the years ended December 31, 2022 and 2021 was $11.3 million and $10.9 million, respectively. The aggregate intrinsic value of options exercised during the years ended December 31, 2022 and 2021 was $0.3 million and $0.7 million, respectively.</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December 31, 2022, the total unrecognized compensation expense related to unvested options was $34.7 million, which the Company expects to recognize over an estimated weighted average period of 2.54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September 2020, one employee and one non-employee paid $0.6 million to early exercise 135,525 options with exercise prices ranging from $4.406 per share to $4.824 per share. As of December 31, 2022, 116,885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$0.1 million in other current liabilities as of December 31,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$ 2.40 per share, or $1.9 million. The following table summarizes the restricted stock activity under the Plan during the year ended December 31, 2022:</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4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5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stock as of December 31, 2021</w:t>
            </w:r>
          </w:p>
        </w:tc>
        <w:tc>
          <w:tcPr>
            <w:tcW w:w="13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493,185</w:t>
            </w:r>
          </w:p>
        </w:tc>
        <w:tc>
          <w:tcPr>
            <w:tcW w:w="7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5940" w:type="dxa"/>
            <w:vAlign w:val="bottom"/>
          </w:tcPr>
          <w:p>
            <w:pPr>
              <w:ind w:left="100"/>
              <w:spacing w:after="0" w:line="202" w:lineRule="exact"/>
              <w:rPr>
                <w:sz w:val="20"/>
                <w:szCs w:val="20"/>
                <w:color w:val="auto"/>
              </w:rPr>
            </w:pPr>
            <w:r>
              <w:rPr>
                <w:rFonts w:ascii="Arial" w:cs="Arial" w:eastAsia="Arial" w:hAnsi="Arial"/>
                <w:sz w:val="18"/>
                <w:szCs w:val="18"/>
                <w:color w:val="231F20"/>
              </w:rPr>
              <w:t>Granted</w:t>
            </w:r>
          </w:p>
        </w:tc>
        <w:tc>
          <w:tcPr>
            <w:tcW w:w="138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Vested</w:t>
            </w:r>
          </w:p>
        </w:tc>
        <w:tc>
          <w:tcPr>
            <w:tcW w:w="13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(197,274)</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59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Forfeited</w:t>
            </w:r>
          </w:p>
        </w:tc>
        <w:tc>
          <w:tcPr>
            <w:tcW w:w="1380" w:type="dxa"/>
            <w:vAlign w:val="bottom"/>
            <w:tcBorders>
              <w:bottom w:val="single" w:sz="8" w:color="231F20"/>
            </w:tcBorders>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6"/>
        </w:trPr>
        <w:tc>
          <w:tcPr>
            <w:tcW w:w="5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stock as of December 31, 2022</w:t>
            </w:r>
          </w:p>
        </w:tc>
        <w:tc>
          <w:tcPr>
            <w:tcW w:w="13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295,911</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total grant date fair value of the RSAs vested during the year ended December 31, 2022, was $0.5 million. As of December 31, 2022, the total unrecognized compensation expense related to unvested RSAs was $0.7 million, which the Company expects to recognize over an estimated weighted average period of 1.5 years.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2022, the Company granted to certain employees 710,000 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Expense recognition for PSUs commences when it is determined that attainment of the performance goal is probable or met. As of December 31, 2022, it was determined that the performance goals were not yet met, and therefore, the Company recorded zero stock-based compensation expense related to the PSUs for the year ended December 31,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 (“2020 ESPP”)</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2020, the Company’s board of directors and stockholders approved and adopted the 2020 ESPP. The 2020 ESPP permits eligible employees who elect to participate in an offering under the 2020 ESPP to have up to 15% of their eligible earnings withheld, subject to certain limitations, to purchase shares of common stock pursuant to the 2020 ESPP. The price of the common stock purchased under the 2020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six-month purchase periods (each a “Purchase Period”) during which payroll deductions of the participants are accumulated under the 2020 ESPP. The last business day of each Purchase Period is referred to as the “Purchase Date.” A total of 430,416 shares of common stock were initially reserved for issuance pursuant to the 2020 ESPP.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5" w:name="page156"/>
    <w:bookmarkEnd w:id="1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2020 ESPP is a compensatory plan as defined by the authoritative guidance for stock-based compensation. The Company uses the Black-Scholes option-pricing model to estimate the fair value of stock offered under the 2020 ESPP. Stock-based compensation expense related to the 2020 ESPP was $0.4 million and $0.2 million for the years ended December 31, 2022 and 2021,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including the RSAs, the 2020 Plan, the 2022 Inducement Plan, and the 2020 ESPP was classified in the consolidated statements of operations and comprehensive loss as follows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59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231F20"/>
              </w:rPr>
              <w:t>2022</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Research and development</w:t>
            </w:r>
          </w:p>
        </w:tc>
        <w:tc>
          <w:tcPr>
            <w:tcW w:w="3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ind w:right="137"/>
              <w:spacing w:after="0" w:line="196" w:lineRule="exact"/>
              <w:rPr>
                <w:sz w:val="20"/>
                <w:szCs w:val="20"/>
                <w:color w:val="auto"/>
              </w:rPr>
            </w:pPr>
            <w:r>
              <w:rPr>
                <w:rFonts w:ascii="Arial" w:cs="Arial" w:eastAsia="Arial" w:hAnsi="Arial"/>
                <w:sz w:val="18"/>
                <w:szCs w:val="18"/>
                <w:color w:val="231F20"/>
              </w:rPr>
              <w:t>12,462</w:t>
            </w:r>
          </w:p>
        </w:tc>
        <w:tc>
          <w:tcPr>
            <w:tcW w:w="4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9,346</w:t>
            </w:r>
          </w:p>
        </w:tc>
      </w:tr>
      <w:tr>
        <w:trPr>
          <w:trHeight w:val="203"/>
        </w:trPr>
        <w:tc>
          <w:tcPr>
            <w:tcW w:w="5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137"/>
              <w:spacing w:after="0" w:line="202" w:lineRule="exact"/>
              <w:rPr>
                <w:sz w:val="20"/>
                <w:szCs w:val="20"/>
                <w:color w:val="auto"/>
              </w:rPr>
            </w:pPr>
            <w:r>
              <w:rPr>
                <w:rFonts w:ascii="Arial" w:cs="Arial" w:eastAsia="Arial" w:hAnsi="Arial"/>
                <w:sz w:val="18"/>
                <w:szCs w:val="18"/>
                <w:color w:val="231F20"/>
              </w:rPr>
              <w:t>6,367</w:t>
            </w:r>
          </w:p>
        </w:tc>
        <w:tc>
          <w:tcPr>
            <w:tcW w:w="4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6,567</w:t>
            </w:r>
          </w:p>
        </w:tc>
      </w:tr>
      <w:tr>
        <w:trPr>
          <w:trHeight w:val="196"/>
        </w:trPr>
        <w:tc>
          <w:tcPr>
            <w:tcW w:w="59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w:t>
            </w:r>
          </w:p>
        </w:tc>
        <w:tc>
          <w:tcPr>
            <w:tcW w:w="1140" w:type="dxa"/>
            <w:vAlign w:val="bottom"/>
            <w:tcBorders>
              <w:bottom w:val="single" w:sz="8" w:color="auto"/>
            </w:tcBorders>
            <w:shd w:val="clear" w:color="auto" w:fill="CCEEFF"/>
          </w:tcPr>
          <w:p>
            <w:pPr>
              <w:jc w:val="right"/>
              <w:ind w:right="137"/>
              <w:spacing w:after="0" w:line="196" w:lineRule="exact"/>
              <w:rPr>
                <w:sz w:val="20"/>
                <w:szCs w:val="20"/>
                <w:color w:val="auto"/>
              </w:rPr>
            </w:pPr>
            <w:r>
              <w:rPr>
                <w:rFonts w:ascii="Arial" w:cs="Arial" w:eastAsia="Arial" w:hAnsi="Arial"/>
                <w:sz w:val="18"/>
                <w:szCs w:val="18"/>
                <w:color w:val="231F20"/>
              </w:rPr>
              <w:t>18,829</w:t>
            </w: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15,913</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9. Income Taxes</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reconciliation of the Federal statutory income tax (provision) benefit to the Company’s effective income tax provision is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7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231F20"/>
              </w:rPr>
              <w:t>Years Ended December 31,</w:t>
            </w:r>
          </w:p>
        </w:tc>
        <w:tc>
          <w:tcPr>
            <w:tcW w:w="20" w:type="dxa"/>
            <w:vAlign w:val="bottom"/>
          </w:tcPr>
          <w:p>
            <w:pPr>
              <w:spacing w:after="0"/>
              <w:rPr>
                <w:sz w:val="15"/>
                <w:szCs w:val="15"/>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231F20"/>
              </w:rPr>
              <w:t>2022</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7"/>
                <w:szCs w:val="17"/>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Federal statutory income tax</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94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21,927</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14,930</w:t>
            </w:r>
          </w:p>
        </w:tc>
        <w:tc>
          <w:tcPr>
            <w:tcW w:w="20" w:type="dxa"/>
            <w:vAlign w:val="bottom"/>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231F20"/>
              </w:rPr>
              <w:t>State income taxes, net of federal tax benefit</w:t>
            </w:r>
          </w:p>
        </w:tc>
        <w:tc>
          <w:tcPr>
            <w:tcW w:w="14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231F20"/>
              </w:rPr>
              <w:t>6,684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25</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Permanent differences in non-tax-deductible executive compensation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231F20"/>
              </w:rPr>
              <w:t>(1,952)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(1,092)</w:t>
            </w:r>
          </w:p>
        </w:tc>
        <w:tc>
          <w:tcPr>
            <w:tcW w:w="20" w:type="dxa"/>
            <w:vAlign w:val="bottom"/>
          </w:tcPr>
          <w:p>
            <w:pPr>
              <w:spacing w:after="0"/>
              <w:rPr>
                <w:sz w:val="18"/>
                <w:szCs w:val="18"/>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231F20"/>
              </w:rPr>
              <w:t>Permanent differences in foreign jurisdiction</w:t>
            </w:r>
          </w:p>
        </w:tc>
        <w:tc>
          <w:tcPr>
            <w:tcW w:w="14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231F20"/>
              </w:rPr>
              <w:t>(450)</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3"/>
        </w:trPr>
        <w:tc>
          <w:tcPr>
            <w:tcW w:w="6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Permanent differences others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(608)</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(105)</w:t>
            </w:r>
          </w:p>
        </w:tc>
        <w:tc>
          <w:tcPr>
            <w:tcW w:w="20" w:type="dxa"/>
            <w:vAlign w:val="bottom"/>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231F20"/>
              </w:rPr>
              <w:t>Foreign research and development tax credit</w:t>
            </w:r>
          </w:p>
        </w:tc>
        <w:tc>
          <w:tcPr>
            <w:tcW w:w="140" w:type="dxa"/>
            <w:vAlign w:val="bottom"/>
          </w:tcPr>
          <w:p>
            <w:pPr>
              <w:spacing w:after="0"/>
              <w:rPr>
                <w:sz w:val="17"/>
                <w:szCs w:val="17"/>
                <w:color w:val="auto"/>
              </w:rPr>
            </w:pPr>
          </w:p>
        </w:tc>
        <w:tc>
          <w:tcPr>
            <w:tcW w:w="94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624</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3"/>
        </w:trPr>
        <w:tc>
          <w:tcPr>
            <w:tcW w:w="6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 deferred items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(308)</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158</w:t>
            </w:r>
          </w:p>
        </w:tc>
        <w:tc>
          <w:tcPr>
            <w:tcW w:w="20" w:type="dxa"/>
            <w:vAlign w:val="bottom"/>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231F20"/>
              </w:rPr>
              <w:t>Rate changes</w:t>
            </w:r>
          </w:p>
        </w:tc>
        <w:tc>
          <w:tcPr>
            <w:tcW w:w="14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231F20"/>
              </w:rPr>
              <w:t>(28)</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Valuation allowance</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231F20"/>
              </w:rPr>
              <w:t>(25,890)</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(13,916)</w:t>
            </w:r>
          </w:p>
        </w:tc>
        <w:tc>
          <w:tcPr>
            <w:tcW w:w="20" w:type="dxa"/>
            <w:vAlign w:val="bottom"/>
          </w:tcPr>
          <w:p>
            <w:pPr>
              <w:spacing w:after="0"/>
              <w:rPr>
                <w:sz w:val="18"/>
                <w:szCs w:val="18"/>
                <w:color w:val="auto"/>
              </w:rPr>
            </w:pPr>
          </w:p>
        </w:tc>
      </w:tr>
      <w:tr>
        <w:trPr>
          <w:trHeight w:val="196"/>
        </w:trPr>
        <w:tc>
          <w:tcPr>
            <w:tcW w:w="67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231F20"/>
              </w:rPr>
              <w:t>Net expense for income taxes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9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231F20"/>
              </w:rPr>
              <w:t>(1)</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Company’s deferred income tax assets and liabilities at December 31, 2022 and 2021 comprised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231F20"/>
              </w:rPr>
              <w:t>As of December 31,</w:t>
            </w:r>
          </w:p>
        </w:tc>
      </w:tr>
      <w:tr>
        <w:trPr>
          <w:trHeight w:val="156"/>
        </w:trPr>
        <w:tc>
          <w:tcPr>
            <w:tcW w:w="67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231F20"/>
              </w:rPr>
              <w:t>2022</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231F20"/>
              </w:rPr>
              <w:t>2021</w:t>
            </w:r>
          </w:p>
        </w:tc>
      </w:tr>
      <w:tr>
        <w:trPr>
          <w:trHeight w:val="20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tax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3"/>
        </w:trPr>
        <w:tc>
          <w:tcPr>
            <w:tcW w:w="6760" w:type="dxa"/>
            <w:vAlign w:val="bottom"/>
          </w:tcPr>
          <w:p>
            <w:pPr>
              <w:ind w:left="120"/>
              <w:spacing w:after="0" w:line="202" w:lineRule="exact"/>
              <w:rPr>
                <w:sz w:val="20"/>
                <w:szCs w:val="20"/>
                <w:color w:val="auto"/>
              </w:rPr>
            </w:pPr>
            <w:r>
              <w:rPr>
                <w:rFonts w:ascii="Arial" w:cs="Arial" w:eastAsia="Arial" w:hAnsi="Arial"/>
                <w:sz w:val="18"/>
                <w:szCs w:val="18"/>
                <w:color w:val="231F20"/>
              </w:rPr>
              <w:t>Net operating loss carryforwards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86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27,449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17,889</w:t>
            </w:r>
          </w:p>
        </w:tc>
      </w:tr>
      <w:tr>
        <w:trPr>
          <w:trHeight w:val="203"/>
        </w:trPr>
        <w:tc>
          <w:tcPr>
            <w:tcW w:w="6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Capitalized research and development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231F20"/>
              </w:rPr>
              <w:t>14,992</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16"/>
        </w:trPr>
        <w:tc>
          <w:tcPr>
            <w:tcW w:w="6760" w:type="dxa"/>
            <w:vAlign w:val="bottom"/>
          </w:tcPr>
          <w:p>
            <w:pPr>
              <w:ind w:left="120"/>
              <w:spacing w:after="0"/>
              <w:rPr>
                <w:sz w:val="20"/>
                <w:szCs w:val="20"/>
                <w:color w:val="auto"/>
              </w:rPr>
            </w:pPr>
            <w:r>
              <w:rPr>
                <w:rFonts w:ascii="Arial" w:cs="Arial" w:eastAsia="Arial" w:hAnsi="Arial"/>
                <w:sz w:val="18"/>
                <w:szCs w:val="18"/>
                <w:color w:val="231F20"/>
              </w:rPr>
              <w:t>Equity compensation</w:t>
            </w:r>
          </w:p>
        </w:tc>
        <w:tc>
          <w:tcPr>
            <w:tcW w:w="22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231F20"/>
              </w:rPr>
              <w:t>4,786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2,530</w:t>
            </w:r>
          </w:p>
        </w:tc>
      </w:tr>
      <w:tr>
        <w:trPr>
          <w:trHeight w:val="203"/>
        </w:trPr>
        <w:tc>
          <w:tcPr>
            <w:tcW w:w="6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231F20"/>
              </w:rPr>
              <w:t>541</w:t>
            </w: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959</w:t>
            </w:r>
          </w:p>
        </w:tc>
      </w:tr>
      <w:tr>
        <w:trPr>
          <w:trHeight w:val="236"/>
        </w:trPr>
        <w:tc>
          <w:tcPr>
            <w:tcW w:w="67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231F20"/>
              </w:rPr>
              <w:t>Total deferred tax assets</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231F20"/>
              </w:rPr>
              <w:t>47,768</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21,378</w:t>
            </w:r>
          </w:p>
        </w:tc>
      </w:tr>
      <w:tr>
        <w:trPr>
          <w:trHeight w:val="197"/>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Deferred tax liabilities: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7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Fixed assets</w:t>
            </w: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231F20"/>
              </w:rPr>
              <w:t>(341)</w:t>
            </w: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(310)</w:t>
            </w:r>
          </w:p>
        </w:tc>
      </w:tr>
      <w:tr>
        <w:trPr>
          <w:trHeight w:val="196"/>
        </w:trPr>
        <w:tc>
          <w:tcPr>
            <w:tcW w:w="67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deferred tax liabilities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231F20"/>
              </w:rPr>
              <w:t>(341)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(310)</w:t>
            </w: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Valuation allowance</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231F20"/>
              </w:rPr>
              <w:t>(47,427)</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(21,068)</w:t>
            </w:r>
          </w:p>
        </w:tc>
      </w:tr>
      <w:tr>
        <w:trPr>
          <w:trHeight w:val="196"/>
        </w:trPr>
        <w:tc>
          <w:tcPr>
            <w:tcW w:w="676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231F20"/>
              </w:rPr>
              <w:t>Net deferred tax assets</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$47.4 million and $21.1 million at December 31, 2022 and 2021, respectively. The change in the valuation allowance for the year end December 31, 2022 was an increase of $26.4 million.</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At December 31, 2022 and 2021, the Company had Federal net operating losses (NOLs) of approximately $115.0 million and $81.8 million, and state NOLs of $47.5 million and $10.4 million, respectively. As a result of the Tax Act, as modified by the CARES Act, for U.S. income tax purposes, NOLs generated in tax years beginning before January 1, 2018 can still be carried forward for up to 20 years, but net operating losses generated for tax years beginning after December 31, 2017 carryforward indefinitely and can be used to offset taxable income, but the deductibility of such Federal NOLs may be limited to 80% of current year taxable income for tax years beginning on or after December 31, 2022. Of the total Federal net operating loss of $115.0 million, $3.3 million will begin to expire in 2032 and $111.7 million will not expire. The state NOL carryover of $47.5 million will begin to expire in 2032.</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 that has occurred or may occur in the future. Any adjustment to the Company’s tax attributes as a result of an ownership change will result in a corresponding decrease to the valuation allowance recorded against the Company’s deferred tax assets.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Company’s valuation allowance increased during the years ended December 31, 2022 and 2021 due primarily to the generation of net operating losses,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6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231F20"/>
              </w:rPr>
              <w:t>Years Ended December 31,</w:t>
            </w:r>
          </w:p>
        </w:tc>
        <w:tc>
          <w:tcPr>
            <w:tcW w:w="20" w:type="dxa"/>
            <w:vAlign w:val="bottom"/>
          </w:tcPr>
          <w:p>
            <w:pPr>
              <w:spacing w:after="0"/>
              <w:rPr>
                <w:sz w:val="15"/>
                <w:szCs w:val="15"/>
                <w:color w:val="auto"/>
              </w:rPr>
            </w:pPr>
          </w:p>
        </w:tc>
      </w:tr>
      <w:tr>
        <w:trPr>
          <w:trHeight w:val="156"/>
        </w:trPr>
        <w:tc>
          <w:tcPr>
            <w:tcW w:w="4060" w:type="dxa"/>
            <w:vAlign w:val="bottom"/>
            <w:tcBorders>
              <w:bottom w:val="single" w:sz="8" w:color="CCEEFF"/>
            </w:tcBorders>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4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Valuation allowance at beginning of year</w:t>
            </w:r>
          </w:p>
        </w:tc>
        <w:tc>
          <w:tcPr>
            <w:tcW w:w="2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92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231F20"/>
              </w:rPr>
              <w:t>21,068</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7,231</w:t>
            </w:r>
          </w:p>
        </w:tc>
        <w:tc>
          <w:tcPr>
            <w:tcW w:w="20" w:type="dxa"/>
            <w:vAlign w:val="bottom"/>
          </w:tcPr>
          <w:p>
            <w:pPr>
              <w:spacing w:after="0"/>
              <w:rPr>
                <w:sz w:val="17"/>
                <w:szCs w:val="17"/>
                <w:color w:val="auto"/>
              </w:rPr>
            </w:pPr>
          </w:p>
        </w:tc>
      </w:tr>
      <w:tr>
        <w:trPr>
          <w:trHeight w:val="21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Increase recorded to provision for income taxes</w:t>
            </w:r>
          </w:p>
        </w:tc>
        <w:tc>
          <w:tcPr>
            <w:tcW w:w="2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231F20"/>
              </w:rPr>
              <w:t>26,359</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13,837</w:t>
            </w:r>
          </w:p>
        </w:tc>
        <w:tc>
          <w:tcPr>
            <w:tcW w:w="20" w:type="dxa"/>
            <w:vAlign w:val="bottom"/>
          </w:tcPr>
          <w:p>
            <w:pPr>
              <w:spacing w:after="0"/>
              <w:rPr>
                <w:sz w:val="18"/>
                <w:szCs w:val="18"/>
                <w:color w:val="auto"/>
              </w:rPr>
            </w:pPr>
          </w:p>
        </w:tc>
      </w:tr>
      <w:tr>
        <w:trPr>
          <w:trHeight w:val="196"/>
        </w:trPr>
        <w:tc>
          <w:tcPr>
            <w:tcW w:w="406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Valuation allowance at end of year</w:t>
            </w:r>
          </w:p>
        </w:tc>
        <w:tc>
          <w:tcPr>
            <w:tcW w:w="2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9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231F20"/>
              </w:rPr>
              <w:t>47,427</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21,068</w:t>
            </w:r>
          </w:p>
        </w:tc>
        <w:tc>
          <w:tcPr>
            <w:tcW w:w="20" w:type="dxa"/>
            <w:vAlign w:val="bottom"/>
          </w:tcPr>
          <w:p>
            <w:pPr>
              <w:spacing w:after="0"/>
              <w:rPr>
                <w:sz w:val="17"/>
                <w:szCs w:val="17"/>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4060" w:type="dxa"/>
            <w:vAlign w:val="bottom"/>
          </w:tcPr>
          <w:p>
            <w:pPr>
              <w:spacing w:after="0"/>
              <w:rPr>
                <w:sz w:val="24"/>
                <w:szCs w:val="24"/>
                <w:color w:val="auto"/>
              </w:rPr>
            </w:pPr>
          </w:p>
        </w:tc>
        <w:tc>
          <w:tcPr>
            <w:tcW w:w="2700" w:type="dxa"/>
            <w:vAlign w:val="bottom"/>
          </w:tcPr>
          <w:p>
            <w:pPr>
              <w:jc w:val="right"/>
              <w:ind w:right="205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0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not incurred any material interest or penalties as of the current reporting date with respect to income tax matters. The Company is subject to U.S. Federal and state income taxes. The Federal and state income tax returns for tax years prior to 2022 may remain open to examination as carry-forward attributes generated prior may be adjusted upon examination.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Net Loss Per Common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4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231F20"/>
              </w:rPr>
              <w:t>Years Ended December 31,</w:t>
            </w:r>
          </w:p>
        </w:tc>
      </w:tr>
      <w:tr>
        <w:trPr>
          <w:trHeight w:val="155"/>
        </w:trPr>
        <w:tc>
          <w:tcPr>
            <w:tcW w:w="64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231F20"/>
              </w:rPr>
              <w:t>2022</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480" w:type="dxa"/>
            <w:vAlign w:val="bottom"/>
          </w:tcPr>
          <w:p>
            <w:pPr>
              <w:ind w:left="160"/>
              <w:spacing w:after="0" w:line="202" w:lineRule="exact"/>
              <w:rPr>
                <w:sz w:val="20"/>
                <w:szCs w:val="20"/>
                <w:color w:val="auto"/>
              </w:rPr>
            </w:pPr>
            <w:r>
              <w:rPr>
                <w:rFonts w:ascii="Arial" w:cs="Arial" w:eastAsia="Arial" w:hAnsi="Arial"/>
                <w:sz w:val="18"/>
                <w:szCs w:val="18"/>
                <w:color w:val="231F20"/>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231F20"/>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(104,787)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231F20"/>
              </w:rPr>
              <w:t>(71,096)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6480" w:type="dxa"/>
            <w:vAlign w:val="bottom"/>
          </w:tcPr>
          <w:p>
            <w:pPr>
              <w:ind w:left="120"/>
              <w:spacing w:after="0" w:line="201" w:lineRule="exact"/>
              <w:rPr>
                <w:sz w:val="20"/>
                <w:szCs w:val="20"/>
                <w:color w:val="auto"/>
              </w:rPr>
            </w:pPr>
            <w:r>
              <w:rPr>
                <w:rFonts w:ascii="Arial" w:cs="Arial" w:eastAsia="Arial" w:hAnsi="Arial"/>
                <w:sz w:val="18"/>
                <w:szCs w:val="18"/>
                <w:color w:val="231F20"/>
              </w:rPr>
              <w:t>Weighted average shares used to compute net loss per share, basic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8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231F20"/>
              </w:rPr>
              <w:t>diluted</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
              <w:spacing w:after="0" w:line="203" w:lineRule="exact"/>
              <w:rPr>
                <w:sz w:val="20"/>
                <w:szCs w:val="20"/>
                <w:color w:val="auto"/>
              </w:rPr>
            </w:pPr>
            <w:r>
              <w:rPr>
                <w:rFonts w:ascii="Arial" w:cs="Arial" w:eastAsia="Arial" w:hAnsi="Arial"/>
                <w:sz w:val="18"/>
                <w:szCs w:val="18"/>
                <w:color w:val="231F20"/>
              </w:rPr>
              <w:t>39,995,460</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39,524,272</w:t>
            </w:r>
          </w:p>
        </w:tc>
      </w:tr>
      <w:tr>
        <w:trPr>
          <w:trHeight w:val="196"/>
        </w:trPr>
        <w:tc>
          <w:tcPr>
            <w:tcW w:w="6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(2.62)</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(1.80)</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820" w:type="dxa"/>
            <w:vAlign w:val="bottom"/>
            <w:tcBorders>
              <w:top w:val="single" w:sz="8" w:color="auto"/>
            </w:tcBorders>
          </w:tcPr>
          <w:p>
            <w:pPr>
              <w:spacing w:after="0"/>
              <w:rPr>
                <w:sz w:val="15"/>
                <w:szCs w:val="15"/>
                <w:color w:val="auto"/>
              </w:rPr>
            </w:pPr>
          </w:p>
        </w:tc>
        <w:tc>
          <w:tcPr>
            <w:tcW w:w="208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231F20"/>
              </w:rPr>
              <w:t>Years Ended December 31,</w:t>
            </w:r>
          </w:p>
        </w:tc>
      </w:tr>
      <w:tr>
        <w:trPr>
          <w:trHeight w:val="183"/>
        </w:trPr>
        <w:tc>
          <w:tcPr>
            <w:tcW w:w="68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231F20"/>
              </w:rPr>
              <w:t>2022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231F20"/>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04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295,911</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493,185</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231F20"/>
              </w:rPr>
              <w:t>Unvested performance-based restricted stock units</w:t>
            </w:r>
          </w:p>
        </w:tc>
        <w:tc>
          <w:tcPr>
            <w:tcW w:w="1040" w:type="dxa"/>
            <w:vAlign w:val="bottom"/>
          </w:tcPr>
          <w:p>
            <w:pPr>
              <w:jc w:val="right"/>
              <w:ind w:right="75"/>
              <w:spacing w:after="0" w:line="202" w:lineRule="exact"/>
              <w:rPr>
                <w:sz w:val="20"/>
                <w:szCs w:val="20"/>
                <w:color w:val="auto"/>
              </w:rPr>
            </w:pPr>
            <w:r>
              <w:rPr>
                <w:rFonts w:ascii="Arial" w:cs="Arial" w:eastAsia="Arial" w:hAnsi="Arial"/>
                <w:sz w:val="18"/>
                <w:szCs w:val="18"/>
                <w:color w:val="231F20"/>
              </w:rPr>
              <w:t>710,000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04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231F20"/>
              </w:rPr>
              <w:t>8,384,858</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5,768,028</w:t>
            </w:r>
          </w:p>
        </w:tc>
      </w:tr>
      <w:tr>
        <w:trPr>
          <w:trHeight w:val="203"/>
        </w:trPr>
        <w:tc>
          <w:tcPr>
            <w:tcW w:w="6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4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231F20"/>
              </w:rPr>
              <w:t>79,153</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17,110</w:t>
            </w:r>
          </w:p>
        </w:tc>
      </w:tr>
      <w:tr>
        <w:trPr>
          <w:trHeight w:val="196"/>
        </w:trPr>
        <w:tc>
          <w:tcPr>
            <w:tcW w:w="68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9,469,922</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6,278,323</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Included in the potentially dilutive options to purchase common stock are 18,640 unvested stock options that were early exercised by an employee and a non-employee in September 2020 (see Note 8, “Stock-Based Compensation”). The Company determined the early exercises to be non-substantive as the shares were subject to repurchase rights. Accordingly, the Company has excluded these shares from the calculation of basic and diluted net loss per share for the years ended December 31, 2022 and 2021.</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Lease</w:t>
      </w:r>
    </w:p>
    <w:p>
      <w:pPr>
        <w:spacing w:after="0" w:line="21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agreement term to November 2023. As part of the sixth amendment, the Company gained access to use additional space of approximately 2,130 square feet (the “Additional Space”) for a three year period commencing on December 1, 2020 and ending on November 30, 2023. According to the terms of the MandalMed Services Agreement, the Company paid a security deposit of less than $0.1 million and is required to pay monthly rent and common area charges.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August 31, 2024. According to the terms of the Office Space Lease Agreement, the Company paid a $0.1 million security deposit and is required to pay monthly rent and common area charges. The extension of the lease term was accounted for as a modification under Topic 842 and the Company recorded additional ROU asset and lease liability of $0.3 million and $0.3 million, respectively, in the consolidated financial statements.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summarizes total lease expense during the years ended December 31, 2022 and 2021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40" w:type="dxa"/>
            <w:vAlign w:val="bottom"/>
            <w:tcBorders>
              <w:top w:val="single" w:sz="8" w:color="auto"/>
            </w:tcBorders>
          </w:tcPr>
          <w:p>
            <w:pPr>
              <w:spacing w:after="0"/>
              <w:rPr>
                <w:sz w:val="15"/>
                <w:szCs w:val="15"/>
                <w:color w:val="auto"/>
              </w:rPr>
            </w:pPr>
          </w:p>
        </w:tc>
        <w:tc>
          <w:tcPr>
            <w:tcW w:w="3060" w:type="dxa"/>
            <w:vAlign w:val="bottom"/>
            <w:tcBorders>
              <w:top w:val="single" w:sz="8" w:color="auto"/>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231F20"/>
              </w:rPr>
              <w:t>Years Ended December 31,</w:t>
            </w:r>
          </w:p>
        </w:tc>
        <w:tc>
          <w:tcPr>
            <w:tcW w:w="600" w:type="dxa"/>
            <w:vAlign w:val="bottom"/>
            <w:tcBorders>
              <w:top w:val="single" w:sz="8" w:color="auto"/>
              <w:bottom w:val="single" w:sz="8" w:color="auto"/>
            </w:tcBorders>
          </w:tcPr>
          <w:p>
            <w:pPr>
              <w:spacing w:after="0"/>
              <w:rPr>
                <w:sz w:val="15"/>
                <w:szCs w:val="15"/>
                <w:color w:val="auto"/>
              </w:rPr>
            </w:pPr>
          </w:p>
        </w:tc>
      </w:tr>
      <w:tr>
        <w:trPr>
          <w:trHeight w:val="155"/>
        </w:trPr>
        <w:tc>
          <w:tcPr>
            <w:tcW w:w="52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231F20"/>
              </w:rPr>
              <w:t>2022</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231F20"/>
              </w:rPr>
              <w:t>2021</w:t>
            </w:r>
          </w:p>
        </w:tc>
        <w:tc>
          <w:tcPr>
            <w:tcW w:w="600" w:type="dxa"/>
            <w:vAlign w:val="bottom"/>
            <w:tcBorders>
              <w:bottom w:val="single" w:sz="8" w:color="auto"/>
            </w:tcBorders>
          </w:tcPr>
          <w:p>
            <w:pPr>
              <w:spacing w:after="0"/>
              <w:rPr>
                <w:sz w:val="13"/>
                <w:szCs w:val="13"/>
                <w:color w:val="auto"/>
              </w:rPr>
            </w:pP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1120" w:type="dxa"/>
            <w:vAlign w:val="bottom"/>
            <w:shd w:val="clear" w:color="auto" w:fill="CCEEFF"/>
          </w:tcPr>
          <w:p>
            <w:pPr>
              <w:jc w:val="right"/>
              <w:ind w:right="879"/>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76"/>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1,224</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1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2"/>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19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1120" w:type="dxa"/>
            <w:vAlign w:val="bottom"/>
            <w:tcBorders>
              <w:bottom w:val="single" w:sz="8" w:color="auto"/>
            </w:tcBorders>
          </w:tcPr>
          <w:p>
            <w:pPr>
              <w:jc w:val="right"/>
              <w:ind w:right="879"/>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1,598</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76"/>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1,400</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supplemental cash flow information during the year ended December 31, 2022 and 2021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80" w:type="dxa"/>
            <w:vAlign w:val="bottom"/>
            <w:tcBorders>
              <w:top w:val="single" w:sz="8" w:color="auto"/>
            </w:tcBorders>
          </w:tcPr>
          <w:p>
            <w:pPr>
              <w:spacing w:after="0"/>
              <w:rPr>
                <w:sz w:val="15"/>
                <w:szCs w:val="15"/>
                <w:color w:val="auto"/>
              </w:rPr>
            </w:pPr>
          </w:p>
        </w:tc>
        <w:tc>
          <w:tcPr>
            <w:tcW w:w="3020" w:type="dxa"/>
            <w:vAlign w:val="bottom"/>
            <w:tcBorders>
              <w:top w:val="single" w:sz="8" w:color="auto"/>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231F20"/>
              </w:rPr>
              <w:t>Years Ended December 31,</w:t>
            </w:r>
          </w:p>
        </w:tc>
        <w:tc>
          <w:tcPr>
            <w:tcW w:w="600" w:type="dxa"/>
            <w:vAlign w:val="bottom"/>
            <w:tcBorders>
              <w:top w:val="single" w:sz="8" w:color="auto"/>
              <w:bottom w:val="single" w:sz="8" w:color="auto"/>
            </w:tcBorders>
          </w:tcPr>
          <w:p>
            <w:pPr>
              <w:spacing w:after="0"/>
              <w:rPr>
                <w:sz w:val="15"/>
                <w:szCs w:val="15"/>
                <w:color w:val="auto"/>
              </w:rPr>
            </w:pPr>
          </w:p>
        </w:tc>
      </w:tr>
      <w:tr>
        <w:trPr>
          <w:trHeight w:val="156"/>
        </w:trPr>
        <w:tc>
          <w:tcPr>
            <w:tcW w:w="5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231F20"/>
              </w:rPr>
              <w:t>2022</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2021</w:t>
            </w:r>
          </w:p>
        </w:tc>
        <w:tc>
          <w:tcPr>
            <w:tcW w:w="600" w:type="dxa"/>
            <w:vAlign w:val="bottom"/>
            <w:tcBorders>
              <w:bottom w:val="single" w:sz="8" w:color="auto"/>
            </w:tcBorders>
          </w:tcPr>
          <w:p>
            <w:pPr>
              <w:spacing w:after="0"/>
              <w:rPr>
                <w:sz w:val="13"/>
                <w:szCs w:val="13"/>
                <w:color w:val="auto"/>
              </w:rPr>
            </w:pPr>
          </w:p>
        </w:tc>
      </w:tr>
      <w:tr>
        <w:trPr>
          <w:trHeight w:val="182"/>
        </w:trPr>
        <w:tc>
          <w:tcPr>
            <w:tcW w:w="5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measurement of lease</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3"/>
        </w:trPr>
        <w:tc>
          <w:tcPr>
            <w:tcW w:w="5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2"/>
        </w:trPr>
        <w:tc>
          <w:tcPr>
            <w:tcW w:w="52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080" w:type="dxa"/>
            <w:vAlign w:val="bottom"/>
          </w:tcPr>
          <w:p>
            <w:pPr>
              <w:jc w:val="right"/>
              <w:ind w:right="86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c>
          <w:tcPr>
            <w:tcW w:w="240" w:type="dxa"/>
            <w:vAlign w:val="bottom"/>
          </w:tcPr>
          <w:p>
            <w:pPr>
              <w:spacing w:after="0"/>
              <w:rPr>
                <w:sz w:val="17"/>
                <w:szCs w:val="17"/>
                <w:color w:val="auto"/>
              </w:rPr>
            </w:pPr>
          </w:p>
        </w:tc>
        <w:tc>
          <w:tcPr>
            <w:tcW w:w="1100" w:type="dxa"/>
            <w:vAlign w:val="bottom"/>
          </w:tcPr>
          <w:p>
            <w:pPr>
              <w:jc w:val="right"/>
              <w:ind w:right="859"/>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988</w:t>
            </w:r>
          </w:p>
        </w:tc>
      </w:tr>
      <w:tr>
        <w:trPr>
          <w:trHeight w:val="202"/>
        </w:trPr>
        <w:tc>
          <w:tcPr>
            <w:tcW w:w="5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ROU asset obtained in exchange for a new operating lease</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5280" w:type="dxa"/>
            <w:vAlign w:val="bottom"/>
            <w:tcBorders>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liability</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3,152</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December 31,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6489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Years Ended December 31,</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4520" w:type="dxa"/>
            <w:vAlign w:val="bottom"/>
            <w:tcBorders>
              <w:top w:val="single" w:sz="8" w:color="auto"/>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1,185</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4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20" w:type="dxa"/>
            <w:vAlign w:val="bottom"/>
          </w:tcPr>
          <w:p>
            <w:pPr>
              <w:spacing w:after="0"/>
              <w:rPr>
                <w:sz w:val="17"/>
                <w:szCs w:val="17"/>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4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4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2,875</w:t>
            </w:r>
          </w:p>
        </w:tc>
        <w:tc>
          <w:tcPr>
            <w:tcW w:w="20" w:type="dxa"/>
            <w:vAlign w:val="bottom"/>
          </w:tcPr>
          <w:p>
            <w:pPr>
              <w:spacing w:after="0"/>
              <w:rPr>
                <w:sz w:val="17"/>
                <w:szCs w:val="17"/>
                <w:color w:val="auto"/>
              </w:rPr>
            </w:pPr>
          </w:p>
        </w:tc>
      </w:tr>
      <w:tr>
        <w:trPr>
          <w:trHeight w:val="203"/>
        </w:trPr>
        <w:tc>
          <w:tcPr>
            <w:tcW w:w="3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Interest</w:t>
            </w:r>
          </w:p>
        </w:tc>
        <w:tc>
          <w:tcPr>
            <w:tcW w:w="4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liabilities at present value</w:t>
            </w:r>
          </w:p>
        </w:tc>
        <w:tc>
          <w:tcPr>
            <w:tcW w:w="4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2,565</w:t>
            </w:r>
          </w:p>
        </w:tc>
        <w:tc>
          <w:tcPr>
            <w:tcW w:w="20" w:type="dxa"/>
            <w:vAlign w:val="bottom"/>
          </w:tcPr>
          <w:p>
            <w:pPr>
              <w:spacing w:after="0"/>
              <w:rPr>
                <w:sz w:val="17"/>
                <w:szCs w:val="17"/>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r>
      <w:tr>
        <w:trPr>
          <w:trHeight w:val="216"/>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4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4160" w:type="dxa"/>
            <w:vAlign w:val="bottom"/>
          </w:tcPr>
          <w:p>
            <w:pPr>
              <w:jc w:val="right"/>
              <w:ind w:right="3110"/>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lease term and discount rate as of December 31, 2022 and 2021:</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420" w:type="dxa"/>
            <w:vAlign w:val="bottom"/>
            <w:tcBorders>
              <w:top w:val="single" w:sz="8" w:color="auto"/>
            </w:tcBorders>
          </w:tcPr>
          <w:p>
            <w:pPr>
              <w:spacing w:after="0"/>
              <w:rPr>
                <w:sz w:val="15"/>
                <w:szCs w:val="15"/>
                <w:color w:val="auto"/>
              </w:rPr>
            </w:pPr>
          </w:p>
        </w:tc>
        <w:tc>
          <w:tcPr>
            <w:tcW w:w="288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231F20"/>
              </w:rPr>
              <w:t>Years Ended December 31,</w:t>
            </w:r>
          </w:p>
        </w:tc>
        <w:tc>
          <w:tcPr>
            <w:tcW w:w="600" w:type="dxa"/>
            <w:vAlign w:val="bottom"/>
            <w:tcBorders>
              <w:top w:val="single" w:sz="8" w:color="auto"/>
              <w:bottom w:val="single" w:sz="8" w:color="auto"/>
            </w:tcBorders>
          </w:tcPr>
          <w:p>
            <w:pPr>
              <w:spacing w:after="0"/>
              <w:rPr>
                <w:sz w:val="15"/>
                <w:szCs w:val="15"/>
                <w:color w:val="auto"/>
              </w:rPr>
            </w:pPr>
          </w:p>
        </w:tc>
      </w:tr>
      <w:tr>
        <w:trPr>
          <w:trHeight w:val="155"/>
        </w:trPr>
        <w:tc>
          <w:tcPr>
            <w:tcW w:w="54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231F20"/>
              </w:rPr>
              <w:t>2022</w:t>
            </w:r>
          </w:p>
        </w:tc>
        <w:tc>
          <w:tcPr>
            <w:tcW w:w="188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231F20"/>
              </w:rPr>
              <w:t>2021</w:t>
            </w:r>
          </w:p>
        </w:tc>
        <w:tc>
          <w:tcPr>
            <w:tcW w:w="600" w:type="dxa"/>
            <w:vAlign w:val="bottom"/>
          </w:tcPr>
          <w:p>
            <w:pPr>
              <w:spacing w:after="0"/>
              <w:rPr>
                <w:sz w:val="13"/>
                <w:szCs w:val="13"/>
                <w:color w:val="auto"/>
              </w:rPr>
            </w:pPr>
          </w:p>
        </w:tc>
      </w:tr>
      <w:tr>
        <w:trPr>
          <w:trHeight w:val="196"/>
        </w:trPr>
        <w:tc>
          <w:tcPr>
            <w:tcW w:w="5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3.63</w:t>
            </w:r>
          </w:p>
        </w:tc>
      </w:tr>
      <w:tr>
        <w:trPr>
          <w:trHeight w:val="203"/>
        </w:trPr>
        <w:tc>
          <w:tcPr>
            <w:tcW w:w="642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 Commitments and Contingencies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PI3Ka inhibitor Piqray® (alpelisib) (collectively the “Novartis Study Drugs”) as part of the Company’s planned Phase 1b clinical study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consolidated financial statements, with any reimbursable costs from Novartis reflected as a reduction of such expenses. For the year ended December 31, 2022, costs reimbursable from Novartis were $1.4 million. As of December 31, 2022, the receivable due from Novartis was $1.4 million, which is recorded under prepaid expenses and other current assets in the accompanying consolidated financial statements. There was no such cost incurred as of and for the year ended December 31,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 free license under certain of the parties’ respective patent rights in the combination of IBRANCE® and OP-1250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consolidated statements of operations and comprehensive loss for the years ended December 31, 2022, and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206"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$8.0 million upfront payment was incurred in June 2022 and recorded as research and development expense in the accompanying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December 31, 2022, it was determined that it is not probable to achieve any of the milestone target, and therefore, the Company recorded zero expense related to the milestone for the year ended December 31, 2022.</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Services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December 31, 2022, the Company did not have material contractual commitments with respect to these arrangements.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December 31, 2022 and 2021, respectively,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13. Subsequent Event</w:t>
      </w:r>
    </w:p>
    <w:p>
      <w:pPr>
        <w:spacing w:after="0" w:line="21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On March 9, 2023, the Company announced a corporate restructuring and portfolio prioritization to focus its resources on the late-stage clinical development of OP-1250 for the treatment of ER+ / HER2- metastatic breast cancer. As part of this restructuring, the Company’s workforce will be reduced by approximately 25%, affecting employees across research, early development, and general and administrative functions in the Company.</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This workforce reduction is expected to be completed by the end of the first quarter of 2023. Affected employees will be eligible to receive severance and other benefits, contingent upon such employee’s execution and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effectiveness of a separation agreement, which includes a general release of claims against the Company. The Company estimates that these severance and other costs will result in a one-time accounting charge of approximately $2.8 million in the first quarter of 2023, $2.7 million of which is attributable to cash expenditures expected to be paid in the same quarter. The charges that the Company expects to incur in connection with the restructuring are subject to a number of assumptions, and actual results may differ materially. The Company may also incur additional costs not currently contemplated due to events that may occur as a result of, or that are associated with,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3" w:name="page164"/>
    <w:bookmarkEnd w:id="1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December 31, 2022,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2022, the design and operation of our disclosure controls and procedures were effective at a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Operating and Financial Officer (principal financial officer), assessed the effectiveness of our internal control over financial reporting as of December 31, 2022.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2022 based on those criteria.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4" w:name="page165"/>
    <w:bookmarkEnd w:id="1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fourth quarter ended December 31, 2022 that has materially affected, or is reasonably likely to materially affect, our internal control over financial reporting. We are continually monitoring and assessing the COVID-19 situation to minimize the impact to the design and operating effectiveness of our internal controls.</w:t>
      </w:r>
    </w:p>
    <w:p>
      <w:pPr>
        <w:spacing w:after="0" w:line="180"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Associated with Exit or Disposal Activities</w:t>
      </w:r>
    </w:p>
    <w:p>
      <w:pPr>
        <w:spacing w:after="0" w:line="2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March 9, 2023, we announced a corporate restructuring and portfolio prioritization to focus our resources on the late-stage clinical development of OP-1250 for the treatment of ER+/HER2- metastatic breast cancer. As part of this restructuring, our workforce will be reduced by approximately 25%, affecting employees across research, early development, and general and administrative functions.</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This workforce reduction is expected to be completed by the end of the first quarter of 2023. Affected employees will be eligible to receive severance and other benefits, contingent upon such employee’s execution and the effectiveness of a separation agreement, which includes a general release of claims against us. We estimate that these severance and other costs will result in a one-time accounting charge of approximately $2.8 million in the first quarter of 2023, $2.7 million of which is attributable to cash expenditures expected to be paid in the same quarter, and expect that payment of these costs will also be made in the first quarter of 2023. The charges that we expect to incur in connection with the restructuring are subject to a number of assumptions, and actual results may differ materially. We may also incur additional costs not currently contemplated due to events that may occur as a result of, or that are associated with, the restructuring.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Departure of Directors or Certain Officers; Compensatory Arrangements of Certain Officers</w:t>
      </w:r>
    </w:p>
    <w:p>
      <w:pPr>
        <w:spacing w:after="0" w:line="220"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As part of the restructuring, each of Kinney Horn, our Chief Business Officer, and Cyrus Harmon, Ph.D., our Chief Research Officer, will cease their employment with us, effective March 24, 2023, or the Separation Date, and has entered into a separation agreement with us. Pursuant to the separation agreement entered into with Mr. Horn, subject to the effectiveness of a general release of claims, Mr. Horn will (i) receive 12 months of his base salary and medical insurance coverage premiums, plus a pro-rated portion of his target bonus for 2023, for a total of approximately $0.5 million, less required deductions and withholdings, (ii) provide ongoing consulting and advisory services to us until such services are terminated by us or Mr. Horn pursuant to the terms of a consulting agreement, and (iii) upon the Separation Date and pursuant to the terms of his existing employment agreement with us, be entitled to accelerated vesting of options to purchase 39,384 shares of our common stock held as of the Separation Date. Pursuant to the separation agreement entered into with Dr. Harmon, subject to the effectiveness of a general release of claims, Dr. Harmon will be entitled to receive 12 months of his base salary and medical insurance coverage premiums, plus a pro-rated portion of his target bonus for 2023, for a total of approximately $0.6 million, less required deductions and withholdings. We expect that Dr. Harmon will continue in his role as a member of our Board of Directors.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 the Market” Equity Offering Program</w:t>
      </w:r>
    </w:p>
    <w:p>
      <w:pPr>
        <w:spacing w:after="0" w:line="22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March 9, 2023, we entered into a Sales Agreement, or the ATM Agreement, with Oppenheimer &amp; Co., Inc., or the Agent, pursuant to which we may offer and sell, from time to time through the Agent, at our option, shares of our common stock for aggregate sales proceeds of up to $100 million, or the Shares. The issuance and sale, if any, of Shares under the ATM Agreement will be pursuant to our effective registration statement on Form S-3 (File No. 333-263117), and the related prospectus supplement dated March 9, 2023, in each case filed with the SEC.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5" w:name="page166"/>
    <w:bookmarkEnd w:id="1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Pursuant to the ATM Agreement, the Agent may sell the Shares in sales deemed to be “at-the-market” equity offerings as defined in Rule 415 promulgated under the Securities Act, including sales made directly on or through the Nasdaq Global Select Market. We may sell Shares in amounts and at times to be determined by us from time to time through the Agent and subject to the terms and conditions of the ATM Agreement, but we have no obligation to sell any of the Shares under the ATM Agreement. The offer and sale of the Shares pursuant to the ATM Agreement will terminate upon the earlier of (a) the issuance and sale of all of the Shares subject to the ATM Agreement or (b) the termination of the ATM Agreement.</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have agreed to pay the Agent a commission of up to 3.0% of the aggregate gross proceeds from any Shares sold by the Agent and to provide the Agent with customary indemnification and contribution rights, including for liabilities under the Securities Act. We also will reimburse the Agent for certain specified expenses in connection with entering into the ATM Agreement. The ATM Agreement contains customary representations and warranties and conditions to the placements of the Shares pursuant thereto.</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foregoing summary of the ATM Agreement does not purport to be complete and is qualified in its entirety by reference to the full text of the ATM Agreement, which is attached as Exhibit 1.1 to this Annual Report on Form 10-K. Cooley LLP, counsel to Olema, has issued a legal opinion relating to due authorization and valid issuance of the Shares, a copy of which, including the consent included therein, is attached as Exhibit 5.1 to this Annual Report on Form 10-K.</w:t>
      </w:r>
    </w:p>
    <w:p>
      <w:pPr>
        <w:spacing w:after="0" w:line="189"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This Annual Report on Form 10-K shall not constitute an offer to sell or the solicitation of an offer to buy the Shares, nor shall there be any offer, solicitation, or sale of the Shares in any state in which such offer, solicitation or sale would be unlawful prior to registration or qualification under the securities laws of any such state.</w:t>
      </w:r>
    </w:p>
    <w:p>
      <w:pPr>
        <w:spacing w:after="0" w:line="372"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6" w:name="page167"/>
    <w:bookmarkEnd w:id="1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16"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of Directors Matters” and “Executive Officers” in our Proxy Statement for our 2023 Annual Meeting of Stockholders. Information required by this item regarding compliance with Section 16(a) of the Exchange Act, if applicable, is incorporated by reference to the information set forth under the caption “Delinquent Section 16(a) Reports” in our Proxy Statement.</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https://www.olema.com/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 Information contained in, or that can be accessed through, our website is not incorporated by reference herein, and you should not consider information on our website to be part of this Annual Report.</w:t>
      </w:r>
    </w:p>
    <w:p>
      <w:pPr>
        <w:spacing w:after="0" w:line="18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our Proxy Statement.</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 Information” in our Proxy Statement.</w:t>
      </w:r>
    </w:p>
    <w:p>
      <w:pPr>
        <w:spacing w:after="0" w:line="18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spacing w:after="0" w:line="18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14.</w:t>
        <w:tab/>
        <w:t>Principal Accountant Fees and Services.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4—Ratification of Selection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16"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 and Financial Statement Schedules.</w:t>
      </w:r>
    </w:p>
    <w:p>
      <w:pPr>
        <w:spacing w:after="0" w:line="236" w:lineRule="exact"/>
        <w:rPr>
          <w:sz w:val="20"/>
          <w:szCs w:val="20"/>
          <w:color w:val="auto"/>
        </w:rPr>
      </w:pPr>
    </w:p>
    <w:p>
      <w:pPr>
        <w:ind w:left="440" w:hanging="363"/>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w:t>
      </w:r>
    </w:p>
    <w:p>
      <w:pPr>
        <w:spacing w:after="0" w:line="205" w:lineRule="exact"/>
        <w:rPr>
          <w:rFonts w:ascii="Arial" w:cs="Arial" w:eastAsia="Arial" w:hAnsi="Arial"/>
          <w:sz w:val="16"/>
          <w:szCs w:val="16"/>
          <w:color w:val="auto"/>
        </w:rPr>
      </w:pPr>
    </w:p>
    <w:p>
      <w:pPr>
        <w:ind w:left="720" w:right="79" w:hanging="319"/>
        <w:spacing w:after="0" w:line="256" w:lineRule="auto"/>
        <w:tabs>
          <w:tab w:leader="none" w:pos="72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See Index to Consolidated Financial Statements in Part II Item 8 of this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w:t>
      </w:r>
    </w:p>
    <w:p>
      <w:pPr>
        <w:spacing w:after="0" w:line="1" w:lineRule="exact"/>
        <w:rPr>
          <w:rFonts w:ascii="Arial" w:cs="Arial" w:eastAsia="Arial" w:hAnsi="Arial"/>
          <w:sz w:val="16"/>
          <w:szCs w:val="16"/>
          <w:color w:val="auto"/>
        </w:rPr>
      </w:pPr>
    </w:p>
    <w:p>
      <w:pPr>
        <w:jc w:val="both"/>
        <w:ind w:left="720" w:right="79" w:hanging="319"/>
        <w:spacing w:after="0" w:line="246" w:lineRule="auto"/>
        <w:tabs>
          <w:tab w:leader="none" w:pos="72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Consolidated Financial Statement Schedules</w:t>
      </w:r>
      <w:r>
        <w:rPr>
          <w:rFonts w:ascii="Arial" w:cs="Arial" w:eastAsia="Arial" w:hAnsi="Arial"/>
          <w:sz w:val="16"/>
          <w:szCs w:val="16"/>
          <w:color w:val="auto"/>
        </w:rPr>
        <w:t>. None. All financial statement schedules are omitted because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applicable, not required under the instructions, or the requested information is included in the financial statements or notes thereto.</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following is a list of exhibits filed with this Annual Report or incorporated herein by reference: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gridSpan w:val="22"/>
            <w:vMerge w:val="restart"/>
          </w:tcPr>
          <w:p>
            <w:pPr>
              <w:jc w:val="center"/>
              <w:ind w:right="1060"/>
              <w:spacing w:after="0"/>
              <w:rPr>
                <w:sz w:val="20"/>
                <w:szCs w:val="20"/>
                <w:color w:val="auto"/>
              </w:rPr>
            </w:pPr>
            <w:r>
              <w:rPr>
                <w:rFonts w:ascii="Arial" w:cs="Arial" w:eastAsia="Arial" w:hAnsi="Arial"/>
                <w:sz w:val="18"/>
                <w:szCs w:val="18"/>
                <w:b w:val="1"/>
                <w:bCs w:val="1"/>
                <w:color w:val="auto"/>
                <w:w w:val="99"/>
              </w:rPr>
              <w:t>Exhibit</w:t>
            </w:r>
          </w:p>
        </w:tc>
        <w:tc>
          <w:tcPr>
            <w:tcW w:w="7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Incorporation by Reference</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22"/>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Filing</w:t>
            </w:r>
          </w:p>
        </w:tc>
        <w:tc>
          <w:tcPr>
            <w:tcW w:w="88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9"/>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gridSpan w:val="22"/>
          </w:tcPr>
          <w:p>
            <w:pPr>
              <w:jc w:val="center"/>
              <w:ind w:right="1060"/>
              <w:spacing w:after="0"/>
              <w:rPr>
                <w:sz w:val="20"/>
                <w:szCs w:val="20"/>
                <w:color w:val="auto"/>
              </w:rPr>
            </w:pPr>
            <w:r>
              <w:rPr>
                <w:rFonts w:ascii="Arial" w:cs="Arial" w:eastAsia="Arial" w:hAnsi="Arial"/>
                <w:sz w:val="18"/>
                <w:szCs w:val="18"/>
                <w:b w:val="1"/>
                <w:bCs w:val="1"/>
                <w:color w:val="auto"/>
              </w:rPr>
              <w:t>Description</w:t>
            </w:r>
          </w:p>
        </w:tc>
        <w:tc>
          <w:tcPr>
            <w:tcW w:w="760" w:type="dxa"/>
            <w:vAlign w:val="bottom"/>
          </w:tcPr>
          <w:p>
            <w:pPr>
              <w:jc w:val="center"/>
              <w:ind w:left="10"/>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96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0000EE"/>
              </w:rPr>
              <w:t>Sales Agreement by and between</w:t>
            </w:r>
          </w:p>
        </w:tc>
        <w:tc>
          <w:tcPr>
            <w:tcW w:w="7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82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Registrant and Oppenheimer &amp; Co.</w:t>
            </w:r>
          </w:p>
        </w:tc>
        <w:tc>
          <w:tcPr>
            <w:tcW w:w="38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ind w:left="20"/>
              <w:spacing w:after="0" w:line="182" w:lineRule="exact"/>
              <w:rPr>
                <w:sz w:val="20"/>
                <w:szCs w:val="20"/>
                <w:color w:val="auto"/>
              </w:rPr>
            </w:pPr>
            <w:r>
              <w:rPr>
                <w:rFonts w:ascii="Arial" w:cs="Arial" w:eastAsia="Arial" w:hAnsi="Arial"/>
                <w:sz w:val="18"/>
                <w:szCs w:val="18"/>
                <w:color w:val="auto"/>
              </w:rPr>
              <w:t>1.1</w:t>
            </w:r>
          </w:p>
        </w:tc>
        <w:tc>
          <w:tcPr>
            <w:tcW w:w="210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Inc., dated March 9, 2023.</w:t>
            </w:r>
          </w:p>
        </w:tc>
        <w:tc>
          <w:tcPr>
            <w:tcW w:w="1100" w:type="dxa"/>
            <w:vAlign w:val="bottom"/>
            <w:gridSpan w:val="17"/>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2960" w:type="dxa"/>
            <w:vAlign w:val="bottom"/>
            <w:tcBorders>
              <w:bottom w:val="single" w:sz="8" w:color="0000EE"/>
            </w:tcBorders>
            <w:gridSpan w:val="21"/>
          </w:tcPr>
          <w:p>
            <w:pPr>
              <w:spacing w:after="0"/>
              <w:rPr>
                <w:rFonts w:ascii="Arial" w:cs="Arial" w:eastAsia="Arial" w:hAnsi="Arial"/>
                <w:sz w:val="18"/>
                <w:szCs w:val="18"/>
                <w:color w:val="0000EE"/>
                <w:w w:val="99"/>
              </w:rPr>
            </w:pPr>
            <w:hyperlink r:id="rId231">
              <w:r>
                <w:rPr>
                  <w:rFonts w:ascii="Arial" w:cs="Arial" w:eastAsia="Arial" w:hAnsi="Arial"/>
                  <w:sz w:val="18"/>
                  <w:szCs w:val="18"/>
                  <w:color w:val="0000EE"/>
                  <w:w w:val="99"/>
                </w:rPr>
                <w:t>Amended and Restated Certificate of</w:t>
              </w:r>
            </w:hyperlink>
          </w:p>
        </w:tc>
        <w:tc>
          <w:tcPr>
            <w:tcW w:w="24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1">
              <w:r>
                <w:rPr>
                  <w:rFonts w:ascii="Arial" w:cs="Arial" w:eastAsia="Arial" w:hAnsi="Arial"/>
                  <w:sz w:val="18"/>
                  <w:szCs w:val="18"/>
                  <w:color w:val="0000EE"/>
                </w:rPr>
                <w:t>Incorporation</w:t>
              </w:r>
              <w:r>
                <w:rPr>
                  <w:rFonts w:ascii="Arial" w:cs="Arial" w:eastAsia="Arial" w:hAnsi="Arial"/>
                  <w:sz w:val="18"/>
                  <w:szCs w:val="18"/>
                  <w:color w:val="000000"/>
                </w:rPr>
                <w:t>.</w:t>
              </w:r>
            </w:hyperlink>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2960" w:type="dxa"/>
            <w:vAlign w:val="bottom"/>
            <w:tcBorders>
              <w:bottom w:val="single" w:sz="8" w:color="0000EE"/>
            </w:tcBorders>
            <w:gridSpan w:val="21"/>
          </w:tcPr>
          <w:p>
            <w:pPr>
              <w:spacing w:after="0"/>
              <w:rPr>
                <w:rFonts w:ascii="Arial" w:cs="Arial" w:eastAsia="Arial" w:hAnsi="Arial"/>
                <w:sz w:val="18"/>
                <w:szCs w:val="18"/>
                <w:color w:val="0000EE"/>
                <w:w w:val="99"/>
              </w:rPr>
            </w:pPr>
            <w:hyperlink r:id="rId232">
              <w:r>
                <w:rPr>
                  <w:rFonts w:ascii="Arial" w:cs="Arial" w:eastAsia="Arial" w:hAnsi="Arial"/>
                  <w:sz w:val="18"/>
                  <w:szCs w:val="18"/>
                  <w:color w:val="0000EE"/>
                  <w:w w:val="99"/>
                </w:rPr>
                <w:t>Amended and Restated Certificate of</w:t>
              </w:r>
            </w:hyperlink>
          </w:p>
        </w:tc>
        <w:tc>
          <w:tcPr>
            <w:tcW w:w="24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2">
              <w:r>
                <w:rPr>
                  <w:rFonts w:ascii="Arial" w:cs="Arial" w:eastAsia="Arial" w:hAnsi="Arial"/>
                  <w:sz w:val="18"/>
                  <w:szCs w:val="18"/>
                  <w:color w:val="0000EE"/>
                </w:rPr>
                <w:t>Bylaws</w:t>
              </w:r>
              <w:r>
                <w:rPr>
                  <w:rFonts w:ascii="Arial" w:cs="Arial" w:eastAsia="Arial" w:hAnsi="Arial"/>
                  <w:sz w:val="18"/>
                  <w:szCs w:val="18"/>
                  <w:color w:val="000000"/>
                </w:rPr>
                <w:t>.</w:t>
              </w:r>
            </w:hyperlink>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12/16/2022</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3200" w:type="dxa"/>
            <w:vAlign w:val="bottom"/>
            <w:gridSpan w:val="25"/>
          </w:tcPr>
          <w:p>
            <w:pPr>
              <w:spacing w:after="0"/>
              <w:rPr>
                <w:rFonts w:ascii="Arial" w:cs="Arial" w:eastAsia="Arial" w:hAnsi="Arial"/>
                <w:sz w:val="18"/>
                <w:szCs w:val="18"/>
                <w:color w:val="0000EE"/>
              </w:rPr>
            </w:pPr>
            <w:hyperlink r:id="rId233">
              <w:r>
                <w:rPr>
                  <w:rFonts w:ascii="Arial" w:cs="Arial" w:eastAsia="Arial" w:hAnsi="Arial"/>
                  <w:sz w:val="18"/>
                  <w:szCs w:val="18"/>
                  <w:color w:val="0000EE"/>
                </w:rPr>
                <w:t>Form of Common Stock Certificate</w:t>
              </w:r>
            </w:hyperlink>
            <w:r>
              <w:rPr>
                <w:rFonts w:ascii="Arial" w:cs="Arial" w:eastAsia="Arial" w:hAnsi="Arial"/>
                <w:sz w:val="18"/>
                <w:szCs w:val="18"/>
                <w:color w:val="000000"/>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27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9"/>
              </w:rPr>
            </w:pPr>
            <w:hyperlink r:id="rId234">
              <w:r>
                <w:rPr>
                  <w:rFonts w:ascii="Arial" w:cs="Arial" w:eastAsia="Arial" w:hAnsi="Arial"/>
                  <w:sz w:val="18"/>
                  <w:szCs w:val="18"/>
                  <w:color w:val="0000EE"/>
                  <w:w w:val="99"/>
                </w:rPr>
                <w:t>Amended and Restated Investors’</w:t>
              </w:r>
            </w:hyperlink>
          </w:p>
        </w:tc>
        <w:tc>
          <w:tcPr>
            <w:tcW w:w="60" w:type="dxa"/>
            <w:vAlign w:val="bottom"/>
            <w:tcBorders>
              <w:top w:val="single" w:sz="8" w:color="0000EE"/>
            </w:tcBorders>
            <w:gridSpan w:val="2"/>
          </w:tcPr>
          <w:p>
            <w:pPr>
              <w:spacing w:after="0"/>
              <w:rPr>
                <w:sz w:val="24"/>
                <w:szCs w:val="24"/>
                <w:color w:val="auto"/>
              </w:rPr>
            </w:pPr>
          </w:p>
        </w:tc>
        <w:tc>
          <w:tcPr>
            <w:tcW w:w="42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4">
              <w:r>
                <w:rPr>
                  <w:rFonts w:ascii="Arial" w:cs="Arial" w:eastAsia="Arial" w:hAnsi="Arial"/>
                  <w:sz w:val="18"/>
                  <w:szCs w:val="18"/>
                  <w:color w:val="0000EE"/>
                </w:rPr>
                <w:t>Rights Agreement, by and among the</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234">
              <w:r>
                <w:rPr>
                  <w:rFonts w:ascii="Arial" w:cs="Arial" w:eastAsia="Arial" w:hAnsi="Arial"/>
                  <w:sz w:val="18"/>
                  <w:szCs w:val="18"/>
                  <w:color w:val="0000EE"/>
                  <w:w w:val="99"/>
                </w:rPr>
                <w:t>Registrant and certain of its</w:t>
              </w:r>
            </w:hyperlink>
          </w:p>
        </w:tc>
        <w:tc>
          <w:tcPr>
            <w:tcW w:w="780" w:type="dxa"/>
            <w:vAlign w:val="bottom"/>
            <w:tcBorders>
              <w:top w:val="single" w:sz="8" w:color="0000EE"/>
            </w:tcBorders>
            <w:gridSpan w:val="13"/>
          </w:tcPr>
          <w:p>
            <w:pPr>
              <w:spacing w:after="0"/>
              <w:rPr>
                <w:sz w:val="15"/>
                <w:szCs w:val="15"/>
                <w:color w:val="auto"/>
              </w:rPr>
            </w:pPr>
          </w:p>
        </w:tc>
        <w:tc>
          <w:tcPr>
            <w:tcW w:w="22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4">
              <w:r>
                <w:rPr>
                  <w:rFonts w:ascii="Arial" w:cs="Arial" w:eastAsia="Arial" w:hAnsi="Arial"/>
                  <w:sz w:val="18"/>
                  <w:szCs w:val="18"/>
                  <w:color w:val="0000EE"/>
                </w:rPr>
                <w:t>stockholders, dated September 30,</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234">
              <w:r>
                <w:rPr>
                  <w:rFonts w:ascii="Arial" w:cs="Arial" w:eastAsia="Arial" w:hAnsi="Arial"/>
                  <w:sz w:val="18"/>
                  <w:szCs w:val="18"/>
                  <w:color w:val="0000EE"/>
                  <w:w w:val="97"/>
                </w:rPr>
                <w:t>2020.</w:t>
              </w:r>
            </w:hyperlink>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5"/>
              </w:rPr>
              <w:t>4.2</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4.3</w:t>
            </w:r>
          </w:p>
        </w:tc>
        <w:tc>
          <w:tcPr>
            <w:tcW w:w="3200" w:type="dxa"/>
            <w:vAlign w:val="bottom"/>
            <w:gridSpan w:val="25"/>
          </w:tcPr>
          <w:p>
            <w:pPr>
              <w:spacing w:after="0"/>
              <w:rPr>
                <w:rFonts w:ascii="Arial" w:cs="Arial" w:eastAsia="Arial" w:hAnsi="Arial"/>
                <w:sz w:val="18"/>
                <w:szCs w:val="18"/>
                <w:color w:val="0000EE"/>
              </w:rPr>
            </w:pPr>
            <w:hyperlink r:id="rId235">
              <w:r>
                <w:rPr>
                  <w:rFonts w:ascii="Arial" w:cs="Arial" w:eastAsia="Arial" w:hAnsi="Arial"/>
                  <w:sz w:val="18"/>
                  <w:szCs w:val="18"/>
                  <w:color w:val="0000EE"/>
                </w:rPr>
                <w:t>Description of Capital Stock</w:t>
              </w:r>
            </w:hyperlink>
            <w:r>
              <w:rPr>
                <w:rFonts w:ascii="Arial" w:cs="Arial" w:eastAsia="Arial" w:hAnsi="Arial"/>
                <w:sz w:val="18"/>
                <w:szCs w:val="18"/>
                <w:color w:val="000000"/>
              </w:rPr>
              <w:t>.</w:t>
            </w:r>
          </w:p>
        </w:tc>
        <w:tc>
          <w:tcPr>
            <w:tcW w:w="760" w:type="dxa"/>
            <w:vAlign w:val="bottom"/>
          </w:tcPr>
          <w:p>
            <w:pPr>
              <w:jc w:val="center"/>
              <w:ind w:left="1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3/17/2021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18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Opinion of Cooley LLP.</w:t>
            </w:r>
          </w:p>
        </w:tc>
        <w:tc>
          <w:tcPr>
            <w:tcW w:w="380" w:type="dxa"/>
            <w:vAlign w:val="bottom"/>
            <w:tcBorders>
              <w:top w:val="single" w:sz="8" w:color="0000EE"/>
            </w:tcBorders>
            <w:gridSpan w:val="4"/>
          </w:tcPr>
          <w:p>
            <w:pPr>
              <w:spacing w:after="0"/>
              <w:rPr>
                <w:sz w:val="24"/>
                <w:szCs w:val="24"/>
                <w:color w:val="auto"/>
              </w:rPr>
            </w:pPr>
          </w:p>
        </w:tc>
        <w:tc>
          <w:tcPr>
            <w:tcW w:w="98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2760" w:type="dxa"/>
            <w:vAlign w:val="bottom"/>
            <w:tcBorders>
              <w:bottom w:val="single" w:sz="8" w:color="0000EE"/>
            </w:tcBorders>
            <w:gridSpan w:val="15"/>
          </w:tcPr>
          <w:p>
            <w:pPr>
              <w:spacing w:after="0"/>
              <w:rPr>
                <w:rFonts w:ascii="Arial" w:cs="Arial" w:eastAsia="Arial" w:hAnsi="Arial"/>
                <w:sz w:val="18"/>
                <w:szCs w:val="18"/>
                <w:color w:val="0000EE"/>
                <w:w w:val="99"/>
              </w:rPr>
            </w:pPr>
            <w:hyperlink r:id="rId236">
              <w:r>
                <w:rPr>
                  <w:rFonts w:ascii="Arial" w:cs="Arial" w:eastAsia="Arial" w:hAnsi="Arial"/>
                  <w:sz w:val="18"/>
                  <w:szCs w:val="18"/>
                  <w:color w:val="0000EE"/>
                  <w:w w:val="99"/>
                </w:rPr>
                <w:t>Olema Pharmaceuticals, Inc. 2014</w:t>
              </w:r>
            </w:hyperlink>
          </w:p>
        </w:tc>
        <w:tc>
          <w:tcPr>
            <w:tcW w:w="4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6">
              <w:r>
                <w:rPr>
                  <w:rFonts w:ascii="Arial" w:cs="Arial" w:eastAsia="Arial" w:hAnsi="Arial"/>
                  <w:sz w:val="18"/>
                  <w:szCs w:val="18"/>
                  <w:color w:val="0000EE"/>
                </w:rPr>
                <w:t>Stock Plan, as amended.</w:t>
              </w:r>
            </w:hyperlink>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3200" w:type="dxa"/>
            <w:vAlign w:val="bottom"/>
            <w:gridSpan w:val="25"/>
          </w:tcPr>
          <w:p>
            <w:pPr>
              <w:spacing w:after="0"/>
              <w:rPr>
                <w:rFonts w:ascii="Arial" w:cs="Arial" w:eastAsia="Arial" w:hAnsi="Arial"/>
                <w:sz w:val="18"/>
                <w:szCs w:val="18"/>
                <w:color w:val="0000EE"/>
              </w:rPr>
            </w:pPr>
            <w:hyperlink r:id="rId237">
              <w:r>
                <w:rPr>
                  <w:rFonts w:ascii="Arial" w:cs="Arial" w:eastAsia="Arial" w:hAnsi="Arial"/>
                  <w:sz w:val="18"/>
                  <w:szCs w:val="18"/>
                  <w:color w:val="0000EE"/>
                </w:rPr>
                <w:t>Forms of Stock Option Grant Notice,</w:t>
              </w:r>
            </w:hyperlink>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237">
              <w:r>
                <w:rPr>
                  <w:rFonts w:ascii="Arial" w:cs="Arial" w:eastAsia="Arial" w:hAnsi="Arial"/>
                  <w:sz w:val="18"/>
                  <w:szCs w:val="18"/>
                  <w:color w:val="0000EE"/>
                  <w:w w:val="99"/>
                </w:rPr>
                <w:t>Stock Option Agreement, Early</w:t>
              </w:r>
            </w:hyperlink>
          </w:p>
        </w:tc>
        <w:tc>
          <w:tcPr>
            <w:tcW w:w="420" w:type="dxa"/>
            <w:vAlign w:val="bottom"/>
            <w:tcBorders>
              <w:top w:val="single" w:sz="8" w:color="0000EE"/>
            </w:tcBorders>
            <w:gridSpan w:val="7"/>
          </w:tcPr>
          <w:p>
            <w:pPr>
              <w:spacing w:after="0"/>
              <w:rPr>
                <w:sz w:val="15"/>
                <w:szCs w:val="15"/>
                <w:color w:val="auto"/>
              </w:rPr>
            </w:pPr>
          </w:p>
        </w:tc>
        <w:tc>
          <w:tcPr>
            <w:tcW w:w="30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9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237">
              <w:r>
                <w:rPr>
                  <w:rFonts w:ascii="Arial" w:cs="Arial" w:eastAsia="Arial" w:hAnsi="Arial"/>
                  <w:sz w:val="18"/>
                  <w:szCs w:val="18"/>
                  <w:color w:val="0000EE"/>
                  <w:w w:val="99"/>
                </w:rPr>
                <w:t>Exercise Stock Purchase Agreement</w:t>
              </w:r>
            </w:hyperlink>
          </w:p>
        </w:tc>
        <w:tc>
          <w:tcPr>
            <w:tcW w:w="26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2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237">
              <w:r>
                <w:rPr>
                  <w:rFonts w:ascii="Arial" w:cs="Arial" w:eastAsia="Arial" w:hAnsi="Arial"/>
                  <w:sz w:val="18"/>
                  <w:szCs w:val="18"/>
                  <w:color w:val="0000EE"/>
                  <w:w w:val="99"/>
                </w:rPr>
                <w:t>and Notice of Exercise and Restricted</w:t>
              </w:r>
            </w:hyperlink>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7">
              <w:r>
                <w:rPr>
                  <w:rFonts w:ascii="Arial" w:cs="Arial" w:eastAsia="Arial" w:hAnsi="Arial"/>
                  <w:sz w:val="18"/>
                  <w:szCs w:val="18"/>
                  <w:color w:val="0000EE"/>
                </w:rPr>
                <w:t>Stock Award Grant Notice and</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7">
              <w:r>
                <w:rPr>
                  <w:rFonts w:ascii="Arial" w:cs="Arial" w:eastAsia="Arial" w:hAnsi="Arial"/>
                  <w:sz w:val="18"/>
                  <w:szCs w:val="18"/>
                  <w:color w:val="0000EE"/>
                </w:rPr>
                <w:t>Restricted Stock Award Agreement</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237">
              <w:r>
                <w:rPr>
                  <w:rFonts w:ascii="Arial" w:cs="Arial" w:eastAsia="Arial" w:hAnsi="Arial"/>
                  <w:sz w:val="18"/>
                  <w:szCs w:val="18"/>
                  <w:color w:val="0000EE"/>
                  <w:w w:val="99"/>
                </w:rPr>
                <w:t>under the Olema Pharmaceuticals, Inc.</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7">
              <w:r>
                <w:rPr>
                  <w:rFonts w:ascii="Arial" w:cs="Arial" w:eastAsia="Arial" w:hAnsi="Arial"/>
                  <w:sz w:val="18"/>
                  <w:szCs w:val="18"/>
                  <w:color w:val="0000EE"/>
                </w:rPr>
                <w:t>2014 Stock Plan.</w:t>
              </w:r>
            </w:hyperlink>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10.2</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2760" w:type="dxa"/>
            <w:vAlign w:val="bottom"/>
            <w:tcBorders>
              <w:bottom w:val="single" w:sz="8" w:color="0000EE"/>
            </w:tcBorders>
            <w:gridSpan w:val="15"/>
          </w:tcPr>
          <w:p>
            <w:pPr>
              <w:spacing w:after="0"/>
              <w:rPr>
                <w:rFonts w:ascii="Arial" w:cs="Arial" w:eastAsia="Arial" w:hAnsi="Arial"/>
                <w:sz w:val="18"/>
                <w:szCs w:val="18"/>
                <w:color w:val="0000EE"/>
                <w:w w:val="99"/>
              </w:rPr>
            </w:pPr>
            <w:hyperlink r:id="rId238">
              <w:r>
                <w:rPr>
                  <w:rFonts w:ascii="Arial" w:cs="Arial" w:eastAsia="Arial" w:hAnsi="Arial"/>
                  <w:sz w:val="18"/>
                  <w:szCs w:val="18"/>
                  <w:color w:val="0000EE"/>
                  <w:w w:val="99"/>
                </w:rPr>
                <w:t>Olema Pharmaceuticals, Inc. 2020</w:t>
              </w:r>
            </w:hyperlink>
          </w:p>
        </w:tc>
        <w:tc>
          <w:tcPr>
            <w:tcW w:w="4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5"/>
          </w:tcPr>
          <w:p>
            <w:pPr>
              <w:spacing w:after="0" w:line="182" w:lineRule="exact"/>
              <w:rPr>
                <w:rFonts w:ascii="Arial" w:cs="Arial" w:eastAsia="Arial" w:hAnsi="Arial"/>
                <w:sz w:val="18"/>
                <w:szCs w:val="18"/>
                <w:color w:val="0000EE"/>
              </w:rPr>
            </w:pPr>
            <w:hyperlink r:id="rId238">
              <w:r>
                <w:rPr>
                  <w:rFonts w:ascii="Arial" w:cs="Arial" w:eastAsia="Arial" w:hAnsi="Arial"/>
                  <w:sz w:val="18"/>
                  <w:szCs w:val="18"/>
                  <w:color w:val="0000EE"/>
                </w:rPr>
                <w:t>Equity Incentive Plan.</w:t>
              </w:r>
            </w:hyperlink>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10.3</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8"/>
        </w:trPr>
        <w:tc>
          <w:tcPr>
            <w:tcW w:w="9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168</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8" w:name="page169"/>
    <w:bookmarkEnd w:id="1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gridSpan w:val="21"/>
            <w:vMerge w:val="restart"/>
          </w:tcPr>
          <w:p>
            <w:pPr>
              <w:jc w:val="center"/>
              <w:ind w:right="1180"/>
              <w:spacing w:after="0"/>
              <w:rPr>
                <w:sz w:val="20"/>
                <w:szCs w:val="20"/>
                <w:color w:val="auto"/>
              </w:rPr>
            </w:pPr>
            <w:r>
              <w:rPr>
                <w:rFonts w:ascii="Arial" w:cs="Arial" w:eastAsia="Arial" w:hAnsi="Arial"/>
                <w:sz w:val="18"/>
                <w:szCs w:val="18"/>
                <w:b w:val="1"/>
                <w:bCs w:val="1"/>
                <w:color w:val="auto"/>
                <w:w w:val="99"/>
              </w:rPr>
              <w:t>Exhibit</w:t>
            </w:r>
          </w:p>
        </w:tc>
        <w:tc>
          <w:tcPr>
            <w:tcW w:w="7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Incorporation by Reference</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gridSpan w:val="21"/>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88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9"/>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19"/>
                <w:szCs w:val="19"/>
                <w:color w:val="auto"/>
              </w:rPr>
            </w:pPr>
          </w:p>
        </w:tc>
        <w:tc>
          <w:tcPr>
            <w:tcW w:w="2680" w:type="dxa"/>
            <w:vAlign w:val="bottom"/>
            <w:gridSpan w:val="22"/>
          </w:tcPr>
          <w:p>
            <w:pPr>
              <w:jc w:val="center"/>
              <w:ind w:right="520"/>
              <w:spacing w:after="0"/>
              <w:rPr>
                <w:sz w:val="20"/>
                <w:szCs w:val="20"/>
                <w:color w:val="auto"/>
              </w:rPr>
            </w:pPr>
            <w:r>
              <w:rPr>
                <w:rFonts w:ascii="Arial" w:cs="Arial" w:eastAsia="Arial" w:hAnsi="Arial"/>
                <w:sz w:val="18"/>
                <w:szCs w:val="18"/>
                <w:b w:val="1"/>
                <w:bCs w:val="1"/>
                <w:color w:val="auto"/>
              </w:rPr>
              <w:t>Description</w:t>
            </w:r>
          </w:p>
        </w:tc>
        <w:tc>
          <w:tcPr>
            <w:tcW w:w="760" w:type="dxa"/>
            <w:vAlign w:val="bottom"/>
          </w:tcPr>
          <w:p>
            <w:pPr>
              <w:jc w:val="center"/>
              <w:ind w:left="10"/>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File No.</w:t>
            </w: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10.4#</w:t>
            </w:r>
          </w:p>
        </w:tc>
        <w:tc>
          <w:tcPr>
            <w:tcW w:w="2860" w:type="dxa"/>
            <w:vAlign w:val="bottom"/>
            <w:tcBorders>
              <w:top w:val="single" w:sz="8" w:color="auto"/>
              <w:bottom w:val="single" w:sz="8" w:color="0000EE"/>
            </w:tcBorders>
            <w:gridSpan w:val="13"/>
          </w:tcPr>
          <w:p>
            <w:pPr>
              <w:spacing w:after="0" w:line="169" w:lineRule="exact"/>
              <w:rPr>
                <w:rFonts w:ascii="Arial" w:cs="Arial" w:eastAsia="Arial" w:hAnsi="Arial"/>
                <w:sz w:val="18"/>
                <w:szCs w:val="18"/>
                <w:color w:val="0000EE"/>
                <w:w w:val="99"/>
              </w:rPr>
            </w:pPr>
            <w:hyperlink r:id="rId239">
              <w:r>
                <w:rPr>
                  <w:rFonts w:ascii="Arial" w:cs="Arial" w:eastAsia="Arial" w:hAnsi="Arial"/>
                  <w:sz w:val="18"/>
                  <w:szCs w:val="18"/>
                  <w:color w:val="0000EE"/>
                  <w:w w:val="99"/>
                </w:rPr>
                <w:t>Forms of Stock Option Grant Notice</w:t>
              </w:r>
            </w:hyperlink>
          </w:p>
        </w:tc>
        <w:tc>
          <w:tcPr>
            <w:tcW w:w="340" w:type="dxa"/>
            <w:vAlign w:val="bottom"/>
            <w:tcBorders>
              <w:top w:val="single" w:sz="8" w:color="auto"/>
            </w:tcBorders>
            <w:gridSpan w:val="10"/>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239">
              <w:r>
                <w:rPr>
                  <w:rFonts w:ascii="Arial" w:cs="Arial" w:eastAsia="Arial" w:hAnsi="Arial"/>
                  <w:sz w:val="18"/>
                  <w:szCs w:val="18"/>
                  <w:color w:val="0000EE"/>
                  <w:w w:val="99"/>
                </w:rPr>
                <w:t>and Stock Option Agreement under the</w:t>
              </w:r>
            </w:hyperlink>
          </w:p>
        </w:tc>
        <w:tc>
          <w:tcPr>
            <w:tcW w:w="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39">
              <w:r>
                <w:rPr>
                  <w:rFonts w:ascii="Arial" w:cs="Arial" w:eastAsia="Arial" w:hAnsi="Arial"/>
                  <w:sz w:val="18"/>
                  <w:szCs w:val="18"/>
                  <w:color w:val="0000EE"/>
                  <w:w w:val="99"/>
                </w:rPr>
                <w:t>Olema Pharmaceuticals, Inc. 2020</w:t>
              </w:r>
            </w:hyperlink>
          </w:p>
        </w:tc>
        <w:tc>
          <w:tcPr>
            <w:tcW w:w="440" w:type="dxa"/>
            <w:vAlign w:val="bottom"/>
            <w:gridSpan w:val="13"/>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7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239">
              <w:r>
                <w:rPr>
                  <w:rFonts w:ascii="Arial" w:cs="Arial" w:eastAsia="Arial" w:hAnsi="Arial"/>
                  <w:sz w:val="18"/>
                  <w:szCs w:val="18"/>
                  <w:color w:val="0000EE"/>
                  <w:w w:val="99"/>
                </w:rPr>
                <w:t>Equity Incentive Plan.</w:t>
              </w:r>
            </w:hyperlink>
          </w:p>
        </w:tc>
        <w:tc>
          <w:tcPr>
            <w:tcW w:w="1460" w:type="dxa"/>
            <w:vAlign w:val="bottom"/>
            <w:gridSpan w:val="20"/>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10.4</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3200" w:type="dxa"/>
            <w:vAlign w:val="bottom"/>
            <w:gridSpan w:val="23"/>
          </w:tcPr>
          <w:p>
            <w:pPr>
              <w:spacing w:after="0"/>
              <w:rPr>
                <w:rFonts w:ascii="Arial" w:cs="Arial" w:eastAsia="Arial" w:hAnsi="Arial"/>
                <w:sz w:val="18"/>
                <w:szCs w:val="18"/>
                <w:color w:val="0000EE"/>
              </w:rPr>
            </w:pPr>
            <w:hyperlink r:id="rId240">
              <w:r>
                <w:rPr>
                  <w:rFonts w:ascii="Arial" w:cs="Arial" w:eastAsia="Arial" w:hAnsi="Arial"/>
                  <w:sz w:val="18"/>
                  <w:szCs w:val="18"/>
                  <w:color w:val="0000EE"/>
                </w:rPr>
                <w:t>Forms of Restricted Stock Unit Grant</w:t>
              </w:r>
            </w:hyperlink>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1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240">
              <w:r>
                <w:rPr>
                  <w:rFonts w:ascii="Arial" w:cs="Arial" w:eastAsia="Arial" w:hAnsi="Arial"/>
                  <w:sz w:val="18"/>
                  <w:szCs w:val="18"/>
                  <w:color w:val="0000EE"/>
                  <w:w w:val="99"/>
                </w:rPr>
                <w:t>Notice and Restricted Stock Unit Award</w:t>
              </w:r>
            </w:hyperlink>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2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40">
              <w:r>
                <w:rPr>
                  <w:rFonts w:ascii="Arial" w:cs="Arial" w:eastAsia="Arial" w:hAnsi="Arial"/>
                  <w:sz w:val="18"/>
                  <w:szCs w:val="18"/>
                  <w:color w:val="0000EE"/>
                  <w:w w:val="99"/>
                </w:rPr>
                <w:t>Agreement under the Olema</w:t>
              </w:r>
            </w:hyperlink>
          </w:p>
        </w:tc>
        <w:tc>
          <w:tcPr>
            <w:tcW w:w="920" w:type="dxa"/>
            <w:vAlign w:val="bottom"/>
            <w:gridSpan w:val="19"/>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0">
              <w:r>
                <w:rPr>
                  <w:rFonts w:ascii="Arial" w:cs="Arial" w:eastAsia="Arial" w:hAnsi="Arial"/>
                  <w:sz w:val="18"/>
                  <w:szCs w:val="18"/>
                  <w:color w:val="0000EE"/>
                </w:rPr>
                <w:t>Pharmaceuticals, Inc. 2020 Equity</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40">
              <w:r>
                <w:rPr>
                  <w:rFonts w:ascii="Arial" w:cs="Arial" w:eastAsia="Arial" w:hAnsi="Arial"/>
                  <w:sz w:val="18"/>
                  <w:szCs w:val="18"/>
                  <w:color w:val="0000EE"/>
                </w:rPr>
                <w:t>Incentive Plan.</w:t>
              </w:r>
            </w:hyperlink>
          </w:p>
        </w:tc>
        <w:tc>
          <w:tcPr>
            <w:tcW w:w="480" w:type="dxa"/>
            <w:vAlign w:val="bottom"/>
            <w:gridSpan w:val="14"/>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10.5</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2760" w:type="dxa"/>
            <w:vAlign w:val="bottom"/>
            <w:tcBorders>
              <w:bottom w:val="single" w:sz="8" w:color="0000EE"/>
            </w:tcBorders>
            <w:gridSpan w:val="10"/>
          </w:tcPr>
          <w:p>
            <w:pPr>
              <w:spacing w:after="0"/>
              <w:rPr>
                <w:rFonts w:ascii="Arial" w:cs="Arial" w:eastAsia="Arial" w:hAnsi="Arial"/>
                <w:sz w:val="18"/>
                <w:szCs w:val="18"/>
                <w:color w:val="0000EE"/>
                <w:w w:val="99"/>
              </w:rPr>
            </w:pPr>
            <w:hyperlink r:id="rId241">
              <w:r>
                <w:rPr>
                  <w:rFonts w:ascii="Arial" w:cs="Arial" w:eastAsia="Arial" w:hAnsi="Arial"/>
                  <w:sz w:val="18"/>
                  <w:szCs w:val="18"/>
                  <w:color w:val="0000EE"/>
                  <w:w w:val="99"/>
                </w:rPr>
                <w:t>Olema Pharmaceuticals, Inc. 2020</w:t>
              </w:r>
            </w:hyperlink>
          </w:p>
        </w:tc>
        <w:tc>
          <w:tcPr>
            <w:tcW w:w="44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5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241">
              <w:r>
                <w:rPr>
                  <w:rFonts w:ascii="Arial" w:cs="Arial" w:eastAsia="Arial" w:hAnsi="Arial"/>
                  <w:sz w:val="18"/>
                  <w:szCs w:val="18"/>
                  <w:color w:val="0000EE"/>
                  <w:w w:val="99"/>
                </w:rPr>
                <w:t>Employee Stock Purchase Plan.</w:t>
              </w:r>
            </w:hyperlink>
          </w:p>
        </w:tc>
        <w:tc>
          <w:tcPr>
            <w:tcW w:w="620" w:type="dxa"/>
            <w:vAlign w:val="bottom"/>
            <w:gridSpan w:val="17"/>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10.6</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2760" w:type="dxa"/>
            <w:vAlign w:val="bottom"/>
            <w:tcBorders>
              <w:bottom w:val="single" w:sz="8" w:color="0000EE"/>
            </w:tcBorders>
            <w:gridSpan w:val="10"/>
          </w:tcPr>
          <w:p>
            <w:pPr>
              <w:spacing w:after="0"/>
              <w:rPr>
                <w:rFonts w:ascii="Arial" w:cs="Arial" w:eastAsia="Arial" w:hAnsi="Arial"/>
                <w:sz w:val="18"/>
                <w:szCs w:val="18"/>
                <w:color w:val="0000EE"/>
                <w:w w:val="99"/>
              </w:rPr>
            </w:pPr>
            <w:hyperlink r:id="rId242">
              <w:r>
                <w:rPr>
                  <w:rFonts w:ascii="Arial" w:cs="Arial" w:eastAsia="Arial" w:hAnsi="Arial"/>
                  <w:sz w:val="18"/>
                  <w:szCs w:val="18"/>
                  <w:color w:val="0000EE"/>
                  <w:w w:val="99"/>
                </w:rPr>
                <w:t>Olema Pharmaceuticals, Inc. 2020</w:t>
              </w:r>
            </w:hyperlink>
          </w:p>
        </w:tc>
        <w:tc>
          <w:tcPr>
            <w:tcW w:w="440" w:type="dxa"/>
            <w:vAlign w:val="bottom"/>
            <w:gridSpan w:val="13"/>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242">
              <w:r>
                <w:rPr>
                  <w:rFonts w:ascii="Arial" w:cs="Arial" w:eastAsia="Arial" w:hAnsi="Arial"/>
                  <w:sz w:val="18"/>
                  <w:szCs w:val="18"/>
                  <w:color w:val="0000EE"/>
                  <w:w w:val="99"/>
                </w:rPr>
                <w:t>Non-Employee Director Compensation</w:t>
              </w:r>
            </w:hyperlink>
          </w:p>
        </w:tc>
        <w:tc>
          <w:tcPr>
            <w:tcW w:w="10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2">
              <w:r>
                <w:rPr>
                  <w:rFonts w:ascii="Arial" w:cs="Arial" w:eastAsia="Arial" w:hAnsi="Arial"/>
                  <w:sz w:val="18"/>
                  <w:szCs w:val="18"/>
                  <w:color w:val="0000EE"/>
                </w:rPr>
                <w:t>Policy.</w:t>
              </w:r>
            </w:hyperlink>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10.7</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3060" w:type="dxa"/>
            <w:vAlign w:val="bottom"/>
            <w:tcBorders>
              <w:bottom w:val="single" w:sz="8" w:color="0000EE"/>
            </w:tcBorders>
            <w:gridSpan w:val="17"/>
          </w:tcPr>
          <w:p>
            <w:pPr>
              <w:spacing w:after="0"/>
              <w:rPr>
                <w:rFonts w:ascii="Arial" w:cs="Arial" w:eastAsia="Arial" w:hAnsi="Arial"/>
                <w:sz w:val="18"/>
                <w:szCs w:val="18"/>
                <w:color w:val="0000EE"/>
                <w:w w:val="99"/>
              </w:rPr>
            </w:pPr>
            <w:hyperlink r:id="rId243">
              <w:r>
                <w:rPr>
                  <w:rFonts w:ascii="Arial" w:cs="Arial" w:eastAsia="Arial" w:hAnsi="Arial"/>
                  <w:sz w:val="18"/>
                  <w:szCs w:val="18"/>
                  <w:color w:val="0000EE"/>
                  <w:w w:val="99"/>
                </w:rPr>
                <w:t>Form of Indemnification Agreement by</w:t>
              </w:r>
            </w:hyperlink>
          </w:p>
        </w:tc>
        <w:tc>
          <w:tcPr>
            <w:tcW w:w="1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3">
              <w:r>
                <w:rPr>
                  <w:rFonts w:ascii="Arial" w:cs="Arial" w:eastAsia="Arial" w:hAnsi="Arial"/>
                  <w:sz w:val="18"/>
                  <w:szCs w:val="18"/>
                  <w:color w:val="0000EE"/>
                </w:rPr>
                <w:t>and between the Registrant and its</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243">
              <w:r>
                <w:rPr>
                  <w:rFonts w:ascii="Arial" w:cs="Arial" w:eastAsia="Arial" w:hAnsi="Arial"/>
                  <w:sz w:val="18"/>
                  <w:szCs w:val="18"/>
                  <w:color w:val="0000EE"/>
                  <w:w w:val="99"/>
                </w:rPr>
                <w:t>directors and executive officers.</w:t>
              </w:r>
            </w:hyperlink>
          </w:p>
        </w:tc>
        <w:tc>
          <w:tcPr>
            <w:tcW w:w="240" w:type="dxa"/>
            <w:vAlign w:val="bottom"/>
            <w:tcBorders>
              <w:top w:val="single" w:sz="8" w:color="0000EE"/>
            </w:tcBorders>
            <w:gridSpan w:val="6"/>
          </w:tcPr>
          <w:p>
            <w:pPr>
              <w:spacing w:after="0"/>
              <w:rPr>
                <w:sz w:val="15"/>
                <w:szCs w:val="15"/>
                <w:color w:val="auto"/>
              </w:rPr>
            </w:pPr>
          </w:p>
        </w:tc>
        <w:tc>
          <w:tcPr>
            <w:tcW w:w="420" w:type="dxa"/>
            <w:vAlign w:val="bottom"/>
            <w:gridSpan w:val="12"/>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10.8</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3100" w:type="dxa"/>
            <w:vAlign w:val="bottom"/>
            <w:tcBorders>
              <w:bottom w:val="single" w:sz="8" w:color="0000EE"/>
            </w:tcBorders>
            <w:gridSpan w:val="19"/>
          </w:tcPr>
          <w:p>
            <w:pPr>
              <w:spacing w:after="0"/>
              <w:rPr>
                <w:rFonts w:ascii="Arial" w:cs="Arial" w:eastAsia="Arial" w:hAnsi="Arial"/>
                <w:sz w:val="18"/>
                <w:szCs w:val="18"/>
                <w:color w:val="0000EE"/>
                <w:w w:val="99"/>
              </w:rPr>
            </w:pPr>
            <w:hyperlink r:id="rId244">
              <w:r>
                <w:rPr>
                  <w:rFonts w:ascii="Arial" w:cs="Arial" w:eastAsia="Arial" w:hAnsi="Arial"/>
                  <w:sz w:val="18"/>
                  <w:szCs w:val="18"/>
                  <w:color w:val="0000EE"/>
                  <w:w w:val="99"/>
                </w:rPr>
                <w:t>Amended and Restated Offer Letter by</w:t>
              </w:r>
            </w:hyperlink>
          </w:p>
        </w:tc>
        <w:tc>
          <w:tcPr>
            <w:tcW w:w="1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4">
              <w:r>
                <w:rPr>
                  <w:rFonts w:ascii="Arial" w:cs="Arial" w:eastAsia="Arial" w:hAnsi="Arial"/>
                  <w:sz w:val="18"/>
                  <w:szCs w:val="18"/>
                  <w:color w:val="0000EE"/>
                </w:rPr>
                <w:t>and between the Registrant and Sean</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244">
              <w:r>
                <w:rPr>
                  <w:rFonts w:ascii="Arial" w:cs="Arial" w:eastAsia="Arial" w:hAnsi="Arial"/>
                  <w:sz w:val="18"/>
                  <w:szCs w:val="18"/>
                  <w:color w:val="0000EE"/>
                  <w:w w:val="99"/>
                </w:rPr>
                <w:t>Bohen, dated November 13, 2020.</w:t>
              </w:r>
            </w:hyperlink>
          </w:p>
        </w:tc>
        <w:tc>
          <w:tcPr>
            <w:tcW w:w="260" w:type="dxa"/>
            <w:vAlign w:val="bottom"/>
            <w:tcBorders>
              <w:top w:val="single" w:sz="8" w:color="0000EE"/>
            </w:tcBorders>
            <w:gridSpan w:val="5"/>
          </w:tcPr>
          <w:p>
            <w:pPr>
              <w:spacing w:after="0"/>
              <w:rPr>
                <w:sz w:val="15"/>
                <w:szCs w:val="15"/>
                <w:color w:val="auto"/>
              </w:rPr>
            </w:pPr>
          </w:p>
        </w:tc>
        <w:tc>
          <w:tcPr>
            <w:tcW w:w="180" w:type="dxa"/>
            <w:vAlign w:val="bottom"/>
            <w:gridSpan w:val="8"/>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10.9</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3100" w:type="dxa"/>
            <w:vAlign w:val="bottom"/>
            <w:tcBorders>
              <w:bottom w:val="single" w:sz="8" w:color="0000EE"/>
            </w:tcBorders>
            <w:gridSpan w:val="19"/>
          </w:tcPr>
          <w:p>
            <w:pPr>
              <w:spacing w:after="0"/>
              <w:rPr>
                <w:rFonts w:ascii="Arial" w:cs="Arial" w:eastAsia="Arial" w:hAnsi="Arial"/>
                <w:sz w:val="18"/>
                <w:szCs w:val="18"/>
                <w:color w:val="0000EE"/>
                <w:w w:val="99"/>
              </w:rPr>
            </w:pPr>
            <w:hyperlink r:id="rId245">
              <w:r>
                <w:rPr>
                  <w:rFonts w:ascii="Arial" w:cs="Arial" w:eastAsia="Arial" w:hAnsi="Arial"/>
                  <w:sz w:val="18"/>
                  <w:szCs w:val="18"/>
                  <w:color w:val="0000EE"/>
                  <w:w w:val="99"/>
                </w:rPr>
                <w:t>Amended and Restated Offer Letter by</w:t>
              </w:r>
            </w:hyperlink>
          </w:p>
        </w:tc>
        <w:tc>
          <w:tcPr>
            <w:tcW w:w="1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245">
              <w:r>
                <w:rPr>
                  <w:rFonts w:ascii="Arial" w:cs="Arial" w:eastAsia="Arial" w:hAnsi="Arial"/>
                  <w:sz w:val="18"/>
                  <w:szCs w:val="18"/>
                  <w:color w:val="0000EE"/>
                  <w:w w:val="99"/>
                </w:rPr>
                <w:t>and between the Registrant and Cyrus</w:t>
              </w:r>
            </w:hyperlink>
          </w:p>
        </w:tc>
        <w:tc>
          <w:tcPr>
            <w:tcW w:w="12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245">
              <w:r>
                <w:rPr>
                  <w:rFonts w:ascii="Arial" w:cs="Arial" w:eastAsia="Arial" w:hAnsi="Arial"/>
                  <w:sz w:val="18"/>
                  <w:szCs w:val="18"/>
                  <w:color w:val="0000EE"/>
                  <w:w w:val="99"/>
                </w:rPr>
                <w:t>L. Harmon, dated November 13, 2020.</w:t>
              </w:r>
            </w:hyperlink>
          </w:p>
        </w:tc>
        <w:tc>
          <w:tcPr>
            <w:tcW w:w="120" w:type="dxa"/>
            <w:vAlign w:val="bottom"/>
            <w:gridSpan w:val="5"/>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10.10</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3120" w:type="dxa"/>
            <w:vAlign w:val="bottom"/>
            <w:tcBorders>
              <w:bottom w:val="single" w:sz="8" w:color="0000EE"/>
            </w:tcBorders>
            <w:gridSpan w:val="20"/>
          </w:tcPr>
          <w:p>
            <w:pPr>
              <w:spacing w:after="0"/>
              <w:rPr>
                <w:rFonts w:ascii="Arial" w:cs="Arial" w:eastAsia="Arial" w:hAnsi="Arial"/>
                <w:sz w:val="18"/>
                <w:szCs w:val="18"/>
                <w:color w:val="0000EE"/>
              </w:rPr>
            </w:pPr>
            <w:hyperlink r:id="rId246">
              <w:r>
                <w:rPr>
                  <w:rFonts w:ascii="Arial" w:cs="Arial" w:eastAsia="Arial" w:hAnsi="Arial"/>
                  <w:sz w:val="18"/>
                  <w:szCs w:val="18"/>
                  <w:color w:val="0000EE"/>
                </w:rPr>
                <w:t>Amended and Restated Offer Letter by</w:t>
              </w:r>
            </w:hyperlink>
          </w:p>
        </w:tc>
        <w:tc>
          <w:tcPr>
            <w:tcW w:w="8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246">
              <w:r>
                <w:rPr>
                  <w:rFonts w:ascii="Arial" w:cs="Arial" w:eastAsia="Arial" w:hAnsi="Arial"/>
                  <w:sz w:val="18"/>
                  <w:szCs w:val="18"/>
                  <w:color w:val="0000EE"/>
                  <w:w w:val="99"/>
                </w:rPr>
                <w:t>and between the Registrant and Kinney</w:t>
              </w:r>
            </w:hyperlink>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6">
              <w:r>
                <w:rPr>
                  <w:rFonts w:ascii="Arial" w:cs="Arial" w:eastAsia="Arial" w:hAnsi="Arial"/>
                  <w:sz w:val="18"/>
                  <w:szCs w:val="18"/>
                  <w:color w:val="0000EE"/>
                </w:rPr>
                <w:t>Horn, dated November 13, 2020.</w:t>
              </w:r>
            </w:hyperlink>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3120" w:type="dxa"/>
            <w:vAlign w:val="bottom"/>
            <w:tcBorders>
              <w:bottom w:val="single" w:sz="8" w:color="0000EE"/>
            </w:tcBorders>
            <w:gridSpan w:val="20"/>
          </w:tcPr>
          <w:p>
            <w:pPr>
              <w:spacing w:after="0"/>
              <w:rPr>
                <w:rFonts w:ascii="Arial" w:cs="Arial" w:eastAsia="Arial" w:hAnsi="Arial"/>
                <w:sz w:val="18"/>
                <w:szCs w:val="18"/>
                <w:color w:val="0000EE"/>
              </w:rPr>
            </w:pPr>
            <w:hyperlink r:id="rId247">
              <w:r>
                <w:rPr>
                  <w:rFonts w:ascii="Arial" w:cs="Arial" w:eastAsia="Arial" w:hAnsi="Arial"/>
                  <w:sz w:val="18"/>
                  <w:szCs w:val="18"/>
                  <w:color w:val="0000EE"/>
                </w:rPr>
                <w:t>Amended and Restated Offer Letter by</w:t>
              </w:r>
            </w:hyperlink>
          </w:p>
        </w:tc>
        <w:tc>
          <w:tcPr>
            <w:tcW w:w="8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247">
              <w:r>
                <w:rPr>
                  <w:rFonts w:ascii="Arial" w:cs="Arial" w:eastAsia="Arial" w:hAnsi="Arial"/>
                  <w:sz w:val="18"/>
                  <w:szCs w:val="18"/>
                  <w:color w:val="0000EE"/>
                  <w:w w:val="99"/>
                </w:rPr>
                <w:t>and between the Registrant and Shane</w:t>
              </w:r>
            </w:hyperlink>
          </w:p>
        </w:tc>
        <w:tc>
          <w:tcPr>
            <w:tcW w:w="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7">
              <w:r>
                <w:rPr>
                  <w:rFonts w:ascii="Arial" w:cs="Arial" w:eastAsia="Arial" w:hAnsi="Arial"/>
                  <w:sz w:val="18"/>
                  <w:szCs w:val="18"/>
                  <w:color w:val="0000EE"/>
                </w:rPr>
                <w:t>Kovacs, dated November 13, 2020.</w:t>
              </w:r>
            </w:hyperlink>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10.12</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0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3100" w:type="dxa"/>
            <w:vAlign w:val="bottom"/>
            <w:tcBorders>
              <w:bottom w:val="single" w:sz="8" w:color="0000EE"/>
            </w:tcBorders>
            <w:gridSpan w:val="19"/>
          </w:tcPr>
          <w:p>
            <w:pPr>
              <w:spacing w:after="0"/>
              <w:rPr>
                <w:rFonts w:ascii="Arial" w:cs="Arial" w:eastAsia="Arial" w:hAnsi="Arial"/>
                <w:sz w:val="18"/>
                <w:szCs w:val="18"/>
                <w:color w:val="0000EE"/>
                <w:w w:val="99"/>
              </w:rPr>
            </w:pPr>
            <w:hyperlink r:id="rId248">
              <w:r>
                <w:rPr>
                  <w:rFonts w:ascii="Arial" w:cs="Arial" w:eastAsia="Arial" w:hAnsi="Arial"/>
                  <w:sz w:val="18"/>
                  <w:szCs w:val="18"/>
                  <w:color w:val="0000EE"/>
                  <w:w w:val="99"/>
                </w:rPr>
                <w:t>Amended and Restated Offer Letter by</w:t>
              </w:r>
            </w:hyperlink>
          </w:p>
        </w:tc>
        <w:tc>
          <w:tcPr>
            <w:tcW w:w="1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248">
              <w:r>
                <w:rPr>
                  <w:rFonts w:ascii="Arial" w:cs="Arial" w:eastAsia="Arial" w:hAnsi="Arial"/>
                  <w:sz w:val="18"/>
                  <w:szCs w:val="18"/>
                  <w:color w:val="0000EE"/>
                  <w:w w:val="99"/>
                </w:rPr>
                <w:t>and between the Registrant and Peter</w:t>
              </w:r>
            </w:hyperlink>
          </w:p>
        </w:tc>
        <w:tc>
          <w:tcPr>
            <w:tcW w:w="16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9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248">
              <w:r>
                <w:rPr>
                  <w:rFonts w:ascii="Arial" w:cs="Arial" w:eastAsia="Arial" w:hAnsi="Arial"/>
                  <w:sz w:val="18"/>
                  <w:szCs w:val="18"/>
                  <w:color w:val="0000EE"/>
                  <w:w w:val="99"/>
                </w:rPr>
                <w:t>Kushner, dated November 13, 2020.</w:t>
              </w:r>
            </w:hyperlink>
          </w:p>
        </w:tc>
        <w:tc>
          <w:tcPr>
            <w:tcW w:w="260" w:type="dxa"/>
            <w:vAlign w:val="bottom"/>
            <w:gridSpan w:val="9"/>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10.13</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10.14#</w:t>
            </w:r>
          </w:p>
        </w:tc>
        <w:tc>
          <w:tcPr>
            <w:tcW w:w="3100" w:type="dxa"/>
            <w:vAlign w:val="bottom"/>
            <w:tcBorders>
              <w:bottom w:val="single" w:sz="8" w:color="0000EE"/>
            </w:tcBorders>
            <w:gridSpan w:val="19"/>
          </w:tcPr>
          <w:p>
            <w:pPr>
              <w:spacing w:after="0"/>
              <w:rPr>
                <w:rFonts w:ascii="Arial" w:cs="Arial" w:eastAsia="Arial" w:hAnsi="Arial"/>
                <w:sz w:val="18"/>
                <w:szCs w:val="18"/>
                <w:color w:val="0000EE"/>
                <w:w w:val="99"/>
              </w:rPr>
            </w:pPr>
            <w:hyperlink r:id="rId249">
              <w:r>
                <w:rPr>
                  <w:rFonts w:ascii="Arial" w:cs="Arial" w:eastAsia="Arial" w:hAnsi="Arial"/>
                  <w:sz w:val="18"/>
                  <w:szCs w:val="18"/>
                  <w:color w:val="0000EE"/>
                  <w:w w:val="99"/>
                </w:rPr>
                <w:t>Amended and Restated Offer Letter by</w:t>
              </w:r>
            </w:hyperlink>
          </w:p>
        </w:tc>
        <w:tc>
          <w:tcPr>
            <w:tcW w:w="1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00" w:type="dxa"/>
            <w:vAlign w:val="bottom"/>
            <w:gridSpan w:val="23"/>
          </w:tcPr>
          <w:p>
            <w:pPr>
              <w:spacing w:after="0" w:line="182" w:lineRule="exact"/>
              <w:rPr>
                <w:rFonts w:ascii="Arial" w:cs="Arial" w:eastAsia="Arial" w:hAnsi="Arial"/>
                <w:sz w:val="18"/>
                <w:szCs w:val="18"/>
                <w:color w:val="0000EE"/>
              </w:rPr>
            </w:pPr>
            <w:hyperlink r:id="rId249">
              <w:r>
                <w:rPr>
                  <w:rFonts w:ascii="Arial" w:cs="Arial" w:eastAsia="Arial" w:hAnsi="Arial"/>
                  <w:sz w:val="18"/>
                  <w:szCs w:val="18"/>
                  <w:color w:val="0000EE"/>
                </w:rPr>
                <w:t>and between the Registrant and David</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49">
              <w:r>
                <w:rPr>
                  <w:rFonts w:ascii="Arial" w:cs="Arial" w:eastAsia="Arial" w:hAnsi="Arial"/>
                  <w:sz w:val="18"/>
                  <w:szCs w:val="18"/>
                  <w:color w:val="0000EE"/>
                </w:rPr>
                <w:t>Myles, dated November 13, 2020.</w:t>
              </w:r>
            </w:hyperlink>
          </w:p>
        </w:tc>
        <w:tc>
          <w:tcPr>
            <w:tcW w:w="140" w:type="dxa"/>
            <w:vAlign w:val="bottom"/>
            <w:gridSpan w:val="6"/>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10.14</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8"/>
        </w:trPr>
        <w:tc>
          <w:tcPr>
            <w:tcW w:w="9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169</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9" w:name="page170"/>
    <w:bookmarkEnd w:id="1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7"/>
            <w:vMerge w:val="restart"/>
          </w:tcPr>
          <w:p>
            <w:pPr>
              <w:jc w:val="center"/>
              <w:ind w:right="1220"/>
              <w:spacing w:after="0"/>
              <w:rPr>
                <w:sz w:val="20"/>
                <w:szCs w:val="20"/>
                <w:color w:val="auto"/>
              </w:rPr>
            </w:pPr>
            <w:r>
              <w:rPr>
                <w:rFonts w:ascii="Arial" w:cs="Arial" w:eastAsia="Arial" w:hAnsi="Arial"/>
                <w:sz w:val="18"/>
                <w:szCs w:val="18"/>
                <w:b w:val="1"/>
                <w:bCs w:val="1"/>
                <w:color w:val="auto"/>
                <w:w w:val="99"/>
              </w:rPr>
              <w:t>Exhibit</w:t>
            </w:r>
          </w:p>
        </w:tc>
        <w:tc>
          <w:tcPr>
            <w:tcW w:w="7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Incorporation by Reference</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27"/>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Filing</w:t>
            </w:r>
          </w:p>
        </w:tc>
        <w:tc>
          <w:tcPr>
            <w:tcW w:w="880" w:type="dxa"/>
            <w:vAlign w:val="bottom"/>
          </w:tcPr>
          <w:p>
            <w:pPr>
              <w:jc w:val="center"/>
              <w:ind w:left="10"/>
              <w:spacing w:after="0" w:line="173" w:lineRule="exact"/>
              <w:rPr>
                <w:sz w:val="20"/>
                <w:szCs w:val="20"/>
                <w:color w:val="auto"/>
              </w:rPr>
            </w:pPr>
            <w:r>
              <w:rPr>
                <w:rFonts w:ascii="Arial" w:cs="Arial" w:eastAsia="Arial" w:hAnsi="Arial"/>
                <w:sz w:val="18"/>
                <w:szCs w:val="18"/>
                <w:b w:val="1"/>
                <w:bCs w:val="1"/>
                <w:color w:val="auto"/>
                <w:w w:val="99"/>
              </w:rPr>
              <w:t>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28"/>
          </w:tcPr>
          <w:p>
            <w:pPr>
              <w:jc w:val="center"/>
              <w:ind w:right="960"/>
              <w:spacing w:after="0"/>
              <w:rPr>
                <w:sz w:val="20"/>
                <w:szCs w:val="20"/>
                <w:color w:val="auto"/>
              </w:rPr>
            </w:pPr>
            <w:r>
              <w:rPr>
                <w:rFonts w:ascii="Arial" w:cs="Arial" w:eastAsia="Arial" w:hAnsi="Arial"/>
                <w:sz w:val="18"/>
                <w:szCs w:val="18"/>
                <w:b w:val="1"/>
                <w:bCs w:val="1"/>
                <w:color w:val="auto"/>
              </w:rPr>
              <w:t>Description</w:t>
            </w:r>
          </w:p>
        </w:tc>
        <w:tc>
          <w:tcPr>
            <w:tcW w:w="760" w:type="dxa"/>
            <w:vAlign w:val="bottom"/>
          </w:tcPr>
          <w:p>
            <w:pPr>
              <w:jc w:val="center"/>
              <w:ind w:left="10"/>
              <w:spacing w:after="0"/>
              <w:rPr>
                <w:sz w:val="20"/>
                <w:szCs w:val="20"/>
                <w:color w:val="auto"/>
              </w:rPr>
            </w:pPr>
            <w:r>
              <w:rPr>
                <w:rFonts w:ascii="Arial" w:cs="Arial" w:eastAsia="Arial" w:hAnsi="Arial"/>
                <w:sz w:val="18"/>
                <w:szCs w:val="18"/>
                <w:b w:val="1"/>
                <w:bCs w:val="1"/>
                <w:color w:val="auto"/>
              </w:rPr>
              <w:t>Form</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File No.</w:t>
            </w:r>
          </w:p>
        </w:tc>
        <w:tc>
          <w:tcPr>
            <w:tcW w:w="80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10.15#</w:t>
            </w:r>
          </w:p>
        </w:tc>
        <w:tc>
          <w:tcPr>
            <w:tcW w:w="3100" w:type="dxa"/>
            <w:vAlign w:val="bottom"/>
            <w:tcBorders>
              <w:top w:val="single" w:sz="8" w:color="auto"/>
              <w:bottom w:val="single" w:sz="8" w:color="0000EE"/>
            </w:tcBorders>
            <w:gridSpan w:val="29"/>
          </w:tcPr>
          <w:p>
            <w:pPr>
              <w:spacing w:after="0" w:line="169" w:lineRule="exact"/>
              <w:rPr>
                <w:rFonts w:ascii="Arial" w:cs="Arial" w:eastAsia="Arial" w:hAnsi="Arial"/>
                <w:sz w:val="18"/>
                <w:szCs w:val="18"/>
                <w:color w:val="0000EE"/>
                <w:w w:val="99"/>
              </w:rPr>
            </w:pPr>
            <w:hyperlink r:id="rId250">
              <w:r>
                <w:rPr>
                  <w:rFonts w:ascii="Arial" w:cs="Arial" w:eastAsia="Arial" w:hAnsi="Arial"/>
                  <w:sz w:val="18"/>
                  <w:szCs w:val="18"/>
                  <w:color w:val="0000EE"/>
                  <w:w w:val="99"/>
                </w:rPr>
                <w:t>Amended and Restated Offer Letter by</w:t>
              </w:r>
            </w:hyperlink>
          </w:p>
        </w:tc>
        <w:tc>
          <w:tcPr>
            <w:tcW w:w="100" w:type="dxa"/>
            <w:vAlign w:val="bottom"/>
            <w:tcBorders>
              <w:top w:val="single" w:sz="8" w:color="auto"/>
            </w:tcBorders>
            <w:gridSpan w:val="3"/>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0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250">
              <w:r>
                <w:rPr>
                  <w:rFonts w:ascii="Arial" w:cs="Arial" w:eastAsia="Arial" w:hAnsi="Arial"/>
                  <w:sz w:val="18"/>
                  <w:szCs w:val="18"/>
                  <w:color w:val="0000EE"/>
                  <w:w w:val="99"/>
                </w:rPr>
                <w:t>and between the Registrant and John</w:t>
              </w:r>
            </w:hyperlink>
          </w:p>
        </w:tc>
        <w:tc>
          <w:tcPr>
            <w:tcW w:w="20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32"/>
          </w:tcPr>
          <w:p>
            <w:pPr>
              <w:spacing w:after="0" w:line="182" w:lineRule="exact"/>
              <w:rPr>
                <w:rFonts w:ascii="Arial" w:cs="Arial" w:eastAsia="Arial" w:hAnsi="Arial"/>
                <w:sz w:val="18"/>
                <w:szCs w:val="18"/>
                <w:color w:val="0000EE"/>
              </w:rPr>
            </w:pPr>
            <w:hyperlink r:id="rId250">
              <w:r>
                <w:rPr>
                  <w:rFonts w:ascii="Arial" w:cs="Arial" w:eastAsia="Arial" w:hAnsi="Arial"/>
                  <w:sz w:val="18"/>
                  <w:szCs w:val="18"/>
                  <w:color w:val="0000EE"/>
                </w:rPr>
                <w:t>B. Moriarty, Jr., dated November 13,</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r:id="rId250">
              <w:r>
                <w:rPr>
                  <w:rFonts w:ascii="Arial" w:cs="Arial" w:eastAsia="Arial" w:hAnsi="Arial"/>
                  <w:sz w:val="18"/>
                  <w:szCs w:val="18"/>
                  <w:color w:val="0000EE"/>
                  <w:w w:val="97"/>
                </w:rPr>
                <w:t>2020.</w:t>
              </w:r>
            </w:hyperlink>
          </w:p>
        </w:tc>
        <w:tc>
          <w:tcPr>
            <w:tcW w:w="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rPr>
              <w:t>S-1/A</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10.15</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11/16/2020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10.16</w:t>
            </w:r>
          </w:p>
        </w:tc>
        <w:tc>
          <w:tcPr>
            <w:tcW w:w="3200" w:type="dxa"/>
            <w:vAlign w:val="bottom"/>
            <w:gridSpan w:val="32"/>
          </w:tcPr>
          <w:p>
            <w:pPr>
              <w:spacing w:after="0"/>
              <w:rPr>
                <w:rFonts w:ascii="Arial" w:cs="Arial" w:eastAsia="Arial" w:hAnsi="Arial"/>
                <w:sz w:val="18"/>
                <w:szCs w:val="18"/>
                <w:color w:val="0000EE"/>
              </w:rPr>
            </w:pPr>
            <w:hyperlink r:id="rId251">
              <w:r>
                <w:rPr>
                  <w:rFonts w:ascii="Arial" w:cs="Arial" w:eastAsia="Arial" w:hAnsi="Arial"/>
                  <w:sz w:val="18"/>
                  <w:szCs w:val="18"/>
                  <w:color w:val="0000EE"/>
                </w:rPr>
                <w:t>Clinical Collaboration and Supply</w:t>
              </w:r>
            </w:hyperlink>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6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251">
              <w:r>
                <w:rPr>
                  <w:rFonts w:ascii="Arial" w:cs="Arial" w:eastAsia="Arial" w:hAnsi="Arial"/>
                  <w:sz w:val="18"/>
                  <w:szCs w:val="18"/>
                  <w:color w:val="0000EE"/>
                </w:rPr>
                <w:t>Agreement by and between the</w:t>
              </w:r>
            </w:hyperlink>
          </w:p>
        </w:tc>
        <w:tc>
          <w:tcPr>
            <w:tcW w:w="560" w:type="dxa"/>
            <w:vAlign w:val="bottom"/>
            <w:gridSpan w:val="17"/>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9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251">
              <w:r>
                <w:rPr>
                  <w:rFonts w:ascii="Arial" w:cs="Arial" w:eastAsia="Arial" w:hAnsi="Arial"/>
                  <w:sz w:val="18"/>
                  <w:szCs w:val="18"/>
                  <w:color w:val="0000EE"/>
                  <w:w w:val="99"/>
                </w:rPr>
                <w:t>Registrant and Novartis Institutes for</w:t>
              </w:r>
            </w:hyperlink>
          </w:p>
        </w:tc>
        <w:tc>
          <w:tcPr>
            <w:tcW w:w="280" w:type="dxa"/>
            <w:vAlign w:val="bottom"/>
            <w:gridSpan w:val="8"/>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32"/>
          </w:tcPr>
          <w:p>
            <w:pPr>
              <w:spacing w:after="0" w:line="182" w:lineRule="exact"/>
              <w:rPr>
                <w:rFonts w:ascii="Arial" w:cs="Arial" w:eastAsia="Arial" w:hAnsi="Arial"/>
                <w:sz w:val="18"/>
                <w:szCs w:val="18"/>
                <w:color w:val="0000EE"/>
              </w:rPr>
            </w:pPr>
            <w:hyperlink r:id="rId251">
              <w:r>
                <w:rPr>
                  <w:rFonts w:ascii="Arial" w:cs="Arial" w:eastAsia="Arial" w:hAnsi="Arial"/>
                  <w:sz w:val="18"/>
                  <w:szCs w:val="18"/>
                  <w:color w:val="0000EE"/>
                </w:rPr>
                <w:t>BioMedical Research, Inc., dated July</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251">
              <w:r>
                <w:rPr>
                  <w:rFonts w:ascii="Arial" w:cs="Arial" w:eastAsia="Arial" w:hAnsi="Arial"/>
                  <w:sz w:val="18"/>
                  <w:szCs w:val="18"/>
                  <w:color w:val="0000EE"/>
                  <w:w w:val="98"/>
                </w:rPr>
                <w:t>22, 2020.</w:t>
              </w:r>
            </w:hyperlink>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333-249748</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10.16</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10/30/2020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10.17#</w:t>
            </w:r>
          </w:p>
        </w:tc>
        <w:tc>
          <w:tcPr>
            <w:tcW w:w="2720" w:type="dxa"/>
            <w:vAlign w:val="bottom"/>
            <w:tcBorders>
              <w:bottom w:val="single" w:sz="8" w:color="0000EE"/>
            </w:tcBorders>
            <w:gridSpan w:val="17"/>
          </w:tcPr>
          <w:p>
            <w:pPr>
              <w:spacing w:after="0"/>
              <w:rPr>
                <w:rFonts w:ascii="Arial" w:cs="Arial" w:eastAsia="Arial" w:hAnsi="Arial"/>
                <w:sz w:val="18"/>
                <w:szCs w:val="18"/>
                <w:color w:val="0000EE"/>
                <w:w w:val="97"/>
              </w:rPr>
            </w:pPr>
            <w:hyperlink r:id="rId252">
              <w:r>
                <w:rPr>
                  <w:rFonts w:ascii="Arial" w:cs="Arial" w:eastAsia="Arial" w:hAnsi="Arial"/>
                  <w:sz w:val="18"/>
                  <w:szCs w:val="18"/>
                  <w:color w:val="0000EE"/>
                  <w:w w:val="97"/>
                </w:rPr>
                <w:t>Olema Pharmaceuticals, Inc. 2022</w:t>
              </w:r>
            </w:hyperlink>
          </w:p>
        </w:tc>
        <w:tc>
          <w:tcPr>
            <w:tcW w:w="48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3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252">
              <w:r>
                <w:rPr>
                  <w:rFonts w:ascii="Arial" w:cs="Arial" w:eastAsia="Arial" w:hAnsi="Arial"/>
                  <w:sz w:val="18"/>
                  <w:szCs w:val="18"/>
                  <w:color w:val="0000EE"/>
                  <w:w w:val="99"/>
                </w:rPr>
                <w:t>Inducement Plan</w:t>
              </w:r>
            </w:hyperlink>
          </w:p>
        </w:tc>
        <w:tc>
          <w:tcPr>
            <w:tcW w:w="1840" w:type="dxa"/>
            <w:vAlign w:val="bottom"/>
            <w:gridSpan w:val="26"/>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10.17</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2/28/2022</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10.18#</w:t>
            </w:r>
          </w:p>
        </w:tc>
        <w:tc>
          <w:tcPr>
            <w:tcW w:w="3200" w:type="dxa"/>
            <w:vAlign w:val="bottom"/>
            <w:gridSpan w:val="32"/>
          </w:tcPr>
          <w:p>
            <w:pPr>
              <w:spacing w:after="0"/>
              <w:rPr>
                <w:rFonts w:ascii="Arial" w:cs="Arial" w:eastAsia="Arial" w:hAnsi="Arial"/>
                <w:sz w:val="18"/>
                <w:szCs w:val="18"/>
                <w:color w:val="0000EE"/>
              </w:rPr>
            </w:pPr>
            <w:hyperlink r:id="rId253">
              <w:r>
                <w:rPr>
                  <w:rFonts w:ascii="Arial" w:cs="Arial" w:eastAsia="Arial" w:hAnsi="Arial"/>
                  <w:sz w:val="18"/>
                  <w:szCs w:val="18"/>
                  <w:color w:val="0000EE"/>
                </w:rPr>
                <w:t>Form of Stock Option Agreement and</w:t>
              </w:r>
            </w:hyperlink>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9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253">
              <w:r>
                <w:rPr>
                  <w:rFonts w:ascii="Arial" w:cs="Arial" w:eastAsia="Arial" w:hAnsi="Arial"/>
                  <w:sz w:val="18"/>
                  <w:szCs w:val="18"/>
                  <w:color w:val="0000EE"/>
                </w:rPr>
                <w:t>Option Grant Notice under the</w:t>
              </w:r>
            </w:hyperlink>
          </w:p>
        </w:tc>
        <w:tc>
          <w:tcPr>
            <w:tcW w:w="22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253">
              <w:r>
                <w:rPr>
                  <w:rFonts w:ascii="Arial" w:cs="Arial" w:eastAsia="Arial" w:hAnsi="Arial"/>
                  <w:sz w:val="18"/>
                  <w:szCs w:val="18"/>
                  <w:color w:val="0000EE"/>
                </w:rPr>
                <w:t>Inducement Plan.</w:t>
              </w:r>
            </w:hyperlink>
          </w:p>
        </w:tc>
        <w:tc>
          <w:tcPr>
            <w:tcW w:w="800" w:type="dxa"/>
            <w:vAlign w:val="bottom"/>
            <w:gridSpan w:val="21"/>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10.18</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2/28/2022</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10.19#</w:t>
            </w:r>
          </w:p>
        </w:tc>
        <w:tc>
          <w:tcPr>
            <w:tcW w:w="2540" w:type="dxa"/>
            <w:vAlign w:val="bottom"/>
            <w:tcBorders>
              <w:bottom w:val="single" w:sz="8" w:color="0000EE"/>
            </w:tcBorders>
            <w:gridSpan w:val="14"/>
          </w:tcPr>
          <w:p>
            <w:pPr>
              <w:spacing w:after="0"/>
              <w:rPr>
                <w:rFonts w:ascii="Arial" w:cs="Arial" w:eastAsia="Arial" w:hAnsi="Arial"/>
                <w:sz w:val="18"/>
                <w:szCs w:val="18"/>
                <w:color w:val="0000EE"/>
                <w:w w:val="99"/>
              </w:rPr>
            </w:pPr>
            <w:hyperlink r:id="rId254">
              <w:r>
                <w:rPr>
                  <w:rFonts w:ascii="Arial" w:cs="Arial" w:eastAsia="Arial" w:hAnsi="Arial"/>
                  <w:sz w:val="18"/>
                  <w:szCs w:val="18"/>
                  <w:color w:val="0000EE"/>
                  <w:w w:val="99"/>
                </w:rPr>
                <w:t>Offer Letter by and between the</w:t>
              </w:r>
            </w:hyperlink>
          </w:p>
        </w:tc>
        <w:tc>
          <w:tcPr>
            <w:tcW w:w="660" w:type="dxa"/>
            <w:vAlign w:val="bottom"/>
            <w:gridSpan w:val="18"/>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6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254">
              <w:r>
                <w:rPr>
                  <w:rFonts w:ascii="Arial" w:cs="Arial" w:eastAsia="Arial" w:hAnsi="Arial"/>
                  <w:sz w:val="18"/>
                  <w:szCs w:val="18"/>
                  <w:color w:val="0000EE"/>
                  <w:w w:val="99"/>
                </w:rPr>
                <w:t>Registrant and Naseem Zojwalla, dated</w:t>
              </w:r>
            </w:hyperlink>
          </w:p>
        </w:tc>
        <w:tc>
          <w:tcPr>
            <w:tcW w:w="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6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254">
              <w:r>
                <w:rPr>
                  <w:rFonts w:ascii="Arial" w:cs="Arial" w:eastAsia="Arial" w:hAnsi="Arial"/>
                  <w:sz w:val="18"/>
                  <w:szCs w:val="18"/>
                  <w:color w:val="0000EE"/>
                  <w:w w:val="99"/>
                </w:rPr>
                <w:t>December 15, 2021.</w:t>
              </w:r>
            </w:hyperlink>
          </w:p>
        </w:tc>
        <w:tc>
          <w:tcPr>
            <w:tcW w:w="1560" w:type="dxa"/>
            <w:vAlign w:val="bottom"/>
            <w:gridSpan w:val="24"/>
          </w:tcPr>
          <w:p>
            <w:pPr>
              <w:spacing w:after="0"/>
              <w:rPr>
                <w:sz w:val="15"/>
                <w:szCs w:val="15"/>
                <w:color w:val="auto"/>
              </w:rPr>
            </w:pPr>
          </w:p>
        </w:tc>
        <w:tc>
          <w:tcPr>
            <w:tcW w:w="76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7"/>
              </w:rPr>
              <w:t>10.19</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2/28/2022</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10.20¥</w:t>
            </w:r>
          </w:p>
        </w:tc>
        <w:tc>
          <w:tcPr>
            <w:tcW w:w="2700" w:type="dxa"/>
            <w:vAlign w:val="bottom"/>
            <w:tcBorders>
              <w:bottom w:val="single" w:sz="8" w:color="0000EE"/>
            </w:tcBorders>
            <w:gridSpan w:val="16"/>
          </w:tcPr>
          <w:p>
            <w:pPr>
              <w:spacing w:after="0"/>
              <w:rPr>
                <w:rFonts w:ascii="Arial" w:cs="Arial" w:eastAsia="Arial" w:hAnsi="Arial"/>
                <w:sz w:val="18"/>
                <w:szCs w:val="18"/>
                <w:color w:val="0000EE"/>
                <w:w w:val="99"/>
              </w:rPr>
            </w:pPr>
            <w:hyperlink r:id="rId255">
              <w:r>
                <w:rPr>
                  <w:rFonts w:ascii="Arial" w:cs="Arial" w:eastAsia="Arial" w:hAnsi="Arial"/>
                  <w:sz w:val="18"/>
                  <w:szCs w:val="18"/>
                  <w:color w:val="0000EE"/>
                  <w:w w:val="99"/>
                </w:rPr>
                <w:t>Drug Discovery Collaboration and</w:t>
              </w:r>
            </w:hyperlink>
          </w:p>
        </w:tc>
        <w:tc>
          <w:tcPr>
            <w:tcW w:w="50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8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r:id="rId255">
              <w:r>
                <w:rPr>
                  <w:rFonts w:ascii="Arial" w:cs="Arial" w:eastAsia="Arial" w:hAnsi="Arial"/>
                  <w:sz w:val="18"/>
                  <w:szCs w:val="18"/>
                  <w:color w:val="0000EE"/>
                  <w:w w:val="99"/>
                </w:rPr>
                <w:t>License Agreement by and between the</w:t>
              </w:r>
            </w:hyperlink>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8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255">
              <w:r>
                <w:rPr>
                  <w:rFonts w:ascii="Arial" w:cs="Arial" w:eastAsia="Arial" w:hAnsi="Arial"/>
                  <w:sz w:val="18"/>
                  <w:szCs w:val="18"/>
                  <w:color w:val="0000EE"/>
                  <w:w w:val="99"/>
                </w:rPr>
                <w:t>Registrant and Aurigene Discovery</w:t>
              </w:r>
            </w:hyperlink>
          </w:p>
        </w:tc>
        <w:tc>
          <w:tcPr>
            <w:tcW w:w="400" w:type="dxa"/>
            <w:vAlign w:val="bottom"/>
            <w:gridSpan w:val="13"/>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32"/>
          </w:tcPr>
          <w:p>
            <w:pPr>
              <w:spacing w:after="0" w:line="182" w:lineRule="exact"/>
              <w:rPr>
                <w:rFonts w:ascii="Arial" w:cs="Arial" w:eastAsia="Arial" w:hAnsi="Arial"/>
                <w:sz w:val="18"/>
                <w:szCs w:val="18"/>
                <w:color w:val="0000EE"/>
              </w:rPr>
            </w:pPr>
            <w:hyperlink r:id="rId255">
              <w:r>
                <w:rPr>
                  <w:rFonts w:ascii="Arial" w:cs="Arial" w:eastAsia="Arial" w:hAnsi="Arial"/>
                  <w:sz w:val="18"/>
                  <w:szCs w:val="18"/>
                  <w:color w:val="0000EE"/>
                </w:rPr>
                <w:t>Technologies Limited, dated June 7,</w:t>
              </w:r>
            </w:hyperlink>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60" w:type="dxa"/>
            <w:vAlign w:val="bottom"/>
            <w:tcBorders>
              <w:top w:val="single" w:sz="8" w:color="0000EE"/>
            </w:tcBorders>
            <w:gridSpan w:val="2"/>
          </w:tcPr>
          <w:p>
            <w:pPr>
              <w:spacing w:after="0" w:line="182" w:lineRule="exact"/>
              <w:rPr>
                <w:rFonts w:ascii="Arial" w:cs="Arial" w:eastAsia="Arial" w:hAnsi="Arial"/>
                <w:sz w:val="18"/>
                <w:szCs w:val="18"/>
                <w:color w:val="0000EE"/>
                <w:w w:val="97"/>
              </w:rPr>
            </w:pPr>
            <w:hyperlink r:id="rId255">
              <w:r>
                <w:rPr>
                  <w:rFonts w:ascii="Arial" w:cs="Arial" w:eastAsia="Arial" w:hAnsi="Arial"/>
                  <w:sz w:val="18"/>
                  <w:szCs w:val="18"/>
                  <w:color w:val="0000EE"/>
                  <w:w w:val="97"/>
                </w:rPr>
                <w:t>2022</w:t>
              </w:r>
              <w:r>
                <w:rPr>
                  <w:rFonts w:ascii="Arial" w:cs="Arial" w:eastAsia="Arial" w:hAnsi="Arial"/>
                  <w:sz w:val="18"/>
                  <w:szCs w:val="18"/>
                  <w:color w:val="000000"/>
                  <w:w w:val="97"/>
                </w:rPr>
                <w:t>.</w:t>
              </w:r>
            </w:hyperlink>
          </w:p>
        </w:tc>
        <w:tc>
          <w:tcPr>
            <w:tcW w:w="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10-Q</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001-39712</w:t>
            </w: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8/9/2022</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21.1</w:t>
            </w:r>
          </w:p>
        </w:tc>
        <w:tc>
          <w:tcPr>
            <w:tcW w:w="28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rPr>
              <w:t>Subsidiaries of the Registrant as of</w:t>
            </w:r>
          </w:p>
        </w:tc>
        <w:tc>
          <w:tcPr>
            <w:tcW w:w="38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64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December 31, 2022.</w:t>
            </w:r>
          </w:p>
        </w:tc>
        <w:tc>
          <w:tcPr>
            <w:tcW w:w="1560" w:type="dxa"/>
            <w:vAlign w:val="bottom"/>
            <w:gridSpan w:val="24"/>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28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Consent of Independent Registered</w:t>
            </w:r>
          </w:p>
        </w:tc>
        <w:tc>
          <w:tcPr>
            <w:tcW w:w="3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90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Public Accounting Firm.</w:t>
            </w:r>
          </w:p>
        </w:tc>
        <w:tc>
          <w:tcPr>
            <w:tcW w:w="1300" w:type="dxa"/>
            <w:vAlign w:val="bottom"/>
            <w:gridSpan w:val="23"/>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23.2</w:t>
            </w:r>
          </w:p>
        </w:tc>
        <w:tc>
          <w:tcPr>
            <w:tcW w:w="3200" w:type="dxa"/>
            <w:vAlign w:val="bottom"/>
            <w:gridSpan w:val="32"/>
          </w:tcPr>
          <w:p>
            <w:pPr>
              <w:spacing w:after="0"/>
              <w:rPr>
                <w:sz w:val="20"/>
                <w:szCs w:val="20"/>
                <w:color w:val="auto"/>
              </w:rPr>
            </w:pPr>
            <w:r>
              <w:rPr>
                <w:rFonts w:ascii="Arial" w:cs="Arial" w:eastAsia="Arial" w:hAnsi="Arial"/>
                <w:sz w:val="18"/>
                <w:szCs w:val="18"/>
                <w:color w:val="0000EE"/>
              </w:rPr>
              <w:t>Consent of Cooley LLP (included in</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6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Exhibit 5.1).</w:t>
            </w:r>
          </w:p>
        </w:tc>
        <w:tc>
          <w:tcPr>
            <w:tcW w:w="1860" w:type="dxa"/>
            <w:vAlign w:val="bottom"/>
            <w:tcBorders>
              <w:top w:val="single" w:sz="8" w:color="0000EE"/>
            </w:tcBorders>
            <w:gridSpan w:val="16"/>
          </w:tcPr>
          <w:p>
            <w:pPr>
              <w:spacing w:after="0"/>
              <w:rPr>
                <w:sz w:val="15"/>
                <w:szCs w:val="15"/>
                <w:color w:val="auto"/>
              </w:rPr>
            </w:pPr>
          </w:p>
        </w:tc>
        <w:tc>
          <w:tcPr>
            <w:tcW w:w="380" w:type="dxa"/>
            <w:vAlign w:val="bottom"/>
            <w:gridSpan w:val="12"/>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24.1</w:t>
            </w:r>
          </w:p>
        </w:tc>
        <w:tc>
          <w:tcPr>
            <w:tcW w:w="3200" w:type="dxa"/>
            <w:vAlign w:val="bottom"/>
            <w:gridSpan w:val="32"/>
          </w:tcPr>
          <w:p>
            <w:pPr>
              <w:spacing w:after="0"/>
              <w:rPr>
                <w:sz w:val="20"/>
                <w:szCs w:val="20"/>
                <w:color w:val="auto"/>
              </w:rPr>
            </w:pPr>
            <w:r>
              <w:rPr>
                <w:rFonts w:ascii="Arial" w:cs="Arial" w:eastAsia="Arial" w:hAnsi="Arial"/>
                <w:sz w:val="18"/>
                <w:szCs w:val="18"/>
                <w:color w:val="0000EE"/>
              </w:rPr>
              <w:t>Power of Attorney (included on the</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32"/>
          </w:tcPr>
          <w:p>
            <w:pPr>
              <w:spacing w:after="0" w:line="182" w:lineRule="exact"/>
              <w:rPr>
                <w:sz w:val="20"/>
                <w:szCs w:val="20"/>
                <w:color w:val="auto"/>
              </w:rPr>
            </w:pPr>
            <w:r>
              <w:rPr>
                <w:rFonts w:ascii="Arial" w:cs="Arial" w:eastAsia="Arial" w:hAnsi="Arial"/>
                <w:sz w:val="18"/>
                <w:szCs w:val="18"/>
                <w:color w:val="0000EE"/>
              </w:rPr>
              <w:t>Signatures page of this Annual Report</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on Form 10-K).</w:t>
            </w:r>
          </w:p>
        </w:tc>
        <w:tc>
          <w:tcPr>
            <w:tcW w:w="1820" w:type="dxa"/>
            <w:vAlign w:val="bottom"/>
            <w:tcBorders>
              <w:top w:val="single" w:sz="8" w:color="0000EE"/>
            </w:tcBorders>
            <w:gridSpan w:val="23"/>
          </w:tcPr>
          <w:p>
            <w:pPr>
              <w:spacing w:after="0"/>
              <w:rPr>
                <w:sz w:val="15"/>
                <w:szCs w:val="15"/>
                <w:color w:val="auto"/>
              </w:rPr>
            </w:pPr>
          </w:p>
        </w:tc>
        <w:tc>
          <w:tcPr>
            <w:tcW w:w="16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3200" w:type="dxa"/>
            <w:vAlign w:val="bottom"/>
            <w:gridSpan w:val="32"/>
          </w:tcPr>
          <w:p>
            <w:pPr>
              <w:spacing w:after="0"/>
              <w:rPr>
                <w:sz w:val="20"/>
                <w:szCs w:val="20"/>
                <w:color w:val="auto"/>
              </w:rPr>
            </w:pPr>
            <w:r>
              <w:rPr>
                <w:rFonts w:ascii="Arial" w:cs="Arial" w:eastAsia="Arial" w:hAnsi="Arial"/>
                <w:sz w:val="18"/>
                <w:szCs w:val="18"/>
                <w:color w:val="0000EE"/>
              </w:rPr>
              <w:t>Certification of Principal Executive</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00" w:type="dxa"/>
            <w:vAlign w:val="bottom"/>
            <w:gridSpan w:val="10"/>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gridSpan w:val="32"/>
          </w:tcPr>
          <w:p>
            <w:pPr>
              <w:spacing w:after="0" w:line="182" w:lineRule="exact"/>
              <w:rPr>
                <w:sz w:val="20"/>
                <w:szCs w:val="20"/>
                <w:color w:val="auto"/>
              </w:rPr>
            </w:pPr>
            <w:r>
              <w:rPr>
                <w:rFonts w:ascii="Arial" w:cs="Arial" w:eastAsia="Arial" w:hAnsi="Arial"/>
                <w:sz w:val="18"/>
                <w:szCs w:val="18"/>
                <w:color w:val="0000EE"/>
              </w:rPr>
              <w:t>Officer Pursuant to Rules 13a-14(a)</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9"/>
              </w:rPr>
              <w:t>and 15d-14(a) under the Securities</w:t>
            </w:r>
          </w:p>
        </w:tc>
        <w:tc>
          <w:tcPr>
            <w:tcW w:w="40" w:type="dxa"/>
            <w:vAlign w:val="bottom"/>
            <w:tcBorders>
              <w:top w:val="single" w:sz="8" w:color="0000EE"/>
            </w:tcBorders>
            <w:gridSpan w:val="2"/>
          </w:tcPr>
          <w:p>
            <w:pPr>
              <w:spacing w:after="0"/>
              <w:rPr>
                <w:sz w:val="15"/>
                <w:szCs w:val="15"/>
                <w:color w:val="auto"/>
              </w:rPr>
            </w:pPr>
          </w:p>
        </w:tc>
        <w:tc>
          <w:tcPr>
            <w:tcW w:w="360" w:type="dxa"/>
            <w:vAlign w:val="bottom"/>
            <w:gridSpan w:val="11"/>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8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Exchange Act of 1934, as Adopted</w:t>
            </w:r>
          </w:p>
        </w:tc>
        <w:tc>
          <w:tcPr>
            <w:tcW w:w="420" w:type="dxa"/>
            <w:vAlign w:val="bottom"/>
            <w:gridSpan w:val="14"/>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00" w:type="dxa"/>
            <w:vAlign w:val="bottom"/>
            <w:gridSpan w:val="32"/>
          </w:tcPr>
          <w:p>
            <w:pPr>
              <w:spacing w:after="0" w:line="182" w:lineRule="exact"/>
              <w:rPr>
                <w:sz w:val="20"/>
                <w:szCs w:val="20"/>
                <w:color w:val="auto"/>
              </w:rPr>
            </w:pPr>
            <w:r>
              <w:rPr>
                <w:rFonts w:ascii="Arial" w:cs="Arial" w:eastAsia="Arial" w:hAnsi="Arial"/>
                <w:sz w:val="18"/>
                <w:szCs w:val="18"/>
                <w:color w:val="0000EE"/>
              </w:rPr>
              <w:t>Pursuant to Section 302 of the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Sarbanes-Oxley Act of 2002.</w:t>
            </w:r>
          </w:p>
        </w:tc>
        <w:tc>
          <w:tcPr>
            <w:tcW w:w="780" w:type="dxa"/>
            <w:vAlign w:val="bottom"/>
            <w:gridSpan w:val="20"/>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857"/>
        </w:trPr>
        <w:tc>
          <w:tcPr>
            <w:tcW w:w="9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170</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0" w:name="page171"/>
    <w:bookmarkEnd w:id="1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3240" w:type="dxa"/>
            <w:vAlign w:val="bottom"/>
            <w:gridSpan w:val="11"/>
            <w:vMerge w:val="restart"/>
          </w:tcPr>
          <w:p>
            <w:pPr>
              <w:ind w:left="1320"/>
              <w:spacing w:after="0"/>
              <w:rPr>
                <w:sz w:val="20"/>
                <w:szCs w:val="20"/>
                <w:color w:val="auto"/>
              </w:rPr>
            </w:pPr>
            <w:r>
              <w:rPr>
                <w:rFonts w:ascii="Arial" w:cs="Arial" w:eastAsia="Arial" w:hAnsi="Arial"/>
                <w:sz w:val="18"/>
                <w:szCs w:val="18"/>
                <w:b w:val="1"/>
                <w:bCs w:val="1"/>
                <w:color w:val="auto"/>
              </w:rPr>
              <w:t>Exhibit</w:t>
            </w:r>
          </w:p>
        </w:tc>
        <w:tc>
          <w:tcPr>
            <w:tcW w:w="8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Incorporation by Reference</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0" w:type="dxa"/>
            <w:vAlign w:val="bottom"/>
            <w:vMerge w:val="continue"/>
          </w:tcPr>
          <w:p>
            <w:pPr>
              <w:spacing w:after="0"/>
              <w:rPr>
                <w:sz w:val="15"/>
                <w:szCs w:val="15"/>
                <w:color w:val="auto"/>
              </w:rPr>
            </w:pPr>
          </w:p>
        </w:tc>
        <w:tc>
          <w:tcPr>
            <w:tcW w:w="3240" w:type="dxa"/>
            <w:vAlign w:val="bottom"/>
            <w:gridSpan w:val="11"/>
            <w:vMerge w:val="continue"/>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c>
          <w:tcPr>
            <w:tcW w:w="900" w:type="dxa"/>
            <w:vAlign w:val="bottom"/>
          </w:tcPr>
          <w:p>
            <w:pPr>
              <w:jc w:val="center"/>
              <w:ind w:left="110"/>
              <w:spacing w:after="0" w:line="173" w:lineRule="exact"/>
              <w:rPr>
                <w:sz w:val="20"/>
                <w:szCs w:val="20"/>
                <w:color w:val="auto"/>
              </w:rPr>
            </w:pPr>
            <w:r>
              <w:rPr>
                <w:rFonts w:ascii="Arial" w:cs="Arial" w:eastAsia="Arial" w:hAnsi="Arial"/>
                <w:sz w:val="18"/>
                <w:szCs w:val="18"/>
                <w:b w:val="1"/>
                <w:bCs w:val="1"/>
                <w:color w:val="auto"/>
                <w:w w:val="99"/>
              </w:rPr>
              <w:t>Filed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240" w:type="dxa"/>
            <w:vAlign w:val="bottom"/>
            <w:gridSpan w:val="11"/>
          </w:tcPr>
          <w:p>
            <w:pPr>
              <w:ind w:left="1120"/>
              <w:spacing w:after="0"/>
              <w:rPr>
                <w:sz w:val="20"/>
                <w:szCs w:val="20"/>
                <w:color w:val="auto"/>
              </w:rPr>
            </w:pPr>
            <w:r>
              <w:rPr>
                <w:rFonts w:ascii="Arial" w:cs="Arial" w:eastAsia="Arial" w:hAnsi="Arial"/>
                <w:sz w:val="18"/>
                <w:szCs w:val="18"/>
                <w:b w:val="1"/>
                <w:bCs w:val="1"/>
                <w:color w:val="auto"/>
              </w:rPr>
              <w:t>Description</w:t>
            </w:r>
          </w:p>
        </w:tc>
        <w:tc>
          <w:tcPr>
            <w:tcW w:w="840" w:type="dxa"/>
            <w:vAlign w:val="bottom"/>
          </w:tcPr>
          <w:p>
            <w:pPr>
              <w:ind w:left="200"/>
              <w:spacing w:after="0"/>
              <w:rPr>
                <w:sz w:val="20"/>
                <w:szCs w:val="20"/>
                <w:color w:val="auto"/>
              </w:rPr>
            </w:pPr>
            <w:r>
              <w:rPr>
                <w:rFonts w:ascii="Arial" w:cs="Arial" w:eastAsia="Arial" w:hAnsi="Arial"/>
                <w:sz w:val="18"/>
                <w:szCs w:val="18"/>
                <w:b w:val="1"/>
                <w:bCs w:val="1"/>
                <w:color w:val="auto"/>
              </w:rPr>
              <w:t>Form</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File No.</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c>
          <w:tcPr>
            <w:tcW w:w="960" w:type="dxa"/>
            <w:vAlign w:val="bottom"/>
            <w:gridSpan w:val="2"/>
          </w:tcPr>
          <w:p>
            <w:pPr>
              <w:ind w:left="200"/>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31.2</w:t>
            </w:r>
          </w:p>
        </w:tc>
        <w:tc>
          <w:tcPr>
            <w:tcW w:w="3240" w:type="dxa"/>
            <w:vAlign w:val="bottom"/>
            <w:tcBorders>
              <w:top w:val="single" w:sz="8" w:color="auto"/>
            </w:tcBorders>
            <w:gridSpan w:val="11"/>
          </w:tcPr>
          <w:p>
            <w:pPr>
              <w:spacing w:after="0" w:line="169" w:lineRule="exact"/>
              <w:rPr>
                <w:sz w:val="20"/>
                <w:szCs w:val="20"/>
                <w:color w:val="auto"/>
              </w:rPr>
            </w:pPr>
            <w:r>
              <w:rPr>
                <w:rFonts w:ascii="Arial" w:cs="Arial" w:eastAsia="Arial" w:hAnsi="Arial"/>
                <w:sz w:val="18"/>
                <w:szCs w:val="18"/>
                <w:color w:val="0000EE"/>
              </w:rPr>
              <w:t>Certification of Principal Financial</w:t>
            </w:r>
          </w:p>
        </w:tc>
        <w:tc>
          <w:tcPr>
            <w:tcW w:w="8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0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Officer Pursuant to Rules 13a-14(a) and</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4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15d-14(a) under the Securities</w:t>
            </w:r>
          </w:p>
        </w:tc>
        <w:tc>
          <w:tcPr>
            <w:tcW w:w="80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78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Exchange Act of 1934, as Adopted</w:t>
            </w:r>
          </w:p>
        </w:tc>
        <w:tc>
          <w:tcPr>
            <w:tcW w:w="46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240" w:type="dxa"/>
            <w:vAlign w:val="bottom"/>
            <w:gridSpan w:val="11"/>
          </w:tcPr>
          <w:p>
            <w:pPr>
              <w:spacing w:after="0" w:line="182" w:lineRule="exact"/>
              <w:rPr>
                <w:sz w:val="20"/>
                <w:szCs w:val="20"/>
                <w:color w:val="auto"/>
              </w:rPr>
            </w:pPr>
            <w:r>
              <w:rPr>
                <w:rFonts w:ascii="Arial" w:cs="Arial" w:eastAsia="Arial" w:hAnsi="Arial"/>
                <w:sz w:val="18"/>
                <w:szCs w:val="18"/>
                <w:color w:val="0000EE"/>
              </w:rPr>
              <w:t>Pursuant to Section 302 of the</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4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Sarbanes-Oxley Act of 2002.</w:t>
            </w:r>
          </w:p>
        </w:tc>
        <w:tc>
          <w:tcPr>
            <w:tcW w:w="82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3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60" w:type="dxa"/>
            <w:vAlign w:val="bottom"/>
            <w:vMerge w:val="continue"/>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0000EE"/>
              </w:rPr>
              <w:t>Certification of Principal Executive</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40" w:type="dxa"/>
            <w:vAlign w:val="bottom"/>
            <w:gridSpan w:val="11"/>
          </w:tcPr>
          <w:p>
            <w:pPr>
              <w:spacing w:after="0" w:line="182" w:lineRule="exact"/>
              <w:rPr>
                <w:sz w:val="20"/>
                <w:szCs w:val="20"/>
                <w:color w:val="auto"/>
              </w:rPr>
            </w:pPr>
            <w:r>
              <w:rPr>
                <w:rFonts w:ascii="Arial" w:cs="Arial" w:eastAsia="Arial" w:hAnsi="Arial"/>
                <w:sz w:val="18"/>
                <w:szCs w:val="18"/>
                <w:color w:val="0000EE"/>
              </w:rPr>
              <w:t>Officer Pursuant to 18 U.S.C. Section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04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1350, as Adopted Pursuant to Section</w:t>
            </w:r>
          </w:p>
        </w:tc>
        <w:tc>
          <w:tcPr>
            <w:tcW w:w="20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6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906 of the Sarbanes-Oxley Act of 2002.</w:t>
            </w:r>
          </w:p>
        </w:tc>
        <w:tc>
          <w:tcPr>
            <w:tcW w:w="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3240" w:type="dxa"/>
            <w:vAlign w:val="bottom"/>
            <w:gridSpan w:val="11"/>
          </w:tcPr>
          <w:p>
            <w:pPr>
              <w:spacing w:after="0"/>
              <w:rPr>
                <w:sz w:val="20"/>
                <w:szCs w:val="20"/>
                <w:color w:val="auto"/>
              </w:rPr>
            </w:pPr>
            <w:r>
              <w:rPr>
                <w:rFonts w:ascii="Arial" w:cs="Arial" w:eastAsia="Arial" w:hAnsi="Arial"/>
                <w:sz w:val="18"/>
                <w:szCs w:val="18"/>
                <w:color w:val="0000EE"/>
              </w:rPr>
              <w:t>Certification of Principal Financial</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40" w:type="dxa"/>
            <w:vAlign w:val="bottom"/>
            <w:gridSpan w:val="11"/>
          </w:tcPr>
          <w:p>
            <w:pPr>
              <w:spacing w:after="0" w:line="182" w:lineRule="exact"/>
              <w:rPr>
                <w:sz w:val="20"/>
                <w:szCs w:val="20"/>
                <w:color w:val="auto"/>
              </w:rPr>
            </w:pPr>
            <w:r>
              <w:rPr>
                <w:rFonts w:ascii="Arial" w:cs="Arial" w:eastAsia="Arial" w:hAnsi="Arial"/>
                <w:sz w:val="18"/>
                <w:szCs w:val="18"/>
                <w:color w:val="0000EE"/>
              </w:rPr>
              <w:t>Officer Pursuant to 18 U.S.C. Section</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04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1350, as Adopted Pursuant to Section</w:t>
            </w:r>
          </w:p>
        </w:tc>
        <w:tc>
          <w:tcPr>
            <w:tcW w:w="20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16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906 of the Sarbanes-Oxley Act of 2002.</w:t>
            </w:r>
          </w:p>
        </w:tc>
        <w:tc>
          <w:tcPr>
            <w:tcW w:w="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7040" w:type="dxa"/>
            <w:vAlign w:val="bottom"/>
            <w:gridSpan w:val="15"/>
          </w:tcPr>
          <w:p>
            <w:pPr>
              <w:spacing w:after="0"/>
              <w:rPr>
                <w:sz w:val="20"/>
                <w:szCs w:val="20"/>
                <w:color w:val="auto"/>
              </w:rPr>
            </w:pPr>
            <w:r>
              <w:rPr>
                <w:rFonts w:ascii="Arial" w:cs="Arial" w:eastAsia="Arial" w:hAnsi="Arial"/>
                <w:sz w:val="18"/>
                <w:szCs w:val="18"/>
                <w:color w:val="auto"/>
              </w:rPr>
              <w:t>XBRL Instance Document – the instance document does not appear in the Interactive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7040" w:type="dxa"/>
            <w:vAlign w:val="bottom"/>
            <w:gridSpan w:val="15"/>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408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51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51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51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51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000" w:right="1019" w:hanging="950"/>
        <w:spacing w:after="0" w:line="234"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w:t>
      </w:r>
    </w:p>
    <w:p>
      <w:pPr>
        <w:spacing w:after="0" w:line="1" w:lineRule="exact"/>
        <w:rPr>
          <w:sz w:val="20"/>
          <w:szCs w:val="20"/>
          <w:color w:val="auto"/>
        </w:rPr>
      </w:pPr>
    </w:p>
    <w:p>
      <w:pPr>
        <w:ind w:left="1000"/>
        <w:spacing w:after="0"/>
        <w:tabs>
          <w:tab w:leader="none" w:pos="8520" w:val="left"/>
        </w:tabs>
        <w:rPr>
          <w:sz w:val="20"/>
          <w:szCs w:val="20"/>
          <w:color w:val="auto"/>
        </w:rPr>
      </w:pPr>
      <w:r>
        <w:rPr>
          <w:rFonts w:ascii="Arial" w:cs="Arial" w:eastAsia="Arial" w:hAnsi="Arial"/>
          <w:sz w:val="18"/>
          <w:szCs w:val="18"/>
          <w:color w:val="auto"/>
        </w:rPr>
        <w:t>document</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194945</wp:posOffset>
            </wp:positionV>
            <wp:extent cx="14141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80" w:hanging="330"/>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80" w:right="59" w:hanging="330"/>
        <w:spacing w:after="0" w:line="238" w:lineRule="auto"/>
        <w:tabs>
          <w:tab w:leader="none" w:pos="3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2" w:lineRule="exact"/>
        <w:rPr>
          <w:sz w:val="20"/>
          <w:szCs w:val="20"/>
          <w:color w:val="auto"/>
        </w:rPr>
      </w:pPr>
    </w:p>
    <w:p>
      <w:pPr>
        <w:jc w:val="both"/>
        <w:ind w:left="380" w:right="79" w:hanging="330"/>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1" w:name="page172"/>
    <w:bookmarkEnd w:id="1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2" w:name="page173"/>
    <w:bookmarkEnd w:id="1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 /s/ Sean Bohen, M.D., Ph.D.</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Sean Bohen, M.D., Ph.D.</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 /s/ Shane Kovacs</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Shane Kovacs</w:t>
      </w:r>
    </w:p>
    <w:p>
      <w:pPr>
        <w:spacing w:after="0" w:line="180"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Sean Bohen, M.D., Ph.D. and Shane Kovacs,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w:t>
            </w:r>
          </w:p>
        </w:tc>
        <w:tc>
          <w:tcPr>
            <w:tcW w:w="20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2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0" w:type="dxa"/>
            <w:vAlign w:val="bottom"/>
          </w:tcPr>
          <w:p>
            <w:pPr>
              <w:spacing w:after="0"/>
              <w:rPr>
                <w:sz w:val="14"/>
                <w:szCs w:val="14"/>
                <w:color w:val="auto"/>
              </w:rPr>
            </w:pPr>
          </w:p>
        </w:tc>
      </w:tr>
      <w:tr>
        <w:trPr>
          <w:trHeight w:val="317"/>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President, Chief Executive Officer and</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9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Sean Bohen, M.D., Ph.D.</w:t>
            </w:r>
          </w:p>
        </w:tc>
        <w:tc>
          <w:tcPr>
            <w:tcW w:w="200" w:type="dxa"/>
            <w:vAlign w:val="bottom"/>
          </w:tcPr>
          <w:p>
            <w:pPr>
              <w:spacing w:after="0"/>
              <w:rPr>
                <w:sz w:val="17"/>
                <w:szCs w:val="17"/>
                <w:color w:val="auto"/>
              </w:rPr>
            </w:pPr>
          </w:p>
        </w:tc>
        <w:tc>
          <w:tcPr>
            <w:tcW w:w="3900" w:type="dxa"/>
            <w:vAlign w:val="bottom"/>
            <w:gridSpan w:val="2"/>
          </w:tcPr>
          <w:p>
            <w:pPr>
              <w:jc w:val="center"/>
              <w:ind w:right="200"/>
              <w:spacing w:after="0" w:line="203" w:lineRule="exact"/>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line="203" w:lineRule="exact"/>
              <w:rPr>
                <w:sz w:val="20"/>
                <w:szCs w:val="20"/>
                <w:color w:val="auto"/>
              </w:rPr>
            </w:pPr>
            <w:r>
              <w:rPr>
                <w:rFonts w:ascii="Arial" w:cs="Arial" w:eastAsia="Arial" w:hAnsi="Arial"/>
                <w:sz w:val="18"/>
                <w:szCs w:val="18"/>
                <w:color w:val="auto"/>
              </w:rPr>
              <w:t>March 9, 2023</w:t>
            </w:r>
          </w:p>
        </w:tc>
      </w:tr>
      <w:tr>
        <w:trPr>
          <w:trHeight w:val="215"/>
        </w:trPr>
        <w:tc>
          <w:tcPr>
            <w:tcW w:w="2920" w:type="dxa"/>
            <w:vAlign w:val="bottom"/>
          </w:tcPr>
          <w:p>
            <w:pPr>
              <w:jc w:val="center"/>
              <w:spacing w:after="0"/>
              <w:rPr>
                <w:sz w:val="20"/>
                <w:szCs w:val="20"/>
                <w:color w:val="auto"/>
              </w:rPr>
            </w:pPr>
            <w:r>
              <w:rPr>
                <w:rFonts w:ascii="Arial" w:cs="Arial" w:eastAsia="Arial" w:hAnsi="Arial"/>
                <w:sz w:val="18"/>
                <w:szCs w:val="18"/>
                <w:color w:val="auto"/>
                <w:w w:val="99"/>
              </w:rPr>
              <w:t>Sean Bohen, M.D., Ph.D.</w:t>
            </w:r>
          </w:p>
        </w:tc>
        <w:tc>
          <w:tcPr>
            <w:tcW w:w="200" w:type="dxa"/>
            <w:vAlign w:val="bottom"/>
          </w:tcPr>
          <w:p>
            <w:pPr>
              <w:spacing w:after="0"/>
              <w:rPr>
                <w:sz w:val="18"/>
                <w:szCs w:val="18"/>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9"/>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Shane Kovacs</w:t>
            </w:r>
          </w:p>
        </w:tc>
        <w:tc>
          <w:tcPr>
            <w:tcW w:w="200" w:type="dxa"/>
            <w:vAlign w:val="bottom"/>
          </w:tcPr>
          <w:p>
            <w:pPr>
              <w:spacing w:after="0"/>
              <w:rPr>
                <w:sz w:val="24"/>
                <w:szCs w:val="24"/>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Chief Operating and Financial Officer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5"/>
        </w:trPr>
        <w:tc>
          <w:tcPr>
            <w:tcW w:w="2920" w:type="dxa"/>
            <w:vAlign w:val="bottom"/>
          </w:tcPr>
          <w:p>
            <w:pPr>
              <w:jc w:val="center"/>
              <w:spacing w:after="0"/>
              <w:rPr>
                <w:sz w:val="20"/>
                <w:szCs w:val="20"/>
                <w:color w:val="auto"/>
              </w:rPr>
            </w:pPr>
            <w:r>
              <w:rPr>
                <w:rFonts w:ascii="Arial" w:cs="Arial" w:eastAsia="Arial" w:hAnsi="Arial"/>
                <w:sz w:val="18"/>
                <w:szCs w:val="18"/>
                <w:color w:val="auto"/>
                <w:w w:val="99"/>
              </w:rPr>
              <w:t>Shane Kovacs</w:t>
            </w:r>
          </w:p>
        </w:tc>
        <w:tc>
          <w:tcPr>
            <w:tcW w:w="200" w:type="dxa"/>
            <w:vAlign w:val="bottom"/>
          </w:tcPr>
          <w:p>
            <w:pPr>
              <w:spacing w:after="0"/>
              <w:rPr>
                <w:sz w:val="18"/>
                <w:szCs w:val="18"/>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9"/>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Ian Clark</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w w:val="99"/>
              </w:rPr>
              <w:t>Ian Clark</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Cynthia Butitta</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rPr>
              <w:t>Cynthia Butitta</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Cyrus L. Harmon</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w w:val="99"/>
              </w:rPr>
              <w:t>Cyrus L. Harmon</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Sandra J. Horning, M.D.</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rPr>
              <w:t>Sandra J. Horning, M.D.</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Gorjan Hrustanovic, Ph.D.</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rPr>
              <w:t>Gorjan Hrustanovic, Ph.D.</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Yi Larson</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w w:val="97"/>
              </w:rPr>
              <w:t>Yi Larson</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Rappaport</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w w:val="99"/>
              </w:rPr>
              <w:t>Andrew Rappaport</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Walmsley, M.D., Ph.D.</w:t>
            </w:r>
          </w:p>
        </w:tc>
        <w:tc>
          <w:tcPr>
            <w:tcW w:w="20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rPr>
              <w:t>March 9, 2023</w:t>
            </w:r>
          </w:p>
        </w:tc>
      </w:tr>
      <w:tr>
        <w:trPr>
          <w:trHeight w:val="210"/>
        </w:trPr>
        <w:tc>
          <w:tcPr>
            <w:tcW w:w="2920" w:type="dxa"/>
            <w:vAlign w:val="bottom"/>
          </w:tcPr>
          <w:p>
            <w:pPr>
              <w:jc w:val="center"/>
              <w:spacing w:after="0"/>
              <w:rPr>
                <w:sz w:val="20"/>
                <w:szCs w:val="20"/>
                <w:color w:val="auto"/>
              </w:rPr>
            </w:pPr>
            <w:r>
              <w:rPr>
                <w:rFonts w:ascii="Arial" w:cs="Arial" w:eastAsia="Arial" w:hAnsi="Arial"/>
                <w:sz w:val="18"/>
                <w:szCs w:val="18"/>
                <w:color w:val="auto"/>
                <w:w w:val="99"/>
              </w:rPr>
              <w:t>Graham Walmsley, M.D., Ph.D.</w:t>
            </w:r>
          </w:p>
        </w:tc>
        <w:tc>
          <w:tcPr>
            <w:tcW w:w="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6"/>
        </w:trPr>
        <w:tc>
          <w:tcPr>
            <w:tcW w:w="2920" w:type="dxa"/>
            <w:vAlign w:val="bottom"/>
          </w:tcPr>
          <w:p>
            <w:pPr>
              <w:spacing w:after="0"/>
              <w:rPr>
                <w:sz w:val="24"/>
                <w:szCs w:val="24"/>
                <w:color w:val="auto"/>
              </w:rPr>
            </w:pPr>
          </w:p>
        </w:tc>
        <w:tc>
          <w:tcPr>
            <w:tcW w:w="3900" w:type="dxa"/>
            <w:vAlign w:val="bottom"/>
            <w:gridSpan w:val="2"/>
          </w:tcPr>
          <w:p>
            <w:pPr>
              <w:jc w:val="right"/>
              <w:ind w:right="2111"/>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Exhibit 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OLEMA PHARMACEUTICALS,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59" w:lineRule="exact"/>
        <w:rPr>
          <w:sz w:val="20"/>
          <w:szCs w:val="20"/>
          <w:color w:val="auto"/>
        </w:rPr>
      </w:pPr>
    </w:p>
    <w:p>
      <w:pPr>
        <w:ind w:left="8540"/>
        <w:spacing w:after="0"/>
        <w:rPr>
          <w:sz w:val="20"/>
          <w:szCs w:val="20"/>
          <w:color w:val="auto"/>
        </w:rPr>
      </w:pPr>
      <w:r>
        <w:rPr>
          <w:rFonts w:ascii="Arial" w:cs="Arial" w:eastAsia="Arial" w:hAnsi="Arial"/>
          <w:sz w:val="21"/>
          <w:szCs w:val="21"/>
          <w:color w:val="auto"/>
        </w:rPr>
        <w:t>March 9,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w:t>
      </w:r>
    </w:p>
    <w:p>
      <w:pPr>
        <w:spacing w:after="0" w:line="230" w:lineRule="auto"/>
        <w:rPr>
          <w:sz w:val="20"/>
          <w:szCs w:val="20"/>
          <w:color w:val="auto"/>
        </w:rPr>
      </w:pPr>
      <w:r>
        <w:rPr>
          <w:rFonts w:ascii="Arial" w:cs="Arial" w:eastAsia="Arial" w:hAnsi="Arial"/>
          <w:sz w:val="22"/>
          <w:szCs w:val="22"/>
          <w:color w:val="auto"/>
        </w:rPr>
        <w:t>85 Broad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Olema Pharmaceuticals,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confirms its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with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as follows:</w:t>
      </w:r>
    </w:p>
    <w:p>
      <w:pPr>
        <w:spacing w:after="0" w:line="206" w:lineRule="exact"/>
        <w:rPr>
          <w:sz w:val="20"/>
          <w:szCs w:val="20"/>
          <w:color w:val="auto"/>
        </w:rPr>
      </w:pPr>
    </w:p>
    <w:p>
      <w:pPr>
        <w:jc w:val="both"/>
        <w:ind w:firstLine="656"/>
        <w:spacing w:after="0" w:line="231"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Issuance and Sale of Shares</w:t>
      </w:r>
      <w:r>
        <w:rPr>
          <w:rFonts w:ascii="Arial" w:cs="Arial" w:eastAsia="Arial" w:hAnsi="Arial"/>
          <w:sz w:val="22"/>
          <w:szCs w:val="22"/>
          <w:color w:val="auto"/>
        </w:rPr>
        <w:t>. The Company agrees that, from time to time during the term of this Agreement, on the terms and subject to the conditions set forth herein, it may issue and sell through the Agent, acting as agent and/or principal, shares (the “</w:t>
      </w:r>
      <w:r>
        <w:rPr>
          <w:rFonts w:ascii="Arial" w:cs="Arial" w:eastAsia="Arial" w:hAnsi="Arial"/>
          <w:sz w:val="22"/>
          <w:szCs w:val="22"/>
          <w:b w:val="1"/>
          <w:bCs w:val="1"/>
          <w:u w:val="single" w:color="auto"/>
          <w:color w:val="auto"/>
        </w:rPr>
        <w:t>Placement Shares</w:t>
      </w:r>
      <w:r>
        <w:rPr>
          <w:rFonts w:ascii="Arial" w:cs="Arial" w:eastAsia="Arial" w:hAnsi="Arial"/>
          <w:sz w:val="22"/>
          <w:szCs w:val="22"/>
          <w:color w:val="auto"/>
        </w:rPr>
        <w:t>”) of the Company’s common stock, par value $0.0001 per share (the “</w:t>
      </w:r>
      <w:r>
        <w:rPr>
          <w:rFonts w:ascii="Arial" w:cs="Arial" w:eastAsia="Arial" w:hAnsi="Arial"/>
          <w:sz w:val="22"/>
          <w:szCs w:val="22"/>
          <w:b w:val="1"/>
          <w:bCs w:val="1"/>
          <w:u w:val="single" w:color="auto"/>
          <w:color w:val="auto"/>
        </w:rPr>
        <w:t>Common Stock</w:t>
      </w:r>
      <w:r>
        <w:rPr>
          <w:rFonts w:ascii="Arial" w:cs="Arial" w:eastAsia="Arial" w:hAnsi="Arial"/>
          <w:sz w:val="22"/>
          <w:szCs w:val="22"/>
          <w:color w:val="auto"/>
        </w:rPr>
        <w:t>”), having an aggregate offering price of up to $100,000,000.00 (the “</w:t>
      </w:r>
      <w:r>
        <w:rPr>
          <w:rFonts w:ascii="Arial" w:cs="Arial" w:eastAsia="Arial" w:hAnsi="Arial"/>
          <w:sz w:val="22"/>
          <w:szCs w:val="22"/>
          <w:b w:val="1"/>
          <w:bCs w:val="1"/>
          <w:u w:val="single" w:color="auto"/>
          <w:color w:val="auto"/>
        </w:rPr>
        <w:t>Maximum Amount</w:t>
      </w:r>
      <w:r>
        <w:rPr>
          <w:rFonts w:ascii="Arial" w:cs="Arial" w:eastAsia="Arial" w:hAnsi="Arial"/>
          <w:sz w:val="22"/>
          <w:szCs w:val="22"/>
          <w:color w:val="auto"/>
        </w:rPr>
        <w:t xml:space="preserve">”). Notwithstanding anything to the contrary contained herein, the parties hereto agree that compliance with the limitation set forth in this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on the number of shares of Common Stock issued and sold under this Agreement shall be the sole responsibility of the Company, and the Agent shall have no obligation in connection with such compliance. The issuance and sale of the Placement Shares through the Agent will be effected pursuant to the Registration Statement (as defined below) filed by the Company and declared effective by the Securities and Exchange Commission (the “</w:t>
      </w:r>
      <w:r>
        <w:rPr>
          <w:rFonts w:ascii="Arial" w:cs="Arial" w:eastAsia="Arial" w:hAnsi="Arial"/>
          <w:sz w:val="22"/>
          <w:szCs w:val="22"/>
          <w:b w:val="1"/>
          <w:bCs w:val="1"/>
          <w:u w:val="single" w:color="auto"/>
          <w:color w:val="auto"/>
        </w:rPr>
        <w:t>Commission</w:t>
      </w:r>
      <w:r>
        <w:rPr>
          <w:rFonts w:ascii="Arial" w:cs="Arial" w:eastAsia="Arial" w:hAnsi="Arial"/>
          <w:sz w:val="22"/>
          <w:szCs w:val="22"/>
          <w:color w:val="auto"/>
        </w:rPr>
        <w:t>”), although nothing in this Agreement shall be construed as requiring the Company to use the Registration Statement (as defined below) to issue the Placement Shares.</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 Company has prepared and filed, in accordance with the provisions of the Securities Act of 1933, as amended, and the rules and regulations thereunder (collectively, the “</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with the Commission a registration statement on Form S-3 (File No. 333-263117), including a base prospectus (the “</w:t>
      </w:r>
      <w:r>
        <w:rPr>
          <w:rFonts w:ascii="Arial" w:cs="Arial" w:eastAsia="Arial" w:hAnsi="Arial"/>
          <w:sz w:val="22"/>
          <w:szCs w:val="22"/>
          <w:b w:val="1"/>
          <w:bCs w:val="1"/>
          <w:u w:val="single" w:color="auto"/>
          <w:color w:val="auto"/>
        </w:rPr>
        <w:t>Base Prospectus</w:t>
      </w:r>
      <w:r>
        <w:rPr>
          <w:rFonts w:ascii="Arial" w:cs="Arial" w:eastAsia="Arial" w:hAnsi="Arial"/>
          <w:sz w:val="22"/>
          <w:szCs w:val="22"/>
          <w:color w:val="auto"/>
        </w:rPr>
        <w:t>”),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The Company has prepared a prospectus supplement specifically relating to the Placement Shares (the “</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Supplement</w:t>
      </w:r>
      <w:r>
        <w:rPr>
          <w:rFonts w:ascii="Arial" w:cs="Arial" w:eastAsia="Arial" w:hAnsi="Arial"/>
          <w:sz w:val="22"/>
          <w:szCs w:val="22"/>
          <w:color w:val="auto"/>
        </w:rPr>
        <w:t>”) to the Base Prospectus included as part of such registration statement.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has furnished to the Agent, for use by the Agent,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176" w:name="page177"/>
    <w:bookmarkEnd w:id="176"/>
    <w:p>
      <w:pPr>
        <w:jc w:val="both"/>
        <w:spacing w:after="0" w:line="231" w:lineRule="auto"/>
        <w:rPr>
          <w:sz w:val="20"/>
          <w:szCs w:val="20"/>
          <w:color w:val="auto"/>
        </w:rPr>
      </w:pPr>
      <w:r>
        <w:rPr>
          <w:rFonts w:ascii="Arial" w:cs="Arial" w:eastAsia="Arial" w:hAnsi="Arial"/>
          <w:sz w:val="22"/>
          <w:szCs w:val="22"/>
          <w:color w:val="auto"/>
        </w:rPr>
        <w:t>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of the Securities Act, or any subsequent registration statement on Form S-3 filed pursuant to Rule 415(a)(6) under the Securities Act by the Company with respect to the Placement Shares, is herein called the “</w:t>
      </w: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 as defined in Rule 433 of the Securities Act (“</w:t>
      </w:r>
      <w:r>
        <w:rPr>
          <w:rFonts w:ascii="Arial" w:cs="Arial" w:eastAsia="Arial" w:hAnsi="Arial"/>
          <w:sz w:val="22"/>
          <w:szCs w:val="22"/>
          <w:b w:val="1"/>
          <w:bCs w:val="1"/>
          <w:u w:val="single" w:color="auto"/>
          <w:color w:val="auto"/>
        </w:rPr>
        <w:t>Rule 433</w:t>
      </w:r>
      <w:r>
        <w:rPr>
          <w:rFonts w:ascii="Arial" w:cs="Arial" w:eastAsia="Arial" w:hAnsi="Arial"/>
          <w:sz w:val="22"/>
          <w:szCs w:val="22"/>
          <w:color w:val="auto"/>
        </w:rPr>
        <w:t>”), relating to the Placement Shares that (i) is consented to by the Agent, hereinafter referred to as a “</w:t>
      </w:r>
      <w:r>
        <w:rPr>
          <w:rFonts w:ascii="Arial" w:cs="Arial" w:eastAsia="Arial" w:hAnsi="Arial"/>
          <w:sz w:val="22"/>
          <w:szCs w:val="22"/>
          <w:b w:val="1"/>
          <w:bCs w:val="1"/>
          <w:u w:val="single" w:color="auto"/>
          <w:color w:val="auto"/>
        </w:rPr>
        <w:t>Permitted Free Writing Prospectus</w:t>
      </w:r>
      <w:r>
        <w:rPr>
          <w:rFonts w:ascii="Arial" w:cs="Arial" w:eastAsia="Arial" w:hAnsi="Arial"/>
          <w:sz w:val="22"/>
          <w:szCs w:val="22"/>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22"/>
          <w:szCs w:val="22"/>
          <w:b w:val="1"/>
          <w:bCs w:val="1"/>
          <w:u w:val="single" w:color="auto"/>
          <w:color w:val="auto"/>
        </w:rPr>
        <w:t>EDGAR</w:t>
      </w:r>
      <w:r>
        <w:rPr>
          <w:rFonts w:ascii="Arial" w:cs="Arial" w:eastAsia="Arial" w:hAnsi="Arial"/>
          <w:sz w:val="22"/>
          <w:szCs w:val="22"/>
          <w:color w:val="auto"/>
        </w:rPr>
        <w:t>”). The Company’s obligations under this Agreement to furnish, provide, deliver or make available (and all other similar references) copies of any document shall be deemed satisfied if the same is filed with the Commission through EDGAR.</w:t>
      </w:r>
    </w:p>
    <w:p>
      <w:pPr>
        <w:spacing w:after="0" w:line="231" w:lineRule="exact"/>
        <w:rPr>
          <w:sz w:val="20"/>
          <w:szCs w:val="20"/>
          <w:color w:val="auto"/>
        </w:rPr>
      </w:pPr>
    </w:p>
    <w:p>
      <w:pPr>
        <w:jc w:val="both"/>
        <w:ind w:firstLine="656"/>
        <w:spacing w:after="0" w:line="231"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Placements</w:t>
      </w:r>
      <w:r>
        <w:rPr>
          <w:rFonts w:ascii="Arial" w:cs="Arial" w:eastAsia="Arial" w:hAnsi="Arial"/>
          <w:sz w:val="22"/>
          <w:szCs w:val="22"/>
          <w:color w:val="auto"/>
        </w:rPr>
        <w:t>. Each time that the Company wishes to issue and sell any Placement Shares through the Agent hereunder (each, a “</w:t>
      </w:r>
      <w:r>
        <w:rPr>
          <w:rFonts w:ascii="Arial" w:cs="Arial" w:eastAsia="Arial" w:hAnsi="Arial"/>
          <w:sz w:val="22"/>
          <w:szCs w:val="22"/>
          <w:b w:val="1"/>
          <w:bCs w:val="1"/>
          <w:u w:val="single" w:color="auto"/>
          <w:color w:val="auto"/>
        </w:rPr>
        <w:t>Placement</w:t>
      </w:r>
      <w:r>
        <w:rPr>
          <w:rFonts w:ascii="Arial" w:cs="Arial" w:eastAsia="Arial" w:hAnsi="Arial"/>
          <w:sz w:val="22"/>
          <w:szCs w:val="22"/>
          <w:color w:val="auto"/>
        </w:rPr>
        <w:t>”), it will notify the Agent by email notice (or other method mutually agreed to in writing by the parties) (each such notice, a “</w:t>
      </w:r>
      <w:r>
        <w:rPr>
          <w:rFonts w:ascii="Arial" w:cs="Arial" w:eastAsia="Arial" w:hAnsi="Arial"/>
          <w:sz w:val="22"/>
          <w:szCs w:val="22"/>
          <w:b w:val="1"/>
          <w:bCs w:val="1"/>
          <w:u w:val="single" w:color="auto"/>
          <w:color w:val="auto"/>
        </w:rPr>
        <w:t>Placement Notice</w:t>
      </w:r>
      <w:r>
        <w:rPr>
          <w:rFonts w:ascii="Arial" w:cs="Arial" w:eastAsia="Arial" w:hAnsi="Arial"/>
          <w:sz w:val="22"/>
          <w:szCs w:val="22"/>
          <w:color w:val="auto"/>
        </w:rPr>
        <w:t xml:space="preserve">”) containing the parameters in accordance with which it desires the Placement Shares to be sold, which shall at a minimum include the number or amount of Placement Shares to be issued, the time period during which sales are requested to be made, any limitation on the number of Placement Shares that may be sold in any one Trading Day (as defined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and any minimum price below which sales may not be made, a form of which containing such minimum sales parameters necessary is attached hereto as </w:t>
      </w:r>
      <w:r>
        <w:rPr>
          <w:rFonts w:ascii="Arial" w:cs="Arial" w:eastAsia="Arial" w:hAnsi="Arial"/>
          <w:sz w:val="22"/>
          <w:szCs w:val="22"/>
          <w:b w:val="1"/>
          <w:bCs w:val="1"/>
          <w:u w:val="single" w:color="auto"/>
          <w:color w:val="auto"/>
        </w:rPr>
        <w:t>Schedule 1</w:t>
      </w:r>
      <w:r>
        <w:rPr>
          <w:rFonts w:ascii="Arial" w:cs="Arial" w:eastAsia="Arial" w:hAnsi="Arial"/>
          <w:sz w:val="22"/>
          <w:szCs w:val="22"/>
          <w:color w:val="auto"/>
        </w:rPr>
        <w:t xml:space="preserve">. The Placement Notice shall originate from any of the individuals from the Company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as such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Schedule 2</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amended from time to time. The Placement Notice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effective upon receipt by the Agent unless and until (i)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 Agent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the Company suspends or terminates the Placement Notice, which it may do for any reason, in its sole discretion, (iv) the Company issues a subsequent Placement Notice, which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ind w:left="4920" w:hanging="116"/>
        <w:spacing w:after="0"/>
        <w:tabs>
          <w:tab w:leader="none" w:pos="4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77" w:name="page178"/>
    <w:bookmarkEnd w:id="177"/>
    <w:p>
      <w:pPr>
        <w:jc w:val="both"/>
        <w:spacing w:after="0" w:line="243" w:lineRule="auto"/>
        <w:rPr>
          <w:sz w:val="20"/>
          <w:szCs w:val="20"/>
          <w:color w:val="auto"/>
        </w:rPr>
      </w:pPr>
      <w:r>
        <w:rPr>
          <w:rFonts w:ascii="Arial" w:cs="Arial" w:eastAsia="Arial" w:hAnsi="Arial"/>
          <w:sz w:val="21"/>
          <w:szCs w:val="21"/>
          <w:color w:val="auto"/>
        </w:rPr>
        <w:t xml:space="preserve">may do for any reason, in its sole discretion, with parameters superseding those in the earlier dated Placement Notice, or (v) this Agreement has been terminated under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Arial" w:cs="Arial" w:eastAsia="Arial" w:hAnsi="Arial"/>
          <w:sz w:val="21"/>
          <w:szCs w:val="21"/>
          <w:b w:val="1"/>
          <w:bCs w:val="1"/>
          <w:u w:val="single" w:color="auto"/>
          <w:color w:val="auto"/>
        </w:rPr>
        <w:t>Schedule 3</w:t>
      </w:r>
      <w:r>
        <w:rPr>
          <w:rFonts w:ascii="Arial" w:cs="Arial" w:eastAsia="Arial" w:hAnsi="Arial"/>
          <w:sz w:val="21"/>
          <w:szCs w:val="21"/>
          <w:b w:val="1"/>
          <w:bCs w:val="1"/>
          <w:color w:val="auto"/>
        </w:rPr>
        <w:t>.</w:t>
      </w:r>
      <w:r>
        <w:rPr>
          <w:rFonts w:ascii="Arial" w:cs="Arial" w:eastAsia="Arial" w:hAnsi="Arial"/>
          <w:sz w:val="21"/>
          <w:szCs w:val="21"/>
          <w:color w:val="auto"/>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201" w:lineRule="exact"/>
        <w:rPr>
          <w:sz w:val="20"/>
          <w:szCs w:val="20"/>
          <w:color w:val="auto"/>
        </w:rPr>
      </w:pPr>
    </w:p>
    <w:p>
      <w:pPr>
        <w:jc w:val="both"/>
        <w:ind w:firstLine="656"/>
        <w:spacing w:after="0" w:line="242" w:lineRule="auto"/>
        <w:tabs>
          <w:tab w:leader="none" w:pos="1296"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Sale of Placement Shares by the Agent.</w:t>
      </w:r>
      <w:r>
        <w:rPr>
          <w:rFonts w:ascii="Arial" w:cs="Arial" w:eastAsia="Arial" w:hAnsi="Arial"/>
          <w:sz w:val="21"/>
          <w:szCs w:val="21"/>
          <w:color w:val="auto"/>
        </w:rPr>
        <w:t xml:space="preserve"> Subject to the terms and conditions herein set forth, upon the Company</w:t>
      </w:r>
      <w:r>
        <w:rPr>
          <w:rFonts w:ascii="Arial" w:cs="Arial" w:eastAsia="Arial" w:hAnsi="Arial"/>
          <w:sz w:val="21"/>
          <w:szCs w:val="21"/>
          <w:color w:val="auto"/>
        </w:rPr>
        <w:t>’</w:t>
      </w:r>
      <w:r>
        <w:rPr>
          <w:rFonts w:ascii="Arial" w:cs="Arial" w:eastAsia="Arial" w:hAnsi="Arial"/>
          <w:sz w:val="21"/>
          <w:szCs w:val="21"/>
          <w:color w:val="auto"/>
        </w:rPr>
        <w:t>s delivery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Nasdaq</w:t>
      </w:r>
      <w:r>
        <w:rPr>
          <w:rFonts w:ascii="Arial" w:cs="Arial" w:eastAsia="Arial" w:hAnsi="Arial"/>
          <w:sz w:val="21"/>
          <w:szCs w:val="21"/>
          <w:color w:val="auto"/>
        </w:rPr>
        <w:t>”</w:t>
      </w:r>
      <w:r>
        <w:rPr>
          <w:rFonts w:ascii="Arial" w:cs="Arial" w:eastAsia="Arial" w:hAnsi="Arial"/>
          <w:sz w:val="21"/>
          <w:szCs w:val="21"/>
          <w:color w:val="auto"/>
        </w:rPr>
        <w:t xml:space="preserve">) to sell such Placement Shares up to the amount specified,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the Agent for a sale of Placement Shares that would constitute a </w:t>
      </w:r>
      <w:r>
        <w:rPr>
          <w:rFonts w:ascii="Arial" w:cs="Arial" w:eastAsia="Arial" w:hAnsi="Arial"/>
          <w:sz w:val="21"/>
          <w:szCs w:val="21"/>
          <w:color w:val="auto"/>
        </w:rPr>
        <w:t>“</w:t>
      </w:r>
      <w:r>
        <w:rPr>
          <w:rFonts w:ascii="Arial" w:cs="Arial" w:eastAsia="Arial" w:hAnsi="Arial"/>
          <w:sz w:val="21"/>
          <w:szCs w:val="21"/>
          <w:color w:val="auto"/>
        </w:rPr>
        <w:t>block</w:t>
      </w:r>
      <w:r>
        <w:rPr>
          <w:rFonts w:ascii="Arial" w:cs="Arial" w:eastAsia="Arial" w:hAnsi="Arial"/>
          <w:sz w:val="21"/>
          <w:szCs w:val="21"/>
          <w:color w:val="auto"/>
        </w:rPr>
        <w:t>”</w:t>
      </w:r>
      <w:r>
        <w:rPr>
          <w:rFonts w:ascii="Arial" w:cs="Arial" w:eastAsia="Arial" w:hAnsi="Arial"/>
          <w:sz w:val="21"/>
          <w:szCs w:val="21"/>
          <w:color w:val="auto"/>
        </w:rPr>
        <w:t xml:space="preserve"> within the meaning of Rule 10b-18(a)(5) under the Exchange Act (a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Block Sale</w:t>
      </w:r>
      <w:r>
        <w:rPr>
          <w:rFonts w:ascii="Arial" w:cs="Arial" w:eastAsia="Arial" w:hAnsi="Arial"/>
          <w:sz w:val="21"/>
          <w:szCs w:val="21"/>
          <w:color w:val="auto"/>
        </w:rPr>
        <w:t>”</w:t>
      </w:r>
      <w:r>
        <w:rPr>
          <w:rFonts w:ascii="Arial" w:cs="Arial" w:eastAsia="Arial" w:hAnsi="Arial"/>
          <w:sz w:val="21"/>
          <w:szCs w:val="21"/>
          <w:color w:val="auto"/>
        </w:rPr>
        <w:t>), the Company will provide the Agent, at the Agent</w:t>
      </w:r>
      <w:r>
        <w:rPr>
          <w:rFonts w:ascii="Arial" w:cs="Arial" w:eastAsia="Arial" w:hAnsi="Arial"/>
          <w:sz w:val="21"/>
          <w:szCs w:val="21"/>
          <w:color w:val="auto"/>
        </w:rPr>
        <w:t>’</w:t>
      </w:r>
      <w:r>
        <w:rPr>
          <w:rFonts w:ascii="Arial" w:cs="Arial" w:eastAsia="Arial" w:hAnsi="Arial"/>
          <w:sz w:val="21"/>
          <w:szCs w:val="21"/>
          <w:color w:val="auto"/>
        </w:rPr>
        <w:t>s request and upon reasonable advance notice to the Company, on or prior to the Settlement Date (as defined below), the opinions of counsel, accountant</w:t>
      </w:r>
      <w:r>
        <w:rPr>
          <w:rFonts w:ascii="Arial" w:cs="Arial" w:eastAsia="Arial" w:hAnsi="Arial"/>
          <w:sz w:val="21"/>
          <w:szCs w:val="21"/>
          <w:color w:val="auto"/>
        </w:rPr>
        <w:t>’</w:t>
      </w:r>
      <w:r>
        <w:rPr>
          <w:rFonts w:ascii="Arial" w:cs="Arial" w:eastAsia="Arial" w:hAnsi="Arial"/>
          <w:sz w:val="21"/>
          <w:szCs w:val="21"/>
          <w:color w:val="auto"/>
        </w:rPr>
        <w:t>s letter and officers</w:t>
      </w:r>
      <w:r>
        <w:rPr>
          <w:rFonts w:ascii="Arial" w:cs="Arial" w:eastAsia="Arial" w:hAnsi="Arial"/>
          <w:sz w:val="21"/>
          <w:szCs w:val="21"/>
          <w:color w:val="auto"/>
        </w:rPr>
        <w:t>’</w:t>
      </w:r>
      <w:r>
        <w:rPr>
          <w:rFonts w:ascii="Arial" w:cs="Arial" w:eastAsia="Arial" w:hAnsi="Arial"/>
          <w:sz w:val="21"/>
          <w:szCs w:val="21"/>
          <w:color w:val="auto"/>
        </w:rPr>
        <w:t xml:space="preserve"> certificates set forth in </w:t>
      </w:r>
      <w:r>
        <w:rPr>
          <w:rFonts w:ascii="Arial" w:cs="Arial" w:eastAsia="Arial" w:hAnsi="Arial"/>
          <w:sz w:val="21"/>
          <w:szCs w:val="21"/>
          <w:u w:val="single" w:color="auto"/>
          <w:color w:val="auto"/>
        </w:rPr>
        <w:t>Section 8</w:t>
      </w:r>
      <w:r>
        <w:rPr>
          <w:rFonts w:ascii="Arial" w:cs="Arial" w:eastAsia="Arial" w:hAnsi="Arial"/>
          <w:sz w:val="21"/>
          <w:szCs w:val="21"/>
          <w:color w:val="auto"/>
        </w:rPr>
        <w:t>‎</w:t>
      </w:r>
      <w:r>
        <w:rPr>
          <w:rFonts w:ascii="Arial" w:cs="Arial" w:eastAsia="Arial" w:hAnsi="Arial"/>
          <w:sz w:val="21"/>
          <w:szCs w:val="21"/>
          <w:color w:val="auto"/>
        </w:rPr>
        <w:t xml:space="preserve">. hereof, each dated the Settlement Date, and such other documents and information as the Agent shall reasonably request. The Agent may sell Placement Shares by any method permitted by law deemed to be an </w:t>
      </w:r>
      <w:r>
        <w:rPr>
          <w:rFonts w:ascii="Arial" w:cs="Arial" w:eastAsia="Arial" w:hAnsi="Arial"/>
          <w:sz w:val="21"/>
          <w:szCs w:val="21"/>
          <w:color w:val="auto"/>
        </w:rPr>
        <w:t>“</w:t>
      </w:r>
      <w:r>
        <w:rPr>
          <w:rFonts w:ascii="Arial" w:cs="Arial" w:eastAsia="Arial" w:hAnsi="Arial"/>
          <w:sz w:val="21"/>
          <w:szCs w:val="21"/>
          <w:color w:val="auto"/>
        </w:rPr>
        <w:t>at the market</w:t>
      </w:r>
      <w:r>
        <w:rPr>
          <w:rFonts w:ascii="Arial" w:cs="Arial" w:eastAsia="Arial" w:hAnsi="Arial"/>
          <w:sz w:val="21"/>
          <w:szCs w:val="21"/>
          <w:color w:val="auto"/>
        </w:rPr>
        <w:t>”</w:t>
      </w:r>
      <w:r>
        <w:rPr>
          <w:rFonts w:ascii="Arial" w:cs="Arial" w:eastAsia="Arial" w:hAnsi="Arial"/>
          <w:sz w:val="21"/>
          <w:szCs w:val="21"/>
          <w:color w:val="auto"/>
        </w:rPr>
        <w:t xml:space="preserve"> offering as defined in Rule 415 of the Securities Act, including without limitation sales made directly on or through Nasdaq, or on any other existing trading market for the Common Stock or to or through a market maker. If expressly authorized by the Company (including in a Placement Notice), the Agent may also sell Placement Shares in negotiated transactions. The Agent shall not purchase Placement Shares for its own account as principal unless expressly authorized to do so by the Company in a Placement Notice. The Company acknowledges and agrees that (i) there can be no assurance that the Agent will be successful in selling Placement Shares, and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Section 3 and (iii) the Agent shall be under no obligation to purchase Placement Shares on a principal basis pursuant to this Agreement unless the Company and the Agent enter into a separate written agreement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3" w:lineRule="exact"/>
        <w:rPr>
          <w:rFonts w:ascii="Arial" w:cs="Arial" w:eastAsia="Arial" w:hAnsi="Arial"/>
          <w:sz w:val="21"/>
          <w:szCs w:val="21"/>
          <w:color w:val="auto"/>
        </w:rPr>
      </w:pPr>
    </w:p>
    <w:p>
      <w:pPr>
        <w:ind w:left="4920" w:hanging="116"/>
        <w:spacing w:after="0"/>
        <w:tabs>
          <w:tab w:leader="none" w:pos="49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78" w:name="page179"/>
    <w:bookmarkEnd w:id="178"/>
    <w:p>
      <w:pPr>
        <w:jc w:val="both"/>
        <w:ind w:right="20"/>
        <w:spacing w:after="0" w:line="245" w:lineRule="auto"/>
        <w:rPr>
          <w:sz w:val="20"/>
          <w:szCs w:val="20"/>
          <w:color w:val="auto"/>
        </w:rPr>
      </w:pPr>
      <w:r>
        <w:rPr>
          <w:rFonts w:ascii="Arial" w:cs="Arial" w:eastAsia="Arial" w:hAnsi="Arial"/>
          <w:sz w:val="22"/>
          <w:szCs w:val="22"/>
          <w:color w:val="auto"/>
        </w:rPr>
        <w:t>setting forth the terms of such sale. For the purposes hereof, “</w:t>
      </w:r>
      <w:r>
        <w:rPr>
          <w:rFonts w:ascii="Arial" w:cs="Arial" w:eastAsia="Arial" w:hAnsi="Arial"/>
          <w:sz w:val="22"/>
          <w:szCs w:val="22"/>
          <w:b w:val="1"/>
          <w:bCs w:val="1"/>
          <w:u w:val="single" w:color="auto"/>
          <w:color w:val="auto"/>
        </w:rPr>
        <w:t>Trading Day</w:t>
      </w:r>
      <w:r>
        <w:rPr>
          <w:rFonts w:ascii="Arial" w:cs="Arial" w:eastAsia="Arial" w:hAnsi="Arial"/>
          <w:sz w:val="22"/>
          <w:szCs w:val="22"/>
          <w:color w:val="auto"/>
        </w:rPr>
        <w:t>” means any day on which the Company’s Common Stock is purchased and sold on the principal market on which the Common Stock is listed or quoted.</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Notwithstanding any other provision of this Agreement, the Company shall not offer, sell or deliver, or request the offer or sale, of any Placement Shares pursuant to this Agreement and, by notice to the Agent given by telephone (confirmed promptly by email), shall cancel any instructions for the offer or sale of any Placement Shares, and the Agent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Arial" w:cs="Arial" w:eastAsia="Arial" w:hAnsi="Arial"/>
          <w:sz w:val="22"/>
          <w:szCs w:val="22"/>
          <w:b w:val="1"/>
          <w:bCs w:val="1"/>
          <w:u w:val="single" w:color="auto"/>
          <w:color w:val="auto"/>
        </w:rPr>
        <w:t>Earnings Announcement</w:t>
      </w:r>
      <w:r>
        <w:rPr>
          <w:rFonts w:ascii="Arial" w:cs="Arial" w:eastAsia="Arial" w:hAnsi="Arial"/>
          <w:sz w:val="22"/>
          <w:szCs w:val="22"/>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211"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42" w:lineRule="auto"/>
        <w:tabs>
          <w:tab w:leader="none" w:pos="12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suspend any sale of Placement Shares;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suspension shall not affect or impair either party’s obligations with respect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any Placement Shares sold hereunder prior to the receipt of such notice. While a suspension is in effect, any obligation under Section 7(m), 7(n), 7(o) and 7(p) with respect to delivery of certificates, opinions, negative assurance letters or comfort letters to Agent, shall be waived;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certificates, opinions, negative assurance letters or comfort letters shall be delivered to the Agent prior to the resumption of sales of any Placement Shares. Each of the parties agrees that no such notice under this Section 4 shall be effective against the other unless it is made to one of the individuals named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hereto as such schedule may be amended from time to time.</w:t>
      </w:r>
    </w:p>
    <w:p>
      <w:pPr>
        <w:spacing w:after="0" w:line="209" w:lineRule="exact"/>
        <w:rPr>
          <w:rFonts w:ascii="Arial" w:cs="Arial" w:eastAsia="Arial" w:hAnsi="Arial"/>
          <w:sz w:val="21"/>
          <w:szCs w:val="21"/>
          <w:color w:val="auto"/>
        </w:rPr>
      </w:pPr>
    </w:p>
    <w:p>
      <w:pPr>
        <w:jc w:val="both"/>
        <w:ind w:firstLine="656"/>
        <w:spacing w:after="0" w:line="234"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either the Agent or the Company has reason to believe that the exemptive provisions set forth in Rule 101(c)(1) of Regulation M under the Exchange Act are not satisfied with respect to the Common Stock, it shall promptly notify the other party, and the Agent may, at its sole discretion, suspend sales of the Placement Shares under this Agreement.</w:t>
      </w:r>
    </w:p>
    <w:p>
      <w:pPr>
        <w:spacing w:after="0" w:line="228"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Registration Statement was declared effective by the Commission on May 2, 2022. Notwithstanding any other provision of this Agreement, during any period in which the Registration Statement is no longer effective under the Securities Act, the Company shall promptly notify the Agent, the Company shall not request the sale of any Placement Shares, and the Agent shall not be obligated to sell or offer to sell any Placement Shares. The requirement to promptly notify the Agent pursuant to this Section 4(c) shall be waived during any period in which no Placement Notice is pending.</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02" w:lineRule="exact"/>
        <w:rPr>
          <w:rFonts w:ascii="Arial" w:cs="Arial" w:eastAsia="Arial" w:hAnsi="Arial"/>
          <w:sz w:val="21"/>
          <w:szCs w:val="21"/>
          <w:color w:val="auto"/>
        </w:rPr>
      </w:pPr>
    </w:p>
    <w:p>
      <w:pPr>
        <w:ind w:left="4920" w:hanging="116"/>
        <w:spacing w:after="0"/>
        <w:tabs>
          <w:tab w:leader="none" w:pos="4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79" w:name="page180"/>
    <w:bookmarkEnd w:id="179"/>
    <w:p>
      <w:pPr>
        <w:ind w:left="840" w:hanging="644"/>
        <w:spacing w:after="0"/>
        <w:tabs>
          <w:tab w:leader="none" w:pos="84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06" w:lineRule="exact"/>
        <w:rPr>
          <w:sz w:val="20"/>
          <w:szCs w:val="20"/>
          <w:color w:val="auto"/>
        </w:rPr>
      </w:pPr>
    </w:p>
    <w:p>
      <w:pPr>
        <w:jc w:val="both"/>
        <w:ind w:left="-460" w:firstLine="656"/>
        <w:spacing w:after="0" w:line="243" w:lineRule="auto"/>
        <w:tabs>
          <w:tab w:leader="none" w:pos="836"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Settlement of Placement Shares</w:t>
      </w:r>
      <w:r>
        <w:rPr>
          <w:rFonts w:ascii="Arial" w:cs="Arial" w:eastAsia="Arial" w:hAnsi="Arial"/>
          <w:sz w:val="21"/>
          <w:szCs w:val="21"/>
          <w:color w:val="auto"/>
        </w:rPr>
        <w:t>. Unless otherwise specified in the applicable Placement Notice, settlement for sales of Placement Shares will occur on the second (2</w:t>
      </w:r>
      <w:r>
        <w:rPr>
          <w:rFonts w:ascii="Arial" w:cs="Arial" w:eastAsia="Arial" w:hAnsi="Arial"/>
          <w:sz w:val="15"/>
          <w:szCs w:val="15"/>
          <w:color w:val="auto"/>
        </w:rPr>
        <w:t>nd</w:t>
      </w:r>
      <w:r>
        <w:rPr>
          <w:rFonts w:ascii="Arial" w:cs="Arial" w:eastAsia="Arial" w:hAnsi="Arial"/>
          <w:sz w:val="21"/>
          <w:szCs w:val="21"/>
          <w:color w:val="auto"/>
        </w:rPr>
        <w:t xml:space="preserve">) Trading Day (or such earlier day as is industry practice or as is required for regular-way trading) following the date on which such sales are made (each, a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Settlement Date</w:t>
      </w:r>
      <w:r>
        <w:rPr>
          <w:rFonts w:ascii="Arial" w:cs="Arial" w:eastAsia="Arial" w:hAnsi="Arial"/>
          <w:sz w:val="21"/>
          <w:szCs w:val="21"/>
          <w:color w:val="auto"/>
        </w:rPr>
        <w:t>”</w:t>
      </w:r>
      <w:r>
        <w:rPr>
          <w:rFonts w:ascii="Arial" w:cs="Arial" w:eastAsia="Arial" w:hAnsi="Arial"/>
          <w:sz w:val="21"/>
          <w:szCs w:val="21"/>
          <w:color w:val="auto"/>
        </w:rPr>
        <w:t xml:space="preserve"> and the first such settlement date, the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First Delivery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Date</w:t>
      </w:r>
      <w:r>
        <w:rPr>
          <w:rFonts w:ascii="Arial" w:cs="Arial" w:eastAsia="Arial" w:hAnsi="Arial"/>
          <w:sz w:val="21"/>
          <w:szCs w:val="21"/>
          <w:color w:val="auto"/>
        </w:rPr>
        <w:t>”</w:t>
      </w:r>
      <w:r>
        <w:rPr>
          <w:rFonts w:ascii="Arial" w:cs="Arial" w:eastAsia="Arial" w:hAnsi="Arial"/>
          <w:sz w:val="21"/>
          <w:szCs w:val="21"/>
          <w:color w:val="auto"/>
        </w:rPr>
        <w:t>). The amount of proceeds to be delivered to the Company on a Settlement Date against receipt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the Placement Shares sold (the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Net Proceeds</w:t>
      </w:r>
      <w:r>
        <w:rPr>
          <w:rFonts w:ascii="Arial" w:cs="Arial" w:eastAsia="Arial" w:hAnsi="Arial"/>
          <w:sz w:val="21"/>
          <w:szCs w:val="21"/>
          <w:color w:val="auto"/>
        </w:rPr>
        <w:t>”</w:t>
      </w:r>
      <w:r>
        <w:rPr>
          <w:rFonts w:ascii="Arial" w:cs="Arial" w:eastAsia="Arial" w:hAnsi="Arial"/>
          <w:sz w:val="21"/>
          <w:szCs w:val="21"/>
          <w:color w:val="auto"/>
        </w:rPr>
        <w:t>) will be equal to the aggregate gross sales price received by the Agent at which such Placement Shares were sold, after deduction for (i) the Agent</w:t>
      </w:r>
      <w:r>
        <w:rPr>
          <w:rFonts w:ascii="Arial" w:cs="Arial" w:eastAsia="Arial" w:hAnsi="Arial"/>
          <w:sz w:val="21"/>
          <w:szCs w:val="21"/>
          <w:color w:val="auto"/>
        </w:rPr>
        <w:t>’</w:t>
      </w:r>
      <w:r>
        <w:rPr>
          <w:rFonts w:ascii="Arial" w:cs="Arial" w:eastAsia="Arial" w:hAnsi="Arial"/>
          <w:sz w:val="21"/>
          <w:szCs w:val="21"/>
          <w:color w:val="auto"/>
        </w:rPr>
        <w:t xml:space="preserve">s commission, discount or other compensation for such sales payable by the Company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 (ii) any other amounts due and payable by the Company to the Agent hereunder pursuant to </w:t>
      </w:r>
      <w:r>
        <w:rPr>
          <w:rFonts w:ascii="Arial" w:cs="Arial" w:eastAsia="Arial" w:hAnsi="Arial"/>
          <w:sz w:val="21"/>
          <w:szCs w:val="21"/>
          <w:u w:val="single" w:color="auto"/>
          <w:color w:val="auto"/>
        </w:rPr>
        <w:t>Section 7(g)</w:t>
      </w:r>
      <w:r>
        <w:rPr>
          <w:rFonts w:ascii="Arial" w:cs="Arial" w:eastAsia="Arial" w:hAnsi="Arial"/>
          <w:sz w:val="21"/>
          <w:szCs w:val="21"/>
          <w:color w:val="auto"/>
        </w:rPr>
        <w:t xml:space="preserve"> (Expenses) hereof, and (iii) any transaction fees imposed by any governmental or self-regulatory organization in respect of such sales that are payable by the Agent.</w:t>
      </w:r>
    </w:p>
    <w:p>
      <w:pPr>
        <w:spacing w:after="0" w:line="199" w:lineRule="exact"/>
        <w:rPr>
          <w:rFonts w:ascii="Arial" w:cs="Arial" w:eastAsia="Arial" w:hAnsi="Arial"/>
          <w:sz w:val="21"/>
          <w:szCs w:val="21"/>
          <w:color w:val="auto"/>
        </w:rPr>
      </w:pPr>
    </w:p>
    <w:p>
      <w:pPr>
        <w:jc w:val="both"/>
        <w:ind w:left="-460" w:firstLine="656"/>
        <w:spacing w:after="0" w:line="231" w:lineRule="auto"/>
        <w:tabs>
          <w:tab w:leader="none" w:pos="83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Delivery of Placement Shares</w:t>
      </w:r>
      <w:r>
        <w:rPr>
          <w:rFonts w:ascii="Arial" w:cs="Arial" w:eastAsia="Arial" w:hAnsi="Arial"/>
          <w:sz w:val="22"/>
          <w:szCs w:val="22"/>
          <w:color w:val="auto"/>
        </w:rPr>
        <w:t>. On or before each Settlement Date, the Company will, or will cause its transfer agent to, electronically transfer the Placement Shares being sold by crediting the Agent</w:t>
      </w:r>
      <w:r>
        <w:rPr>
          <w:rFonts w:ascii="Arial" w:cs="Arial" w:eastAsia="Arial" w:hAnsi="Arial"/>
          <w:sz w:val="22"/>
          <w:szCs w:val="22"/>
          <w:color w:val="auto"/>
        </w:rPr>
        <w:t>’</w:t>
      </w:r>
      <w:r>
        <w:rPr>
          <w:rFonts w:ascii="Arial" w:cs="Arial" w:eastAsia="Arial" w:hAnsi="Arial"/>
          <w:sz w:val="22"/>
          <w:szCs w:val="22"/>
          <w:color w:val="auto"/>
        </w:rPr>
        <w:t>s or its designee</w:t>
      </w:r>
      <w:r>
        <w:rPr>
          <w:rFonts w:ascii="Arial" w:cs="Arial" w:eastAsia="Arial" w:hAnsi="Arial"/>
          <w:sz w:val="22"/>
          <w:szCs w:val="22"/>
          <w:color w:val="auto"/>
        </w:rPr>
        <w:t>’</w:t>
      </w:r>
      <w:r>
        <w:rPr>
          <w:rFonts w:ascii="Arial" w:cs="Arial" w:eastAsia="Arial" w:hAnsi="Arial"/>
          <w:sz w:val="22"/>
          <w:szCs w:val="22"/>
          <w:color w:val="auto"/>
        </w:rPr>
        <w:t>s account (provided the Agent shall have given the Company written notice of such designee at least one (1) Trading Day prior to the Settlement Date) at The Depository Trust Company through its Deposit and Withdrawal at Custodian System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the Agent, the Company agrees that in addition to and in no way limiting the rights and obligations set forth in Section 9(a)</w:t>
      </w:r>
      <w:r>
        <w:rPr>
          <w:rFonts w:ascii="Arial" w:cs="Arial" w:eastAsia="Arial" w:hAnsi="Arial"/>
          <w:sz w:val="22"/>
          <w:szCs w:val="22"/>
          <w:color w:val="auto"/>
        </w:rPr>
        <w:t>‎</w:t>
      </w:r>
      <w:r>
        <w:rPr>
          <w:rFonts w:ascii="Arial" w:cs="Arial" w:eastAsia="Arial" w:hAnsi="Arial"/>
          <w:sz w:val="22"/>
          <w:szCs w:val="22"/>
          <w:color w:val="auto"/>
        </w:rPr>
        <w:t xml:space="preserve"> (Company Indemnification) hereto, it will (i) hold the Agent harmless against any loss, claim, damage, or reasonable and documented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w:t>
      </w:r>
    </w:p>
    <w:p>
      <w:pPr>
        <w:spacing w:after="0" w:line="208" w:lineRule="exact"/>
        <w:rPr>
          <w:sz w:val="20"/>
          <w:szCs w:val="20"/>
          <w:color w:val="auto"/>
        </w:rPr>
      </w:pPr>
    </w:p>
    <w:p>
      <w:pPr>
        <w:jc w:val="both"/>
        <w:ind w:left="-460" w:firstLine="656"/>
        <w:spacing w:after="0" w:line="233" w:lineRule="auto"/>
        <w:tabs>
          <w:tab w:leader="none" w:pos="83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xml:space="preserve">. The Company represents and warrants to, and agrees with, the Agent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Representation Date</w:t>
      </w:r>
      <w:r>
        <w:rPr>
          <w:rFonts w:ascii="Arial" w:cs="Arial" w:eastAsia="Arial" w:hAnsi="Arial"/>
          <w:sz w:val="22"/>
          <w:szCs w:val="22"/>
          <w:color w:val="auto"/>
        </w:rPr>
        <w:t>”</w:t>
      </w:r>
      <w:r>
        <w:rPr>
          <w:rFonts w:ascii="Arial" w:cs="Arial" w:eastAsia="Arial" w:hAnsi="Arial"/>
          <w:sz w:val="22"/>
          <w:szCs w:val="22"/>
          <w:color w:val="auto"/>
        </w:rPr>
        <w:t>):</w:t>
      </w:r>
    </w:p>
    <w:p>
      <w:pPr>
        <w:spacing w:after="0" w:line="203" w:lineRule="exact"/>
        <w:rPr>
          <w:sz w:val="20"/>
          <w:szCs w:val="20"/>
          <w:color w:val="auto"/>
        </w:rPr>
      </w:pPr>
    </w:p>
    <w:p>
      <w:pPr>
        <w:jc w:val="both"/>
        <w:ind w:left="-460" w:firstLine="656"/>
        <w:spacing w:after="0" w:line="233" w:lineRule="auto"/>
        <w:tabs>
          <w:tab w:leader="none" w:pos="83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Compliance with Registration Requirements</w:t>
      </w:r>
      <w:r>
        <w:rPr>
          <w:rFonts w:ascii="Arial" w:cs="Arial" w:eastAsia="Arial" w:hAnsi="Arial"/>
          <w:sz w:val="22"/>
          <w:szCs w:val="22"/>
          <w:color w:val="auto"/>
        </w:rPr>
        <w:t>. The Registration Statement and any Rule 462(b) Registration Statement have been declared effective by the Commission under the Securities Act. The Company has complied to the Commission</w:t>
      </w:r>
      <w:r>
        <w:rPr>
          <w:rFonts w:ascii="Arial" w:cs="Arial" w:eastAsia="Arial" w:hAnsi="Arial"/>
          <w:sz w:val="22"/>
          <w:szCs w:val="22"/>
          <w:color w:val="auto"/>
        </w:rPr>
        <w:t>’</w:t>
      </w:r>
      <w:r>
        <w:rPr>
          <w:rFonts w:ascii="Arial" w:cs="Arial" w:eastAsia="Arial" w:hAnsi="Arial"/>
          <w:sz w:val="22"/>
          <w:szCs w:val="22"/>
          <w:color w:val="auto"/>
        </w:rPr>
        <w:t>s satisfaction with all requests of the Commission for additional or supplemental information related to the Registration Statement or the Prospectus or any Rule 462(b) Registration Statement. No stop order suspending the effectiveness of the Registration Statement or any Rule 462(b) Registration Statement is in effect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460" w:hanging="116"/>
        <w:spacing w:after="0"/>
        <w:tabs>
          <w:tab w:leader="none" w:pos="44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180" w:name="page181"/>
    <w:bookmarkEnd w:id="180"/>
    <w:p>
      <w:pPr>
        <w:jc w:val="both"/>
        <w:spacing w:after="0" w:line="234" w:lineRule="auto"/>
        <w:rPr>
          <w:sz w:val="20"/>
          <w:szCs w:val="20"/>
          <w:color w:val="auto"/>
        </w:rPr>
      </w:pPr>
      <w:r>
        <w:rPr>
          <w:rFonts w:ascii="Arial" w:cs="Arial" w:eastAsia="Arial" w:hAnsi="Arial"/>
          <w:sz w:val="22"/>
          <w:szCs w:val="22"/>
          <w:color w:val="auto"/>
        </w:rPr>
        <w:t>and no proceedings for such purpose have been instituted or are pending or, to the knowledge of the Company, threatened by the Commission. The Company meets the requirements for use of Form S-3 under the Securities Act. The sale of the Placement Shares hereunder meets the requirements of General Instruction I.B.1 of Form S-3.</w:t>
      </w:r>
    </w:p>
    <w:p>
      <w:pPr>
        <w:spacing w:after="0" w:line="201" w:lineRule="exact"/>
        <w:rPr>
          <w:sz w:val="20"/>
          <w:szCs w:val="20"/>
          <w:color w:val="auto"/>
        </w:rPr>
      </w:pPr>
    </w:p>
    <w:p>
      <w:pPr>
        <w:jc w:val="both"/>
        <w:ind w:firstLine="656"/>
        <w:spacing w:after="0" w:line="242" w:lineRule="auto"/>
        <w:tabs>
          <w:tab w:leader="none" w:pos="129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No Misstatement or Omission</w:t>
      </w:r>
      <w:r>
        <w:rPr>
          <w:rFonts w:ascii="Arial" w:cs="Arial" w:eastAsia="Arial" w:hAnsi="Arial"/>
          <w:sz w:val="21"/>
          <w:szCs w:val="21"/>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21"/>
          <w:szCs w:val="21"/>
          <w:b w:val="1"/>
          <w:bCs w:val="1"/>
          <w:u w:val="single" w:color="auto"/>
          <w:color w:val="auto"/>
        </w:rPr>
        <w:t>Time of Sale</w:t>
      </w:r>
      <w:r>
        <w:rPr>
          <w:rFonts w:ascii="Arial" w:cs="Arial" w:eastAsia="Arial" w:hAnsi="Arial"/>
          <w:sz w:val="21"/>
          <w:szCs w:val="21"/>
          <w:color w:val="auto"/>
        </w:rPr>
        <w:t>” means with respect to each offering of Placement Shares pursuant to this Agreement, the time of the Agent’s initial entry into contracts with purchasers for the sale of such Placement Shares.</w:t>
      </w:r>
    </w:p>
    <w:p>
      <w:pPr>
        <w:spacing w:after="0" w:line="206" w:lineRule="exact"/>
        <w:rPr>
          <w:rFonts w:ascii="Arial" w:cs="Arial" w:eastAsia="Arial" w:hAnsi="Arial"/>
          <w:sz w:val="21"/>
          <w:szCs w:val="21"/>
          <w:color w:val="auto"/>
        </w:rPr>
      </w:pPr>
    </w:p>
    <w:p>
      <w:pPr>
        <w:jc w:val="both"/>
        <w:ind w:firstLine="656"/>
        <w:spacing w:after="0" w:line="232"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Offering Materials Furnished to the Agent</w:t>
      </w:r>
      <w:r>
        <w:rPr>
          <w:rFonts w:ascii="Arial" w:cs="Arial" w:eastAsia="Arial" w:hAnsi="Arial"/>
          <w:sz w:val="22"/>
          <w:szCs w:val="22"/>
          <w:color w:val="auto"/>
        </w:rPr>
        <w:t>. The Company has delivered to the Agent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Agent has reasonably requested. The Registration Statement, the Prospectus and any Permitted Free Writing Prospectus (to the extent any such Permitted Free Writing Prospectus was required to be filed with the Commission) delivered to the Agent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87" w:lineRule="exact"/>
        <w:rPr>
          <w:rFonts w:ascii="Arial" w:cs="Arial" w:eastAsia="Arial" w:hAnsi="Arial"/>
          <w:sz w:val="22"/>
          <w:szCs w:val="22"/>
          <w:color w:val="auto"/>
        </w:rPr>
      </w:pPr>
    </w:p>
    <w:p>
      <w:pPr>
        <w:jc w:val="both"/>
        <w:ind w:firstLine="656"/>
        <w:spacing w:after="0"/>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Not an Ineligible Issuer</w:t>
      </w:r>
      <w:r>
        <w:rPr>
          <w:rFonts w:ascii="Arial" w:cs="Arial" w:eastAsia="Arial" w:hAnsi="Arial"/>
          <w:sz w:val="22"/>
          <w:szCs w:val="22"/>
          <w:color w:val="auto"/>
        </w:rPr>
        <w:t>. The Company currently is not an “ineligible issuer,” as defined in Rule 405 under the Securities Act. The Company agrees to notify the Agent promptly upon the Company becoming an “ineligible issuer.”</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Distribution of Offering Material By the Company</w:t>
      </w:r>
      <w:r>
        <w:rPr>
          <w:rFonts w:ascii="Arial" w:cs="Arial" w:eastAsia="Arial" w:hAnsi="Arial"/>
          <w:sz w:val="22"/>
          <w:szCs w:val="22"/>
          <w:color w:val="auto"/>
        </w:rPr>
        <w:t>. The Company has not distributed and will not distribute, prior to the completion of the Agent’s distribution of the Placement Shares, any offering material in connection with the offer and sale of the Placement Shares other than the Prospectus or the Registration Statement.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4920" w:hanging="116"/>
        <w:spacing w:after="0"/>
        <w:tabs>
          <w:tab w:leader="none" w:pos="49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1" w:name="page182"/>
    <w:bookmarkEnd w:id="181"/>
    <w:p>
      <w:pPr>
        <w:jc w:val="both"/>
        <w:ind w:left="-460" w:firstLine="656"/>
        <w:spacing w:after="0" w:line="234" w:lineRule="auto"/>
        <w:tabs>
          <w:tab w:leader="none" w:pos="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Due Authorization.</w:t>
      </w:r>
      <w:r>
        <w:rPr>
          <w:rFonts w:ascii="Arial" w:cs="Arial" w:eastAsia="Arial" w:hAnsi="Arial"/>
          <w:sz w:val="22"/>
          <w:szCs w:val="22"/>
          <w:color w:val="auto"/>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201" w:lineRule="exact"/>
        <w:rPr>
          <w:rFonts w:ascii="Arial" w:cs="Arial" w:eastAsia="Arial" w:hAnsi="Arial"/>
          <w:sz w:val="22"/>
          <w:szCs w:val="22"/>
          <w:color w:val="auto"/>
        </w:rPr>
      </w:pPr>
    </w:p>
    <w:p>
      <w:pPr>
        <w:jc w:val="both"/>
        <w:ind w:left="-460" w:firstLine="656"/>
        <w:spacing w:after="0" w:line="233" w:lineRule="auto"/>
        <w:tabs>
          <w:tab w:leader="none" w:pos="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The Sales Agreement.</w:t>
      </w:r>
      <w:r>
        <w:rPr>
          <w:rFonts w:ascii="Arial" w:cs="Arial" w:eastAsia="Arial" w:hAnsi="Arial"/>
          <w:sz w:val="22"/>
          <w:szCs w:val="22"/>
          <w:color w:val="auto"/>
        </w:rPr>
        <w:t xml:space="preserve"> This Agreement has been duly authorized, executed and delivered by, and, assuming the due authorization, execution and delivery by the Agent,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200" w:lineRule="exact"/>
        <w:rPr>
          <w:rFonts w:ascii="Arial" w:cs="Arial" w:eastAsia="Arial" w:hAnsi="Arial"/>
          <w:sz w:val="22"/>
          <w:szCs w:val="22"/>
          <w:color w:val="auto"/>
        </w:rPr>
      </w:pPr>
    </w:p>
    <w:p>
      <w:pPr>
        <w:jc w:val="both"/>
        <w:ind w:left="-460" w:firstLine="656"/>
        <w:spacing w:after="0" w:line="232" w:lineRule="auto"/>
        <w:tabs>
          <w:tab w:leader="none" w:pos="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Authorization of the Common Stock</w:t>
      </w:r>
      <w:r>
        <w:rPr>
          <w:rFonts w:ascii="Arial" w:cs="Arial" w:eastAsia="Arial" w:hAnsi="Arial"/>
          <w:sz w:val="22"/>
          <w:szCs w:val="22"/>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and will conform in all material respects to the descriptions thereof in the Registration Statement and the Prospectus; and the issuance of the Placement Shares is not subject to any preemptive or similar rights that have not been duly waived or satisfied.</w:t>
      </w:r>
    </w:p>
    <w:p>
      <w:pPr>
        <w:spacing w:after="0" w:line="205" w:lineRule="exact"/>
        <w:rPr>
          <w:rFonts w:ascii="Arial" w:cs="Arial" w:eastAsia="Arial" w:hAnsi="Arial"/>
          <w:sz w:val="22"/>
          <w:szCs w:val="22"/>
          <w:color w:val="auto"/>
        </w:rPr>
      </w:pPr>
    </w:p>
    <w:p>
      <w:pPr>
        <w:jc w:val="both"/>
        <w:ind w:left="-460" w:firstLine="656"/>
        <w:spacing w:after="0" w:line="231" w:lineRule="auto"/>
        <w:tabs>
          <w:tab w:leader="none" w:pos="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xml:space="preserve"> The Company has an authorized capitalization as set forth or incorporated by reference in the Registration Statement and the Prospectus as of the date specified therein;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81" w:lineRule="exact"/>
        <w:rPr>
          <w:rFonts w:ascii="Arial" w:cs="Arial" w:eastAsia="Arial" w:hAnsi="Arial"/>
          <w:sz w:val="22"/>
          <w:szCs w:val="22"/>
          <w:color w:val="auto"/>
        </w:rPr>
      </w:pPr>
    </w:p>
    <w:p>
      <w:pPr>
        <w:jc w:val="both"/>
        <w:ind w:left="-460" w:firstLine="656"/>
        <w:spacing w:after="0" w:line="236" w:lineRule="auto"/>
        <w:tabs>
          <w:tab w:leader="none" w:pos="83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 xml:space="preserve"> With respect to the stock options (the “</w:t>
      </w:r>
      <w:r>
        <w:rPr>
          <w:rFonts w:ascii="Arial" w:cs="Arial" w:eastAsia="Arial" w:hAnsi="Arial"/>
          <w:sz w:val="22"/>
          <w:szCs w:val="22"/>
          <w:b w:val="1"/>
          <w:bCs w:val="1"/>
          <w:u w:val="single" w:color="auto"/>
          <w:color w:val="auto"/>
        </w:rPr>
        <w:t>Stock Options</w:t>
      </w:r>
      <w:r>
        <w:rPr>
          <w:rFonts w:ascii="Arial" w:cs="Arial" w:eastAsia="Arial" w:hAnsi="Arial"/>
          <w:sz w:val="22"/>
          <w:szCs w:val="22"/>
          <w:color w:val="auto"/>
        </w:rPr>
        <w:t>”) granted pursuant to the stock-based compensation plans of the Company and its subsidiaries (the “</w:t>
      </w:r>
      <w:r>
        <w:rPr>
          <w:rFonts w:ascii="Arial" w:cs="Arial" w:eastAsia="Arial" w:hAnsi="Arial"/>
          <w:sz w:val="22"/>
          <w:szCs w:val="22"/>
          <w:b w:val="1"/>
          <w:bCs w:val="1"/>
          <w:u w:val="single" w:color="auto"/>
          <w:color w:val="auto"/>
        </w:rPr>
        <w:t>Company Stock</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Plans</w:t>
      </w:r>
      <w:r>
        <w:rPr>
          <w:rFonts w:ascii="Arial" w:cs="Arial" w:eastAsia="Arial" w:hAnsi="Arial"/>
          <w:sz w:val="22"/>
          <w:szCs w:val="22"/>
          <w:color w:val="auto"/>
        </w:rPr>
        <w:t>”), except to the extent not material, (i) each Stock Option intended to qualify as an</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under Section 422 of the Code (as defined below) so qualifies, (ii) each grant of a Stock Option was duly authorized no later than the date on which the grant of such Stock Option was by its terms to be effective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by all necessary corporate action, including, as applicable, approval by the board of directors of the Company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4460" w:hanging="116"/>
        <w:spacing w:after="0"/>
        <w:tabs>
          <w:tab w:leader="none" w:pos="44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182" w:name="page183"/>
    <w:bookmarkEnd w:id="182"/>
    <w:p>
      <w:pPr>
        <w:jc w:val="both"/>
        <w:spacing w:after="0" w:line="243" w:lineRule="auto"/>
        <w:rPr>
          <w:sz w:val="20"/>
          <w:szCs w:val="20"/>
          <w:color w:val="auto"/>
        </w:rPr>
      </w:pPr>
      <w:r>
        <w:rPr>
          <w:rFonts w:ascii="Arial" w:cs="Arial" w:eastAsia="Arial" w:hAnsi="Arial"/>
          <w:sz w:val="21"/>
          <w:szCs w:val="21"/>
          <w:color w:val="auto"/>
        </w:rPr>
        <w:t>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applicable rules of Nasdaq, and (iv) each such grant was properly accounted for in accordance with GAAP (as defined below)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201" w:lineRule="exact"/>
        <w:rPr>
          <w:sz w:val="20"/>
          <w:szCs w:val="20"/>
          <w:color w:val="auto"/>
        </w:rPr>
      </w:pPr>
    </w:p>
    <w:p>
      <w:pPr>
        <w:jc w:val="both"/>
        <w:ind w:firstLine="656"/>
        <w:spacing w:after="0" w:line="234"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Applicable Registration or Other Similar Rights</w:t>
      </w:r>
      <w:r>
        <w:rPr>
          <w:rFonts w:ascii="Arial" w:cs="Arial" w:eastAsia="Arial" w:hAnsi="Arial"/>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201"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the most recent financial statements of the Company included or incorporated by reference in the Prospectus, (i) there has not been any change in the capital stock (other than the issuance of shares of Common Stock upon exercise of stock options and vesting and settlement of restricted stock units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Prospectus.</w:t>
      </w:r>
    </w:p>
    <w:p>
      <w:pPr>
        <w:spacing w:after="0" w:line="206"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Independent Accountants</w:t>
      </w:r>
      <w:r>
        <w:rPr>
          <w:rFonts w:ascii="Arial" w:cs="Arial" w:eastAsia="Arial" w:hAnsi="Arial"/>
          <w:sz w:val="22"/>
          <w:szCs w:val="22"/>
          <w:color w:val="auto"/>
        </w:rPr>
        <w:t>. Ernst &amp; Young LLP, who has expressed its opinion with respect to the consolidated financial statements (which term as used in this Agreement includes the related notes thereto) and supporting schedules filed with the Commission or incorporated by reference as a part of the Registration Statement and the Prospectus, is an independent registered public accounting firm as required by the Securities Act and the Exchange Act.</w:t>
      </w:r>
    </w:p>
    <w:p>
      <w:pPr>
        <w:spacing w:after="0" w:line="203" w:lineRule="exact"/>
        <w:rPr>
          <w:rFonts w:ascii="Arial" w:cs="Arial" w:eastAsia="Arial" w:hAnsi="Arial"/>
          <w:sz w:val="22"/>
          <w:szCs w:val="22"/>
          <w:color w:val="auto"/>
        </w:rPr>
      </w:pPr>
    </w:p>
    <w:p>
      <w:pPr>
        <w:ind w:right="20" w:firstLine="656"/>
        <w:spacing w:after="0" w:line="238"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Preparation of the Financial Statements</w:t>
      </w:r>
      <w:r>
        <w:rPr>
          <w:rFonts w:ascii="Arial" w:cs="Arial" w:eastAsia="Arial" w:hAnsi="Arial"/>
          <w:sz w:val="22"/>
          <w:szCs w:val="22"/>
          <w:color w:val="auto"/>
        </w:rPr>
        <w:t>. The financial statements (including the related notes thereto) of the Company and its consolidated subsidiaries included or incorporated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4920" w:hanging="116"/>
        <w:spacing w:after="0"/>
        <w:tabs>
          <w:tab w:leader="none" w:pos="4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3" w:name="page184"/>
    <w:bookmarkEnd w:id="183"/>
    <w:p>
      <w:pPr>
        <w:jc w:val="both"/>
        <w:spacing w:after="0" w:line="231" w:lineRule="auto"/>
        <w:rPr>
          <w:sz w:val="20"/>
          <w:szCs w:val="20"/>
          <w:color w:val="auto"/>
        </w:rPr>
      </w:pPr>
      <w:r>
        <w:rPr>
          <w:rFonts w:ascii="Arial" w:cs="Arial" w:eastAsia="Arial" w:hAnsi="Arial"/>
          <w:sz w:val="22"/>
          <w:szCs w:val="22"/>
          <w:color w:val="auto"/>
        </w:rPr>
        <w:t>by reference in the Registration Statement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in the United States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or incorporated by reference in the Registration Statement and Prospectus present fairly in all material respects the information required to be stated therein; and the other financial information included in the Registration Statement and the Prospectus has been derived from the accounting records of the Company and its consolidated subsidiaries and presents fairly in all material respects the information shown thereby; and the pro forma financial information and the related notes thereto have been prepared in accordance with the applicable requirements of the Securities Act in all material respects, and the assumptions underlying such pro forma financial information are reasonable and are set forth in the Registration Statement and the Prospectus.</w:t>
      </w:r>
    </w:p>
    <w:p>
      <w:pPr>
        <w:spacing w:after="0" w:line="208" w:lineRule="exact"/>
        <w:rPr>
          <w:sz w:val="20"/>
          <w:szCs w:val="20"/>
          <w:color w:val="auto"/>
        </w:rPr>
      </w:pPr>
    </w:p>
    <w:p>
      <w:pPr>
        <w:jc w:val="both"/>
        <w:ind w:firstLine="656"/>
        <w:spacing w:after="0" w:line="234"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XBRL</w:t>
      </w:r>
      <w:r>
        <w:rPr>
          <w:rFonts w:ascii="Arial" w:cs="Arial" w:eastAsia="Arial" w:hAnsi="Arial"/>
          <w:sz w:val="22"/>
          <w:szCs w:val="22"/>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201"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Incorporation and Good Standing of the Company and its Subsidiaries</w:t>
      </w:r>
      <w:r>
        <w:rPr>
          <w:rFonts w:ascii="Arial" w:cs="Arial" w:eastAsia="Arial" w:hAnsi="Arial"/>
          <w:sz w:val="22"/>
          <w:szCs w:val="22"/>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Arial" w:cs="Arial" w:eastAsia="Arial" w:hAnsi="Arial"/>
          <w:sz w:val="22"/>
          <w:szCs w:val="22"/>
          <w:b w:val="1"/>
          <w:bCs w:val="1"/>
          <w:u w:val="single" w:color="auto"/>
          <w:color w:val="auto"/>
        </w:rPr>
        <w:t>Material Adverse Change</w:t>
      </w:r>
      <w:r>
        <w:rPr>
          <w:rFonts w:ascii="Arial" w:cs="Arial" w:eastAsia="Arial" w:hAnsi="Arial"/>
          <w:sz w:val="22"/>
          <w:szCs w:val="22"/>
          <w:color w:val="auto"/>
        </w:rPr>
        <w:t>”).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208"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 Conflicts.</w:t>
      </w:r>
      <w:r>
        <w:rPr>
          <w:rFonts w:ascii="Arial" w:cs="Arial" w:eastAsia="Arial" w:hAnsi="Arial"/>
          <w:sz w:val="22"/>
          <w:szCs w:val="22"/>
          <w:color w:val="auto"/>
        </w:rPr>
        <w:t xml:space="preserve"> The execution, delivery and performance by the Company of this Agreement, the issuance and sale of the Placement Shares and the consummation by the Company of the transactions contemplated by this Agreement and the Prospectus will not (i) conflict with or result in a breach or violation of any of the terms or provisions of, or constitute a default under, result in the termination, modification or acceleration of, or result in the creation or imposition of any lien,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4920" w:hanging="116"/>
        <w:spacing w:after="0"/>
        <w:tabs>
          <w:tab w:leader="none" w:pos="49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4" w:name="page185"/>
    <w:bookmarkEnd w:id="184"/>
    <w:p>
      <w:pPr>
        <w:jc w:val="both"/>
        <w:spacing w:after="0" w:line="232" w:lineRule="auto"/>
        <w:rPr>
          <w:sz w:val="20"/>
          <w:szCs w:val="20"/>
          <w:color w:val="auto"/>
        </w:rPr>
      </w:pPr>
      <w:r>
        <w:rPr>
          <w:rFonts w:ascii="Arial" w:cs="Arial" w:eastAsia="Arial" w:hAnsi="Arial"/>
          <w:sz w:val="22"/>
          <w:szCs w:val="22"/>
          <w:color w:val="auto"/>
        </w:rPr>
        <w:t>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result in a Material Adverse Change.</w:t>
      </w:r>
    </w:p>
    <w:p>
      <w:pPr>
        <w:spacing w:after="0" w:line="201" w:lineRule="exact"/>
        <w:rPr>
          <w:sz w:val="20"/>
          <w:szCs w:val="20"/>
          <w:color w:val="auto"/>
        </w:rPr>
      </w:pPr>
    </w:p>
    <w:p>
      <w:pPr>
        <w:jc w:val="both"/>
        <w:ind w:firstLine="656"/>
        <w:spacing w:after="0" w:line="232"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xml:space="preserve"> No consent, approval, authorization, order, registration or qualification of or with any court or arbitrator or governmental or regulatory authority is required for the execution, delivery and performance by the Company of this Agreement, the issuance and sale of the Placement Shares and the consummation by the Company of the transactions contemplated by this Agreement, except for the registration of the Placement Shares under the Securities Act and such consents, approvals, authorizations, orders and registrations or qualifications as may be required by the Financial Industry Regulatory Authority, Inc.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and under applicable state securities or blue sky laws in connection with the sale of the Placement Shares by the Agent.</w:t>
      </w:r>
    </w:p>
    <w:p>
      <w:pPr>
        <w:spacing w:after="0" w:line="203"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Non-Contravention of Existing Instruments</w:t>
      </w:r>
      <w:r>
        <w:rPr>
          <w:rFonts w:ascii="Arial" w:cs="Arial" w:eastAsia="Arial" w:hAnsi="Arial"/>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Change.</w:t>
      </w:r>
    </w:p>
    <w:p>
      <w:pPr>
        <w:spacing w:after="0" w:line="200"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 Material Actions or Proceedings</w:t>
      </w:r>
      <w:r>
        <w:rPr>
          <w:rFonts w:ascii="Arial" w:cs="Arial" w:eastAsia="Arial" w:hAnsi="Arial"/>
          <w:sz w:val="22"/>
          <w:szCs w:val="22"/>
          <w:color w:val="auto"/>
        </w:rPr>
        <w:t>. There are no legal, governmental or regulatory investigations, actions, demands, claims, suits, arbitrations, inquiries or proceedings (“</w:t>
      </w:r>
      <w:r>
        <w:rPr>
          <w:rFonts w:ascii="Arial" w:cs="Arial" w:eastAsia="Arial" w:hAnsi="Arial"/>
          <w:sz w:val="22"/>
          <w:szCs w:val="22"/>
          <w:b w:val="1"/>
          <w:bCs w:val="1"/>
          <w:color w:val="auto"/>
        </w:rPr>
        <w:t>Actions</w:t>
      </w:r>
      <w:r>
        <w:rPr>
          <w:rFonts w:ascii="Arial" w:cs="Arial" w:eastAsia="Arial" w:hAnsi="Arial"/>
          <w:sz w:val="22"/>
          <w:szCs w:val="22"/>
          <w:color w:val="auto"/>
        </w:rPr>
        <w:t>”) pending to which the Company or any of its subsidiaries is or may reasonably be expected to become a party or to which any property of the Company or any of its subsidiaries is or may be the subject that, individually or in the aggregate, if determined adversely to the Company or any of its subsidiaries, could reasonably be expected to result in a Material Adverse Change;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0" w:lineRule="exact"/>
        <w:rPr>
          <w:rFonts w:ascii="Arial" w:cs="Arial" w:eastAsia="Arial" w:hAnsi="Arial"/>
          <w:sz w:val="22"/>
          <w:szCs w:val="22"/>
          <w:color w:val="auto"/>
        </w:rPr>
      </w:pPr>
    </w:p>
    <w:p>
      <w:pPr>
        <w:ind w:left="4860" w:hanging="106"/>
        <w:spacing w:after="0"/>
        <w:tabs>
          <w:tab w:leader="none" w:pos="48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5" w:name="page186"/>
    <w:bookmarkEnd w:id="185"/>
    <w:p>
      <w:pPr>
        <w:spacing w:after="0" w:line="238" w:lineRule="auto"/>
        <w:rPr>
          <w:sz w:val="20"/>
          <w:szCs w:val="20"/>
          <w:color w:val="auto"/>
        </w:rPr>
      </w:pPr>
      <w:r>
        <w:rPr>
          <w:rFonts w:ascii="Arial" w:cs="Arial" w:eastAsia="Arial" w:hAnsi="Arial"/>
          <w:sz w:val="22"/>
          <w:szCs w:val="22"/>
          <w:color w:val="auto"/>
        </w:rPr>
        <w:t>in the Registration Statement or the Prospectus that are not so filed as exhibits to the Registration Statement or described in the Registration Statement and the Prospectus.</w:t>
      </w:r>
    </w:p>
    <w:p>
      <w:pPr>
        <w:spacing w:after="0" w:line="200" w:lineRule="exact"/>
        <w:rPr>
          <w:sz w:val="20"/>
          <w:szCs w:val="20"/>
          <w:color w:val="auto"/>
        </w:rPr>
      </w:pPr>
    </w:p>
    <w:p>
      <w:pPr>
        <w:jc w:val="both"/>
        <w:ind w:firstLine="656"/>
        <w:spacing w:after="0" w:line="232"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Title to Real and Personal Property.</w:t>
      </w:r>
      <w:r>
        <w:rPr>
          <w:rFonts w:ascii="Arial" w:cs="Arial" w:eastAsia="Arial" w:hAnsi="Arial"/>
          <w:sz w:val="22"/>
          <w:szCs w:val="22"/>
          <w:color w:val="auto"/>
        </w:rPr>
        <w:t xml:space="preserve"> The Company has good and marketable title in fee simple (in the case of real property)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result in a Material Adverse Change.</w:t>
      </w:r>
    </w:p>
    <w:p>
      <w:pPr>
        <w:spacing w:after="0" w:line="205"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Licenses and Permits.</w:t>
      </w:r>
      <w:r>
        <w:rPr>
          <w:rFonts w:ascii="Arial" w:cs="Arial" w:eastAsia="Arial" w:hAnsi="Arial"/>
          <w:sz w:val="22"/>
          <w:szCs w:val="22"/>
          <w:color w:val="auto"/>
        </w:rPr>
        <w:t xml:space="preserve">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and the Prospectus, including, without limitation, from the U.S. Food and Drug Administration (the “</w:t>
      </w:r>
      <w:r>
        <w:rPr>
          <w:rFonts w:ascii="Arial" w:cs="Arial" w:eastAsia="Arial" w:hAnsi="Arial"/>
          <w:sz w:val="22"/>
          <w:szCs w:val="22"/>
          <w:b w:val="1"/>
          <w:bCs w:val="1"/>
          <w:color w:val="auto"/>
        </w:rPr>
        <w:t>FDA</w:t>
      </w:r>
      <w:r>
        <w:rPr>
          <w:rFonts w:ascii="Arial" w:cs="Arial" w:eastAsia="Arial" w:hAnsi="Arial"/>
          <w:sz w:val="22"/>
          <w:szCs w:val="22"/>
          <w:color w:val="auto"/>
        </w:rPr>
        <w:t>”), except where the failure to possess or make the same would not, individually or in the aggregate, reasonably be expected to result in a Material Adverse Change; and except as described in each of the Registration Statement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as would not, individually or in the aggregate, reasonably be expected to result in a Material Adverse Change.</w:t>
      </w:r>
    </w:p>
    <w:p>
      <w:pPr>
        <w:spacing w:after="0" w:line="209"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xml:space="preserve"> (i) No labor disturbance by or dispute with employees of the Company or any of its subsidiaries exists or, to the knowledge of the Company, is contemplated or threatened, and (ii) the Company is not aware of any existing or imminent labor disturbance by, or dispute with, the employees of any of its or its subsidiaries’ principal suppliers, contractors or customers, except in the case of each of (i) and (ii) above, as would not, individually or in the aggregate, reasonably be expected to result in a Material Adverse Change. Neither the Company nor any of its subsidiaries is a party to any collective bargaining agreement.</w:t>
      </w:r>
    </w:p>
    <w:p>
      <w:pPr>
        <w:spacing w:after="0" w:line="205"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Tax Law Compliance</w:t>
      </w:r>
      <w:r>
        <w:rPr>
          <w:rFonts w:ascii="Arial" w:cs="Arial" w:eastAsia="Arial" w:hAnsi="Arial"/>
          <w:sz w:val="22"/>
          <w:szCs w:val="22"/>
          <w:color w:val="auto"/>
        </w:rPr>
        <w:t>. The Company and its subsidiaries have filed all U.S. federal, state, local and foreign taxes required to be filed through the date hereof (except where the failure to file would not, individually or in the aggregate, reasonably be expected to result in a Material Adverse Change) and have paid all taxes required to be paid thereon (except where the failure to pay would not reasonably be expected to result in a Material Adverse Change, and except as are currently being contested in good faith and for which reserves required by GAAP have been created in the financial statements of the Company); and except as otherwise disclosed in each of the Registration Statement and the Prospectus, there is no tax deficiency that has been determined adversely to the Company or any of its subsidiaries which has resulted in (nor does the Company nor any of its subsidiaries have any notice or knowledge of any tax deficiency which is expected to be determined adversely to the Company or its subsidiaries and which could reasonably be expected to result in) a Material Adverse Change.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0" w:lineRule="exact"/>
        <w:rPr>
          <w:rFonts w:ascii="Arial" w:cs="Arial" w:eastAsia="Arial" w:hAnsi="Arial"/>
          <w:sz w:val="22"/>
          <w:szCs w:val="22"/>
          <w:color w:val="auto"/>
        </w:rPr>
      </w:pPr>
    </w:p>
    <w:p>
      <w:pPr>
        <w:ind w:left="4860" w:hanging="106"/>
        <w:spacing w:after="0"/>
        <w:tabs>
          <w:tab w:leader="none" w:pos="4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6" w:name="page187"/>
    <w:bookmarkEnd w:id="186"/>
    <w:p>
      <w:pPr>
        <w:jc w:val="both"/>
        <w:ind w:left="-460" w:firstLine="656"/>
        <w:spacing w:after="0" w:line="242" w:lineRule="auto"/>
        <w:tabs>
          <w:tab w:leader="none" w:pos="836"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Compliance with ERISA.</w:t>
      </w:r>
      <w:r>
        <w:rPr>
          <w:rFonts w:ascii="Arial" w:cs="Arial" w:eastAsia="Arial" w:hAnsi="Arial"/>
          <w:sz w:val="21"/>
          <w:szCs w:val="21"/>
          <w:color w:val="auto"/>
        </w:rPr>
        <w:t xml:space="preserve"> (i) Each employee benefit plan, within the meaning of Section 3(3) of the Employee Retirement Income Security Act of 1974, as amended (“</w:t>
      </w:r>
      <w:r>
        <w:rPr>
          <w:rFonts w:ascii="Arial" w:cs="Arial" w:eastAsia="Arial" w:hAnsi="Arial"/>
          <w:sz w:val="21"/>
          <w:szCs w:val="21"/>
          <w:b w:val="1"/>
          <w:bCs w:val="1"/>
          <w:u w:val="single" w:color="auto"/>
          <w:color w:val="auto"/>
        </w:rPr>
        <w:t>ERISA</w:t>
      </w:r>
      <w:r>
        <w:rPr>
          <w:rFonts w:ascii="Arial" w:cs="Arial" w:eastAsia="Arial" w:hAnsi="Arial"/>
          <w:sz w:val="21"/>
          <w:szCs w:val="21"/>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would have any liability (each, a “</w:t>
      </w:r>
      <w:r>
        <w:rPr>
          <w:rFonts w:ascii="Arial" w:cs="Arial" w:eastAsia="Arial" w:hAnsi="Arial"/>
          <w:sz w:val="21"/>
          <w:szCs w:val="21"/>
          <w:b w:val="1"/>
          <w:bCs w:val="1"/>
          <w:u w:val="single" w:color="auto"/>
          <w:color w:val="auto"/>
        </w:rPr>
        <w:t>Plan</w:t>
      </w:r>
      <w:r>
        <w:rPr>
          <w:rFonts w:ascii="Arial" w:cs="Arial" w:eastAsia="Arial" w:hAnsi="Arial"/>
          <w:sz w:val="21"/>
          <w:szCs w:val="21"/>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has received a favorable determination letter, or is entitled to rely on an opinion letter, from the Internal Revenue Service,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result a Material Adverse Change.</w:t>
      </w:r>
    </w:p>
    <w:p>
      <w:pPr>
        <w:spacing w:after="0" w:line="200" w:lineRule="exact"/>
        <w:rPr>
          <w:sz w:val="20"/>
          <w:szCs w:val="20"/>
          <w:color w:val="auto"/>
        </w:rPr>
      </w:pPr>
    </w:p>
    <w:p>
      <w:pPr>
        <w:spacing w:after="0" w:line="226" w:lineRule="exact"/>
        <w:rPr>
          <w:sz w:val="20"/>
          <w:szCs w:val="20"/>
          <w:color w:val="auto"/>
        </w:rPr>
      </w:pPr>
    </w:p>
    <w:p>
      <w:pPr>
        <w:jc w:val="both"/>
        <w:ind w:left="-460" w:firstLine="656"/>
        <w:spacing w:after="0" w:line="238" w:lineRule="auto"/>
        <w:tabs>
          <w:tab w:leader="none" w:pos="83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Company Not an</w:t>
      </w:r>
      <w:r>
        <w:rPr>
          <w:rFonts w:ascii="Arial" w:cs="Arial" w:eastAsia="Arial" w:hAnsi="Arial"/>
          <w:sz w:val="22"/>
          <w:szCs w:val="22"/>
          <w:color w:val="auto"/>
        </w:rPr>
        <w:t xml:space="preserve"> </w:t>
      </w:r>
      <w:r>
        <w:rPr>
          <w:rFonts w:ascii="Arial" w:cs="Arial" w:eastAsia="Arial" w:hAnsi="Arial"/>
          <w:sz w:val="22"/>
          <w:szCs w:val="22"/>
          <w:u w:val="single" w:color="auto"/>
          <w:color w:val="auto"/>
        </w:rPr>
        <w:t>“Investment Company</w:t>
      </w:r>
      <w:r>
        <w:rPr>
          <w:rFonts w:ascii="Arial" w:cs="Arial" w:eastAsia="Arial" w:hAnsi="Arial"/>
          <w:sz w:val="22"/>
          <w:szCs w:val="22"/>
          <w:color w:val="auto"/>
        </w:rPr>
        <w:t>”. The Company has been advised of the rules and requirements under the Investment Company Act of 1940, as amended (the “</w:t>
      </w:r>
      <w:r>
        <w:rPr>
          <w:rFonts w:ascii="Arial" w:cs="Arial" w:eastAsia="Arial" w:hAnsi="Arial"/>
          <w:sz w:val="22"/>
          <w:szCs w:val="22"/>
          <w:b w:val="1"/>
          <w:bCs w:val="1"/>
          <w:u w:val="single" w:color="auto"/>
          <w:color w:val="auto"/>
        </w:rPr>
        <w:t>Investment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Company Act</w:t>
      </w:r>
      <w:r>
        <w:rPr>
          <w:rFonts w:ascii="Arial" w:cs="Arial" w:eastAsia="Arial" w:hAnsi="Arial"/>
          <w:sz w:val="22"/>
          <w:szCs w:val="22"/>
          <w:color w:val="auto"/>
        </w:rPr>
        <w:t>”). The Company is not, and after receipt of payment for the Placement Shares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an “investment company” within the meaning of Investment Company Act.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4400" w:hanging="106"/>
        <w:spacing w:after="0"/>
        <w:tabs>
          <w:tab w:leader="none" w:pos="4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187" w:name="page188"/>
    <w:bookmarkEnd w:id="187"/>
    <w:p>
      <w:pPr>
        <w:jc w:val="both"/>
        <w:ind w:left="-460" w:firstLine="656"/>
        <w:spacing w:after="0" w:line="232"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have insurance covering their respective properties, operations, personnel and businesses, including business interruption insurance, which insurance is in amounts and insures against such losses and risks as generally maintained by similarly situated companies and which the Company believes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200" w:lineRule="exact"/>
        <w:rPr>
          <w:rFonts w:ascii="Arial" w:cs="Arial" w:eastAsia="Arial" w:hAnsi="Arial"/>
          <w:sz w:val="22"/>
          <w:szCs w:val="22"/>
          <w:color w:val="auto"/>
        </w:rPr>
      </w:pPr>
    </w:p>
    <w:p>
      <w:pPr>
        <w:jc w:val="both"/>
        <w:ind w:left="-460" w:firstLine="656"/>
        <w:spacing w:after="0" w:line="234"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 Price Stabilization or Manipulation</w:t>
      </w:r>
      <w:r>
        <w:rPr>
          <w:rFonts w:ascii="Arial" w:cs="Arial" w:eastAsia="Arial" w:hAnsi="Arial"/>
          <w:sz w:val="22"/>
          <w:szCs w:val="22"/>
          <w:color w:val="auto"/>
        </w:rPr>
        <w:t>. Neither the Company or any of its subsidiaries nor, to the Company’s knowledge, other affiliates has taken, directly or indirectly, any action designed to or that could be reasonably expected to cause or result in stabilization or manipulation of the price of any security of the Company to facilitate the sale or resale of the Placement Shares.</w:t>
      </w:r>
    </w:p>
    <w:p>
      <w:pPr>
        <w:spacing w:after="0" w:line="201" w:lineRule="exact"/>
        <w:rPr>
          <w:rFonts w:ascii="Arial" w:cs="Arial" w:eastAsia="Arial" w:hAnsi="Arial"/>
          <w:sz w:val="22"/>
          <w:szCs w:val="22"/>
          <w:color w:val="auto"/>
        </w:rPr>
      </w:pPr>
    </w:p>
    <w:p>
      <w:pPr>
        <w:jc w:val="both"/>
        <w:ind w:left="-460" w:firstLine="656"/>
        <w:spacing w:after="0" w:line="234"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the Prospectus that is not so described.</w:t>
      </w:r>
    </w:p>
    <w:p>
      <w:pPr>
        <w:spacing w:after="0" w:line="201" w:lineRule="exact"/>
        <w:rPr>
          <w:rFonts w:ascii="Arial" w:cs="Arial" w:eastAsia="Arial" w:hAnsi="Arial"/>
          <w:sz w:val="22"/>
          <w:szCs w:val="22"/>
          <w:color w:val="auto"/>
        </w:rPr>
      </w:pPr>
    </w:p>
    <w:p>
      <w:pPr>
        <w:jc w:val="both"/>
        <w:ind w:left="-460" w:firstLine="656"/>
        <w:spacing w:after="0" w:line="233"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 Restrictions on Subsidiaries.</w:t>
      </w:r>
      <w:r>
        <w:rPr>
          <w:rFonts w:ascii="Arial" w:cs="Arial" w:eastAsia="Arial" w:hAnsi="Arial"/>
          <w:sz w:val="22"/>
          <w:szCs w:val="22"/>
          <w:color w:val="auto"/>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200" w:lineRule="exact"/>
        <w:rPr>
          <w:rFonts w:ascii="Arial" w:cs="Arial" w:eastAsia="Arial" w:hAnsi="Arial"/>
          <w:sz w:val="22"/>
          <w:szCs w:val="22"/>
          <w:color w:val="auto"/>
        </w:rPr>
      </w:pPr>
    </w:p>
    <w:p>
      <w:pPr>
        <w:jc w:val="both"/>
        <w:ind w:left="-460" w:firstLine="656"/>
        <w:spacing w:after="0" w:line="232"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Exchange Act Compliance</w:t>
      </w:r>
      <w:r>
        <w:rPr>
          <w:rFonts w:ascii="Arial" w:cs="Arial" w:eastAsia="Arial" w:hAnsi="Arial"/>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205" w:lineRule="exact"/>
        <w:rPr>
          <w:rFonts w:ascii="Arial" w:cs="Arial" w:eastAsia="Arial" w:hAnsi="Arial"/>
          <w:sz w:val="22"/>
          <w:szCs w:val="22"/>
          <w:color w:val="auto"/>
        </w:rPr>
      </w:pPr>
    </w:p>
    <w:p>
      <w:pPr>
        <w:jc w:val="both"/>
        <w:ind w:left="-460" w:firstLine="656"/>
        <w:spacing w:after="0" w:line="232" w:lineRule="auto"/>
        <w:tabs>
          <w:tab w:leader="none" w:pos="83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 Unlawful Contributions or Other Payments</w:t>
      </w:r>
      <w:r>
        <w:rPr>
          <w:rFonts w:ascii="Arial" w:cs="Arial" w:eastAsia="Arial" w:hAnsi="Arial"/>
          <w:sz w:val="22"/>
          <w:szCs w:val="22"/>
          <w:color w:val="auto"/>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4" w:lineRule="exact"/>
        <w:rPr>
          <w:rFonts w:ascii="Arial" w:cs="Arial" w:eastAsia="Arial" w:hAnsi="Arial"/>
          <w:sz w:val="22"/>
          <w:szCs w:val="22"/>
          <w:color w:val="auto"/>
        </w:rPr>
      </w:pPr>
    </w:p>
    <w:p>
      <w:pPr>
        <w:ind w:left="4400" w:hanging="106"/>
        <w:spacing w:after="0"/>
        <w:tabs>
          <w:tab w:leader="none" w:pos="4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188" w:name="page189"/>
    <w:bookmarkEnd w:id="188"/>
    <w:p>
      <w:pPr>
        <w:jc w:val="both"/>
        <w:spacing w:after="0" w:line="243" w:lineRule="auto"/>
        <w:rPr>
          <w:sz w:val="20"/>
          <w:szCs w:val="20"/>
          <w:color w:val="auto"/>
        </w:rPr>
      </w:pPr>
      <w:r>
        <w:rPr>
          <w:rFonts w:ascii="Arial" w:cs="Arial" w:eastAsia="Arial" w:hAnsi="Arial"/>
          <w:sz w:val="21"/>
          <w:szCs w:val="21"/>
          <w:color w:val="auto"/>
        </w:rPr>
        <w:t>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201" w:lineRule="exact"/>
        <w:rPr>
          <w:sz w:val="20"/>
          <w:szCs w:val="20"/>
          <w:color w:val="auto"/>
        </w:rPr>
      </w:pPr>
    </w:p>
    <w:p>
      <w:pPr>
        <w:jc w:val="both"/>
        <w:ind w:firstLine="656"/>
        <w:spacing w:after="0" w:line="231"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Compliance with Anti-Money Laundering Laws.</w:t>
      </w:r>
      <w:r>
        <w:rPr>
          <w:rFonts w:ascii="Arial" w:cs="Arial" w:eastAsia="Arial" w:hAnsi="Arial"/>
          <w:sz w:val="22"/>
          <w:szCs w:val="22"/>
          <w:color w:val="auto"/>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U.S.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22"/>
          <w:szCs w:val="22"/>
          <w:b w:val="1"/>
          <w:bCs w:val="1"/>
          <w:u w:val="single" w:color="auto"/>
          <w:color w:val="auto"/>
        </w:rPr>
        <w:t>Anti-Money Laundering Laws</w:t>
      </w:r>
      <w:r>
        <w:rPr>
          <w:rFonts w:ascii="Arial" w:cs="Arial" w:eastAsia="Arial" w:hAnsi="Arial"/>
          <w:sz w:val="22"/>
          <w:szCs w:val="22"/>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10"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No Conflicts with Sanctions Laws.</w:t>
      </w:r>
      <w:r>
        <w:rPr>
          <w:rFonts w:ascii="Arial" w:cs="Arial" w:eastAsia="Arial" w:hAnsi="Arial"/>
          <w:sz w:val="21"/>
          <w:szCs w:val="21"/>
          <w:color w:val="auto"/>
        </w:rPr>
        <w:t xml:space="preserve">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21"/>
          <w:szCs w:val="21"/>
          <w:b w:val="1"/>
          <w:bCs w:val="1"/>
          <w:u w:val="single" w:color="auto"/>
          <w:color w:val="auto"/>
        </w:rPr>
        <w:t>OFAC</w:t>
      </w:r>
      <w:r>
        <w:rPr>
          <w:rFonts w:ascii="Arial" w:cs="Arial" w:eastAsia="Arial" w:hAnsi="Arial"/>
          <w:sz w:val="21"/>
          <w:szCs w:val="21"/>
          <w:color w:val="auto"/>
        </w:rPr>
        <w:t>”) or the U.S. Department of State and including, without limitation, the designation as a “specially designated national” or “blocked person”), the United Nations Security Council (“</w:t>
      </w:r>
      <w:r>
        <w:rPr>
          <w:rFonts w:ascii="Arial" w:cs="Arial" w:eastAsia="Arial" w:hAnsi="Arial"/>
          <w:sz w:val="21"/>
          <w:szCs w:val="21"/>
          <w:b w:val="1"/>
          <w:bCs w:val="1"/>
          <w:u w:val="single" w:color="auto"/>
          <w:color w:val="auto"/>
        </w:rPr>
        <w:t>UNSC</w:t>
      </w:r>
      <w:r>
        <w:rPr>
          <w:rFonts w:ascii="Arial" w:cs="Arial" w:eastAsia="Arial" w:hAnsi="Arial"/>
          <w:sz w:val="21"/>
          <w:szCs w:val="21"/>
          <w:color w:val="auto"/>
        </w:rPr>
        <w:t>”), the European Union, HM Treasury (“</w:t>
      </w:r>
      <w:r>
        <w:rPr>
          <w:rFonts w:ascii="Arial" w:cs="Arial" w:eastAsia="Arial" w:hAnsi="Arial"/>
          <w:sz w:val="21"/>
          <w:szCs w:val="21"/>
          <w:b w:val="1"/>
          <w:bCs w:val="1"/>
          <w:u w:val="single" w:color="auto"/>
          <w:color w:val="auto"/>
        </w:rPr>
        <w:t>HMT</w:t>
      </w:r>
      <w:r>
        <w:rPr>
          <w:rFonts w:ascii="Arial" w:cs="Arial" w:eastAsia="Arial" w:hAnsi="Arial"/>
          <w:sz w:val="21"/>
          <w:szCs w:val="21"/>
          <w:color w:val="auto"/>
        </w:rPr>
        <w:t>”) or other relevant sanctions authority (collectively, “</w:t>
      </w:r>
      <w:r>
        <w:rPr>
          <w:rFonts w:ascii="Arial" w:cs="Arial" w:eastAsia="Arial" w:hAnsi="Arial"/>
          <w:sz w:val="21"/>
          <w:szCs w:val="21"/>
          <w:b w:val="1"/>
          <w:bCs w:val="1"/>
          <w:u w:val="single" w:color="auto"/>
          <w:color w:val="auto"/>
        </w:rPr>
        <w:t>Sanctions</w:t>
      </w:r>
      <w:r>
        <w:rPr>
          <w:rFonts w:ascii="Arial" w:cs="Arial" w:eastAsia="Arial" w:hAnsi="Arial"/>
          <w:sz w:val="21"/>
          <w:szCs w:val="21"/>
          <w:color w:val="auto"/>
        </w:rPr>
        <w:t>”), nor is the Company or any of its subsidiaries located, organized or resident in a country or territory that is the subject or target of Sanctions broadly prohibiting dealings with such country or territory, including, without limitation, Cuba, Iran, North Korea, Sudan, Syria, the so-called Donetsk People’s Republic, the so-called Luhansk People’s Republic, any other Covered Region of Ukraine identified pursuant to Executive Order 14065 and Crimea (each, a “</w:t>
      </w:r>
      <w:r>
        <w:rPr>
          <w:rFonts w:ascii="Arial" w:cs="Arial" w:eastAsia="Arial" w:hAnsi="Arial"/>
          <w:sz w:val="21"/>
          <w:szCs w:val="21"/>
          <w:b w:val="1"/>
          <w:bCs w:val="1"/>
          <w:u w:val="single" w:color="auto"/>
          <w:color w:val="auto"/>
        </w:rPr>
        <w:t>Sanctioned Country</w:t>
      </w:r>
      <w:r>
        <w:rPr>
          <w:rFonts w:ascii="Arial" w:cs="Arial" w:eastAsia="Arial" w:hAnsi="Arial"/>
          <w:sz w:val="21"/>
          <w:szCs w:val="21"/>
          <w:color w:val="auto"/>
        </w:rPr>
        <w:t>”); and the Company will not directly or indirectly use the proceeds of the offering of the Placement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except to the extent permitted for a Person required to comply with Sanctions, (ii) to fund or facilitate any activities of or business in any Sanctioned Country or (iii) in any other manner that will result in a violation by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30" w:lineRule="exact"/>
        <w:rPr>
          <w:rFonts w:ascii="Arial" w:cs="Arial" w:eastAsia="Arial" w:hAnsi="Arial"/>
          <w:sz w:val="21"/>
          <w:szCs w:val="21"/>
          <w:color w:val="auto"/>
        </w:rPr>
      </w:pPr>
    </w:p>
    <w:p>
      <w:pPr>
        <w:ind w:left="4860" w:hanging="106"/>
        <w:spacing w:after="0"/>
        <w:tabs>
          <w:tab w:leader="none" w:pos="48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89" w:name="page190"/>
    <w:bookmarkEnd w:id="189"/>
    <w:p>
      <w:pPr>
        <w:jc w:val="both"/>
        <w:spacing w:after="0" w:line="233" w:lineRule="auto"/>
        <w:rPr>
          <w:sz w:val="20"/>
          <w:szCs w:val="20"/>
          <w:color w:val="auto"/>
        </w:rPr>
      </w:pPr>
      <w:r>
        <w:rPr>
          <w:rFonts w:ascii="Arial" w:cs="Arial" w:eastAsia="Arial" w:hAnsi="Arial"/>
          <w:sz w:val="22"/>
          <w:szCs w:val="22"/>
          <w:color w:val="auto"/>
        </w:rPr>
        <w:t>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prohibiting such dealing or transaction or with any Sanctioned Country.</w:t>
      </w:r>
    </w:p>
    <w:p>
      <w:pPr>
        <w:spacing w:after="0" w:line="188" w:lineRule="exact"/>
        <w:rPr>
          <w:sz w:val="20"/>
          <w:szCs w:val="20"/>
          <w:color w:val="auto"/>
        </w:rPr>
      </w:pPr>
    </w:p>
    <w:p>
      <w:pPr>
        <w:jc w:val="both"/>
        <w:ind w:firstLine="656"/>
        <w:spacing w:after="0" w:line="232"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Company and its subsidiaries maintain systems of “internal control over financial reporting” (as defined in 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0"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Disclosure Controls</w:t>
      </w:r>
      <w:r>
        <w:rPr>
          <w:rFonts w:ascii="Arial" w:cs="Arial" w:eastAsia="Arial" w:hAnsi="Arial"/>
          <w:sz w:val="22"/>
          <w:szCs w:val="22"/>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203"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Compliance with Environmental Laws</w:t>
      </w:r>
      <w:r>
        <w:rPr>
          <w:rFonts w:ascii="Arial" w:cs="Arial" w:eastAsia="Arial" w:hAnsi="Arial"/>
          <w:sz w:val="22"/>
          <w:szCs w:val="22"/>
          <w:color w:val="auto"/>
        </w:rPr>
        <w:t>. The Company and its subsidiaries (x) are in compliance with all, and have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22"/>
          <w:szCs w:val="22"/>
          <w:b w:val="1"/>
          <w:bCs w:val="1"/>
          <w:u w:val="single" w:color="auto"/>
          <w:color w:val="auto"/>
        </w:rPr>
        <w:t>Environmental Laws</w:t>
      </w:r>
      <w:r>
        <w:rPr>
          <w:rFonts w:ascii="Arial" w:cs="Arial" w:eastAsia="Arial" w:hAnsi="Arial"/>
          <w:sz w:val="22"/>
          <w:szCs w:val="22"/>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4860" w:hanging="106"/>
        <w:spacing w:after="0"/>
        <w:tabs>
          <w:tab w:leader="none" w:pos="48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0" w:name="page191"/>
    <w:bookmarkEnd w:id="190"/>
    <w:p>
      <w:pPr>
        <w:jc w:val="both"/>
        <w:spacing w:after="0" w:line="231" w:lineRule="auto"/>
        <w:rPr>
          <w:sz w:val="20"/>
          <w:szCs w:val="20"/>
          <w:color w:val="auto"/>
        </w:rPr>
      </w:pPr>
      <w:r>
        <w:rPr>
          <w:rFonts w:ascii="Arial" w:cs="Arial" w:eastAsia="Arial" w:hAnsi="Arial"/>
          <w:sz w:val="22"/>
          <w:szCs w:val="22"/>
          <w:color w:val="auto"/>
        </w:rPr>
        <w:t>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result in a Material Adverse Change; and (iii) except as described in the Prospectus, (x) there is no proceeding that is pending, or that is known by the Company to be contemplated, against the Company or any of its subsidiaries under any Environmental Laws in which a governmental entity is also a party, other than such proceeding regarding which is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result in a Material Adverse Change, and (z) none of the Company or its subsidiaries anticipates material capital expenditures relating to any Environmental Laws.</w:t>
      </w:r>
    </w:p>
    <w:p>
      <w:pPr>
        <w:spacing w:after="0" w:line="208" w:lineRule="exact"/>
        <w:rPr>
          <w:sz w:val="20"/>
          <w:szCs w:val="20"/>
          <w:color w:val="auto"/>
        </w:rPr>
      </w:pPr>
    </w:p>
    <w:p>
      <w:pPr>
        <w:jc w:val="both"/>
        <w:ind w:firstLine="656"/>
        <w:spacing w:after="0" w:line="231" w:lineRule="auto"/>
        <w:tabs>
          <w:tab w:leader="none" w:pos="1296"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Except as otherwise described in the Prospectus (i) the Company and its subsidiaries own or have the right to use all patent applications, patents, trademarks, trademark registrations, trademark applications, service marks, service mark registrations, service mark applications, trade names, service names, Internet domain names and other source indicators, copyrights, copyright registrations, copyrightable works, databases, formulae, know-how, trade secrets, systems, procedures, proprietary or confidential information and all other intellectual property, industrial property and proprietary rights (including other unpatented and/or unpatentable proprietary confidential information, systems, or procedures), and all goodwill associated with any of the foregoing (collectively, “</w:t>
      </w: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 in each case used or held for use in, or necessary for the conduct of their respective businesses as conducted or proposed to be conducted in the Prospectus; (ii) to the Company’s knowledge, the Company’s and its subsidiaries’ conduct of their respective businesses as currently conducted or as proposed to be conducted in the Prospectus does not infringe, misappropriate or otherwise violate, and has not infringed, misappropriated, or otherwise violated, any valid and enforceable Intellectual Property of any third party; (iii) there is no pending or, to the knowledge of the Company, threatened action, suit, proceeding or claim by any third party (A) alleging that the Company or any of its subsidiaries has infringed, misappropriated or otherwise violated the Intellectual Property rights of any third party, or (B) challenging the inventorship, ownership, validity, scope or enforceability of, or any rights of the Company or any of its subsidiaries in, any Intellectual Property owned by or licensed to the Company or any of its subsidiaries; (iv) no Intellectual Property owned by or exclusively licensed to the Company or any of its subsidiaries has been adjudged invalid or unenforceable and, to the Company’s knowledge, all such Intellectual Property is valid and enforceable; (v) to the knowledge of the Company, no third party has infringed, misappropriated or otherwise violated any Intellectual Property owned by or exclusively licensed to the Company or any of its subsidiaries; (vi) the Company and its subsidiaries have at all times taken reasonable steps in accordance with normal industry practice to maintain confidentiality of all Intellectual Property whose value to the Company or its subsidiaries is contingent upon maintaining the confidentiality thereof, including by requiring employees, contractors, consultants and other third parties who receive such Intellectual Property to execute appropriate agreements to maintain such confidentiality; and (vii) all current and former employees and consultants and other parties involved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4860" w:hanging="106"/>
        <w:spacing w:after="0"/>
        <w:tabs>
          <w:tab w:leader="none" w:pos="48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1" w:name="page192"/>
    <w:bookmarkEnd w:id="191"/>
    <w:p>
      <w:pPr>
        <w:jc w:val="both"/>
        <w:spacing w:after="0" w:line="233" w:lineRule="auto"/>
        <w:rPr>
          <w:sz w:val="20"/>
          <w:szCs w:val="20"/>
          <w:color w:val="auto"/>
        </w:rPr>
      </w:pPr>
      <w:r>
        <w:rPr>
          <w:rFonts w:ascii="Arial" w:cs="Arial" w:eastAsia="Arial" w:hAnsi="Arial"/>
          <w:sz w:val="22"/>
          <w:szCs w:val="22"/>
          <w:color w:val="auto"/>
        </w:rPr>
        <w:t>in the development of Intellectual Property for the Company or any of its subsidiaries have signed agreements with the Company or its subsidiaries, pursuant to which the Company or its subsidiaries either (A) have obtained ownership of and are the exclusive owners of such Intellectual Property, or (B) have obtained a valid right to exploit such Intellectual Property, sufficient for the conduct of their respective businesses as currently conducted or as proposed to be conducted in the Prospectus.</w:t>
      </w:r>
    </w:p>
    <w:p>
      <w:pPr>
        <w:spacing w:after="0" w:line="203" w:lineRule="exact"/>
        <w:rPr>
          <w:sz w:val="20"/>
          <w:szCs w:val="20"/>
          <w:color w:val="auto"/>
        </w:rPr>
      </w:pPr>
    </w:p>
    <w:p>
      <w:pPr>
        <w:jc w:val="both"/>
        <w:ind w:firstLine="656"/>
        <w:spacing w:after="0" w:line="231"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Nasdaq;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w:t>
      </w:r>
    </w:p>
    <w:p>
      <w:pPr>
        <w:spacing w:after="0" w:line="210"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for the Agent, there is no broker, finder or other party that is entitled to receive from the Company or any of its subsidiaries any brokerage or finder’s fee or other fee or commission as a result of any transactions contemplated by this Agreement.</w:t>
      </w:r>
    </w:p>
    <w:p>
      <w:pPr>
        <w:spacing w:after="0" w:line="201"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No Outstanding Loans or Other Indebtedness</w:t>
      </w:r>
      <w:r>
        <w:rPr>
          <w:rFonts w:ascii="Arial" w:cs="Arial" w:eastAsia="Arial" w:hAnsi="Arial"/>
          <w:sz w:val="22"/>
          <w:szCs w:val="22"/>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201"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No Reliance</w:t>
      </w:r>
      <w:r>
        <w:rPr>
          <w:rFonts w:ascii="Arial" w:cs="Arial" w:eastAsia="Arial" w:hAnsi="Arial"/>
          <w:sz w:val="21"/>
          <w:szCs w:val="21"/>
          <w:color w:val="auto"/>
        </w:rPr>
        <w:t>. The Company has not relied upon the Agent or legal counsel for the Agent for any legal, tax or accounting advice in connection with the offering and sale of the Placement Shares.</w:t>
      </w:r>
    </w:p>
    <w:p>
      <w:pPr>
        <w:spacing w:after="0" w:line="165" w:lineRule="exact"/>
        <w:rPr>
          <w:rFonts w:ascii="Arial" w:cs="Arial" w:eastAsia="Arial" w:hAnsi="Arial"/>
          <w:sz w:val="21"/>
          <w:szCs w:val="21"/>
          <w:color w:val="auto"/>
        </w:rPr>
      </w:pPr>
    </w:p>
    <w:p>
      <w:pPr>
        <w:jc w:val="both"/>
        <w:ind w:right="20" w:firstLine="656"/>
        <w:spacing w:after="0"/>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FINRA Exemption</w:t>
      </w:r>
      <w:r>
        <w:rPr>
          <w:rFonts w:ascii="Arial" w:cs="Arial" w:eastAsia="Arial" w:hAnsi="Arial"/>
          <w:sz w:val="22"/>
          <w:szCs w:val="22"/>
          <w:color w:val="auto"/>
        </w:rPr>
        <w:t>. The Company qualifies as an “experienced issuer” (within the meaning of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Conduct Rule 5110(j)(6)) for purposes of the exemption from filing under FINRA Conduct Rule 5110(h)(1)(C).</w:t>
      </w:r>
    </w:p>
    <w:p>
      <w:pPr>
        <w:spacing w:after="0" w:line="201"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201"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Privacy Laws</w:t>
      </w:r>
      <w:r>
        <w:rPr>
          <w:rFonts w:ascii="Arial" w:cs="Arial" w:eastAsia="Arial" w:hAnsi="Arial"/>
          <w:sz w:val="22"/>
          <w:szCs w:val="22"/>
          <w:color w:val="auto"/>
        </w:rPr>
        <w:t>. The Company and its subsidiaries are presently in compliance with and, to their knowledge have complied with, all applicable laws or statutes (including without limitation, to the extent applicable, the Health Insurance Portability and Accountability Act of 1996, as amended by the Health Information Technology for Economic and Clinical Health Act, the California Consumer Privacy Act and the European Union General Data Protection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4860" w:hanging="106"/>
        <w:spacing w:after="0"/>
        <w:tabs>
          <w:tab w:leader="none" w:pos="48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2" w:name="page193"/>
    <w:bookmarkEnd w:id="192"/>
    <w:p>
      <w:pPr>
        <w:jc w:val="both"/>
        <w:spacing w:after="0" w:line="242" w:lineRule="auto"/>
        <w:rPr>
          <w:sz w:val="20"/>
          <w:szCs w:val="20"/>
          <w:color w:val="auto"/>
        </w:rPr>
      </w:pPr>
      <w:r>
        <w:rPr>
          <w:rFonts w:ascii="Arial" w:cs="Arial" w:eastAsia="Arial" w:hAnsi="Arial"/>
          <w:sz w:val="21"/>
          <w:szCs w:val="21"/>
          <w:color w:val="auto"/>
        </w:rPr>
        <w:t>Regulation) and all applicable judgments, orders, rules and regulations of any court or arbitrator or governmental or regulatory authority, approved final versions of internal and external policies, and contractual obligations relating to the privacy and security of IT Systems and the collection, use, transfer, import, export, storage, disposal and disclosure of Personal Data and to the protection of such IT Systems and Personal Data from unauthorized use, access, misappropriation or modification (“</w:t>
      </w:r>
      <w:r>
        <w:rPr>
          <w:rFonts w:ascii="Arial" w:cs="Arial" w:eastAsia="Arial" w:hAnsi="Arial"/>
          <w:sz w:val="21"/>
          <w:szCs w:val="21"/>
          <w:b w:val="1"/>
          <w:bCs w:val="1"/>
          <w:color w:val="auto"/>
        </w:rPr>
        <w:t>Data</w:t>
      </w:r>
      <w:r>
        <w:rPr>
          <w:rFonts w:ascii="Arial" w:cs="Arial" w:eastAsia="Arial" w:hAnsi="Arial"/>
          <w:sz w:val="21"/>
          <w:szCs w:val="21"/>
          <w:color w:val="auto"/>
        </w:rPr>
        <w:t xml:space="preserve"> </w:t>
      </w:r>
      <w:r>
        <w:rPr>
          <w:rFonts w:ascii="Arial" w:cs="Arial" w:eastAsia="Arial" w:hAnsi="Arial"/>
          <w:sz w:val="21"/>
          <w:szCs w:val="21"/>
          <w:b w:val="1"/>
          <w:bCs w:val="1"/>
          <w:color w:val="auto"/>
        </w:rPr>
        <w:t>Security Obligations</w:t>
      </w:r>
      <w:r>
        <w:rPr>
          <w:rFonts w:ascii="Arial" w:cs="Arial" w:eastAsia="Arial" w:hAnsi="Arial"/>
          <w:sz w:val="21"/>
          <w:szCs w:val="21"/>
          <w:color w:val="auto"/>
        </w:rPr>
        <w:t>”); (ii) neither the Company nor any of its subsidiaries have received any</w:t>
      </w:r>
      <w:r>
        <w:rPr>
          <w:rFonts w:ascii="Arial" w:cs="Arial" w:eastAsia="Arial" w:hAnsi="Arial"/>
          <w:sz w:val="21"/>
          <w:szCs w:val="21"/>
          <w:b w:val="1"/>
          <w:bCs w:val="1"/>
          <w:color w:val="auto"/>
        </w:rPr>
        <w:t xml:space="preserve"> </w:t>
      </w:r>
      <w:r>
        <w:rPr>
          <w:rFonts w:ascii="Arial" w:cs="Arial" w:eastAsia="Arial" w:hAnsi="Arial"/>
          <w:sz w:val="21"/>
          <w:szCs w:val="21"/>
          <w:color w:val="auto"/>
        </w:rPr>
        <w:t>notification of or complaint regarding any non-compliance with any Data Security Obligation; (iii) there is no pending or, to the Company’s knowledge, threatened, action, suit or proceeding by or before any court or governmental agency, authority or body alleging non-compliance with any Data Security Obligation; and (iv) the Company and its subsidiaries have made all disclosures as required by applicable laws and regulatory rules or requirements in connection with such Data Security Obligations, and no such disclosures have been inaccurate or in violation of any applicable laws or regulatory rules and requirements, except in the case of each of (i)-(iv) above, for any such matter as would not, individually or in the aggregate, reasonably be expected to result a Material Adverse Change.</w:t>
      </w:r>
    </w:p>
    <w:p>
      <w:pPr>
        <w:spacing w:after="0" w:line="194" w:lineRule="exact"/>
        <w:rPr>
          <w:sz w:val="20"/>
          <w:szCs w:val="20"/>
          <w:color w:val="auto"/>
        </w:rPr>
      </w:pPr>
    </w:p>
    <w:p>
      <w:pPr>
        <w:jc w:val="both"/>
        <w:ind w:firstLine="656"/>
        <w:spacing w:after="0" w:line="243" w:lineRule="auto"/>
        <w:tabs>
          <w:tab w:leader="none" w:pos="129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IT Systems</w:t>
      </w:r>
      <w:r>
        <w:rPr>
          <w:rFonts w:ascii="Arial" w:cs="Arial" w:eastAsia="Arial" w:hAnsi="Arial"/>
          <w:sz w:val="21"/>
          <w:szCs w:val="21"/>
          <w:color w:val="auto"/>
        </w:rPr>
        <w:t>. The Company and its subsidiaries’ information technology assets and equipment, computers, systems, networks, hardware, software, websites, applications, and databases owned or used by the Company or its subsidiaries (collectively, “</w:t>
      </w:r>
      <w:r>
        <w:rPr>
          <w:rFonts w:ascii="Arial" w:cs="Arial" w:eastAsia="Arial" w:hAnsi="Arial"/>
          <w:sz w:val="21"/>
          <w:szCs w:val="21"/>
          <w:b w:val="1"/>
          <w:bCs w:val="1"/>
          <w:color w:val="auto"/>
        </w:rPr>
        <w:t>IT Systems</w:t>
      </w:r>
      <w:r>
        <w:rPr>
          <w:rFonts w:ascii="Arial" w:cs="Arial" w:eastAsia="Arial" w:hAnsi="Arial"/>
          <w:sz w:val="21"/>
          <w:szCs w:val="21"/>
          <w:color w:val="auto"/>
        </w:rPr>
        <w:t>”) are adequate for, and operate and perform in all material respects as required in connection with the operation of the business of the Company and its subsidiaries as currently conducted and as proposed to be conducted in the Registration Statement and the Prospectus,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21"/>
          <w:szCs w:val="21"/>
          <w:b w:val="1"/>
          <w:bCs w:val="1"/>
          <w:color w:val="auto"/>
        </w:rPr>
        <w:t>Personal Data</w:t>
      </w:r>
      <w:r>
        <w:rPr>
          <w:rFonts w:ascii="Arial" w:cs="Arial" w:eastAsia="Arial" w:hAnsi="Arial"/>
          <w:sz w:val="21"/>
          <w:szCs w:val="21"/>
          <w:color w:val="auto"/>
        </w:rPr>
        <w:t>”)) collected, used, stored or processed in connection with their businesses, and, to the Company’s knowledge, there have been no breaches, violations, outages or unauthorized uses of or accesses to same, except for those that have been remedied without material cost or liability or the duty to notify any other person or entity, nor any incidents under internal review or investigations relating to the same.</w:t>
      </w:r>
    </w:p>
    <w:p>
      <w:pPr>
        <w:spacing w:after="0" w:line="208" w:lineRule="exact"/>
        <w:rPr>
          <w:rFonts w:ascii="Arial" w:cs="Arial" w:eastAsia="Arial" w:hAnsi="Arial"/>
          <w:sz w:val="21"/>
          <w:szCs w:val="21"/>
          <w:color w:val="auto"/>
        </w:rPr>
      </w:pPr>
    </w:p>
    <w:p>
      <w:pPr>
        <w:jc w:val="both"/>
        <w:ind w:firstLine="656"/>
        <w:spacing w:after="0" w:line="231" w:lineRule="auto"/>
        <w:tabs>
          <w:tab w:leader="none" w:pos="12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Export and Import Laws</w:t>
      </w:r>
      <w:r>
        <w:rPr>
          <w:rFonts w:ascii="Arial" w:cs="Arial" w:eastAsia="Arial" w:hAnsi="Arial"/>
          <w:sz w:val="22"/>
          <w:szCs w:val="22"/>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Arial" w:cs="Arial" w:eastAsia="Arial" w:hAnsi="Arial"/>
          <w:sz w:val="22"/>
          <w:szCs w:val="22"/>
          <w:b w:val="1"/>
          <w:bCs w:val="1"/>
          <w:u w:val="single" w:color="auto"/>
          <w:color w:val="auto"/>
        </w:rPr>
        <w:t>Export and Import Laws</w:t>
      </w:r>
      <w:r>
        <w:rPr>
          <w:rFonts w:ascii="Arial" w:cs="Arial" w:eastAsia="Arial" w:hAnsi="Arial"/>
          <w:sz w:val="22"/>
          <w:szCs w:val="22"/>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0" w:lineRule="exact"/>
        <w:rPr>
          <w:rFonts w:ascii="Arial" w:cs="Arial" w:eastAsia="Arial" w:hAnsi="Arial"/>
          <w:sz w:val="22"/>
          <w:szCs w:val="22"/>
          <w:color w:val="auto"/>
        </w:rPr>
      </w:pPr>
    </w:p>
    <w:p>
      <w:pPr>
        <w:ind w:left="4860" w:hanging="106"/>
        <w:spacing w:after="0"/>
        <w:tabs>
          <w:tab w:leader="none" w:pos="48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3" w:name="page194"/>
    <w:bookmarkEnd w:id="193"/>
    <w:p>
      <w:pPr>
        <w:spacing w:after="0" w:line="238" w:lineRule="auto"/>
        <w:rPr>
          <w:sz w:val="20"/>
          <w:szCs w:val="20"/>
          <w:color w:val="auto"/>
        </w:rPr>
      </w:pPr>
      <w:r>
        <w:rPr>
          <w:rFonts w:ascii="Arial" w:cs="Arial" w:eastAsia="Arial" w:hAnsi="Arial"/>
          <w:sz w:val="22"/>
          <w:szCs w:val="22"/>
          <w:color w:val="auto"/>
        </w:rPr>
        <w:t>of services to parties not of the foreign country or the export and import of articles and information from and to the foreign country to parties not of the foreign country.</w:t>
      </w:r>
    </w:p>
    <w:p>
      <w:pPr>
        <w:spacing w:after="0" w:line="200" w:lineRule="exact"/>
        <w:rPr>
          <w:sz w:val="20"/>
          <w:szCs w:val="20"/>
          <w:color w:val="auto"/>
        </w:rPr>
      </w:pPr>
    </w:p>
    <w:p>
      <w:pPr>
        <w:jc w:val="both"/>
        <w:ind w:firstLine="656"/>
        <w:spacing w:after="0" w:line="234" w:lineRule="auto"/>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Margin Rules.</w:t>
      </w:r>
      <w:r>
        <w:rPr>
          <w:rFonts w:ascii="Arial" w:cs="Arial" w:eastAsia="Arial" w:hAnsi="Arial"/>
          <w:sz w:val="22"/>
          <w:szCs w:val="22"/>
          <w:color w:val="auto"/>
        </w:rPr>
        <w:t xml:space="preserve"> Neither the issuance, sale and delivery of the Placement Shares nor the application of the proceeds thereof by the Company as described in the Prospectus will violate Regulation T, U or X of the Board of Governors of the Federal Reserve System or any other regulation of such Board of Governors.</w:t>
      </w:r>
    </w:p>
    <w:p>
      <w:pPr>
        <w:spacing w:after="0" w:line="201"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xml:space="preserve"> No forward-looking statement (within the meaning of Section 27A of the Securities Act and Section 21E of the Exchange Act) included in any of the Registration Statement or the Prospectus has been made or reaffirmed without a reasonable basis or has been disclosed other than in good faith.</w:t>
      </w:r>
    </w:p>
    <w:p>
      <w:pPr>
        <w:spacing w:after="0" w:line="201"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Statistical and Market Data.</w:t>
      </w:r>
      <w:r>
        <w:rPr>
          <w:rFonts w:ascii="Arial" w:cs="Arial" w:eastAsia="Arial" w:hAnsi="Arial"/>
          <w:sz w:val="21"/>
          <w:szCs w:val="21"/>
          <w:color w:val="auto"/>
        </w:rPr>
        <w:t xml:space="preserve"> Nothing has come to the attention of the Company that has caused the Company to believe that the statistical and market-related data included in or incorporated by reference in each of the Registration Statement and the Prospectus is not based on or derived from sources that are reliable and accurate in all material respects, and, to the extent required by such sources, the Company has obtained the written consent to the use of such data from such sources.</w:t>
      </w:r>
    </w:p>
    <w:p>
      <w:pPr>
        <w:spacing w:after="0" w:line="198" w:lineRule="exact"/>
        <w:rPr>
          <w:rFonts w:ascii="Arial" w:cs="Arial" w:eastAsia="Arial" w:hAnsi="Arial"/>
          <w:sz w:val="21"/>
          <w:szCs w:val="21"/>
          <w:color w:val="auto"/>
        </w:rPr>
      </w:pPr>
    </w:p>
    <w:p>
      <w:pPr>
        <w:jc w:val="both"/>
        <w:ind w:firstLine="656"/>
        <w:spacing w:after="0" w:line="233" w:lineRule="auto"/>
        <w:tabs>
          <w:tab w:leader="none" w:pos="1296"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w:t>
      </w:r>
      <w:r>
        <w:rPr>
          <w:rFonts w:ascii="Arial" w:cs="Arial" w:eastAsia="Arial" w:hAnsi="Arial"/>
          <w:sz w:val="22"/>
          <w:szCs w:val="22"/>
          <w:b w:val="1"/>
          <w:bCs w:val="1"/>
          <w:u w:val="single" w:color="auto"/>
          <w:color w:val="auto"/>
        </w:rPr>
        <w:t>Sarbanes-Oxley Act</w:t>
      </w:r>
      <w:r>
        <w:rPr>
          <w:rFonts w:ascii="Arial" w:cs="Arial" w:eastAsia="Arial" w:hAnsi="Arial"/>
          <w:sz w:val="22"/>
          <w:szCs w:val="22"/>
          <w:color w:val="auto"/>
        </w:rPr>
        <w:t>”), including Section 402 related to loans and Sections 302 and 906 relating to certifications.</w:t>
      </w:r>
    </w:p>
    <w:p>
      <w:pPr>
        <w:spacing w:after="0" w:line="203" w:lineRule="exact"/>
        <w:rPr>
          <w:sz w:val="20"/>
          <w:szCs w:val="20"/>
          <w:color w:val="auto"/>
        </w:rPr>
      </w:pPr>
    </w:p>
    <w:p>
      <w:pPr>
        <w:jc w:val="both"/>
        <w:ind w:firstLine="656"/>
        <w:spacing w:after="0" w:line="242" w:lineRule="auto"/>
        <w:tabs>
          <w:tab w:leader="none" w:pos="1296"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Clinical Trials.</w:t>
      </w:r>
      <w:r>
        <w:rPr>
          <w:rFonts w:ascii="Arial" w:cs="Arial" w:eastAsia="Arial" w:hAnsi="Arial"/>
          <w:sz w:val="21"/>
          <w:szCs w:val="21"/>
          <w:color w:val="auto"/>
        </w:rPr>
        <w:t xml:space="preserve"> The clinical and pre-clinical trials conducted by or on behalf of or sponsored by the Company or any of its subsidiaries, or in which the Company or any of its subsidiaries has participated, that are described in the Registration Statement and the Prospectus, or the results of which are referred to in the Registration Statement and the Prospectus, as applicable, were, and if still pending are, being conducted in accordance with standard medical and scientific research standards and procedures and all applicable statutes, rules and regulations of the FDA and other applicable regulatory authorities (collectively, the “</w:t>
      </w:r>
      <w:r>
        <w:rPr>
          <w:rFonts w:ascii="Arial" w:cs="Arial" w:eastAsia="Arial" w:hAnsi="Arial"/>
          <w:sz w:val="21"/>
          <w:szCs w:val="21"/>
          <w:b w:val="1"/>
          <w:bCs w:val="1"/>
          <w:u w:val="single" w:color="auto"/>
          <w:color w:val="auto"/>
        </w:rPr>
        <w:t>Regulatory Authorities</w:t>
      </w:r>
      <w:r>
        <w:rPr>
          <w:rFonts w:ascii="Arial" w:cs="Arial" w:eastAsia="Arial" w:hAnsi="Arial"/>
          <w:sz w:val="21"/>
          <w:szCs w:val="21"/>
          <w:color w:val="auto"/>
        </w:rPr>
        <w:t>”) and current Good Clinical Practices and Good Laboratory Practices; the descriptions in the Registration Statement and the Prospectus of the results of such studies and tests are accurate and complete and fairly present the data derived from such trials; neither the Company nor any of its subsidiaries has any knowledge of any other trials, the results of which are inconsistent with or call into question the results described or referred to in the Registration Statement or the Prospectus; the Company and each of its subsidiaries have operated at all times and are currently in compliance in all material respects with all applicable statutes, rules and regulations of the Regulatory Authorities; neither the Company nor any of its subsidiaries has received any written notices, correspondence or other communications from the Regulatory Authorities or any other governmental agency requiring or threatening the termination, modification or suspension of any clinical or pre-clinical trials that are described in the Registration Statement and the Prospectus or the results of which are referred to in the Registration Statement and the Prospectus, and, to the knowledge of the Company and its subsidiaries, there are no reasonable grounds for the same.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7" w:lineRule="exact"/>
        <w:rPr>
          <w:rFonts w:ascii="Arial" w:cs="Arial" w:eastAsia="Arial" w:hAnsi="Arial"/>
          <w:sz w:val="21"/>
          <w:szCs w:val="21"/>
          <w:color w:val="auto"/>
        </w:rPr>
      </w:pPr>
    </w:p>
    <w:p>
      <w:pPr>
        <w:ind w:left="4860" w:hanging="106"/>
        <w:spacing w:after="0"/>
        <w:tabs>
          <w:tab w:leader="none" w:pos="48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4" w:name="page195"/>
    <w:bookmarkEnd w:id="194"/>
    <w:p>
      <w:pPr>
        <w:jc w:val="both"/>
        <w:ind w:firstLine="656"/>
        <w:spacing w:after="0" w:line="233" w:lineRule="auto"/>
        <w:tabs>
          <w:tab w:leader="none" w:pos="129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Regulatory Filings.</w:t>
      </w:r>
      <w:r>
        <w:rPr>
          <w:rFonts w:ascii="Arial" w:cs="Arial" w:eastAsia="Arial" w:hAnsi="Arial"/>
          <w:sz w:val="22"/>
          <w:szCs w:val="22"/>
          <w:color w:val="auto"/>
        </w:rPr>
        <w:t xml:space="preserve"> Neither the Company nor any of its subsidiaries has failed to file with the applicable Regulatory Authorities any required filing, declaration, listing, registration, report or submission;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Any certificate signed by an officer of the Company and delivered to the Agent or to counsel for the Agent pursuant to or in connection with this Agreement shall be deemed to be a representation and warranty by the Company to the Agent as to the matters set forth therein.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the Agent, will rely upon the accuracy and truthfulness of the foregoing representations and hereby consents to such reliance.</w:t>
      </w:r>
    </w:p>
    <w:p>
      <w:pPr>
        <w:spacing w:after="0" w:line="202"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the Agent that:</w:t>
      </w:r>
    </w:p>
    <w:p>
      <w:pPr>
        <w:spacing w:after="0" w:line="206" w:lineRule="exact"/>
        <w:rPr>
          <w:sz w:val="20"/>
          <w:szCs w:val="20"/>
          <w:color w:val="auto"/>
        </w:rPr>
      </w:pPr>
    </w:p>
    <w:p>
      <w:pPr>
        <w:jc w:val="both"/>
        <w:ind w:firstLine="656"/>
        <w:spacing w:after="0" w:line="242" w:lineRule="auto"/>
        <w:tabs>
          <w:tab w:leader="none" w:pos="1296"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Registration Statement Amendments</w:t>
      </w:r>
      <w:r>
        <w:rPr>
          <w:rFonts w:ascii="Arial" w:cs="Arial" w:eastAsia="Arial" w:hAnsi="Arial"/>
          <w:sz w:val="21"/>
          <w:szCs w:val="21"/>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failure of the Agent to make such request shall not relieve the Company of any obligation or liability hereunder, or affect the Agent’s right to rely on the representations and warranties made by the Company in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only remedy the Agent shall have with respect to the failure by the Company to make such a filing (other than the Agent’s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Agent within a reasonable period of time before the filing and the Agent has not reasonably objected thereto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failure of the Agent to make such objection shall not relieve the Company of any obligation or liability hereunder, or affect the Agent’s right to rely on the representations and warranties made by the Company in this Agreement) and the Company will furnish to the Agent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6" w:lineRule="exact"/>
        <w:rPr>
          <w:rFonts w:ascii="Arial" w:cs="Arial" w:eastAsia="Arial" w:hAnsi="Arial"/>
          <w:sz w:val="21"/>
          <w:szCs w:val="21"/>
          <w:color w:val="auto"/>
        </w:rPr>
      </w:pPr>
    </w:p>
    <w:p>
      <w:pPr>
        <w:ind w:left="4860" w:hanging="106"/>
        <w:spacing w:after="0"/>
        <w:tabs>
          <w:tab w:leader="none" w:pos="48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6" w:right="999" w:bottom="1440" w:gutter="0" w:footer="0" w:header="0"/>
        </w:sectPr>
      </w:pPr>
    </w:p>
    <w:bookmarkStart w:id="195" w:name="page196"/>
    <w:bookmarkEnd w:id="195"/>
    <w:p>
      <w:pPr>
        <w:jc w:val="both"/>
        <w:spacing w:after="0" w:line="233" w:lineRule="auto"/>
        <w:rPr>
          <w:sz w:val="20"/>
          <w:szCs w:val="20"/>
          <w:color w:val="auto"/>
        </w:rPr>
      </w:pPr>
      <w:r>
        <w:rPr>
          <w:rFonts w:ascii="Arial" w:cs="Arial" w:eastAsia="Arial" w:hAnsi="Arial"/>
          <w:sz w:val="22"/>
          <w:szCs w:val="22"/>
          <w:color w:val="auto"/>
        </w:rPr>
        <w:t>reference, to be filed with the Commission as required pursuant to the applicable paragraph of Rule 424(b) of the Securities Act, and (v) prior to the termination of this Agreement, the Company will notify the Agent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200" w:lineRule="exact"/>
        <w:rPr>
          <w:sz w:val="20"/>
          <w:szCs w:val="20"/>
          <w:color w:val="auto"/>
        </w:rPr>
      </w:pPr>
    </w:p>
    <w:p>
      <w:pPr>
        <w:jc w:val="both"/>
        <w:ind w:firstLine="656"/>
        <w:spacing w:after="0" w:line="232" w:lineRule="auto"/>
        <w:tabs>
          <w:tab w:leader="none" w:pos="129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Notice of Commission Stop Orders</w:t>
      </w:r>
      <w:r>
        <w:rPr>
          <w:rFonts w:ascii="Arial" w:cs="Arial" w:eastAsia="Arial" w:hAnsi="Arial"/>
          <w:sz w:val="22"/>
          <w:szCs w:val="22"/>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200"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Delivery of Prospectus; Subsequent Changes</w:t>
      </w:r>
      <w:r>
        <w:rPr>
          <w:rFonts w:ascii="Arial" w:cs="Arial" w:eastAsia="Arial" w:hAnsi="Arial"/>
          <w:sz w:val="21"/>
          <w:szCs w:val="21"/>
          <w:color w:val="auto"/>
        </w:rPr>
        <w:t>. During any period in which a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208" w:lineRule="exact"/>
        <w:rPr>
          <w:rFonts w:ascii="Arial" w:cs="Arial" w:eastAsia="Arial" w:hAnsi="Arial"/>
          <w:sz w:val="21"/>
          <w:szCs w:val="21"/>
          <w:color w:val="auto"/>
        </w:rPr>
      </w:pPr>
    </w:p>
    <w:p>
      <w:pPr>
        <w:jc w:val="both"/>
        <w:ind w:firstLine="656"/>
        <w:spacing w:after="0" w:line="232" w:lineRule="auto"/>
        <w:tabs>
          <w:tab w:leader="none" w:pos="129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Listing of Placement Shares</w:t>
      </w:r>
      <w:r>
        <w:rPr>
          <w:rFonts w:ascii="Arial" w:cs="Arial" w:eastAsia="Arial" w:hAnsi="Arial"/>
          <w:sz w:val="22"/>
          <w:szCs w:val="22"/>
          <w:color w:val="auto"/>
        </w:rPr>
        <w:t xml:space="preserve">.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the Agent reasonably designates and to continue such qualifications in effect so long as required for the distribution of the Placement Shares;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the Company shall not be required in connection therewith to qualify as a</w:t>
      </w:r>
      <w:r>
        <w:rPr>
          <w:rFonts w:ascii="Arial" w:cs="Arial" w:eastAsia="Arial" w:hAnsi="Arial"/>
          <w:sz w:val="22"/>
          <w:szCs w:val="22"/>
          <w:i w:val="1"/>
          <w:iCs w:val="1"/>
          <w:color w:val="auto"/>
        </w:rPr>
        <w:t xml:space="preserve"> </w:t>
      </w:r>
      <w:r>
        <w:rPr>
          <w:rFonts w:ascii="Arial" w:cs="Arial" w:eastAsia="Arial" w:hAnsi="Arial"/>
          <w:sz w:val="22"/>
          <w:szCs w:val="22"/>
          <w:color w:val="auto"/>
        </w:rPr>
        <w:t>foreign corporation or dealer in securities or file a general consent to service of process in any jurisdiction.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860" w:hanging="106"/>
        <w:spacing w:after="0"/>
        <w:tabs>
          <w:tab w:leader="none" w:pos="48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6" w:name="page197"/>
    <w:bookmarkEnd w:id="196"/>
    <w:p>
      <w:pPr>
        <w:jc w:val="both"/>
        <w:ind w:left="-8" w:firstLine="656"/>
        <w:spacing w:after="0" w:line="243" w:lineRule="auto"/>
        <w:tabs>
          <w:tab w:leader="none" w:pos="1288"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Delivery of Registration Statement and Prospectus</w:t>
      </w:r>
      <w:r>
        <w:rPr>
          <w:rFonts w:ascii="Arial" w:cs="Arial" w:eastAsia="Arial" w:hAnsi="Arial"/>
          <w:sz w:val="21"/>
          <w:szCs w:val="21"/>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not be required to furnish any document (other than the Prospectus) to the Agent to the extent such document is available on EDGAR.</w:t>
      </w:r>
    </w:p>
    <w:p>
      <w:pPr>
        <w:spacing w:after="0" w:line="199" w:lineRule="exact"/>
        <w:rPr>
          <w:rFonts w:ascii="Arial" w:cs="Arial" w:eastAsia="Arial" w:hAnsi="Arial"/>
          <w:sz w:val="21"/>
          <w:szCs w:val="21"/>
          <w:color w:val="auto"/>
        </w:rPr>
      </w:pPr>
    </w:p>
    <w:p>
      <w:pPr>
        <w:jc w:val="both"/>
        <w:ind w:left="-8" w:firstLine="656"/>
        <w:spacing w:after="0" w:line="234" w:lineRule="auto"/>
        <w:tabs>
          <w:tab w:leader="none" w:pos="1288"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201" w:lineRule="exact"/>
        <w:rPr>
          <w:rFonts w:ascii="Arial" w:cs="Arial" w:eastAsia="Arial" w:hAnsi="Arial"/>
          <w:sz w:val="22"/>
          <w:szCs w:val="22"/>
          <w:color w:val="auto"/>
        </w:rPr>
      </w:pPr>
    </w:p>
    <w:p>
      <w:pPr>
        <w:jc w:val="both"/>
        <w:ind w:left="-8" w:firstLine="656"/>
        <w:spacing w:after="0" w:line="241" w:lineRule="auto"/>
        <w:tabs>
          <w:tab w:leader="none" w:pos="1288"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The Company, whether or not the transactions contemplated hereunder are consummated or this Agreement is terminated, in accordance with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stamp duties, similar taxes or duties or other taxes, if any, incurred by the Agent in connection with issuance and sale of Placement Shares, (iii) the qualification of the Placement Shares under securities laws in accordance with the provisions of </w:t>
      </w:r>
      <w:r>
        <w:rPr>
          <w:rFonts w:ascii="Arial" w:cs="Arial" w:eastAsia="Arial" w:hAnsi="Arial"/>
          <w:sz w:val="21"/>
          <w:szCs w:val="21"/>
          <w:u w:val="single" w:color="auto"/>
          <w:color w:val="auto"/>
        </w:rPr>
        <w:t>Section 7(d)</w:t>
      </w:r>
      <w:r>
        <w:rPr>
          <w:rFonts w:ascii="Arial" w:cs="Arial" w:eastAsia="Arial" w:hAnsi="Arial"/>
          <w:sz w:val="21"/>
          <w:szCs w:val="21"/>
          <w:color w:val="auto"/>
        </w:rPr>
        <w:t xml:space="preserve"> of this Agreement, including filing fees (provided, however, that any fees or disbursements of counsel for the Agent in connection therewith shall be paid by the Agent except as set forth in (vii) below), (iv) the printing and delivery to the Agent of copies of the Prospectus and any amendments or supplements thereto, and of this Agreement, (v) the fees and expenses incurred in connection with the listing or qualification of the Placement Shares for trading on Nasdaq, (vi) the filing fees and expenses, if any, of the Commission,</w:t>
      </w:r>
    </w:p>
    <w:p>
      <w:pPr>
        <w:spacing w:after="0" w:line="7" w:lineRule="exact"/>
        <w:rPr>
          <w:rFonts w:ascii="Arial" w:cs="Arial" w:eastAsia="Arial" w:hAnsi="Arial"/>
          <w:sz w:val="21"/>
          <w:szCs w:val="21"/>
          <w:color w:val="auto"/>
        </w:rPr>
      </w:pPr>
    </w:p>
    <w:p>
      <w:pPr>
        <w:jc w:val="both"/>
        <w:ind w:left="-8" w:firstLine="8"/>
        <w:spacing w:after="0" w:line="232" w:lineRule="auto"/>
        <w:tabs>
          <w:tab w:leader="none" w:pos="43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filing fees and associated legal expenses of the Agent’s outside counsel for filings with the FINRA Corporate Financing Department, such legal expense reimbursement not to exceed $25,000 and, (viii) the reasonable fees and disbursements of the Agent’s counsel in the amount of (a) $75,000 for the initial preparation of documents; (b) $50,000 for any delivery of documents in connection with an annual report on Form 10-K or for which a disclosure letter has not previously been delivered in connection with a given annual report on Form 10-K; and (c) $25,000 for any delivery of documents in connection with a quarterly report on Form 10-Q or for which a disclosure letter has not previously been delivered in connection with a given quarterly report on Form 10-Q.</w:t>
      </w:r>
    </w:p>
    <w:p>
      <w:pPr>
        <w:spacing w:after="0" w:line="203" w:lineRule="exact"/>
        <w:rPr>
          <w:rFonts w:ascii="Arial" w:cs="Arial" w:eastAsia="Arial" w:hAnsi="Arial"/>
          <w:sz w:val="22"/>
          <w:szCs w:val="22"/>
          <w:color w:val="auto"/>
        </w:rPr>
      </w:pPr>
    </w:p>
    <w:p>
      <w:pPr>
        <w:ind w:left="-8" w:firstLine="656"/>
        <w:spacing w:after="0" w:line="238" w:lineRule="auto"/>
        <w:tabs>
          <w:tab w:leader="none" w:pos="1288"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4852" w:hanging="106"/>
        <w:spacing w:after="0"/>
        <w:tabs>
          <w:tab w:leader="none" w:pos="48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9" w:right="999" w:bottom="1440" w:gutter="0" w:footer="0" w:header="0"/>
        </w:sectPr>
      </w:pPr>
    </w:p>
    <w:bookmarkStart w:id="197" w:name="page198"/>
    <w:bookmarkEnd w:id="197"/>
    <w:p>
      <w:pPr>
        <w:jc w:val="both"/>
        <w:ind w:left="-460" w:firstLine="656"/>
        <w:spacing w:after="0" w:line="242" w:lineRule="auto"/>
        <w:tabs>
          <w:tab w:leader="none" w:pos="836"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Notice of Other Sales</w:t>
      </w:r>
      <w:r>
        <w:rPr>
          <w:rFonts w:ascii="Arial" w:cs="Arial" w:eastAsia="Arial" w:hAnsi="Arial"/>
          <w:sz w:val="21"/>
          <w:szCs w:val="21"/>
          <w:color w:val="auto"/>
        </w:rPr>
        <w:t xml:space="preserve">. During the pendency of any Placement Notice given hereunder, and for five (5) Trading Days following the termination of any Placement Notice given hereunder, the Company shall provide the Agent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21"/>
          <w:szCs w:val="21"/>
          <w:i w:val="1"/>
          <w:iCs w:val="1"/>
          <w:color w:val="auto"/>
        </w:rPr>
        <w:t>provided</w:t>
      </w:r>
      <w:r>
        <w:rPr>
          <w:rFonts w:ascii="Arial" w:cs="Arial" w:eastAsia="Arial" w:hAnsi="Arial"/>
          <w:sz w:val="21"/>
          <w:szCs w:val="21"/>
          <w:color w:val="auto"/>
        </w:rPr>
        <w:t>, that such notice shall not be required in connection with the (i) issuance, grant or sale of Common Stock, options to purchase shares of Common Stock or Common Stock issuable upon the exercise of options or other equity awards pursuant to any equity incentive plan, stock option, stock bonus or other stock plan or arrangement whether now in effect or hereafter implemented, including pursuant to any qualifying inducement award under Nasdaq rules (and the issuance by the Company of shares of Common Stock upon the exercise or vesting thereof),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the Agent in advance or (iv) any shares of common stock issuable upon the exchange, conversion or redemption of securities or the exercise of warrants, options or other rights in effect or outstanding as disclosed in filings by the Company available on EDGAR, or (v) the issuance of Common Stock, securities convertible into or exercisable for Common Stock or other securities offered and sold in a privately negotiated transaction to vendors, customers, strategic partners or other investors conducted or in connection with a transaction that includes a commercial relationship (including joint ventures, marketing or distribution arrangements, collaboration agreements or intellectual property license agreements) in a manner so as not to be integrated with the offering of the Placement Shares hereby. For the avoidance of doubt, nothing herein shall be construed to restrict the Company’s ability, or require the Company to provide notice to the Agent, to file a registration statement with the Commission.</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jc w:val="both"/>
        <w:ind w:left="-460" w:firstLine="656"/>
        <w:spacing w:after="0" w:line="233" w:lineRule="auto"/>
        <w:tabs>
          <w:tab w:leader="none" w:pos="83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a fiscal quarter in which the Company intends to tender a Placement Notice or sell Placement Shares, advise the Agent promptly after it shall have received notice or obtained knowledge thereof, of any information or fact that would alter or affect in any material respect any opinion, certificate, letter or other document provided to the Agent pursuant to this Agreement.</w:t>
      </w:r>
    </w:p>
    <w:p>
      <w:pPr>
        <w:spacing w:after="0" w:line="203" w:lineRule="exact"/>
        <w:rPr>
          <w:rFonts w:ascii="Arial" w:cs="Arial" w:eastAsia="Arial" w:hAnsi="Arial"/>
          <w:sz w:val="22"/>
          <w:szCs w:val="22"/>
          <w:color w:val="auto"/>
        </w:rPr>
      </w:pPr>
    </w:p>
    <w:p>
      <w:pPr>
        <w:jc w:val="both"/>
        <w:ind w:left="-460" w:firstLine="656"/>
        <w:spacing w:after="0" w:line="233" w:lineRule="auto"/>
        <w:tabs>
          <w:tab w:leader="none" w:pos="83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the Agent or its agents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203" w:lineRule="exact"/>
        <w:rPr>
          <w:rFonts w:ascii="Arial" w:cs="Arial" w:eastAsia="Arial" w:hAnsi="Arial"/>
          <w:sz w:val="22"/>
          <w:szCs w:val="22"/>
          <w:color w:val="auto"/>
        </w:rPr>
      </w:pPr>
    </w:p>
    <w:p>
      <w:pPr>
        <w:jc w:val="both"/>
        <w:ind w:left="-460" w:right="20" w:firstLine="656"/>
        <w:spacing w:after="0" w:line="233" w:lineRule="auto"/>
        <w:tabs>
          <w:tab w:leader="none" w:pos="83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Required Filings Relating to Placement of Placement Shares</w:t>
      </w:r>
      <w:r>
        <w:rPr>
          <w:rFonts w:ascii="Arial" w:cs="Arial" w:eastAsia="Arial" w:hAnsi="Arial"/>
          <w:sz w:val="22"/>
          <w:szCs w:val="22"/>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22"/>
          <w:szCs w:val="22"/>
          <w:b w:val="1"/>
          <w:bCs w:val="1"/>
          <w:u w:val="single" w:color="auto"/>
          <w:color w:val="auto"/>
        </w:rPr>
        <w:t>Filing Date</w:t>
      </w:r>
      <w:r>
        <w:rPr>
          <w:rFonts w:ascii="Arial" w:cs="Arial" w:eastAsia="Arial" w:hAnsi="Arial"/>
          <w:sz w:val="22"/>
          <w:szCs w:val="22"/>
          <w:color w:val="auto"/>
        </w:rPr>
        <w:t>”), and (ii) deliver such number of copies of each such prospectus supplement to each exchange or market on which such sales were effected as may be required by the rules or regulations of such exchange or market.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400" w:hanging="106"/>
        <w:spacing w:after="0"/>
        <w:tabs>
          <w:tab w:leader="none" w:pos="44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198" w:name="page199"/>
    <w:bookmarkEnd w:id="198"/>
    <w:p>
      <w:pPr>
        <w:jc w:val="both"/>
        <w:spacing w:after="0" w:line="233" w:lineRule="auto"/>
        <w:rPr>
          <w:sz w:val="20"/>
          <w:szCs w:val="20"/>
          <w:color w:val="auto"/>
        </w:rPr>
      </w:pPr>
      <w:r>
        <w:rPr>
          <w:rFonts w:ascii="Arial" w:cs="Arial" w:eastAsia="Arial" w:hAnsi="Arial"/>
          <w:sz w:val="22"/>
          <w:szCs w:val="22"/>
          <w:color w:val="auto"/>
        </w:rPr>
        <w:t>Company shall disclose in its quarterly reports on Form 10-Q and in its annual report on Form 10-K, the number of the Placement Shares sold through the Agent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200" w:lineRule="exact"/>
        <w:rPr>
          <w:sz w:val="20"/>
          <w:szCs w:val="20"/>
          <w:color w:val="auto"/>
        </w:rPr>
      </w:pPr>
    </w:p>
    <w:p>
      <w:pPr>
        <w:jc w:val="both"/>
        <w:ind w:firstLine="656"/>
        <w:spacing w:after="0" w:line="231"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Bring-Down Dates; Certificate</w:t>
      </w:r>
      <w:r>
        <w:rPr>
          <w:rFonts w:ascii="Arial" w:cs="Arial" w:eastAsia="Arial" w:hAnsi="Arial"/>
          <w:sz w:val="22"/>
          <w:szCs w:val="22"/>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22"/>
          <w:szCs w:val="22"/>
          <w:u w:val="single" w:color="auto"/>
          <w:color w:val="auto"/>
        </w:rPr>
        <w:t>Section 7(l)</w:t>
      </w:r>
      <w:r>
        <w:rPr>
          <w:rFonts w:ascii="Arial" w:cs="Arial" w:eastAsia="Arial" w:hAnsi="Arial"/>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information “furnished” pursuant to Items 2.02 or 7.01 of Form 8-K) under the Exchange Act and the Agent reasonably determines that the information contained in such report on Form 8-K is material (each date of filing of one or more of the documents referred to in clauses (i) through (iv) shall be a "</w:t>
      </w:r>
      <w:r>
        <w:rPr>
          <w:rFonts w:ascii="Arial" w:cs="Arial" w:eastAsia="Arial" w:hAnsi="Arial"/>
          <w:sz w:val="22"/>
          <w:szCs w:val="22"/>
          <w:b w:val="1"/>
          <w:bCs w:val="1"/>
          <w:u w:val="single" w:color="auto"/>
          <w:color w:val="auto"/>
        </w:rPr>
        <w:t>Bring-Down Date</w:t>
      </w:r>
      <w:r>
        <w:rPr>
          <w:rFonts w:ascii="Arial" w:cs="Arial" w:eastAsia="Arial" w:hAnsi="Arial"/>
          <w:sz w:val="22"/>
          <w:szCs w:val="22"/>
          <w:color w:val="auto"/>
        </w:rPr>
        <w:t xml:space="preserve">"); the Company shall furnish the Agent with a certificate, in the form attached hereto as </w:t>
      </w:r>
      <w:r>
        <w:rPr>
          <w:rFonts w:ascii="Arial" w:cs="Arial" w:eastAsia="Arial" w:hAnsi="Arial"/>
          <w:sz w:val="22"/>
          <w:szCs w:val="22"/>
          <w:u w:val="single" w:color="auto"/>
          <w:color w:val="auto"/>
        </w:rPr>
        <w:t>Exhibit 7(m)</w:t>
      </w:r>
      <w:r>
        <w:rPr>
          <w:rFonts w:ascii="Arial" w:cs="Arial" w:eastAsia="Arial" w:hAnsi="Arial"/>
          <w:sz w:val="22"/>
          <w:szCs w:val="22"/>
          <w:color w:val="auto"/>
        </w:rPr>
        <w:t xml:space="preserve"> within three (3) Trading Days of any Bring-Down Date if requested by the Agent. The requirement to provide a certificate under this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the Agent with a certificate under this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then before the Company delivers the Placement Notice or the Agent sells any Placement Shares, the Company shall provide the Agent with a certificate, in the form attached hereto as </w:t>
      </w:r>
      <w:r>
        <w:rPr>
          <w:rFonts w:ascii="Arial" w:cs="Arial" w:eastAsia="Arial" w:hAnsi="Arial"/>
          <w:sz w:val="22"/>
          <w:szCs w:val="22"/>
          <w:u w:val="single" w:color="auto"/>
          <w:color w:val="auto"/>
        </w:rPr>
        <w:t>Exhibit 7(m)</w:t>
      </w:r>
      <w:r>
        <w:rPr>
          <w:rFonts w:ascii="Arial" w:cs="Arial" w:eastAsia="Arial" w:hAnsi="Arial"/>
          <w:sz w:val="22"/>
          <w:szCs w:val="22"/>
          <w:color w:val="auto"/>
        </w:rPr>
        <w:t>, dated the date of the Placement Notice.</w:t>
      </w:r>
    </w:p>
    <w:p>
      <w:pPr>
        <w:spacing w:after="0" w:line="204"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 7(m)</w:t>
      </w:r>
      <w:r>
        <w:rPr>
          <w:rFonts w:ascii="Arial" w:cs="Arial" w:eastAsia="Arial" w:hAnsi="Arial"/>
          <w:sz w:val="22"/>
          <w:szCs w:val="22"/>
          <w:color w:val="auto"/>
        </w:rPr>
        <w:t xml:space="preserve"> for which no waiver is applicable, the Company shall cause to be furnished to the Agent a written opinion (the </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Corporate Legal Opinion</w:t>
      </w:r>
      <w:r>
        <w:rPr>
          <w:rFonts w:ascii="Arial" w:cs="Arial" w:eastAsia="Arial" w:hAnsi="Arial"/>
          <w:sz w:val="22"/>
          <w:szCs w:val="22"/>
          <w:u w:val="single" w:color="auto"/>
          <w:color w:val="auto"/>
        </w:rPr>
        <w:t>”) and negative assurance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 xml:space="preserve"> of Cooley LLP (“</w:t>
      </w:r>
      <w:r>
        <w:rPr>
          <w:rFonts w:ascii="Arial" w:cs="Arial" w:eastAsia="Arial" w:hAnsi="Arial"/>
          <w:sz w:val="22"/>
          <w:szCs w:val="22"/>
          <w:b w:val="1"/>
          <w:bCs w:val="1"/>
          <w:u w:val="single" w:color="auto"/>
          <w:color w:val="auto"/>
        </w:rPr>
        <w:t>Company Counsel</w:t>
      </w:r>
      <w:r>
        <w:rPr>
          <w:rFonts w:ascii="Arial" w:cs="Arial" w:eastAsia="Arial" w:hAnsi="Arial"/>
          <w:sz w:val="22"/>
          <w:szCs w:val="22"/>
          <w:color w:val="auto"/>
        </w:rPr>
        <w:t xml:space="preserve">”), or other counsel satisfactory to the Agent, each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lieu of such opinion and/or negative assurance letter for subsequent Bring-Down Dates, counsel may furnish the Agent with a letter (a “</w:t>
      </w:r>
      <w:r>
        <w:rPr>
          <w:rFonts w:ascii="Arial" w:cs="Arial" w:eastAsia="Arial" w:hAnsi="Arial"/>
          <w:sz w:val="22"/>
          <w:szCs w:val="22"/>
          <w:b w:val="1"/>
          <w:bCs w:val="1"/>
          <w:u w:val="single" w:color="auto"/>
          <w:color w:val="auto"/>
        </w:rPr>
        <w:t>Reliance Letter</w:t>
      </w:r>
      <w:r>
        <w:rPr>
          <w:rFonts w:ascii="Arial" w:cs="Arial" w:eastAsia="Arial" w:hAnsi="Arial"/>
          <w:sz w:val="22"/>
          <w:szCs w:val="22"/>
          <w:color w:val="auto"/>
        </w:rPr>
        <w:t xml:space="preserve">”) to the effect that the Agent may rely on a prior opinion and/or negative assurance letter delivered under this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to the same extent as if it were dated the date of such letter (except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0" w:lineRule="exact"/>
        <w:rPr>
          <w:rFonts w:ascii="Arial" w:cs="Arial" w:eastAsia="Arial" w:hAnsi="Arial"/>
          <w:sz w:val="22"/>
          <w:szCs w:val="22"/>
          <w:color w:val="auto"/>
        </w:rPr>
      </w:pPr>
    </w:p>
    <w:p>
      <w:pPr>
        <w:ind w:left="4860" w:hanging="106"/>
        <w:spacing w:after="0"/>
        <w:tabs>
          <w:tab w:leader="none" w:pos="48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199" w:name="page200"/>
    <w:bookmarkEnd w:id="199"/>
    <w:p>
      <w:pPr>
        <w:spacing w:after="0" w:line="238" w:lineRule="auto"/>
        <w:rPr>
          <w:sz w:val="20"/>
          <w:szCs w:val="20"/>
          <w:color w:val="auto"/>
        </w:rPr>
      </w:pPr>
      <w:r>
        <w:rPr>
          <w:rFonts w:ascii="Arial" w:cs="Arial" w:eastAsia="Arial" w:hAnsi="Arial"/>
          <w:sz w:val="22"/>
          <w:szCs w:val="22"/>
          <w:color w:val="auto"/>
        </w:rPr>
        <w:t>statements in such prior opinion and/or negative assurance letter shall be deemed to relate to the Registration Statement and the Prospectus as amended or supplemented at such Bring-Down Date).</w:t>
      </w:r>
    </w:p>
    <w:p>
      <w:pPr>
        <w:spacing w:after="0" w:line="200" w:lineRule="exact"/>
        <w:rPr>
          <w:sz w:val="20"/>
          <w:szCs w:val="20"/>
          <w:color w:val="auto"/>
        </w:rPr>
      </w:pPr>
    </w:p>
    <w:p>
      <w:pPr>
        <w:jc w:val="both"/>
        <w:ind w:firstLine="656"/>
        <w:spacing w:after="0" w:line="231"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Intellectual Property Opinion.</w:t>
      </w:r>
      <w:r>
        <w:rPr>
          <w:rFonts w:ascii="Arial" w:cs="Arial" w:eastAsia="Arial" w:hAnsi="Arial"/>
          <w:sz w:val="22"/>
          <w:szCs w:val="22"/>
          <w:color w:val="auto"/>
        </w:rPr>
        <w:t xml:space="preserve"> If requested by the Agent, on or prior to the First Delivery Date and no more than once per fiscal year, provided that the Company is obligated to deliver a certificate in the form attached hereto as Exhibit 7(m) for which no waiver is applicable, the Company shall cause to be furnished to the Agent the written opinion of Choate, Hall &amp; Stewart LLP, counsel for the Company with respect to intellectual property matters, or such other intellectual property counsel satisfactory to the Agent (“</w:t>
      </w:r>
      <w:r>
        <w:rPr>
          <w:rFonts w:ascii="Arial" w:cs="Arial" w:eastAsia="Arial" w:hAnsi="Arial"/>
          <w:sz w:val="22"/>
          <w:szCs w:val="22"/>
          <w:b w:val="1"/>
          <w:bCs w:val="1"/>
          <w:color w:val="auto"/>
        </w:rPr>
        <w:t>Intellectual Property Counsel</w:t>
      </w:r>
      <w:r>
        <w:rPr>
          <w:rFonts w:ascii="Arial" w:cs="Arial" w:eastAsia="Arial" w:hAnsi="Arial"/>
          <w:sz w:val="22"/>
          <w:szCs w:val="22"/>
          <w:color w:val="auto"/>
        </w:rPr>
        <w:t>”), in form and substance satisfactory to the Agent and its counsel, dated the date that the opinion letter is required to be delivered, modified, as necessary, to relate to the Registration Statement and the Prospectus as then amended or supplemented; provided, however,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209" w:lineRule="exact"/>
        <w:rPr>
          <w:rFonts w:ascii="Arial" w:cs="Arial" w:eastAsia="Arial" w:hAnsi="Arial"/>
          <w:sz w:val="22"/>
          <w:szCs w:val="22"/>
          <w:color w:val="auto"/>
        </w:rPr>
      </w:pPr>
    </w:p>
    <w:p>
      <w:pPr>
        <w:jc w:val="both"/>
        <w:ind w:firstLine="656"/>
        <w:spacing w:after="0" w:line="231"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 7(m)</w:t>
      </w:r>
      <w:r>
        <w:rPr>
          <w:rFonts w:ascii="Arial" w:cs="Arial" w:eastAsia="Arial" w:hAnsi="Arial"/>
          <w:sz w:val="22"/>
          <w:szCs w:val="22"/>
          <w:color w:val="auto"/>
        </w:rPr>
        <w:t xml:space="preserve"> for which no waiver is applicable, the Company shall cause its independent accountants to furnish the Agent letters (the "</w:t>
      </w:r>
      <w:r>
        <w:rPr>
          <w:rFonts w:ascii="Arial" w:cs="Arial" w:eastAsia="Arial" w:hAnsi="Arial"/>
          <w:sz w:val="22"/>
          <w:szCs w:val="22"/>
          <w:b w:val="1"/>
          <w:bCs w:val="1"/>
          <w:u w:val="single" w:color="auto"/>
          <w:color w:val="auto"/>
        </w:rPr>
        <w:t>Comfort Letters</w:t>
      </w:r>
      <w:r>
        <w:rPr>
          <w:rFonts w:ascii="Arial" w:cs="Arial" w:eastAsia="Arial" w:hAnsi="Arial"/>
          <w:sz w:val="22"/>
          <w:szCs w:val="22"/>
          <w:color w:val="auto"/>
        </w:rPr>
        <w:t>"), dated the date the Comfort Letter is delivered, in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the Agent in connection with registered public offerings (the first such letter, the “</w:t>
      </w:r>
      <w:r>
        <w:rPr>
          <w:rFonts w:ascii="Arial" w:cs="Arial" w:eastAsia="Arial" w:hAnsi="Arial"/>
          <w:sz w:val="22"/>
          <w:szCs w:val="22"/>
          <w:b w:val="1"/>
          <w:bCs w:val="1"/>
          <w:u w:val="single" w:color="auto"/>
          <w:color w:val="auto"/>
        </w:rPr>
        <w:t>Initial Comfort Letter</w:t>
      </w:r>
      <w:r>
        <w:rPr>
          <w:rFonts w:ascii="Arial" w:cs="Arial" w:eastAsia="Arial" w:hAnsi="Arial"/>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10"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the Agent; provided, however, that the Company may bid for and purchase shares of its common stock in accordance with Rule 10b-18 under the Exchange Act.</w:t>
      </w:r>
    </w:p>
    <w:p>
      <w:pPr>
        <w:spacing w:after="0" w:line="205"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201" w:lineRule="exact"/>
        <w:rPr>
          <w:rFonts w:ascii="Arial" w:cs="Arial" w:eastAsia="Arial" w:hAnsi="Arial"/>
          <w:sz w:val="22"/>
          <w:szCs w:val="22"/>
          <w:color w:val="auto"/>
        </w:rPr>
      </w:pPr>
    </w:p>
    <w:p>
      <w:pPr>
        <w:ind w:right="20" w:firstLine="656"/>
        <w:spacing w:after="0" w:line="238"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and each of its subsidiaries shall maintain, or cause to be maintained, all material environmental certificates, authorizations or permits,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4860" w:hanging="106"/>
        <w:spacing w:after="0"/>
        <w:tabs>
          <w:tab w:leader="none" w:pos="48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0" w:name="page201"/>
    <w:bookmarkEnd w:id="200"/>
    <w:p>
      <w:pPr>
        <w:jc w:val="both"/>
        <w:spacing w:after="0" w:line="233" w:lineRule="auto"/>
        <w:rPr>
          <w:sz w:val="20"/>
          <w:szCs w:val="20"/>
          <w:color w:val="auto"/>
        </w:rPr>
      </w:pPr>
      <w:r>
        <w:rPr>
          <w:rFonts w:ascii="Arial" w:cs="Arial" w:eastAsia="Arial" w:hAnsi="Arial"/>
          <w:sz w:val="22"/>
          <w:szCs w:val="22"/>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200" w:lineRule="exact"/>
        <w:rPr>
          <w:sz w:val="20"/>
          <w:szCs w:val="20"/>
          <w:color w:val="auto"/>
        </w:rPr>
      </w:pPr>
    </w:p>
    <w:p>
      <w:pPr>
        <w:jc w:val="both"/>
        <w:ind w:firstLine="656"/>
        <w:spacing w:after="0" w:line="233"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203"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Securities Act and Exchange Act</w:t>
      </w:r>
      <w:r>
        <w:rPr>
          <w:rFonts w:ascii="Arial" w:cs="Arial" w:eastAsia="Arial" w:hAnsi="Arial"/>
          <w:sz w:val="22"/>
          <w:szCs w:val="22"/>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201"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No Offer to Sell</w:t>
      </w:r>
      <w:r>
        <w:rPr>
          <w:rFonts w:ascii="Arial" w:cs="Arial" w:eastAsia="Arial" w:hAnsi="Arial"/>
          <w:sz w:val="21"/>
          <w:szCs w:val="21"/>
          <w:color w:val="auto"/>
        </w:rPr>
        <w:t>. Other than the Prospectus or a Permitted Free Writing Prospectus,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98" w:lineRule="exact"/>
        <w:rPr>
          <w:rFonts w:ascii="Arial" w:cs="Arial" w:eastAsia="Arial" w:hAnsi="Arial"/>
          <w:sz w:val="21"/>
          <w:szCs w:val="21"/>
          <w:color w:val="auto"/>
        </w:rPr>
      </w:pPr>
    </w:p>
    <w:p>
      <w:pPr>
        <w:ind w:firstLine="656"/>
        <w:spacing w:after="0" w:line="238"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best efforts to comply with all effective applicable provisions of the Sarbanes-Oxley Act.</w:t>
      </w:r>
    </w:p>
    <w:p>
      <w:pPr>
        <w:spacing w:after="0" w:line="200"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Affirmation</w:t>
      </w:r>
      <w:r>
        <w:rPr>
          <w:rFonts w:ascii="Arial" w:cs="Arial" w:eastAsia="Arial" w:hAnsi="Arial"/>
          <w:sz w:val="22"/>
          <w:szCs w:val="22"/>
          <w:color w:val="auto"/>
        </w:rPr>
        <w:t>. Each Placement Notice delivered by the Company to the Agent shall be deemed to be (i) an affirmation that the representations, warranties and agreements of the Company herein contained and contained in any certificate delivered to the Agent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7"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Renewal</w:t>
      </w:r>
      <w:r>
        <w:rPr>
          <w:rFonts w:ascii="Arial" w:cs="Arial" w:eastAsia="Arial" w:hAnsi="Arial"/>
          <w:sz w:val="22"/>
          <w:szCs w:val="22"/>
          <w:color w:val="auto"/>
        </w:rPr>
        <w:t>. If immediately prior to the third anniversary (the “</w:t>
      </w:r>
      <w:r>
        <w:rPr>
          <w:rFonts w:ascii="Arial" w:cs="Arial" w:eastAsia="Arial" w:hAnsi="Arial"/>
          <w:sz w:val="22"/>
          <w:szCs w:val="22"/>
          <w:b w:val="1"/>
          <w:bCs w:val="1"/>
          <w:u w:val="single" w:color="auto"/>
          <w:color w:val="auto"/>
        </w:rPr>
        <w:t>Renewal Deadline</w:t>
      </w:r>
      <w:r>
        <w:rPr>
          <w:rFonts w:ascii="Arial" w:cs="Arial" w:eastAsia="Arial" w:hAnsi="Arial"/>
          <w:sz w:val="22"/>
          <w:szCs w:val="22"/>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use reasonable efforts to file, if it has not already done so and is eligible to do so, a new shelf registration statement relating to the Placement Shares, in a form reasonably satisfactory to the Agent, and, if not automatically effective, will use its reasonable efforts to cause such registration statement to be declared effective within 60 days after the Renewal Deadline. The Company will take all other action it reasonably determines to be necessary or appropriate to permit the issuance and sale of the Placement Shares to continue as contemplated in the expired registration statement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6" w:lineRule="exact"/>
        <w:rPr>
          <w:rFonts w:ascii="Arial" w:cs="Arial" w:eastAsia="Arial" w:hAnsi="Arial"/>
          <w:sz w:val="22"/>
          <w:szCs w:val="22"/>
          <w:color w:val="auto"/>
        </w:rPr>
      </w:pPr>
    </w:p>
    <w:p>
      <w:pPr>
        <w:ind w:left="4860" w:hanging="106"/>
        <w:spacing w:after="0"/>
        <w:tabs>
          <w:tab w:leader="none" w:pos="48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1" w:name="page202"/>
    <w:bookmarkEnd w:id="201"/>
    <w:p>
      <w:pPr>
        <w:spacing w:after="0" w:line="238" w:lineRule="auto"/>
        <w:rPr>
          <w:sz w:val="20"/>
          <w:szCs w:val="20"/>
          <w:color w:val="auto"/>
        </w:rPr>
      </w:pPr>
      <w:r>
        <w:rPr>
          <w:rFonts w:ascii="Arial" w:cs="Arial" w:eastAsia="Arial" w:hAnsi="Arial"/>
          <w:sz w:val="22"/>
          <w:szCs w:val="22"/>
          <w:color w:val="auto"/>
        </w:rPr>
        <w:t>relating to the Placement Shares. References herein to the Registration Statement shall include such new shelf registration statement.</w:t>
      </w:r>
    </w:p>
    <w:p>
      <w:pPr>
        <w:spacing w:after="0" w:line="185" w:lineRule="exact"/>
        <w:rPr>
          <w:sz w:val="20"/>
          <w:szCs w:val="20"/>
          <w:color w:val="auto"/>
        </w:rPr>
      </w:pPr>
    </w:p>
    <w:p>
      <w:pPr>
        <w:jc w:val="both"/>
        <w:ind w:firstLine="656"/>
        <w:spacing w:after="0" w:line="235"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Conditions to the Agent’s Obligations</w:t>
      </w:r>
      <w:r>
        <w:rPr>
          <w:rFonts w:ascii="Arial" w:cs="Arial" w:eastAsia="Arial" w:hAnsi="Arial"/>
          <w:sz w:val="22"/>
          <w:szCs w:val="22"/>
          <w:color w:val="auto"/>
        </w:rPr>
        <w:t>. The obligations of the Agent hereunder with respect to a Placement Notice will be subject to the continuing accuracy and completeness of the representations and warranties made by the Company herein, to the due performance by the Company of its obligations hereunder and thereunder, to the completion by the Agent of a due diligence review satisfactory to the Agent in its reasonable judgment, and to the continuing satisfaction (or waiver by the Agent in its sole discretion) of the following additional conditions:</w:t>
      </w:r>
    </w:p>
    <w:p>
      <w:pPr>
        <w:spacing w:after="0" w:line="203" w:lineRule="exact"/>
        <w:rPr>
          <w:sz w:val="20"/>
          <w:szCs w:val="20"/>
          <w:color w:val="auto"/>
        </w:rPr>
      </w:pPr>
    </w:p>
    <w:p>
      <w:pPr>
        <w:jc w:val="both"/>
        <w:ind w:firstLine="656"/>
        <w:spacing w:after="0" w:line="235" w:lineRule="auto"/>
        <w:tabs>
          <w:tab w:leader="none" w:pos="129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No Material Notices</w:t>
      </w:r>
      <w:r>
        <w:rPr>
          <w:rFonts w:ascii="Arial" w:cs="Arial" w:eastAsia="Arial" w:hAnsi="Arial"/>
          <w:sz w:val="21"/>
          <w:szCs w:val="21"/>
          <w:color w:val="auto"/>
        </w:rPr>
        <w:t>. None of the following events shall have occurred and be continuing:</w:t>
      </w:r>
    </w:p>
    <w:p>
      <w:pPr>
        <w:spacing w:after="0" w:line="1" w:lineRule="exact"/>
        <w:rPr>
          <w:rFonts w:ascii="Arial" w:cs="Arial" w:eastAsia="Arial" w:hAnsi="Arial"/>
          <w:sz w:val="21"/>
          <w:szCs w:val="21"/>
          <w:color w:val="auto"/>
        </w:rPr>
      </w:pPr>
    </w:p>
    <w:p>
      <w:pPr>
        <w:jc w:val="both"/>
        <w:ind w:firstLine="8"/>
        <w:spacing w:after="0" w:line="242" w:lineRule="auto"/>
        <w:tabs>
          <w:tab w:leader="none" w:pos="269"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7" w:lineRule="exact"/>
        <w:rPr>
          <w:rFonts w:ascii="Arial" w:cs="Arial" w:eastAsia="Arial" w:hAnsi="Arial"/>
          <w:sz w:val="21"/>
          <w:szCs w:val="21"/>
          <w:color w:val="auto"/>
        </w:rPr>
      </w:pPr>
    </w:p>
    <w:p>
      <w:pPr>
        <w:jc w:val="both"/>
        <w:ind w:firstLine="656"/>
        <w:spacing w:after="0" w:line="233" w:lineRule="auto"/>
        <w:tabs>
          <w:tab w:leader="none" w:pos="1296"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No Misstatement or Material Omission</w:t>
      </w:r>
      <w:r>
        <w:rPr>
          <w:rFonts w:ascii="Arial" w:cs="Arial" w:eastAsia="Arial" w:hAnsi="Arial"/>
          <w:sz w:val="22"/>
          <w:szCs w:val="22"/>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03" w:lineRule="exact"/>
        <w:rPr>
          <w:rFonts w:ascii="Arial" w:cs="Arial" w:eastAsia="Arial" w:hAnsi="Arial"/>
          <w:sz w:val="22"/>
          <w:szCs w:val="22"/>
          <w:color w:val="auto"/>
        </w:rPr>
      </w:pPr>
    </w:p>
    <w:p>
      <w:pPr>
        <w:jc w:val="both"/>
        <w:ind w:firstLine="656"/>
        <w:spacing w:after="0" w:line="233" w:lineRule="auto"/>
        <w:tabs>
          <w:tab w:leader="none" w:pos="1296"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Material Changes</w:t>
      </w:r>
      <w:r>
        <w:rPr>
          <w:rFonts w:ascii="Arial" w:cs="Arial" w:eastAsia="Arial" w:hAnsi="Arial"/>
          <w:sz w:val="22"/>
          <w:szCs w:val="22"/>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4860" w:hanging="106"/>
        <w:spacing w:after="0"/>
        <w:tabs>
          <w:tab w:leader="none" w:pos="48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2" w:name="page203"/>
    <w:bookmarkEnd w:id="202"/>
    <w:p>
      <w:pPr>
        <w:jc w:val="both"/>
        <w:spacing w:after="0" w:line="234" w:lineRule="auto"/>
        <w:rPr>
          <w:sz w:val="20"/>
          <w:szCs w:val="20"/>
          <w:color w:val="auto"/>
        </w:rPr>
      </w:pPr>
      <w:r>
        <w:rPr>
          <w:rFonts w:ascii="Arial" w:cs="Arial" w:eastAsia="Arial" w:hAnsi="Arial"/>
          <w:sz w:val="22"/>
          <w:szCs w:val="22"/>
          <w:color w:val="auto"/>
        </w:rPr>
        <w:t>Company’s securities (other than asset backed securities) by any rating organization or a public announcement by any rating organization that it has under surveillance or review its rating of any of the Company ’s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205" w:lineRule="exact"/>
        <w:rPr>
          <w:sz w:val="20"/>
          <w:szCs w:val="20"/>
          <w:color w:val="auto"/>
        </w:rPr>
      </w:pPr>
    </w:p>
    <w:p>
      <w:pPr>
        <w:jc w:val="both"/>
        <w:ind w:firstLine="656"/>
        <w:spacing w:after="0" w:line="234"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 and Negative Assurance Letter</w:t>
      </w:r>
      <w:r>
        <w:rPr>
          <w:rFonts w:ascii="Arial" w:cs="Arial" w:eastAsia="Arial" w:hAnsi="Arial"/>
          <w:sz w:val="22"/>
          <w:szCs w:val="22"/>
          <w:color w:val="auto"/>
        </w:rPr>
        <w:t>. The Agent shall have received the Corporate Legal Opinion and negative assurance letter of Company Counsel required to be delivered pursuant to Section 7(n), on or before the date on which such delivery of such opinion is required pursuant to Section 7(n).</w:t>
      </w:r>
    </w:p>
    <w:p>
      <w:pPr>
        <w:spacing w:after="0" w:line="201"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Intellectual Counsel Legal Opinion</w:t>
      </w:r>
      <w:r>
        <w:rPr>
          <w:rFonts w:ascii="Arial" w:cs="Arial" w:eastAsia="Arial" w:hAnsi="Arial"/>
          <w:sz w:val="22"/>
          <w:szCs w:val="22"/>
          <w:color w:val="auto"/>
        </w:rPr>
        <w:t>. The Agent shall have received the opinion of Intellectual Property Counsel required to be delivered pursuant to Section 7(o), on or before the date on which such delivery of such opinion is required pursuant to Section 7(o).</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Agent’s Counsel Legal Opinion</w:t>
      </w:r>
      <w:r>
        <w:rPr>
          <w:rFonts w:ascii="Arial" w:cs="Arial" w:eastAsia="Arial" w:hAnsi="Arial"/>
          <w:sz w:val="22"/>
          <w:szCs w:val="22"/>
          <w:color w:val="auto"/>
        </w:rPr>
        <w:t xml:space="preserve">. The Agent shall have received from Davis Polk &amp; Wardwell LLP, counsel for the Agent, such opinion or opinions, on or before the date on which the delivery of the Company Counsel legal opinion is required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with respect to such matters as the Agent may reasonably require, and the Company shall have furnished to such counsel such documents as they may request to enable them to pass upon such matters.</w:t>
      </w:r>
    </w:p>
    <w:p>
      <w:pPr>
        <w:spacing w:after="0" w:line="202"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The Agent shall have received the Comfort Letter required to be delivered pursuant to </w:t>
      </w:r>
      <w:r>
        <w:rPr>
          <w:rFonts w:ascii="Arial" w:cs="Arial" w:eastAsia="Arial" w:hAnsi="Arial"/>
          <w:sz w:val="22"/>
          <w:szCs w:val="22"/>
          <w:u w:val="single" w:color="auto"/>
          <w:color w:val="auto"/>
        </w:rPr>
        <w:t>Section 7(p)</w:t>
      </w:r>
      <w:r>
        <w:rPr>
          <w:rFonts w:ascii="Arial" w:cs="Arial" w:eastAsia="Arial" w:hAnsi="Arial"/>
          <w:sz w:val="22"/>
          <w:szCs w:val="22"/>
          <w:color w:val="auto"/>
        </w:rPr>
        <w:t xml:space="preserve"> on or before the date on which such delivery of such Comfort Letter is required pursuant to </w:t>
      </w:r>
      <w:r>
        <w:rPr>
          <w:rFonts w:ascii="Arial" w:cs="Arial" w:eastAsia="Arial" w:hAnsi="Arial"/>
          <w:sz w:val="22"/>
          <w:szCs w:val="22"/>
          <w:u w:val="single" w:color="auto"/>
          <w:color w:val="auto"/>
        </w:rPr>
        <w:t>Section 7(p)</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Representation Certificate</w:t>
      </w:r>
      <w:r>
        <w:rPr>
          <w:rFonts w:ascii="Arial" w:cs="Arial" w:eastAsia="Arial" w:hAnsi="Arial"/>
          <w:sz w:val="22"/>
          <w:szCs w:val="22"/>
          <w:color w:val="auto"/>
        </w:rPr>
        <w:t xml:space="preserve">. The Agent shall have received the certificate required to be delivered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on or before the date on which delivery of such certificate is required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On or prior to the First Delivery Date, the Agent shall have received a certificate, signed on behalf of the Company by its corporate secretary, in form and substance satisfactory to the Agent and its counsel.</w:t>
      </w:r>
    </w:p>
    <w:p>
      <w:pPr>
        <w:spacing w:after="0" w:line="201"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The Common Stock shall be duly listed, and admitted and authorized for trading on Nasdaq. Trading in the Common Stock shall not have been suspended on, and the Common Stock shall not have been delisted from, Nasdaq.</w:t>
      </w:r>
    </w:p>
    <w:p>
      <w:pPr>
        <w:spacing w:after="0" w:line="201"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Other Materials</w:t>
      </w:r>
      <w:r>
        <w:rPr>
          <w:rFonts w:ascii="Arial" w:cs="Arial" w:eastAsia="Arial" w:hAnsi="Arial"/>
          <w:sz w:val="22"/>
          <w:szCs w:val="22"/>
          <w:color w:val="auto"/>
        </w:rPr>
        <w:t xml:space="preserve">. On each date on which the Company is required to deliver a certificate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the Company shall have furnished to the Agent such appropriate further information, certificates and documents as the Agent may have reasonably requested. All such opinions, certificates, letters and other documents shall have been in compliance with the provisions hereof. The Company will furnish the Agent with such conformed copies of such opinions, certificates, letters and other documents as the Agent shall have reasonably requested.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860" w:hanging="106"/>
        <w:spacing w:after="0"/>
        <w:tabs>
          <w:tab w:leader="none" w:pos="48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4" w:right="999" w:bottom="1440" w:gutter="0" w:footer="0" w:header="0"/>
        </w:sectPr>
      </w:pPr>
    </w:p>
    <w:bookmarkStart w:id="203" w:name="page204"/>
    <w:bookmarkEnd w:id="203"/>
    <w:p>
      <w:pPr>
        <w:jc w:val="both"/>
        <w:ind w:left="-460" w:firstLine="656"/>
        <w:spacing w:after="0" w:line="234" w:lineRule="auto"/>
        <w:tabs>
          <w:tab w:leader="none" w:pos="83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201" w:lineRule="exact"/>
        <w:rPr>
          <w:rFonts w:ascii="Arial" w:cs="Arial" w:eastAsia="Arial" w:hAnsi="Arial"/>
          <w:sz w:val="22"/>
          <w:szCs w:val="22"/>
          <w:color w:val="auto"/>
        </w:rPr>
      </w:pPr>
    </w:p>
    <w:p>
      <w:pPr>
        <w:jc w:val="both"/>
        <w:ind w:left="-460" w:firstLine="656"/>
        <w:spacing w:after="0" w:line="235" w:lineRule="auto"/>
        <w:tabs>
          <w:tab w:leader="none" w:pos="83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(i) approved for listing on Nasdaq, or (ii) the Company shall have filed an application for listing of the Placement Shares on Nasdaq at, or prior to, the issuance of any Placement Notice.</w:t>
      </w:r>
    </w:p>
    <w:p>
      <w:pPr>
        <w:spacing w:after="0" w:line="201" w:lineRule="exact"/>
        <w:rPr>
          <w:rFonts w:ascii="Arial" w:cs="Arial" w:eastAsia="Arial" w:hAnsi="Arial"/>
          <w:sz w:val="22"/>
          <w:szCs w:val="22"/>
          <w:color w:val="auto"/>
        </w:rPr>
      </w:pPr>
    </w:p>
    <w:p>
      <w:pPr>
        <w:jc w:val="both"/>
        <w:ind w:left="-460" w:firstLine="656"/>
        <w:spacing w:after="0" w:line="235" w:lineRule="auto"/>
        <w:tabs>
          <w:tab w:leader="none" w:pos="83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FINRA.</w:t>
      </w:r>
      <w:r>
        <w:rPr>
          <w:rFonts w:ascii="Arial" w:cs="Arial" w:eastAsia="Arial" w:hAnsi="Arial"/>
          <w:sz w:val="22"/>
          <w:szCs w:val="22"/>
          <w:color w:val="auto"/>
        </w:rPr>
        <w:t xml:space="preserve"> FINRA shall have raised no objection to the terms of the offering contemplated hereby and the amount of compensation allowable or payable to the Agent as described in the Prospectus.</w:t>
      </w:r>
    </w:p>
    <w:p>
      <w:pPr>
        <w:spacing w:after="0" w:line="201" w:lineRule="exact"/>
        <w:rPr>
          <w:rFonts w:ascii="Arial" w:cs="Arial" w:eastAsia="Arial" w:hAnsi="Arial"/>
          <w:sz w:val="22"/>
          <w:szCs w:val="22"/>
          <w:color w:val="auto"/>
        </w:rPr>
      </w:pPr>
    </w:p>
    <w:p>
      <w:pPr>
        <w:ind w:left="-460" w:right="20" w:firstLine="656"/>
        <w:spacing w:after="0" w:line="238" w:lineRule="auto"/>
        <w:tabs>
          <w:tab w:leader="none" w:pos="83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the Agent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00" w:lineRule="exact"/>
        <w:rPr>
          <w:sz w:val="20"/>
          <w:szCs w:val="20"/>
          <w:color w:val="auto"/>
        </w:rPr>
      </w:pPr>
    </w:p>
    <w:p>
      <w:pPr>
        <w:ind w:left="840" w:hanging="644"/>
        <w:spacing w:after="0"/>
        <w:tabs>
          <w:tab w:leader="none" w:pos="8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left="-460" w:firstLine="656"/>
        <w:spacing w:after="0" w:line="242" w:lineRule="auto"/>
        <w:tabs>
          <w:tab w:leader="none" w:pos="836"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Company Indemnification</w:t>
      </w:r>
      <w:r>
        <w:rPr>
          <w:rFonts w:ascii="Arial" w:cs="Arial" w:eastAsia="Arial" w:hAnsi="Arial"/>
          <w:sz w:val="21"/>
          <w:szCs w:val="21"/>
          <w:color w:val="auto"/>
        </w:rPr>
        <w:t xml:space="preserve">. The Company agrees to indemnify and hold harmless the Agent, the directors, officers, partners, employees and agents of the Agent and each person, if any, who (i) controls the Agent within the meaning of Section 15 of the Securities Act or Section 20 of the Exchange Act, or (ii) is controlled by or is under common control with the Agent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of, any action, suit or proceeding between any of the indemnified parties and any indemnifying parties or between any indemnified party and any third party, or otherwise, or any claim asserted), as and when incurred, to which the Agent,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fifth paragraph and the last sentence of the eighth paragraph under the caption “Plan of Distribution” in the Prospectus. This indemnity agreement will be in addition to any liability that the Company might otherwise have.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6" w:lineRule="exact"/>
        <w:rPr>
          <w:rFonts w:ascii="Arial" w:cs="Arial" w:eastAsia="Arial" w:hAnsi="Arial"/>
          <w:sz w:val="21"/>
          <w:szCs w:val="21"/>
          <w:color w:val="auto"/>
        </w:rPr>
      </w:pPr>
    </w:p>
    <w:p>
      <w:pPr>
        <w:ind w:left="4400" w:hanging="106"/>
        <w:spacing w:after="0"/>
        <w:tabs>
          <w:tab w:leader="none" w:pos="44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204" w:name="page205"/>
    <w:bookmarkEnd w:id="204"/>
    <w:p>
      <w:pPr>
        <w:jc w:val="both"/>
        <w:ind w:left="-460" w:firstLine="656"/>
        <w:spacing w:after="0" w:line="232" w:lineRule="auto"/>
        <w:tabs>
          <w:tab w:leader="none" w:pos="836"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Agent Indemnification</w:t>
      </w:r>
      <w:r>
        <w:rPr>
          <w:rFonts w:ascii="Arial" w:cs="Arial" w:eastAsia="Arial" w:hAnsi="Arial"/>
          <w:sz w:val="22"/>
          <w:szCs w:val="22"/>
          <w:color w:val="auto"/>
        </w:rPr>
        <w:t xml:space="preserve">.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2"/>
          <w:szCs w:val="22"/>
          <w:u w:val="single" w:color="auto"/>
          <w:color w:val="auto"/>
        </w:rPr>
        <w:t>Section 9(a)</w:t>
      </w:r>
      <w:r>
        <w:rPr>
          <w:rFonts w:ascii="Arial" w:cs="Arial" w:eastAsia="Arial" w:hAnsi="Arial"/>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202" w:lineRule="exact"/>
        <w:rPr>
          <w:rFonts w:ascii="Arial" w:cs="Arial" w:eastAsia="Arial" w:hAnsi="Arial"/>
          <w:sz w:val="22"/>
          <w:szCs w:val="22"/>
          <w:color w:val="auto"/>
        </w:rPr>
      </w:pPr>
    </w:p>
    <w:p>
      <w:pPr>
        <w:jc w:val="both"/>
        <w:ind w:left="-460" w:firstLine="656"/>
        <w:spacing w:after="0" w:line="230" w:lineRule="auto"/>
        <w:tabs>
          <w:tab w:leader="none" w:pos="836"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Any party that proposes to assert the right to be indemnified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and (ii) any liability that it may have to any indemnified party under the foregoing provision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6" w:lineRule="exact"/>
        <w:rPr>
          <w:rFonts w:ascii="Arial" w:cs="Arial" w:eastAsia="Arial" w:hAnsi="Arial"/>
          <w:sz w:val="22"/>
          <w:szCs w:val="22"/>
          <w:color w:val="auto"/>
        </w:rPr>
      </w:pPr>
    </w:p>
    <w:p>
      <w:pPr>
        <w:ind w:left="4400" w:hanging="106"/>
        <w:spacing w:after="0"/>
        <w:tabs>
          <w:tab w:leader="none" w:pos="44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205" w:name="page206"/>
    <w:bookmarkEnd w:id="205"/>
    <w:p>
      <w:pPr>
        <w:jc w:val="both"/>
        <w:spacing w:after="0" w:line="233" w:lineRule="auto"/>
        <w:rPr>
          <w:sz w:val="20"/>
          <w:szCs w:val="20"/>
          <w:color w:val="auto"/>
        </w:rPr>
      </w:pPr>
      <w:r>
        <w:rPr>
          <w:rFonts w:ascii="Arial" w:cs="Arial" w:eastAsia="Arial" w:hAnsi="Arial"/>
          <w:sz w:val="22"/>
          <w:szCs w:val="22"/>
          <w:color w:val="auto"/>
        </w:rPr>
        <w:t xml:space="preserve">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0" w:lineRule="exact"/>
        <w:rPr>
          <w:sz w:val="20"/>
          <w:szCs w:val="20"/>
          <w:color w:val="auto"/>
        </w:rPr>
      </w:pPr>
    </w:p>
    <w:p>
      <w:pPr>
        <w:jc w:val="both"/>
        <w:ind w:firstLine="656"/>
        <w:spacing w:after="0" w:line="230" w:lineRule="auto"/>
        <w:tabs>
          <w:tab w:leader="none" w:pos="129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In order to provide for just and equitable contribution in circumstances in which the indemnification provided for in the foregoing paragraphs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is applicable in accordance with its terms but for any reason is held to be unavailable from the Company or the Agent, the Company and the Agent will contribute to the total losses, claims, liabilities, reasonable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9(d)</w:t>
      </w:r>
      <w:r>
        <w:rPr>
          <w:rFonts w:ascii="Arial" w:cs="Arial" w:eastAsia="Arial" w:hAnsi="Arial"/>
          <w:sz w:val="22"/>
          <w:szCs w:val="22"/>
          <w:color w:val="auto"/>
        </w:rPr>
        <w:t xml:space="preserve"> shall be deemed to include, for the purpose of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22"/>
          <w:szCs w:val="22"/>
          <w:u w:val="single" w:color="auto"/>
          <w:color w:val="auto"/>
        </w:rPr>
        <w:t>Section 9(c)</w:t>
      </w:r>
      <w:r>
        <w:rPr>
          <w:rFonts w:ascii="Arial" w:cs="Arial" w:eastAsia="Arial" w:hAnsi="Arial"/>
          <w:sz w:val="22"/>
          <w:szCs w:val="22"/>
          <w:color w:val="auto"/>
        </w:rPr>
        <w:t xml:space="preserve"> hereof. Notwithstanding the foregoing provisions of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22"/>
          <w:szCs w:val="22"/>
          <w:u w:val="single" w:color="auto"/>
          <w:color w:val="auto"/>
        </w:rPr>
        <w:t>Section 9(d)</w:t>
      </w:r>
      <w:r>
        <w:rPr>
          <w:rFonts w:ascii="Arial" w:cs="Arial" w:eastAsia="Arial" w:hAnsi="Arial"/>
          <w:sz w:val="22"/>
          <w:szCs w:val="22"/>
          <w:color w:val="auto"/>
        </w:rPr>
        <w:t>, any person who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7" w:lineRule="exact"/>
        <w:rPr>
          <w:rFonts w:ascii="Arial" w:cs="Arial" w:eastAsia="Arial" w:hAnsi="Arial"/>
          <w:sz w:val="22"/>
          <w:szCs w:val="22"/>
          <w:color w:val="auto"/>
        </w:rPr>
      </w:pPr>
    </w:p>
    <w:p>
      <w:pPr>
        <w:ind w:left="4860" w:hanging="106"/>
        <w:spacing w:after="0"/>
        <w:tabs>
          <w:tab w:leader="none" w:pos="48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6" w:name="page207"/>
    <w:bookmarkEnd w:id="206"/>
    <w:p>
      <w:pPr>
        <w:jc w:val="both"/>
        <w:spacing w:after="0" w:line="231" w:lineRule="auto"/>
        <w:rPr>
          <w:sz w:val="20"/>
          <w:szCs w:val="20"/>
          <w:color w:val="auto"/>
        </w:rPr>
      </w:pPr>
      <w:r>
        <w:rPr>
          <w:rFonts w:ascii="Arial" w:cs="Arial" w:eastAsia="Arial" w:hAnsi="Arial"/>
          <w:sz w:val="22"/>
          <w:szCs w:val="22"/>
          <w:color w:val="auto"/>
        </w:rPr>
        <w:t xml:space="preserve">controls a party to this Agreement within the meaning of the Securities Act, and any officers, directors, partners, employees or agents of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22"/>
          <w:szCs w:val="22"/>
          <w:u w:val="single" w:color="auto"/>
          <w:color w:val="auto"/>
        </w:rPr>
        <w:t>Section 9(c)</w:t>
      </w:r>
      <w:r>
        <w:rPr>
          <w:rFonts w:ascii="Arial" w:cs="Arial" w:eastAsia="Arial" w:hAnsi="Arial"/>
          <w:sz w:val="22"/>
          <w:szCs w:val="22"/>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22"/>
          <w:szCs w:val="22"/>
          <w:u w:val="single" w:color="auto"/>
          <w:color w:val="auto"/>
        </w:rPr>
        <w:t>Section 9(c)</w:t>
      </w:r>
      <w:r>
        <w:rPr>
          <w:rFonts w:ascii="Arial" w:cs="Arial" w:eastAsia="Arial" w:hAnsi="Arial"/>
          <w:sz w:val="22"/>
          <w:szCs w:val="22"/>
          <w:color w:val="auto"/>
        </w:rPr>
        <w:t xml:space="preserve"> hereof.</w:t>
      </w:r>
    </w:p>
    <w:p>
      <w:pPr>
        <w:spacing w:after="0" w:line="210" w:lineRule="exact"/>
        <w:rPr>
          <w:sz w:val="20"/>
          <w:szCs w:val="20"/>
          <w:color w:val="auto"/>
        </w:rPr>
      </w:pPr>
    </w:p>
    <w:p>
      <w:pPr>
        <w:jc w:val="both"/>
        <w:ind w:firstLine="656"/>
        <w:spacing w:after="0" w:line="233" w:lineRule="auto"/>
        <w:tabs>
          <w:tab w:leader="none" w:pos="12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Representations and Agreements to Survive Delivery</w:t>
      </w:r>
      <w:r>
        <w:rPr>
          <w:rFonts w:ascii="Arial" w:cs="Arial" w:eastAsia="Arial" w:hAnsi="Arial"/>
          <w:sz w:val="22"/>
          <w:szCs w:val="22"/>
          <w:color w:val="auto"/>
        </w:rPr>
        <w:t xml:space="preserve">. The indemnity and contribution agreements contained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jc w:val="both"/>
        <w:ind w:firstLine="656"/>
        <w:spacing w:after="0" w:line="231"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Agent, may materially impair the ability of the Agent to sell the Placement Shares hereunder, (ii) the Company shall have failed, refused or been unable to perform any agreement on its part to be performed hereunder, or (iii) any other condition of the Agent’s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(Expenses),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(Indemnification and Contribution),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(Applicable Law; Consent to Jurisdiction)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(Waiver of Jury Trial) hereof shall remain in full force and effect notwithstanding such termination. If the Agent elects to terminate this Agreement as provided in this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the Agent shall provide the required notice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(Notices).</w:t>
      </w:r>
    </w:p>
    <w:p>
      <w:pPr>
        <w:spacing w:after="0" w:line="194"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4860" w:hanging="106"/>
        <w:spacing w:after="0"/>
        <w:tabs>
          <w:tab w:leader="none" w:pos="48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7" w:name="page208"/>
    <w:bookmarkEnd w:id="207"/>
    <w:p>
      <w:pPr>
        <w:jc w:val="both"/>
        <w:ind w:firstLine="656"/>
        <w:spacing w:after="0" w:line="236"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202"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this Agreement shall automatically terminate upon the issuance and sale of all of the Placement Shares through the Agent on the terms and subject to the conditions set forth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203" w:lineRule="exact"/>
        <w:rPr>
          <w:rFonts w:ascii="Arial" w:cs="Arial" w:eastAsia="Arial" w:hAnsi="Arial"/>
          <w:sz w:val="22"/>
          <w:szCs w:val="22"/>
          <w:color w:val="auto"/>
        </w:rPr>
      </w:pPr>
    </w:p>
    <w:p>
      <w:pPr>
        <w:jc w:val="both"/>
        <w:ind w:firstLine="656"/>
        <w:spacing w:after="0" w:line="232"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This Agreement shall remain in full force and effect unless terminated pursuant to </w:t>
      </w:r>
      <w:r>
        <w:rPr>
          <w:rFonts w:ascii="Arial" w:cs="Arial" w:eastAsia="Arial" w:hAnsi="Arial"/>
          <w:sz w:val="22"/>
          <w:szCs w:val="22"/>
          <w:u w:val="single" w:color="auto"/>
          <w:color w:val="auto"/>
        </w:rPr>
        <w:t>Sections 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 or (d)</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any such termination by mutual agreement shall in all cases be deemed to provide that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remain in full force and effect. Upon termination of this Agreement, the Company shall not have any liability to the Agent for any discount, commission or other compensation with respect to any Placement Shares not otherwise sold by the Agent under this Agreement, or otherwise, except with respect to reimbursement of expenses pursuant to Section 7(g).</w:t>
      </w:r>
    </w:p>
    <w:p>
      <w:pPr>
        <w:spacing w:after="0" w:line="203"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203" w:lineRule="exact"/>
        <w:rPr>
          <w:sz w:val="20"/>
          <w:szCs w:val="20"/>
          <w:color w:val="auto"/>
        </w:rPr>
      </w:pPr>
    </w:p>
    <w:p>
      <w:pPr>
        <w:jc w:val="both"/>
        <w:ind w:firstLine="656"/>
        <w:spacing w:after="0" w:line="235" w:lineRule="auto"/>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Oppenheimer &amp; Co. Inc.</w:t>
      </w:r>
    </w:p>
    <w:p>
      <w:pPr>
        <w:ind w:left="660"/>
        <w:spacing w:after="0" w:line="230" w:lineRule="auto"/>
        <w:rPr>
          <w:sz w:val="20"/>
          <w:szCs w:val="20"/>
          <w:color w:val="auto"/>
        </w:rPr>
      </w:pPr>
      <w:r>
        <w:rPr>
          <w:rFonts w:ascii="Arial" w:cs="Arial" w:eastAsia="Arial" w:hAnsi="Arial"/>
          <w:sz w:val="22"/>
          <w:szCs w:val="22"/>
          <w:color w:val="auto"/>
        </w:rPr>
        <w:t>85 Broad Street</w:t>
      </w:r>
    </w:p>
    <w:p>
      <w:pPr>
        <w:ind w:left="660"/>
        <w:spacing w:after="0" w:line="231" w:lineRule="auto"/>
        <w:rPr>
          <w:sz w:val="20"/>
          <w:szCs w:val="20"/>
          <w:color w:val="auto"/>
        </w:rPr>
      </w:pPr>
      <w:r>
        <w:rPr>
          <w:rFonts w:ascii="Arial" w:cs="Arial" w:eastAsia="Arial" w:hAnsi="Arial"/>
          <w:sz w:val="22"/>
          <w:szCs w:val="22"/>
          <w:color w:val="auto"/>
        </w:rPr>
        <w:t>New York, New York 10004</w:t>
      </w:r>
    </w:p>
    <w:p>
      <w:pPr>
        <w:ind w:left="660"/>
        <w:spacing w:after="0" w:line="230" w:lineRule="auto"/>
        <w:rPr>
          <w:sz w:val="20"/>
          <w:szCs w:val="20"/>
          <w:color w:val="auto"/>
        </w:rPr>
      </w:pPr>
      <w:r>
        <w:rPr>
          <w:rFonts w:ascii="Arial" w:cs="Arial" w:eastAsia="Arial" w:hAnsi="Arial"/>
          <w:sz w:val="22"/>
          <w:szCs w:val="22"/>
          <w:color w:val="auto"/>
        </w:rPr>
        <w:t>Attention:</w:t>
      </w:r>
    </w:p>
    <w:p>
      <w:pPr>
        <w:ind w:left="660"/>
        <w:spacing w:after="0" w:line="231" w:lineRule="auto"/>
        <w:rPr>
          <w:sz w:val="20"/>
          <w:szCs w:val="20"/>
          <w:color w:val="auto"/>
        </w:rPr>
      </w:pPr>
      <w:r>
        <w:rPr>
          <w:rFonts w:ascii="Arial" w:cs="Arial" w:eastAsia="Arial" w:hAnsi="Arial"/>
          <w:sz w:val="22"/>
          <w:szCs w:val="22"/>
          <w:color w:val="auto"/>
        </w:rPr>
        <w:t>Michael Margolis</w:t>
      </w:r>
    </w:p>
    <w:p>
      <w:pPr>
        <w:ind w:left="660"/>
        <w:spacing w:after="0"/>
        <w:rPr>
          <w:sz w:val="20"/>
          <w:szCs w:val="20"/>
          <w:color w:val="auto"/>
        </w:rPr>
      </w:pPr>
      <w:r>
        <w:rPr>
          <w:rFonts w:ascii="Arial" w:cs="Arial" w:eastAsia="Arial" w:hAnsi="Arial"/>
          <w:sz w:val="22"/>
          <w:szCs w:val="22"/>
          <w:color w:val="auto"/>
        </w:rPr>
        <w:t>Jason Fenton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ind w:left="660"/>
        <w:spacing w:after="0"/>
        <w:rPr>
          <w:sz w:val="20"/>
          <w:szCs w:val="20"/>
          <w:color w:val="auto"/>
        </w:rPr>
      </w:pPr>
      <w:r>
        <w:rPr>
          <w:rFonts w:ascii="Arial" w:cs="Arial" w:eastAsia="Arial" w:hAnsi="Arial"/>
          <w:sz w:val="22"/>
          <w:szCs w:val="22"/>
          <w:color w:val="auto"/>
        </w:rPr>
        <w:t>Peter Vogelsang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Oppenheimer &amp; Co. Inc.</w:t>
      </w:r>
    </w:p>
    <w:p>
      <w:pPr>
        <w:ind w:left="660"/>
        <w:spacing w:after="0" w:line="230" w:lineRule="auto"/>
        <w:rPr>
          <w:sz w:val="20"/>
          <w:szCs w:val="20"/>
          <w:color w:val="auto"/>
        </w:rPr>
      </w:pPr>
      <w:r>
        <w:rPr>
          <w:rFonts w:ascii="Arial" w:cs="Arial" w:eastAsia="Arial" w:hAnsi="Arial"/>
          <w:sz w:val="22"/>
          <w:szCs w:val="22"/>
          <w:color w:val="auto"/>
        </w:rPr>
        <w:t>85 Broad Street</w:t>
      </w:r>
    </w:p>
    <w:p>
      <w:pPr>
        <w:ind w:left="660"/>
        <w:spacing w:after="0" w:line="231" w:lineRule="auto"/>
        <w:rPr>
          <w:sz w:val="20"/>
          <w:szCs w:val="20"/>
          <w:color w:val="auto"/>
        </w:rPr>
      </w:pPr>
      <w:r>
        <w:rPr>
          <w:rFonts w:ascii="Arial" w:cs="Arial" w:eastAsia="Arial" w:hAnsi="Arial"/>
          <w:sz w:val="22"/>
          <w:szCs w:val="22"/>
          <w:color w:val="auto"/>
        </w:rPr>
        <w:t>New York, New York 10004</w:t>
      </w:r>
    </w:p>
    <w:p>
      <w:pPr>
        <w:ind w:left="660"/>
        <w:spacing w:after="0"/>
        <w:rPr>
          <w:sz w:val="20"/>
          <w:szCs w:val="20"/>
          <w:color w:val="auto"/>
        </w:rPr>
      </w:pPr>
      <w:r>
        <w:rPr>
          <w:rFonts w:ascii="Arial" w:cs="Arial" w:eastAsia="Arial" w:hAnsi="Arial"/>
          <w:sz w:val="22"/>
          <w:szCs w:val="22"/>
          <w:color w:val="auto"/>
        </w:rPr>
        <w:t>Attention: Office of the General Counsel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4" w:right="999" w:bottom="1440" w:gutter="0" w:footer="0" w:header="0"/>
        </w:sectPr>
      </w:pPr>
    </w:p>
    <w:bookmarkStart w:id="208" w:name="page209"/>
    <w:bookmarkEnd w:id="208"/>
    <w:p>
      <w:pPr>
        <w:ind w:left="660"/>
        <w:spacing w:after="0"/>
        <w:rPr>
          <w:sz w:val="20"/>
          <w:szCs w:val="20"/>
          <w:color w:val="auto"/>
        </w:rPr>
      </w:pPr>
      <w:r>
        <w:rPr>
          <w:rFonts w:ascii="Arial" w:cs="Arial" w:eastAsia="Arial" w:hAnsi="Arial"/>
          <w:sz w:val="22"/>
          <w:szCs w:val="22"/>
          <w:color w:val="auto"/>
        </w:rPr>
        <w:t>Telephone: (212) 668-5771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Olema Pharmaceuticals, Inc.</w:t>
      </w:r>
    </w:p>
    <w:p>
      <w:pPr>
        <w:ind w:left="660"/>
        <w:spacing w:after="0" w:line="230" w:lineRule="auto"/>
        <w:rPr>
          <w:sz w:val="20"/>
          <w:szCs w:val="20"/>
          <w:color w:val="auto"/>
        </w:rPr>
      </w:pPr>
      <w:r>
        <w:rPr>
          <w:rFonts w:ascii="Arial" w:cs="Arial" w:eastAsia="Arial" w:hAnsi="Arial"/>
          <w:sz w:val="22"/>
          <w:szCs w:val="22"/>
          <w:color w:val="auto"/>
        </w:rPr>
        <w:t>512 2nd Street, 4</w:t>
      </w:r>
      <w:r>
        <w:rPr>
          <w:rFonts w:ascii="Arial" w:cs="Arial" w:eastAsia="Arial" w:hAnsi="Arial"/>
          <w:sz w:val="16"/>
          <w:szCs w:val="16"/>
          <w:color w:val="auto"/>
        </w:rPr>
        <w:t>th</w:t>
      </w:r>
      <w:r>
        <w:rPr>
          <w:rFonts w:ascii="Arial" w:cs="Arial" w:eastAsia="Arial" w:hAnsi="Arial"/>
          <w:sz w:val="22"/>
          <w:szCs w:val="22"/>
          <w:color w:val="auto"/>
        </w:rPr>
        <w:t xml:space="preserve"> Floor</w:t>
      </w:r>
    </w:p>
    <w:p>
      <w:pPr>
        <w:ind w:left="660"/>
        <w:spacing w:after="0" w:line="231" w:lineRule="auto"/>
        <w:rPr>
          <w:sz w:val="20"/>
          <w:szCs w:val="20"/>
          <w:color w:val="auto"/>
        </w:rPr>
      </w:pPr>
      <w:r>
        <w:rPr>
          <w:rFonts w:ascii="Arial" w:cs="Arial" w:eastAsia="Arial" w:hAnsi="Arial"/>
          <w:sz w:val="22"/>
          <w:szCs w:val="22"/>
          <w:color w:val="auto"/>
        </w:rPr>
        <w:t>San Francisco, California 94107</w:t>
      </w:r>
    </w:p>
    <w:p>
      <w:pPr>
        <w:ind w:left="660"/>
        <w:spacing w:after="0" w:line="230" w:lineRule="auto"/>
        <w:rPr>
          <w:sz w:val="20"/>
          <w:szCs w:val="20"/>
          <w:color w:val="auto"/>
        </w:rPr>
      </w:pPr>
      <w:r>
        <w:rPr>
          <w:rFonts w:ascii="Arial" w:cs="Arial" w:eastAsia="Arial" w:hAnsi="Arial"/>
          <w:sz w:val="22"/>
          <w:szCs w:val="22"/>
          <w:color w:val="auto"/>
        </w:rPr>
        <w:t>Attention: Sean Bohen, with a copy (which shall not constitute notice)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Cooley LLP</w:t>
      </w:r>
    </w:p>
    <w:p>
      <w:pPr>
        <w:ind w:left="660"/>
        <w:spacing w:after="0" w:line="230" w:lineRule="auto"/>
        <w:rPr>
          <w:sz w:val="20"/>
          <w:szCs w:val="20"/>
          <w:color w:val="auto"/>
        </w:rPr>
      </w:pPr>
      <w:r>
        <w:rPr>
          <w:rFonts w:ascii="Arial" w:cs="Arial" w:eastAsia="Arial" w:hAnsi="Arial"/>
          <w:sz w:val="22"/>
          <w:szCs w:val="22"/>
          <w:color w:val="auto"/>
        </w:rPr>
        <w:t>101 California Street, Suite 101</w:t>
      </w:r>
    </w:p>
    <w:p>
      <w:pPr>
        <w:ind w:left="660"/>
        <w:spacing w:after="0" w:line="231" w:lineRule="auto"/>
        <w:rPr>
          <w:sz w:val="20"/>
          <w:szCs w:val="20"/>
          <w:color w:val="auto"/>
        </w:rPr>
      </w:pPr>
      <w:r>
        <w:rPr>
          <w:rFonts w:ascii="Arial" w:cs="Arial" w:eastAsia="Arial" w:hAnsi="Arial"/>
          <w:sz w:val="22"/>
          <w:szCs w:val="22"/>
          <w:color w:val="auto"/>
        </w:rPr>
        <w:t>San Francisco, California, 94105</w:t>
      </w:r>
    </w:p>
    <w:p>
      <w:pPr>
        <w:ind w:left="660"/>
        <w:spacing w:after="0"/>
        <w:rPr>
          <w:sz w:val="20"/>
          <w:szCs w:val="20"/>
          <w:color w:val="auto"/>
        </w:rPr>
      </w:pPr>
      <w:r>
        <w:rPr>
          <w:rFonts w:ascii="Arial" w:cs="Arial" w:eastAsia="Arial" w:hAnsi="Arial"/>
          <w:sz w:val="22"/>
          <w:szCs w:val="22"/>
          <w:color w:val="auto"/>
        </w:rPr>
        <w:t>Attention: Jodie Bourdet</w:t>
      </w:r>
    </w:p>
    <w:p>
      <w:pPr>
        <w:spacing w:after="0" w:line="23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“Business Day” shall mean any day on which Nasdaq and commercial banks in the City of New York are open for business.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An electronic communication (“</w:t>
      </w:r>
      <w:r>
        <w:rPr>
          <w:rFonts w:ascii="Arial" w:cs="Arial" w:eastAsia="Arial" w:hAnsi="Arial"/>
          <w:sz w:val="21"/>
          <w:szCs w:val="21"/>
          <w:b w:val="1"/>
          <w:bCs w:val="1"/>
          <w:color w:val="auto"/>
        </w:rPr>
        <w:t>Electronic Notice</w:t>
      </w:r>
      <w:r>
        <w:rPr>
          <w:rFonts w:ascii="Arial" w:cs="Arial" w:eastAsia="Arial" w:hAnsi="Arial"/>
          <w:sz w:val="21"/>
          <w:szCs w:val="21"/>
          <w:color w:val="auto"/>
        </w:rPr>
        <w:t>”) shall be deemed written notice for purposes of this Section 12 if sent to the electronic mail address specified by the receiving party under separate cover. Electronic Notice shall be deemed received at the time the party sending Electronic Notice receives actual acknowledgment of receipt from the person to whom the notice is sent, other than via auto-reply. Any party receiving Electronic Notice may request and shall be entitled to receive the notice on paper, in a nonelectronic form (“</w:t>
      </w:r>
      <w:r>
        <w:rPr>
          <w:rFonts w:ascii="Arial" w:cs="Arial" w:eastAsia="Arial" w:hAnsi="Arial"/>
          <w:sz w:val="21"/>
          <w:szCs w:val="21"/>
          <w:b w:val="1"/>
          <w:bCs w:val="1"/>
          <w:color w:val="auto"/>
        </w:rPr>
        <w:t>Nonelectronic Notice</w:t>
      </w:r>
      <w:r>
        <w:rPr>
          <w:rFonts w:ascii="Arial" w:cs="Arial" w:eastAsia="Arial" w:hAnsi="Arial"/>
          <w:sz w:val="21"/>
          <w:szCs w:val="21"/>
          <w:color w:val="auto"/>
        </w:rPr>
        <w:t>”), which shall be sent to the requesting party within ten</w:t>
      </w:r>
    </w:p>
    <w:p>
      <w:pPr>
        <w:spacing w:after="0" w:line="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days of receipt of the written request for Nonelectronic Notice.</w:t>
      </w:r>
    </w:p>
    <w:p>
      <w:pPr>
        <w:spacing w:after="0" w:line="233" w:lineRule="exact"/>
        <w:rPr>
          <w:rFonts w:ascii="Arial" w:cs="Arial" w:eastAsia="Arial" w:hAnsi="Arial"/>
          <w:sz w:val="22"/>
          <w:szCs w:val="22"/>
          <w:color w:val="auto"/>
        </w:rPr>
      </w:pPr>
    </w:p>
    <w:p>
      <w:pPr>
        <w:jc w:val="both"/>
        <w:ind w:firstLine="656"/>
        <w:spacing w:after="0" w:line="232" w:lineRule="auto"/>
        <w:tabs>
          <w:tab w:leader="none" w:pos="1296"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inure to the benefit of and be binding upon the Company and the Agent and their respective successors and the affiliates, controlling persons, officers and directors referred to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Agent may assign its rights and obligations hereunder to an affiliate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Agent without obtaining the Company’s consent.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860" w:hanging="106"/>
        <w:spacing w:after="0"/>
        <w:tabs>
          <w:tab w:leader="none" w:pos="486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9" w:name="page210"/>
    <w:bookmarkEnd w:id="209"/>
    <w:p>
      <w:pPr>
        <w:jc w:val="both"/>
        <w:ind w:left="-460" w:right="20" w:firstLine="656"/>
        <w:spacing w:after="0" w:line="235" w:lineRule="auto"/>
        <w:tabs>
          <w:tab w:leader="none" w:pos="83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201" w:lineRule="exact"/>
        <w:rPr>
          <w:rFonts w:ascii="Arial" w:cs="Arial" w:eastAsia="Arial" w:hAnsi="Arial"/>
          <w:sz w:val="22"/>
          <w:szCs w:val="22"/>
          <w:color w:val="auto"/>
        </w:rPr>
      </w:pPr>
    </w:p>
    <w:p>
      <w:pPr>
        <w:jc w:val="both"/>
        <w:ind w:left="-460" w:firstLine="656"/>
        <w:spacing w:after="0" w:line="243" w:lineRule="auto"/>
        <w:tabs>
          <w:tab w:leader="none" w:pos="83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Entire Agreement; Amendment; Severability</w:t>
      </w:r>
      <w:r>
        <w:rPr>
          <w:rFonts w:ascii="Arial" w:cs="Arial" w:eastAsia="Arial" w:hAnsi="Arial"/>
          <w:sz w:val="21"/>
          <w:szCs w:val="21"/>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97" w:lineRule="exact"/>
        <w:rPr>
          <w:rFonts w:ascii="Arial" w:cs="Arial" w:eastAsia="Arial" w:hAnsi="Arial"/>
          <w:sz w:val="21"/>
          <w:szCs w:val="21"/>
          <w:color w:val="auto"/>
        </w:rPr>
      </w:pPr>
    </w:p>
    <w:p>
      <w:pPr>
        <w:jc w:val="both"/>
        <w:ind w:left="-460" w:firstLine="656"/>
        <w:spacing w:after="0" w:line="242" w:lineRule="auto"/>
        <w:tabs>
          <w:tab w:leader="none" w:pos="836"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Applicable Law; Consent to Jurisdiction</w:t>
      </w:r>
      <w:r>
        <w:rPr>
          <w:rFonts w:ascii="Arial" w:cs="Arial" w:eastAsia="Arial" w:hAnsi="Arial"/>
          <w:sz w:val="21"/>
          <w:szCs w:val="21"/>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9" w:lineRule="exact"/>
        <w:rPr>
          <w:rFonts w:ascii="Arial" w:cs="Arial" w:eastAsia="Arial" w:hAnsi="Arial"/>
          <w:sz w:val="21"/>
          <w:szCs w:val="21"/>
          <w:color w:val="auto"/>
        </w:rPr>
      </w:pPr>
    </w:p>
    <w:p>
      <w:pPr>
        <w:jc w:val="both"/>
        <w:ind w:left="-460" w:firstLine="656"/>
        <w:spacing w:after="0" w:line="235" w:lineRule="auto"/>
        <w:tabs>
          <w:tab w:leader="none" w:pos="83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and the Agent each hereby irrevocably waives any right it may have to a trial by jury in respect of any claim based upon or arising out of this Agreement or any transaction contemplated hereby.</w:t>
      </w:r>
    </w:p>
    <w:p>
      <w:pPr>
        <w:spacing w:after="0" w:line="179" w:lineRule="exact"/>
        <w:rPr>
          <w:rFonts w:ascii="Arial" w:cs="Arial" w:eastAsia="Arial" w:hAnsi="Arial"/>
          <w:sz w:val="22"/>
          <w:szCs w:val="22"/>
          <w:color w:val="auto"/>
        </w:rPr>
      </w:pPr>
    </w:p>
    <w:p>
      <w:pPr>
        <w:ind w:left="840" w:hanging="644"/>
        <w:spacing w:after="0"/>
        <w:tabs>
          <w:tab w:leader="none" w:pos="84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13" w:lineRule="exact"/>
        <w:rPr>
          <w:sz w:val="20"/>
          <w:szCs w:val="20"/>
          <w:color w:val="auto"/>
        </w:rPr>
      </w:pPr>
    </w:p>
    <w:p>
      <w:pPr>
        <w:jc w:val="both"/>
        <w:ind w:left="-460" w:firstLine="656"/>
        <w:spacing w:after="0" w:line="236" w:lineRule="auto"/>
        <w:tabs>
          <w:tab w:leader="none" w:pos="83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Agent has been retained solely to act as an arm’s length contractual counterparty to the Company in connection with the sale of the Placement Shares contemplated hereby and that no fiduciary, advisory or agency relationship between the Company and the Agent has been created in respect of any of the transactions contemplated by this Agreement, irrespective of whether the Agent has advised or is advising the Company on other matters;</w:t>
      </w:r>
    </w:p>
    <w:p>
      <w:pPr>
        <w:spacing w:after="0" w:line="202" w:lineRule="exact"/>
        <w:rPr>
          <w:rFonts w:ascii="Arial" w:cs="Arial" w:eastAsia="Arial" w:hAnsi="Arial"/>
          <w:sz w:val="22"/>
          <w:szCs w:val="22"/>
          <w:color w:val="auto"/>
        </w:rPr>
      </w:pPr>
    </w:p>
    <w:p>
      <w:pPr>
        <w:ind w:left="-460" w:right="20" w:firstLine="656"/>
        <w:spacing w:after="0" w:line="238" w:lineRule="auto"/>
        <w:tabs>
          <w:tab w:leader="none" w:pos="83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is capable of evaluating and understanding and understands and accepts the terms, risks and conditions of the transactions contemplated by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0" w:lineRule="exact"/>
        <w:rPr>
          <w:rFonts w:ascii="Arial" w:cs="Arial" w:eastAsia="Arial" w:hAnsi="Arial"/>
          <w:sz w:val="22"/>
          <w:szCs w:val="22"/>
          <w:color w:val="auto"/>
        </w:rPr>
      </w:pPr>
    </w:p>
    <w:p>
      <w:pPr>
        <w:ind w:left="4400" w:hanging="106"/>
        <w:spacing w:after="0"/>
        <w:tabs>
          <w:tab w:leader="none" w:pos="44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210" w:name="page211"/>
    <w:bookmarkEnd w:id="210"/>
    <w:p>
      <w:pPr>
        <w:jc w:val="both"/>
        <w:ind w:firstLine="656"/>
        <w:spacing w:after="0" w:line="234" w:lineRule="auto"/>
        <w:tabs>
          <w:tab w:leader="none" w:pos="12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has been advised that the Agent and its affiliates are engaged in a broad range of transactions which may involve interests that differ from those of the Company and that the Agent has no obligation to disclose such interests and transactions to the Company by virtue of any fiduciary, advisory or agency relationship; and</w:t>
      </w:r>
    </w:p>
    <w:p>
      <w:pPr>
        <w:spacing w:after="0" w:line="201" w:lineRule="exact"/>
        <w:rPr>
          <w:rFonts w:ascii="Arial" w:cs="Arial" w:eastAsia="Arial" w:hAnsi="Arial"/>
          <w:sz w:val="22"/>
          <w:szCs w:val="22"/>
          <w:color w:val="auto"/>
        </w:rPr>
      </w:pPr>
    </w:p>
    <w:p>
      <w:pPr>
        <w:jc w:val="both"/>
        <w:ind w:firstLine="656"/>
        <w:spacing w:after="0" w:line="233" w:lineRule="auto"/>
        <w:tabs>
          <w:tab w:leader="none" w:pos="12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waives, to the fullest extent permitted by law, any claims it may have against the Agent, for breach of fiduciary duty or alleged breach of fiduciary duty and agrees that the Agent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203" w:lineRule="exact"/>
        <w:rPr>
          <w:sz w:val="20"/>
          <w:szCs w:val="20"/>
          <w:color w:val="auto"/>
        </w:rPr>
      </w:pPr>
    </w:p>
    <w:p>
      <w:pPr>
        <w:jc w:val="both"/>
        <w:ind w:firstLine="656"/>
        <w:spacing w:after="0" w:line="232" w:lineRule="auto"/>
        <w:tabs>
          <w:tab w:leader="none" w:pos="1296"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11" w:name="page212"/>
    <w:bookmarkEnd w:id="211"/>
    <w:p>
      <w:pPr>
        <w:jc w:val="both"/>
        <w:ind w:firstLine="648"/>
        <w:spacing w:after="0" w:line="235" w:lineRule="auto"/>
        <w:rPr>
          <w:sz w:val="20"/>
          <w:szCs w:val="20"/>
          <w:color w:val="auto"/>
        </w:rPr>
      </w:pPr>
      <w:r>
        <w:rPr>
          <w:rFonts w:ascii="Arial" w:cs="Arial" w:eastAsia="Arial" w:hAnsi="Arial"/>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Very truly yours,</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OPPENHEIMER &amp; CO. INC.</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Margolis, R.Ph.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12065</wp:posOffset>
            </wp:positionV>
            <wp:extent cx="28803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Name: Michael Margolis, R.Ph.</w:t>
      </w:r>
    </w:p>
    <w:p>
      <w:pPr>
        <w:ind w:left="5380"/>
        <w:spacing w:after="0" w:line="230" w:lineRule="auto"/>
        <w:tabs>
          <w:tab w:leader="none" w:pos="6100" w:val="left"/>
        </w:tabs>
        <w:rPr>
          <w:sz w:val="20"/>
          <w:szCs w:val="20"/>
          <w:color w:val="auto"/>
        </w:rPr>
      </w:pPr>
      <w:r>
        <w:rPr>
          <w:rFonts w:ascii="Arial" w:cs="Arial" w:eastAsia="Arial" w:hAnsi="Arial"/>
          <w:sz w:val="22"/>
          <w:szCs w:val="22"/>
          <w:color w:val="auto"/>
        </w:rPr>
        <w:t>Title:</w:t>
        <w:tab/>
        <w:t>Senior Managing Director, Co-Head</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Healthcare IB</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ACCEPTED as of the date</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first-above written:</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OLEMA PHARMACEUTICALS, INC.</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12065</wp:posOffset>
            </wp:positionV>
            <wp:extent cx="28803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Name: Shane Kovacs</w:t>
      </w:r>
    </w:p>
    <w:p>
      <w:pPr>
        <w:ind w:left="5380"/>
        <w:spacing w:after="0"/>
        <w:tabs>
          <w:tab w:leader="none" w:pos="6100" w:val="left"/>
        </w:tabs>
        <w:rPr>
          <w:sz w:val="20"/>
          <w:szCs w:val="20"/>
          <w:color w:val="auto"/>
        </w:rPr>
      </w:pPr>
      <w:r>
        <w:rPr>
          <w:rFonts w:ascii="Arial" w:cs="Arial" w:eastAsia="Arial" w:hAnsi="Arial"/>
          <w:sz w:val="22"/>
          <w:szCs w:val="22"/>
          <w:color w:val="auto"/>
        </w:rPr>
        <w:t>Title:</w:t>
        <w:tab/>
        <w:t>Chief Operating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752475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40" w:type="dxa"/>
            <w:vAlign w:val="bottom"/>
            <w:gridSpan w:val="2"/>
          </w:tcPr>
          <w:p>
            <w:pPr>
              <w:ind w:left="1960"/>
              <w:spacing w:after="0"/>
              <w:rPr>
                <w:sz w:val="20"/>
                <w:szCs w:val="20"/>
                <w:color w:val="auto"/>
              </w:rPr>
            </w:pPr>
            <w:r>
              <w:rPr>
                <w:rFonts w:ascii="Arial" w:cs="Arial" w:eastAsia="Arial" w:hAnsi="Arial"/>
                <w:sz w:val="22"/>
                <w:szCs w:val="22"/>
                <w:b w:val="1"/>
                <w:bCs w:val="1"/>
                <w:color w:val="auto"/>
                <w:w w:val="97"/>
              </w:rPr>
              <w:t>FORM OF PLACEMENT NOTICE</w:t>
            </w:r>
          </w:p>
        </w:tc>
      </w:tr>
      <w:tr>
        <w:trPr>
          <w:trHeight w:val="946"/>
        </w:trPr>
        <w:tc>
          <w:tcPr>
            <w:tcW w:w="700" w:type="dxa"/>
            <w:vAlign w:val="bottom"/>
          </w:tcPr>
          <w:p>
            <w:pPr>
              <w:spacing w:after="0"/>
              <w:rPr>
                <w:sz w:val="20"/>
                <w:szCs w:val="20"/>
                <w:color w:val="auto"/>
              </w:rPr>
            </w:pPr>
            <w:r>
              <w:rPr>
                <w:rFonts w:ascii="Arial" w:cs="Arial" w:eastAsia="Arial" w:hAnsi="Arial"/>
                <w:sz w:val="22"/>
                <w:szCs w:val="22"/>
                <w:color w:val="auto"/>
              </w:rPr>
              <w:t>From:</w:t>
            </w: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960" w:type="dxa"/>
            <w:vAlign w:val="bottom"/>
          </w:tcPr>
          <w:p>
            <w:pPr>
              <w:jc w:val="right"/>
              <w:ind w:right="1332"/>
              <w:spacing w:after="0"/>
              <w:rPr>
                <w:sz w:val="20"/>
                <w:szCs w:val="20"/>
                <w:color w:val="auto"/>
              </w:rPr>
            </w:pPr>
            <w:r>
              <w:rPr>
                <w:rFonts w:ascii="Arial" w:cs="Arial" w:eastAsia="Arial" w:hAnsi="Arial"/>
                <w:sz w:val="22"/>
                <w:szCs w:val="22"/>
                <w:color w:val="auto"/>
              </w:rPr>
              <w:t>]</w:t>
            </w:r>
          </w:p>
        </w:tc>
        <w:tc>
          <w:tcPr>
            <w:tcW w:w="3280" w:type="dxa"/>
            <w:vAlign w:val="bottom"/>
            <w:tcBorders>
              <w:top w:val="single" w:sz="8" w:color="auto"/>
            </w:tcBorders>
          </w:tcPr>
          <w:p>
            <w:pPr>
              <w:spacing w:after="0"/>
              <w:rPr>
                <w:sz w:val="24"/>
                <w:szCs w:val="24"/>
                <w:color w:val="auto"/>
              </w:rPr>
            </w:pPr>
          </w:p>
        </w:tc>
      </w:tr>
      <w:tr>
        <w:trPr>
          <w:trHeight w:val="243"/>
        </w:trPr>
        <w:tc>
          <w:tcPr>
            <w:tcW w:w="700" w:type="dxa"/>
            <w:vAlign w:val="bottom"/>
          </w:tcPr>
          <w:p>
            <w:pPr>
              <w:spacing w:after="0" w:line="243" w:lineRule="exact"/>
              <w:rPr>
                <w:sz w:val="20"/>
                <w:szCs w:val="20"/>
                <w:color w:val="auto"/>
              </w:rPr>
            </w:pPr>
            <w:r>
              <w:rPr>
                <w:rFonts w:ascii="Arial" w:cs="Arial" w:eastAsia="Arial" w:hAnsi="Arial"/>
                <w:sz w:val="22"/>
                <w:szCs w:val="22"/>
                <w:color w:val="auto"/>
              </w:rPr>
              <w:t>Cc:</w:t>
            </w:r>
          </w:p>
        </w:tc>
        <w:tc>
          <w:tcPr>
            <w:tcW w:w="6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1960" w:type="dxa"/>
            <w:vAlign w:val="bottom"/>
          </w:tcPr>
          <w:p>
            <w:pPr>
              <w:jc w:val="right"/>
              <w:ind w:right="1332"/>
              <w:spacing w:after="0" w:line="243" w:lineRule="exact"/>
              <w:rPr>
                <w:sz w:val="20"/>
                <w:szCs w:val="20"/>
                <w:color w:val="auto"/>
              </w:rPr>
            </w:pPr>
            <w:r>
              <w:rPr>
                <w:rFonts w:ascii="Arial" w:cs="Arial" w:eastAsia="Arial" w:hAnsi="Arial"/>
                <w:sz w:val="22"/>
                <w:szCs w:val="22"/>
                <w:color w:val="auto"/>
              </w:rPr>
              <w:t>]</w:t>
            </w:r>
          </w:p>
        </w:tc>
        <w:tc>
          <w:tcPr>
            <w:tcW w:w="3280" w:type="dxa"/>
            <w:vAlign w:val="bottom"/>
          </w:tcPr>
          <w:p>
            <w:pPr>
              <w:spacing w:after="0"/>
              <w:rPr>
                <w:sz w:val="21"/>
                <w:szCs w:val="21"/>
                <w:color w:val="auto"/>
              </w:rPr>
            </w:pPr>
          </w:p>
        </w:tc>
      </w:tr>
      <w:tr>
        <w:trPr>
          <w:trHeight w:val="243"/>
        </w:trPr>
        <w:tc>
          <w:tcPr>
            <w:tcW w:w="700" w:type="dxa"/>
            <w:vAlign w:val="bottom"/>
          </w:tcPr>
          <w:p>
            <w:pPr>
              <w:spacing w:after="0" w:line="243" w:lineRule="exact"/>
              <w:rPr>
                <w:sz w:val="20"/>
                <w:szCs w:val="20"/>
                <w:color w:val="auto"/>
              </w:rPr>
            </w:pPr>
            <w:r>
              <w:rPr>
                <w:rFonts w:ascii="Arial" w:cs="Arial" w:eastAsia="Arial" w:hAnsi="Arial"/>
                <w:sz w:val="22"/>
                <w:szCs w:val="22"/>
                <w:color w:val="auto"/>
              </w:rPr>
              <w:t>To:</w:t>
            </w:r>
          </w:p>
        </w:tc>
        <w:tc>
          <w:tcPr>
            <w:tcW w:w="6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1960" w:type="dxa"/>
            <w:vAlign w:val="bottom"/>
          </w:tcPr>
          <w:p>
            <w:pPr>
              <w:jc w:val="right"/>
              <w:ind w:right="1332"/>
              <w:spacing w:after="0" w:line="243" w:lineRule="exact"/>
              <w:rPr>
                <w:sz w:val="20"/>
                <w:szCs w:val="20"/>
                <w:color w:val="auto"/>
              </w:rPr>
            </w:pPr>
            <w:r>
              <w:rPr>
                <w:rFonts w:ascii="Arial" w:cs="Arial" w:eastAsia="Arial" w:hAnsi="Arial"/>
                <w:sz w:val="22"/>
                <w:szCs w:val="22"/>
                <w:color w:val="auto"/>
              </w:rPr>
              <w:t>]</w:t>
            </w:r>
          </w:p>
        </w:tc>
        <w:tc>
          <w:tcPr>
            <w:tcW w:w="3280" w:type="dxa"/>
            <w:vAlign w:val="bottom"/>
          </w:tcPr>
          <w:p>
            <w:pPr>
              <w:spacing w:after="0"/>
              <w:rPr>
                <w:sz w:val="21"/>
                <w:szCs w:val="21"/>
                <w:color w:val="auto"/>
              </w:rPr>
            </w:pPr>
          </w:p>
        </w:tc>
      </w:tr>
    </w:tbl>
    <w:p>
      <w:pPr>
        <w:ind w:right="3700" w:firstLine="1"/>
        <w:spacing w:after="0" w:line="428" w:lineRule="auto"/>
        <w:rPr>
          <w:sz w:val="20"/>
          <w:szCs w:val="20"/>
          <w:color w:val="auto"/>
        </w:rPr>
      </w:pPr>
      <w:r>
        <w:rPr>
          <w:rFonts w:ascii="Arial" w:cs="Arial" w:eastAsia="Arial" w:hAnsi="Arial"/>
          <w:sz w:val="22"/>
          <w:szCs w:val="22"/>
          <w:color w:val="auto"/>
        </w:rPr>
        <w:t>Subject: Oppenheimer At the Market Offering—Placement Notice Gentlemen:</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Pursuant to the terms and subject to the conditions contained in the Sales Agreement between Olema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Oppenheimer &amp; Co. Inc. (“</w:t>
      </w:r>
      <w:r>
        <w:rPr>
          <w:rFonts w:ascii="Arial" w:cs="Arial" w:eastAsia="Arial" w:hAnsi="Arial"/>
          <w:sz w:val="22"/>
          <w:szCs w:val="22"/>
          <w:u w:val="single" w:color="auto"/>
          <w:color w:val="auto"/>
        </w:rPr>
        <w:t>Oppenheimer</w:t>
      </w:r>
      <w:r>
        <w:rPr>
          <w:rFonts w:ascii="Arial" w:cs="Arial" w:eastAsia="Arial" w:hAnsi="Arial"/>
          <w:sz w:val="22"/>
          <w:szCs w:val="22"/>
          <w:color w:val="auto"/>
        </w:rPr>
        <w:t>”) dated March 9, 2023 (the “</w:t>
      </w:r>
      <w:r>
        <w:rPr>
          <w:rFonts w:ascii="Arial" w:cs="Arial" w:eastAsia="Arial" w:hAnsi="Arial"/>
          <w:sz w:val="22"/>
          <w:szCs w:val="22"/>
          <w:u w:val="single" w:color="auto"/>
          <w:color w:val="auto"/>
        </w:rPr>
        <w:t>Agreement</w:t>
      </w:r>
      <w:r>
        <w:rPr>
          <w:rFonts w:ascii="Arial" w:cs="Arial" w:eastAsia="Arial" w:hAnsi="Arial"/>
          <w:sz w:val="22"/>
          <w:szCs w:val="22"/>
          <w:color w:val="auto"/>
        </w:rPr>
        <w:t>”), I hereby request on behalf of the Company that Oppenheimer sell up to [ ] shares of the Company’s common stock, par value $0.0001 per share, at a minimum market price of</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-185420</wp:posOffset>
            </wp:positionV>
            <wp:extent cx="8572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[The Company may include such other sales parameters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1052195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Parties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Sean P. Bohen, M.D., Ph.D., President and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Shane Kovacs, Chief Operating and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Oppenheimer &amp; Co. Inc.</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Stephanie Cruz, Managing Director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Thomas Villano,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915035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32" w:lineRule="exact"/>
        <w:rPr>
          <w:sz w:val="20"/>
          <w:szCs w:val="20"/>
          <w:color w:val="auto"/>
        </w:rPr>
      </w:pPr>
    </w:p>
    <w:p>
      <w:pPr>
        <w:ind w:right="520"/>
        <w:spacing w:after="0" w:line="238" w:lineRule="auto"/>
        <w:rPr>
          <w:sz w:val="20"/>
          <w:szCs w:val="20"/>
          <w:color w:val="auto"/>
        </w:rPr>
      </w:pPr>
      <w:r>
        <w:rPr>
          <w:rFonts w:ascii="Arial" w:cs="Arial" w:eastAsia="Arial" w:hAnsi="Arial"/>
          <w:sz w:val="22"/>
          <w:szCs w:val="22"/>
          <w:color w:val="auto"/>
        </w:rPr>
        <w:t>The Agent shall be paid compensation equal to up to 3.0% of the gross proceeds from the sales of Common Stock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1048385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500" w:type="dxa"/>
            <w:vAlign w:val="bottom"/>
            <w:gridSpan w:val="3"/>
          </w:tcPr>
          <w:p>
            <w:pPr>
              <w:ind w:left="1260"/>
              <w:spacing w:after="0"/>
              <w:rPr>
                <w:sz w:val="20"/>
                <w:szCs w:val="20"/>
                <w:color w:val="auto"/>
              </w:rPr>
            </w:pPr>
            <w:r>
              <w:rPr>
                <w:rFonts w:ascii="Arial" w:cs="Arial" w:eastAsia="Arial" w:hAnsi="Arial"/>
                <w:sz w:val="22"/>
                <w:szCs w:val="22"/>
                <w:b w:val="1"/>
                <w:bCs w:val="1"/>
                <w:color w:val="auto"/>
                <w:w w:val="96"/>
              </w:rPr>
              <w:t>Exhibit 7(m)</w:t>
            </w:r>
          </w:p>
        </w:tc>
      </w:tr>
      <w:tr>
        <w:trPr>
          <w:trHeight w:val="466"/>
        </w:trPr>
        <w:tc>
          <w:tcPr>
            <w:tcW w:w="3760" w:type="dxa"/>
            <w:vAlign w:val="bottom"/>
          </w:tcPr>
          <w:p>
            <w:pPr>
              <w:spacing w:after="0"/>
              <w:rPr>
                <w:sz w:val="24"/>
                <w:szCs w:val="24"/>
                <w:color w:val="auto"/>
              </w:rPr>
            </w:pP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6"/>
              </w:rPr>
              <w:t>OFFICER CERTIFICATE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466"/>
        </w:trPr>
        <w:tc>
          <w:tcPr>
            <w:tcW w:w="4860" w:type="dxa"/>
            <w:vAlign w:val="bottom"/>
            <w:gridSpan w:val="2"/>
          </w:tcPr>
          <w:p>
            <w:pPr>
              <w:spacing w:after="0"/>
              <w:rPr>
                <w:sz w:val="20"/>
                <w:szCs w:val="20"/>
                <w:color w:val="auto"/>
              </w:rPr>
            </w:pPr>
            <w:r>
              <w:rPr>
                <w:rFonts w:ascii="Arial" w:cs="Arial" w:eastAsia="Arial" w:hAnsi="Arial"/>
                <w:sz w:val="22"/>
                <w:szCs w:val="22"/>
                <w:color w:val="auto"/>
              </w:rPr>
              <w:t>The undersigned, the duly qualified and elected</w:t>
            </w:r>
          </w:p>
        </w:tc>
        <w:tc>
          <w:tcPr>
            <w:tcW w:w="256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22"/>
                <w:szCs w:val="22"/>
                <w:color w:val="auto"/>
              </w:rPr>
              <w:t>, of Olema</w:t>
            </w:r>
          </w:p>
        </w:tc>
      </w:tr>
    </w:tbl>
    <w:p>
      <w:pPr>
        <w:jc w:val="both"/>
        <w:spacing w:after="0" w:line="239" w:lineRule="auto"/>
        <w:rPr>
          <w:sz w:val="20"/>
          <w:szCs w:val="20"/>
          <w:color w:val="auto"/>
        </w:rPr>
      </w:pPr>
      <w:r>
        <w:rPr>
          <w:rFonts w:ascii="Arial" w:cs="Arial" w:eastAsia="Arial" w:hAnsi="Arial"/>
          <w:sz w:val="22"/>
          <w:szCs w:val="22"/>
          <w:color w:val="auto"/>
        </w:rPr>
        <w:t>Pharmaceuticals, Inc.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xml:space="preserve">”), a Delaware corporation, does hereby certify in such capacity and on behalf of the Company,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of the Sales Agreement dated March 9, 2023 (the “</w:t>
      </w:r>
      <w:r>
        <w:rPr>
          <w:rFonts w:ascii="Arial" w:cs="Arial" w:eastAsia="Arial" w:hAnsi="Arial"/>
          <w:sz w:val="22"/>
          <w:szCs w:val="22"/>
          <w:b w:val="1"/>
          <w:bCs w:val="1"/>
          <w:u w:val="single" w:color="auto"/>
          <w:color w:val="auto"/>
        </w:rPr>
        <w:t>Sales Agreement</w:t>
      </w:r>
      <w:r>
        <w:rPr>
          <w:rFonts w:ascii="Arial" w:cs="Arial" w:eastAsia="Arial" w:hAnsi="Arial"/>
          <w:sz w:val="22"/>
          <w:szCs w:val="22"/>
          <w:color w:val="auto"/>
        </w:rPr>
        <w:t>”) between the Company and Oppenheimer &amp; Co. Inc., that to the best of the knowledge of the undersigned.</w:t>
      </w:r>
    </w:p>
    <w:p>
      <w:pPr>
        <w:spacing w:after="0" w:line="228" w:lineRule="exact"/>
        <w:rPr>
          <w:sz w:val="20"/>
          <w:szCs w:val="20"/>
          <w:color w:val="auto"/>
        </w:rPr>
      </w:pPr>
    </w:p>
    <w:p>
      <w:pPr>
        <w:ind w:left="1300" w:hanging="644"/>
        <w:spacing w:after="0"/>
        <w:tabs>
          <w:tab w:leader="none" w:pos="13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Company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the Sales Agreement</w:t>
      </w:r>
    </w:p>
    <w:p>
      <w:pPr>
        <w:spacing w:after="0" w:line="1" w:lineRule="exact"/>
        <w:rPr>
          <w:rFonts w:ascii="Arial" w:cs="Arial" w:eastAsia="Arial" w:hAnsi="Arial"/>
          <w:sz w:val="21"/>
          <w:szCs w:val="21"/>
          <w:color w:val="auto"/>
        </w:rPr>
      </w:pPr>
    </w:p>
    <w:p>
      <w:pPr>
        <w:jc w:val="both"/>
        <w:ind w:firstLine="8"/>
        <w:spacing w:after="0" w:line="232" w:lineRule="auto"/>
        <w:tabs>
          <w:tab w:leader="none" w:pos="39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202" w:lineRule="exact"/>
        <w:rPr>
          <w:rFonts w:ascii="Arial" w:cs="Arial" w:eastAsia="Arial" w:hAnsi="Arial"/>
          <w:sz w:val="22"/>
          <w:szCs w:val="22"/>
          <w:color w:val="auto"/>
        </w:rPr>
      </w:pPr>
    </w:p>
    <w:p>
      <w:pPr>
        <w:ind w:right="20" w:firstLine="656"/>
        <w:spacing w:after="0" w:line="238" w:lineRule="auto"/>
        <w:tabs>
          <w:tab w:leader="none" w:pos="129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Cooley LLP and Davis Polk &amp; Wardwell LLP shall be entitled to rely upon this certificate for purposes of delivering their respective opinions and negative assurance letters pursuant to the Sales Agreement.</w:t>
      </w:r>
    </w:p>
    <w:p>
      <w:pPr>
        <w:spacing w:after="0" w:line="202"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Capitalized terms used but not defined herein shall have the meanings ascribed to them in the Sales Agreement.</w:t>
      </w: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-1270</wp:posOffset>
            </wp:positionV>
            <wp:extent cx="28886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w:t>
      </w:r>
    </w:p>
    <w:p>
      <w:pPr>
        <w:ind w:left="5360"/>
        <w:spacing w:after="0" w:line="231" w:lineRule="auto"/>
        <w:rPr>
          <w:sz w:val="20"/>
          <w:szCs w:val="20"/>
          <w:color w:val="auto"/>
        </w:rPr>
      </w:pPr>
      <w:r>
        <w:rPr>
          <w:rFonts w:ascii="Arial" w:cs="Arial" w:eastAsia="Arial" w:hAnsi="Arial"/>
          <w:sz w:val="22"/>
          <w:szCs w:val="22"/>
          <w:color w:val="auto"/>
        </w:rPr>
        <w:t>Title:</w:t>
      </w: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-1270</wp:posOffset>
            </wp:positionV>
            <wp:extent cx="27260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920"/>
          </w:cols>
          <w:pgMar w:left="980" w:top="1075"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1165860" cy="3771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JODIE M. BOURDET</w:t>
      </w:r>
    </w:p>
    <w:p>
      <w:pPr>
        <w:spacing w:after="0" w:line="234" w:lineRule="auto"/>
        <w:rPr>
          <w:sz w:val="20"/>
          <w:szCs w:val="20"/>
          <w:color w:val="auto"/>
        </w:rPr>
      </w:pPr>
      <w:r>
        <w:rPr>
          <w:rFonts w:ascii="Arial" w:cs="Arial" w:eastAsia="Arial" w:hAnsi="Arial"/>
          <w:sz w:val="18"/>
          <w:szCs w:val="18"/>
          <w:color w:val="auto"/>
        </w:rPr>
        <w:t>+1 415 693 2054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jbourdet@cooley.com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Olema Pharmaceuticals, Inc.,</w:t>
      </w:r>
    </w:p>
    <w:p>
      <w:pPr>
        <w:spacing w:after="0" w:line="183" w:lineRule="auto"/>
        <w:rPr>
          <w:sz w:val="20"/>
          <w:szCs w:val="20"/>
          <w:color w:val="auto"/>
        </w:rPr>
      </w:pPr>
      <w:r>
        <w:rPr>
          <w:rFonts w:ascii="Arial" w:cs="Arial" w:eastAsia="Arial" w:hAnsi="Arial"/>
          <w:sz w:val="16"/>
          <w:szCs w:val="16"/>
          <w:color w:val="auto"/>
        </w:rPr>
        <w:t>512 2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acted as counsel to Olema Pharmaceuticals,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offering by the Company of up to $100,000,000 of the Company’s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a Registration Statement on Form S-3 (File No. 333-263117)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prospectus included 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the prospectus supplement dated March 9, 2023, filed with the Commission pursuant to Rule 424(b) under the Securities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The Shares are to be sold by the Company in accordance with the Sales Agreement dated March 9, 2023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the Company and Oppenheimer &amp; Co. Inc. as described in the Prospectus.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Prospectus, (b) the Company’s certificate of incorporation and bylaws, each as currently in effect, (c) the Agreement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officers of the Company and have not independently verified such matters.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(ii) that no more than 50,000,000 Shares will be sold under the Agreement pursuant to the Prospectus and (iii) that the price at which the Shares are sold will equal or exceed the par value of the Shares. We express no opinion to the extent that future issuances of securities of the Company, anti-dilution adjustments to outstanding securities of the Company and/or other matters cause the number of shares of Common Stock issuable under the Agreement to exceed the number of shares of Common Stock then available for issuance by the Company.</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Cooley LLP</w:t>
        <w:tab/>
        <w:t>3 Embarcadero Center, 20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San Francisco, CA 94111-5800</w:t>
      </w:r>
    </w:p>
    <w:p>
      <w:pPr>
        <w:jc w:val="center"/>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7" w:name="page218"/>
    <w:bookmarkEnd w:id="21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165860" cy="3771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Olema Pharmaceuticals, Inc.</w:t>
      </w:r>
    </w:p>
    <w:p>
      <w:pPr>
        <w:spacing w:after="0" w:line="234" w:lineRule="auto"/>
        <w:rPr>
          <w:sz w:val="20"/>
          <w:szCs w:val="20"/>
          <w:color w:val="auto"/>
        </w:rPr>
      </w:pPr>
      <w:r>
        <w:rPr>
          <w:rFonts w:ascii="Arial" w:cs="Arial" w:eastAsia="Arial" w:hAnsi="Arial"/>
          <w:sz w:val="18"/>
          <w:szCs w:val="18"/>
          <w:color w:val="auto"/>
        </w:rPr>
        <w:t>March 9,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the Company’s Annual Report on Form 10-K filed with the Commission on the date hereof and incorporated by reference into the Registration Statement. In giving such consent, we do not thereby admit that we are in the category of persons whose consent is required under Section 7 of the Securities Act, or the rules and regulations of the Commission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 /s/ Jodie Bourdet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-1905</wp:posOffset>
            </wp:positionV>
            <wp:extent cx="29489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Jodie Bourdet</w:t>
      </w:r>
    </w:p>
    <w:p>
      <w:pPr>
        <w:spacing w:after="0" w:line="200" w:lineRule="exact"/>
        <w:rPr>
          <w:sz w:val="20"/>
          <w:szCs w:val="20"/>
          <w:color w:val="auto"/>
        </w:rPr>
      </w:pPr>
    </w:p>
    <w:p>
      <w:pPr>
        <w:spacing w:after="0" w:line="356"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Cooley LLP</w:t>
        <w:tab/>
        <w:t>3 Embarcadero Center, 20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San Francisco, CA 94111-5800</w:t>
      </w:r>
    </w:p>
    <w:p>
      <w:pPr>
        <w:jc w:val="center"/>
        <w:ind w:right="-19"/>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65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0"/>
              </w:rPr>
              <w:t>Olema Pharmaceuticals, Inc.</w:t>
            </w:r>
          </w:p>
        </w:tc>
      </w:tr>
      <w:tr>
        <w:trPr>
          <w:trHeight w:val="234"/>
        </w:trPr>
        <w:tc>
          <w:tcPr>
            <w:tcW w:w="3340" w:type="dxa"/>
            <w:vAlign w:val="bottom"/>
          </w:tcPr>
          <w:p>
            <w:pPr>
              <w:spacing w:after="0"/>
              <w:rPr>
                <w:sz w:val="20"/>
                <w:szCs w:val="20"/>
                <w:color w:val="auto"/>
              </w:rPr>
            </w:pPr>
          </w:p>
        </w:tc>
        <w:tc>
          <w:tcPr>
            <w:tcW w:w="6580" w:type="dxa"/>
            <w:vAlign w:val="bottom"/>
          </w:tcPr>
          <w:p>
            <w:pPr>
              <w:jc w:val="center"/>
              <w:ind w:right="3230"/>
              <w:spacing w:after="0"/>
              <w:rPr>
                <w:sz w:val="20"/>
                <w:szCs w:val="20"/>
                <w:color w:val="auto"/>
              </w:rPr>
            </w:pPr>
            <w:r>
              <w:rPr>
                <w:rFonts w:ascii="Arial" w:cs="Arial" w:eastAsia="Arial" w:hAnsi="Arial"/>
                <w:sz w:val="18"/>
                <w:szCs w:val="18"/>
                <w:b w:val="1"/>
                <w:bCs w:val="1"/>
                <w:color w:val="auto"/>
                <w:w w:val="87"/>
              </w:rPr>
              <w:t>Subsidiaries</w:t>
            </w:r>
          </w:p>
        </w:tc>
      </w:tr>
      <w:tr>
        <w:trPr>
          <w:trHeight w:val="446"/>
        </w:trPr>
        <w:tc>
          <w:tcPr>
            <w:tcW w:w="3340" w:type="dxa"/>
            <w:vAlign w:val="bottom"/>
          </w:tcPr>
          <w:p>
            <w:pPr>
              <w:ind w:left="100"/>
              <w:spacing w:after="0"/>
              <w:rPr>
                <w:sz w:val="20"/>
                <w:szCs w:val="20"/>
                <w:color w:val="auto"/>
              </w:rPr>
            </w:pPr>
            <w:r>
              <w:rPr>
                <w:rFonts w:ascii="Arial" w:cs="Arial" w:eastAsia="Arial" w:hAnsi="Arial"/>
                <w:sz w:val="18"/>
                <w:szCs w:val="18"/>
                <w:b w:val="1"/>
                <w:bCs w:val="1"/>
                <w:color w:val="auto"/>
              </w:rPr>
              <w:t>Name of Subsidiary</w:t>
            </w:r>
          </w:p>
        </w:tc>
        <w:tc>
          <w:tcPr>
            <w:tcW w:w="6580" w:type="dxa"/>
            <w:vAlign w:val="bottom"/>
          </w:tcPr>
          <w:p>
            <w:pPr>
              <w:ind w:left="1720"/>
              <w:spacing w:after="0"/>
              <w:rPr>
                <w:sz w:val="20"/>
                <w:szCs w:val="20"/>
                <w:color w:val="auto"/>
              </w:rPr>
            </w:pPr>
            <w:r>
              <w:rPr>
                <w:rFonts w:ascii="Arial" w:cs="Arial" w:eastAsia="Arial" w:hAnsi="Arial"/>
                <w:sz w:val="18"/>
                <w:szCs w:val="18"/>
                <w:b w:val="1"/>
                <w:bCs w:val="1"/>
                <w:color w:val="auto"/>
              </w:rPr>
              <w:t>Jurisdiction of Incorporation</w:t>
            </w:r>
          </w:p>
        </w:tc>
      </w:tr>
      <w:tr>
        <w:trPr>
          <w:trHeight w:val="324"/>
        </w:trPr>
        <w:tc>
          <w:tcPr>
            <w:tcW w:w="3340" w:type="dxa"/>
            <w:vAlign w:val="bottom"/>
          </w:tcPr>
          <w:p>
            <w:pPr>
              <w:ind w:left="100"/>
              <w:spacing w:after="0"/>
              <w:rPr>
                <w:sz w:val="20"/>
                <w:szCs w:val="20"/>
                <w:color w:val="auto"/>
              </w:rPr>
            </w:pPr>
            <w:r>
              <w:rPr>
                <w:rFonts w:ascii="Arial" w:cs="Arial" w:eastAsia="Arial" w:hAnsi="Arial"/>
                <w:sz w:val="18"/>
                <w:szCs w:val="18"/>
                <w:color w:val="auto"/>
              </w:rPr>
              <w:t>Olema Oncology Australia PTY LTD</w:t>
            </w:r>
          </w:p>
        </w:tc>
        <w:tc>
          <w:tcPr>
            <w:tcW w:w="6580" w:type="dxa"/>
            <w:vAlign w:val="bottom"/>
          </w:tcPr>
          <w:p>
            <w:pPr>
              <w:ind w:left="1720"/>
              <w:spacing w:after="0"/>
              <w:rPr>
                <w:sz w:val="20"/>
                <w:szCs w:val="20"/>
                <w:color w:val="auto"/>
              </w:rPr>
            </w:pPr>
            <w:r>
              <w:rPr>
                <w:rFonts w:ascii="Arial" w:cs="Arial" w:eastAsia="Arial" w:hAnsi="Arial"/>
                <w:sz w:val="18"/>
                <w:szCs w:val="18"/>
                <w:color w:val="auto"/>
              </w:rPr>
              <w:t>Australia</w:t>
            </w:r>
          </w:p>
        </w:tc>
      </w:tr>
      <w:tr>
        <w:trPr>
          <w:trHeight w:val="1208"/>
        </w:trPr>
        <w:tc>
          <w:tcPr>
            <w:tcW w:w="33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Statements on Form S-8 (No. 333-250209, 333-254403, and 333-263114) pertaining to the 2020 Equity Incentive Plan, 2020 Employee Stock Purchase Plan, and 2022 Inducement Plan of Olema Pharmaceuticals, Inc. of our report dated March 9, 2023, with respect to the consolidated financial statements of Olema Pharmaceuticals, Inc. included in this Annual Report (Form 10-K) of Olema Pharmaceuticals, Inc. for the year ended December 31, 2022.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M.D., Ph.D., certify that:</w:t>
      </w:r>
    </w:p>
    <w:p>
      <w:pPr>
        <w:spacing w:after="0" w:line="225"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Date: March 9, 2023</w:t>
            </w:r>
          </w:p>
        </w:tc>
        <w:tc>
          <w:tcPr>
            <w:tcW w:w="6680" w:type="dxa"/>
            <w:vAlign w:val="bottom"/>
            <w:gridSpan w:val="2"/>
          </w:tcPr>
          <w:p>
            <w:pPr>
              <w:ind w:left="1760"/>
              <w:spacing w:after="0"/>
              <w:rPr>
                <w:sz w:val="20"/>
                <w:szCs w:val="20"/>
                <w:color w:val="auto"/>
              </w:rPr>
            </w:pPr>
            <w:r>
              <w:rPr>
                <w:rFonts w:ascii="Arial" w:cs="Arial" w:eastAsia="Arial" w:hAnsi="Arial"/>
                <w:sz w:val="18"/>
                <w:szCs w:val="18"/>
                <w:color w:val="auto"/>
              </w:rPr>
              <w:t>By: /s/ Sean Bohen, M.D., Ph.D.</w:t>
            </w:r>
          </w:p>
        </w:tc>
      </w:tr>
      <w:tr>
        <w:trPr>
          <w:trHeight w:val="222"/>
        </w:trPr>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Sean Bohen, M.D., Ph.D.</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Date: March 9, 2023</w:t>
            </w:r>
          </w:p>
        </w:tc>
        <w:tc>
          <w:tcPr>
            <w:tcW w:w="6680" w:type="dxa"/>
            <w:vAlign w:val="bottom"/>
            <w:gridSpan w:val="2"/>
          </w:tcPr>
          <w:p>
            <w:pPr>
              <w:ind w:left="1760"/>
              <w:spacing w:after="0"/>
              <w:rPr>
                <w:sz w:val="20"/>
                <w:szCs w:val="20"/>
                <w:color w:val="auto"/>
              </w:rPr>
            </w:pPr>
            <w:r>
              <w:rPr>
                <w:rFonts w:ascii="Arial" w:cs="Arial" w:eastAsia="Arial" w:hAnsi="Arial"/>
                <w:sz w:val="18"/>
                <w:szCs w:val="18"/>
                <w:color w:val="auto"/>
              </w:rPr>
              <w:t>By: /s/ Shane Kovacs</w:t>
            </w:r>
          </w:p>
        </w:tc>
      </w:tr>
      <w:tr>
        <w:trPr>
          <w:trHeight w:val="222"/>
        </w:trPr>
        <w:tc>
          <w:tcPr>
            <w:tcW w:w="3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Shane Kovacs</w:t>
            </w:r>
          </w:p>
        </w:tc>
      </w:tr>
      <w:tr>
        <w:trPr>
          <w:trHeight w:val="216"/>
        </w:trPr>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76"/>
        </w:trPr>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Annual Report of Olema Pharmaceuticals,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40" w:right="620" w:hanging="319"/>
        <w:spacing w:after="0" w:line="277"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40" w:right="660" w:hanging="319"/>
        <w:spacing w:after="0" w:line="277"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March 9, 2023</w:t>
            </w:r>
          </w:p>
        </w:tc>
        <w:tc>
          <w:tcPr>
            <w:tcW w:w="6640" w:type="dxa"/>
            <w:vAlign w:val="bottom"/>
            <w:gridSpan w:val="2"/>
          </w:tcPr>
          <w:p>
            <w:pPr>
              <w:ind w:left="1760"/>
              <w:spacing w:after="0"/>
              <w:rPr>
                <w:sz w:val="20"/>
                <w:szCs w:val="20"/>
                <w:color w:val="auto"/>
              </w:rPr>
            </w:pPr>
            <w:r>
              <w:rPr>
                <w:rFonts w:ascii="Arial" w:cs="Arial" w:eastAsia="Arial" w:hAnsi="Arial"/>
                <w:sz w:val="18"/>
                <w:szCs w:val="18"/>
                <w:color w:val="auto"/>
              </w:rPr>
              <w:t>By:/s/ Sean Bohen, M.D., Ph.D.</w:t>
            </w:r>
          </w:p>
        </w:tc>
      </w:tr>
      <w:tr>
        <w:trPr>
          <w:trHeight w:val="195"/>
        </w:trPr>
        <w:tc>
          <w:tcPr>
            <w:tcW w:w="3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 M.D., Ph.D.</w:t>
            </w:r>
          </w:p>
        </w:tc>
      </w:tr>
      <w:tr>
        <w:trPr>
          <w:trHeight w:val="216"/>
        </w:trPr>
        <w:tc>
          <w:tcPr>
            <w:tcW w:w="3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Annual Report of Olema Pharmaceuticals,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40" w:right="620" w:hanging="319"/>
        <w:spacing w:after="0" w:line="277" w:lineRule="auto"/>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840" w:right="660" w:hanging="319"/>
        <w:spacing w:after="0" w:line="277" w:lineRule="auto"/>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March 9, 2023</w:t>
            </w:r>
          </w:p>
        </w:tc>
        <w:tc>
          <w:tcPr>
            <w:tcW w:w="6660" w:type="dxa"/>
            <w:vAlign w:val="bottom"/>
            <w:gridSpan w:val="2"/>
          </w:tcPr>
          <w:p>
            <w:pPr>
              <w:ind w:left="1740"/>
              <w:spacing w:after="0"/>
              <w:rPr>
                <w:sz w:val="20"/>
                <w:szCs w:val="20"/>
                <w:color w:val="auto"/>
              </w:rPr>
            </w:pPr>
            <w:r>
              <w:rPr>
                <w:rFonts w:ascii="Arial" w:cs="Arial" w:eastAsia="Arial" w:hAnsi="Arial"/>
                <w:sz w:val="18"/>
                <w:szCs w:val="18"/>
                <w:color w:val="auto"/>
              </w:rPr>
              <w:t>By: /s/ Shane Kovacs</w:t>
            </w:r>
          </w:p>
        </w:tc>
      </w:tr>
      <w:tr>
        <w:trPr>
          <w:trHeight w:val="195"/>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76"/>
        </w:trPr>
        <w:tc>
          <w:tcPr>
            <w:tcW w:w="3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1)"/>
      <w:numFmt w:val="decimal"/>
      <w:start w:val="2"/>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1."/>
      <w:numFmt w:val="decimal"/>
      <w:start w:val="2"/>
    </w:lvl>
  </w:abstractNum>
  <w:abstractNum w:abstractNumId="58">
    <w:nsid w:val="26F324BA"/>
    <w:multiLevelType w:val="hybridMultilevel"/>
    <w:lvl w:ilvl="0">
      <w:lvlJc w:val="left"/>
      <w:lvlText w:val="(%1)"/>
      <w:numFmt w:val="lowerRoman"/>
      <w:start w:val="3"/>
    </w:lvl>
  </w:abstractNum>
  <w:abstractNum w:abstractNumId="59">
    <w:nsid w:val="7F01579B"/>
    <w:multiLevelType w:val="hybridMultilevel"/>
    <w:lvl w:ilvl="0">
      <w:lvlJc w:val="left"/>
      <w:lvlText w:val="%1."/>
      <w:numFmt w:val="decimal"/>
      <w:start w:val="3"/>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decimal"/>
      <w:start w:val="4"/>
    </w:lvl>
  </w:abstractNum>
  <w:abstractNum w:abstractNumId="62">
    <w:nsid w:val="5FB8370B"/>
    <w:multiLevelType w:val="hybridMultilevel"/>
    <w:lvl w:ilvl="0">
      <w:lvlJc w:val="left"/>
      <w:lvlText w:val="%1."/>
      <w:numFmt w:val="decimal"/>
      <w:start w:val="5"/>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8"/>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1)"/>
      <w:numFmt w:val="lowerLetter"/>
      <w:start w:val="1"/>
    </w:lvl>
    <w:lvl w:ilvl="1">
      <w:lvlJc w:val="left"/>
      <w:lvlText w:val="%2."/>
      <w:numFmt w:val="decimal"/>
      <w:start w:val="1"/>
    </w:lvl>
  </w:abstractNum>
  <w:abstractNum w:abstractNumId="67">
    <w:nsid w:val="7672BD23"/>
    <w:multiLevelType w:val="hybridMultilevel"/>
    <w:lvl w:ilvl="0">
      <w:lvlJc w:val="left"/>
      <w:lvlText w:val="%1"/>
      <w:numFmt w:val="decimal"/>
      <w:start w:val="104"/>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2"/>
    </w:lvl>
    <w:lvl w:ilvl="1">
      <w:lvlJc w:val="left"/>
      <w:lvlText w:val="-"/>
      <w:numFmt w:val="bullet"/>
      <w:start w:val="1"/>
    </w:lvl>
  </w:abstractNum>
  <w:abstractNum w:abstractNumId="73">
    <w:nsid w:val="7DE67713"/>
    <w:multiLevelType w:val="hybridMultilevel"/>
    <w:lvl w:ilvl="0">
      <w:lvlJc w:val="left"/>
      <w:lvlText w:val="%1."/>
      <w:numFmt w:val="decimal"/>
      <w:start w:val="3"/>
    </w:lvl>
    <w:lvl w:ilvl="1">
      <w:lvlJc w:val="left"/>
      <w:lvlText w:val="-"/>
      <w:numFmt w:val="bullet"/>
      <w:start w:val="1"/>
    </w:lvl>
  </w:abstractNum>
  <w:abstractNum w:abstractNumId="74">
    <w:nsid w:val="555C55B5"/>
    <w:multiLevelType w:val="hybridMultilevel"/>
    <w:lvl w:ilvl="0">
      <w:lvlJc w:val="left"/>
      <w:lvlText w:val="%1."/>
      <w:numFmt w:val="decimal"/>
      <w:start w:val="4"/>
    </w:lvl>
  </w:abstractNum>
  <w:abstractNum w:abstractNumId="75">
    <w:nsid w:val="3FA62ACA"/>
    <w:multiLevelType w:val="hybridMultilevel"/>
    <w:lvl w:ilvl="0">
      <w:lvlJc w:val="left"/>
      <w:lvlText w:val="(%1)"/>
      <w:numFmt w:val="lowerLetter"/>
      <w:start w:val="1"/>
    </w:lvl>
    <w:lvl w:ilvl="1">
      <w:lvlJc w:val="left"/>
      <w:lvlText w:val="-"/>
      <w:numFmt w:val="bullet"/>
      <w:start w:val="1"/>
    </w:lvl>
  </w:abstractNum>
  <w:abstractNum w:abstractNumId="76">
    <w:nsid w:val="14FCE74E"/>
    <w:multiLevelType w:val="hybridMultilevel"/>
    <w:lvl w:ilvl="0">
      <w:lvlJc w:val="left"/>
      <w:lvlText w:val="%1."/>
      <w:numFmt w:val="decimal"/>
      <w:start w:val="5"/>
    </w:lvl>
  </w:abstractNum>
  <w:abstractNum w:abstractNumId="77">
    <w:nsid w:val="6A3DD3E8"/>
    <w:multiLevelType w:val="hybridMultilevel"/>
    <w:lvl w:ilvl="0">
      <w:lvlJc w:val="left"/>
      <w:lvlText w:val="(%1)"/>
      <w:numFmt w:val="lowerLetter"/>
      <w:start w:val="1"/>
    </w:lvl>
  </w:abstractNum>
  <w:abstractNum w:abstractNumId="78">
    <w:nsid w:val="71C91298"/>
    <w:multiLevelType w:val="hybridMultilevel"/>
    <w:lvl w:ilvl="0">
      <w:lvlJc w:val="left"/>
      <w:lvlText w:val="%1."/>
      <w:numFmt w:val="decimal"/>
      <w:start w:val="6"/>
    </w:lvl>
  </w:abstractNum>
  <w:abstractNum w:abstractNumId="79">
    <w:nsid w:val="9DAF632"/>
    <w:multiLevelType w:val="hybridMultilevel"/>
    <w:lvl w:ilvl="0">
      <w:lvlJc w:val="left"/>
      <w:lvlText w:val="(%1)"/>
      <w:numFmt w:val="lowerLetter"/>
      <w:start w:val="1"/>
    </w:lvl>
    <w:lvl w:ilvl="1">
      <w:lvlJc w:val="left"/>
      <w:lvlText w:val="-"/>
      <w:numFmt w:val="bullet"/>
      <w:start w:val="1"/>
    </w:lvl>
  </w:abstractNum>
  <w:abstractNum w:abstractNumId="80">
    <w:nsid w:val="53299938"/>
    <w:multiLevelType w:val="hybridMultilevel"/>
    <w:lvl w:ilvl="0">
      <w:lvlJc w:val="left"/>
      <w:lvlText w:val="(%1)"/>
      <w:numFmt w:val="lowerLetter"/>
      <w:start w:val="2"/>
    </w:lvl>
    <w:lvl w:ilvl="1">
      <w:lvlJc w:val="left"/>
      <w:lvlText w:val="-"/>
      <w:numFmt w:val="bullet"/>
      <w:start w:val="1"/>
    </w:lvl>
  </w:abstractNum>
  <w:abstractNum w:abstractNumId="81">
    <w:nsid w:val="1FBFE8E0"/>
    <w:multiLevelType w:val="hybridMultilevel"/>
    <w:lvl w:ilvl="0">
      <w:lvlJc w:val="left"/>
      <w:lvlText w:val="(%1)"/>
      <w:numFmt w:val="lowerLetter"/>
      <w:start w:val="7"/>
    </w:lvl>
    <w:lvl w:ilvl="1">
      <w:lvlJc w:val="left"/>
      <w:lvlText w:val="-"/>
      <w:numFmt w:val="bullet"/>
      <w:start w:val="1"/>
    </w:lvl>
  </w:abstractNum>
  <w:abstractNum w:abstractNumId="82">
    <w:nsid w:val="5092CA79"/>
    <w:multiLevelType w:val="hybridMultilevel"/>
    <w:lvl w:ilvl="0">
      <w:lvlJc w:val="left"/>
      <w:lvlText w:val="(%1)"/>
      <w:numFmt w:val="lowerLetter"/>
      <w:start w:val="12"/>
    </w:lvl>
    <w:lvl w:ilvl="1">
      <w:lvlJc w:val="left"/>
      <w:lvlText w:val="-"/>
      <w:numFmt w:val="bullet"/>
      <w:start w:val="1"/>
    </w:lvl>
  </w:abstractNum>
  <w:abstractNum w:abstractNumId="83">
    <w:nsid w:val="1D545C4D"/>
    <w:multiLevelType w:val="hybridMultilevel"/>
    <w:lvl w:ilvl="0">
      <w:lvlJc w:val="left"/>
      <w:lvlText w:val="(%1)"/>
      <w:numFmt w:val="lowerLetter"/>
      <w:start w:val="16"/>
    </w:lvl>
    <w:lvl w:ilvl="1">
      <w:lvlJc w:val="left"/>
      <w:lvlText w:val="-"/>
      <w:numFmt w:val="bullet"/>
      <w:start w:val="1"/>
    </w:lvl>
  </w:abstractNum>
  <w:abstractNum w:abstractNumId="84">
    <w:nsid w:val="59ADEA3D"/>
    <w:multiLevelType w:val="hybridMultilevel"/>
    <w:lvl w:ilvl="0">
      <w:lvlJc w:val="left"/>
      <w:lvlText w:val="(%1)"/>
      <w:numFmt w:val="lowerLetter"/>
      <w:start w:val="19"/>
    </w:lvl>
    <w:lvl w:ilvl="1">
      <w:lvlJc w:val="left"/>
      <w:lvlText w:val="-"/>
      <w:numFmt w:val="bullet"/>
      <w:start w:val="1"/>
    </w:lvl>
  </w:abstractNum>
  <w:abstractNum w:abstractNumId="85">
    <w:nsid w:val="288F1A34"/>
    <w:multiLevelType w:val="hybridMultilevel"/>
    <w:lvl w:ilvl="0">
      <w:lvlJc w:val="left"/>
      <w:lvlText w:val="(%1)"/>
      <w:numFmt w:val="lowerLetter"/>
      <w:start w:val="22"/>
    </w:lvl>
    <w:lvl w:ilvl="1">
      <w:lvlJc w:val="left"/>
      <w:lvlText w:val="-"/>
      <w:numFmt w:val="bullet"/>
      <w:start w:val="1"/>
    </w:lvl>
  </w:abstractNum>
  <w:abstractNum w:abstractNumId="86">
    <w:nsid w:val="2A155DBC"/>
    <w:multiLevelType w:val="hybridMultilevel"/>
    <w:lvl w:ilvl="0">
      <w:lvlJc w:val="left"/>
      <w:lvlText w:val="(%1)"/>
      <w:numFmt w:val="lowerLetter"/>
      <w:start w:val="26"/>
    </w:lvl>
  </w:abstractNum>
  <w:abstractNum w:abstractNumId="87">
    <w:nsid w:val="1D9F6E5F"/>
    <w:multiLevelType w:val="hybridMultilevel"/>
    <w:lvl w:ilvl="0">
      <w:lvlJc w:val="left"/>
      <w:lvlText w:val="(%1)"/>
      <w:numFmt w:val="lowerLetter"/>
      <w:start w:val="27"/>
    </w:lvl>
    <w:lvl w:ilvl="1">
      <w:lvlJc w:val="left"/>
      <w:lvlText w:val="-"/>
      <w:numFmt w:val="bullet"/>
      <w:start w:val="1"/>
    </w:lvl>
  </w:abstractNum>
  <w:abstractNum w:abstractNumId="88">
    <w:nsid w:val="97E1B4E"/>
    <w:multiLevelType w:val="hybridMultilevel"/>
    <w:lvl w:ilvl="0">
      <w:lvlJc w:val="left"/>
      <w:lvlText w:val="(%1)"/>
      <w:numFmt w:val="lowerLetter"/>
      <w:start w:val="28"/>
    </w:lvl>
    <w:lvl w:ilvl="1">
      <w:lvlJc w:val="left"/>
      <w:lvlText w:val="-"/>
      <w:numFmt w:val="bullet"/>
      <w:start w:val="1"/>
    </w:lvl>
  </w:abstractNum>
  <w:abstractNum w:abstractNumId="89">
    <w:nsid w:val="51088277"/>
    <w:multiLevelType w:val="hybridMultilevel"/>
    <w:lvl w:ilvl="0">
      <w:lvlJc w:val="left"/>
      <w:lvlText w:val="(%1)"/>
      <w:numFmt w:val="lowerLetter"/>
      <w:start w:val="34"/>
    </w:lvl>
    <w:lvl w:ilvl="1">
      <w:lvlJc w:val="left"/>
      <w:lvlText w:val="-"/>
      <w:numFmt w:val="bullet"/>
      <w:start w:val="1"/>
    </w:lvl>
  </w:abstractNum>
  <w:abstractNum w:abstractNumId="90">
    <w:nsid w:val="1CA0C5FA"/>
    <w:multiLevelType w:val="hybridMultilevel"/>
    <w:lvl w:ilvl="0">
      <w:lvlJc w:val="left"/>
      <w:lvlText w:val="(%1)"/>
      <w:numFmt w:val="lowerLetter"/>
      <w:start w:val="36"/>
    </w:lvl>
    <w:lvl w:ilvl="1">
      <w:lvlJc w:val="left"/>
      <w:lvlText w:val="-"/>
      <w:numFmt w:val="bullet"/>
      <w:start w:val="1"/>
    </w:lvl>
  </w:abstractNum>
  <w:abstractNum w:abstractNumId="91">
    <w:nsid w:val="53584BCB"/>
    <w:multiLevelType w:val="hybridMultilevel"/>
    <w:lvl w:ilvl="0">
      <w:lvlJc w:val="left"/>
      <w:lvlText w:val="(%1)"/>
      <w:numFmt w:val="lowerLetter"/>
      <w:start w:val="39"/>
    </w:lvl>
    <w:lvl w:ilvl="1">
      <w:lvlJc w:val="left"/>
      <w:lvlText w:val="-"/>
      <w:numFmt w:val="bullet"/>
      <w:start w:val="1"/>
    </w:lvl>
  </w:abstractNum>
  <w:abstractNum w:abstractNumId="92">
    <w:nsid w:val="415E286C"/>
    <w:multiLevelType w:val="hybridMultilevel"/>
    <w:lvl w:ilvl="0">
      <w:lvlJc w:val="left"/>
      <w:lvlText w:val="(%1)"/>
      <w:numFmt w:val="lowerLetter"/>
      <w:start w:val="40"/>
    </w:lvl>
    <w:lvl w:ilvl="1">
      <w:lvlJc w:val="left"/>
      <w:lvlText w:val="-"/>
      <w:numFmt w:val="bullet"/>
      <w:start w:val="1"/>
    </w:lvl>
  </w:abstractNum>
  <w:abstractNum w:abstractNumId="93">
    <w:nsid w:val="7C58FD05"/>
    <w:multiLevelType w:val="hybridMultilevel"/>
    <w:lvl w:ilvl="0">
      <w:lvlJc w:val="left"/>
      <w:lvlText w:val="(%1)"/>
      <w:numFmt w:val="lowerLetter"/>
      <w:start w:val="47"/>
    </w:lvl>
    <w:lvl w:ilvl="1">
      <w:lvlJc w:val="left"/>
      <w:lvlText w:val="-"/>
      <w:numFmt w:val="bullet"/>
      <w:start w:val="1"/>
    </w:lvl>
  </w:abstractNum>
  <w:abstractNum w:abstractNumId="94">
    <w:nsid w:val="23D86AAC"/>
    <w:multiLevelType w:val="hybridMultilevel"/>
    <w:lvl w:ilvl="0">
      <w:lvlJc w:val="left"/>
      <w:lvlText w:val="(%1)"/>
      <w:numFmt w:val="lowerLetter"/>
      <w:start w:val="49"/>
    </w:lvl>
  </w:abstractNum>
  <w:abstractNum w:abstractNumId="95">
    <w:nsid w:val="45E6D486"/>
    <w:multiLevelType w:val="hybridMultilevel"/>
    <w:lvl w:ilvl="0">
      <w:lvlJc w:val="left"/>
      <w:lvlText w:val="(%1)"/>
      <w:numFmt w:val="lowerLetter"/>
      <w:start w:val="53"/>
    </w:lvl>
    <w:lvl w:ilvl="1">
      <w:lvlJc w:val="left"/>
      <w:lvlText w:val="-"/>
      <w:numFmt w:val="bullet"/>
      <w:start w:val="1"/>
    </w:lvl>
  </w:abstractNum>
  <w:abstractNum w:abstractNumId="96">
    <w:nsid w:val="5C10FE21"/>
    <w:multiLevelType w:val="hybridMultilevel"/>
    <w:lvl w:ilvl="0">
      <w:lvlJc w:val="left"/>
      <w:lvlText w:val="(%1)"/>
      <w:numFmt w:val="lowerLetter"/>
      <w:start w:val="54"/>
    </w:lvl>
  </w:abstractNum>
  <w:abstractNum w:abstractNumId="97">
    <w:nsid w:val="E7FFA2B"/>
    <w:multiLevelType w:val="hybridMultilevel"/>
    <w:lvl w:ilvl="0">
      <w:lvlJc w:val="left"/>
      <w:lvlText w:val="%1."/>
      <w:numFmt w:val="decimal"/>
      <w:start w:val="7"/>
    </w:lvl>
  </w:abstractNum>
  <w:abstractNum w:abstractNumId="98">
    <w:nsid w:val="3C5991AA"/>
    <w:multiLevelType w:val="hybridMultilevel"/>
    <w:lvl w:ilvl="0">
      <w:lvlJc w:val="left"/>
      <w:lvlText w:val="(%1)"/>
      <w:numFmt w:val="lowerLetter"/>
      <w:start w:val="1"/>
    </w:lvl>
    <w:lvl w:ilvl="1">
      <w:lvlJc w:val="left"/>
      <w:lvlText w:val="-"/>
      <w:numFmt w:val="bullet"/>
      <w:start w:val="1"/>
    </w:lvl>
  </w:abstractNum>
  <w:abstractNum w:abstractNumId="99">
    <w:nsid w:val="4BD8591A"/>
    <w:multiLevelType w:val="hybridMultilevel"/>
    <w:lvl w:ilvl="0">
      <w:lvlJc w:val="left"/>
      <w:lvlText w:val="(%1)"/>
      <w:numFmt w:val="lowerLetter"/>
      <w:start w:val="2"/>
    </w:lvl>
    <w:lvl w:ilvl="1">
      <w:lvlJc w:val="left"/>
      <w:lvlText w:val="-"/>
      <w:numFmt w:val="bullet"/>
      <w:start w:val="1"/>
    </w:lvl>
  </w:abstractNum>
  <w:abstractNum w:abstractNumId="100">
    <w:nsid w:val="78DF6A55"/>
    <w:multiLevelType w:val="hybridMultilevel"/>
    <w:lvl w:ilvl="0">
      <w:lvlJc w:val="left"/>
      <w:lvlText w:val="%1"/>
      <w:numFmt w:val="lowerRoman"/>
      <w:start w:val="1"/>
    </w:lvl>
    <w:lvl w:ilvl="1">
      <w:lvlJc w:val="left"/>
      <w:lvlText w:val="(%2)"/>
      <w:numFmt w:val="lowerLetter"/>
      <w:start w:val="5"/>
    </w:lvl>
    <w:lvl w:ilvl="2">
      <w:lvlJc w:val="left"/>
      <w:lvlText w:val="-"/>
      <w:numFmt w:val="bullet"/>
      <w:start w:val="1"/>
    </w:lvl>
  </w:abstractNum>
  <w:abstractNum w:abstractNumId="101">
    <w:nsid w:val="39B7AAA2"/>
    <w:multiLevelType w:val="hybridMultilevel"/>
    <w:lvl w:ilvl="0">
      <w:lvlJc w:val="left"/>
      <w:lvlText w:val="(%1)"/>
      <w:numFmt w:val="lowerRoman"/>
      <w:start w:val="7"/>
    </w:lvl>
    <w:lvl w:ilvl="1">
      <w:lvlJc w:val="left"/>
      <w:lvlText w:val="(%2)"/>
      <w:numFmt w:val="lowerLetter"/>
      <w:start w:val="8"/>
    </w:lvl>
    <w:lvl w:ilvl="2">
      <w:lvlJc w:val="left"/>
      <w:lvlText w:val="-"/>
      <w:numFmt w:val="bullet"/>
      <w:start w:val="1"/>
    </w:lvl>
  </w:abstractNum>
  <w:abstractNum w:abstractNumId="102">
    <w:nsid w:val="2B0D8DBE"/>
    <w:multiLevelType w:val="hybridMultilevel"/>
    <w:lvl w:ilvl="0">
      <w:lvlJc w:val="left"/>
      <w:lvlText w:val="(%1)"/>
      <w:numFmt w:val="lowerLetter"/>
      <w:start w:val="9"/>
    </w:lvl>
    <w:lvl w:ilvl="1">
      <w:lvlJc w:val="left"/>
      <w:lvlText w:val="-"/>
      <w:numFmt w:val="bullet"/>
      <w:start w:val="1"/>
    </w:lvl>
  </w:abstractNum>
  <w:abstractNum w:abstractNumId="103">
    <w:nsid w:val="6C80EC70"/>
    <w:multiLevelType w:val="hybridMultilevel"/>
    <w:lvl w:ilvl="0">
      <w:lvlJc w:val="left"/>
      <w:lvlText w:val="(%1)"/>
      <w:numFmt w:val="lowerLetter"/>
      <w:start w:val="13"/>
    </w:lvl>
    <w:lvl w:ilvl="1">
      <w:lvlJc w:val="left"/>
      <w:lvlText w:val="-"/>
      <w:numFmt w:val="bullet"/>
      <w:start w:val="1"/>
    </w:lvl>
  </w:abstractNum>
  <w:abstractNum w:abstractNumId="104">
    <w:nsid w:val="379E21B5"/>
    <w:multiLevelType w:val="hybridMultilevel"/>
    <w:lvl w:ilvl="0">
      <w:lvlJc w:val="left"/>
      <w:lvlText w:val="(%1)"/>
      <w:numFmt w:val="lowerLetter"/>
      <w:start w:val="15"/>
    </w:lvl>
    <w:lvl w:ilvl="1">
      <w:lvlJc w:val="left"/>
      <w:lvlText w:val="-"/>
      <w:numFmt w:val="bullet"/>
      <w:start w:val="1"/>
    </w:lvl>
  </w:abstractNum>
  <w:abstractNum w:abstractNumId="105">
    <w:nsid w:val="69E373"/>
    <w:multiLevelType w:val="hybridMultilevel"/>
    <w:lvl w:ilvl="0">
      <w:lvlJc w:val="left"/>
      <w:lvlText w:val="(%1)"/>
      <w:numFmt w:val="lowerLetter"/>
      <w:start w:val="20"/>
    </w:lvl>
    <w:lvl w:ilvl="1">
      <w:lvlJc w:val="left"/>
      <w:lvlText w:val="-"/>
      <w:numFmt w:val="bullet"/>
      <w:start w:val="1"/>
    </w:lvl>
  </w:abstractNum>
  <w:abstractNum w:abstractNumId="106">
    <w:nsid w:val="2C27173B"/>
    <w:multiLevelType w:val="hybridMultilevel"/>
    <w:lvl w:ilvl="0">
      <w:lvlJc w:val="left"/>
      <w:lvlText w:val="%1."/>
      <w:numFmt w:val="decimal"/>
      <w:start w:val="8"/>
    </w:lvl>
  </w:abstractNum>
  <w:abstractNum w:abstractNumId="107">
    <w:nsid w:val="4C9B090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8">
    <w:nsid w:val="6AA7B75C"/>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109">
    <w:nsid w:val="1DF029D3"/>
    <w:multiLevelType w:val="hybridMultilevel"/>
    <w:lvl w:ilvl="0">
      <w:lvlJc w:val="left"/>
      <w:lvlText w:val="(%1)"/>
      <w:numFmt w:val="lowerLetter"/>
      <w:start w:val="5"/>
    </w:lvl>
    <w:lvl w:ilvl="1">
      <w:lvlJc w:val="left"/>
      <w:lvlText w:val="-"/>
      <w:numFmt w:val="bullet"/>
      <w:start w:val="1"/>
    </w:lvl>
  </w:abstractNum>
  <w:abstractNum w:abstractNumId="110">
    <w:nsid w:val="5675FF36"/>
    <w:multiLevelType w:val="hybridMultilevel"/>
    <w:lvl w:ilvl="0">
      <w:lvlJc w:val="left"/>
      <w:lvlText w:val="(%1)"/>
      <w:numFmt w:val="lowerLetter"/>
      <w:start w:val="13"/>
    </w:lvl>
  </w:abstractNum>
  <w:abstractNum w:abstractNumId="111">
    <w:nsid w:val="3DD15094"/>
    <w:multiLevelType w:val="hybridMultilevel"/>
    <w:lvl w:ilvl="0">
      <w:lvlJc w:val="left"/>
      <w:lvlText w:val="%1."/>
      <w:numFmt w:val="decimal"/>
      <w:start w:val="9"/>
    </w:lvl>
  </w:abstractNum>
  <w:abstractNum w:abstractNumId="112">
    <w:nsid w:val="3DB012B3"/>
    <w:multiLevelType w:val="hybridMultilevel"/>
    <w:lvl w:ilvl="0">
      <w:lvlJc w:val="left"/>
      <w:lvlText w:val="(%1)"/>
      <w:numFmt w:val="lowerLetter"/>
      <w:start w:val="1"/>
    </w:lvl>
    <w:lvl w:ilvl="1">
      <w:lvlJc w:val="left"/>
      <w:lvlText w:val="-"/>
      <w:numFmt w:val="bullet"/>
      <w:start w:val="1"/>
    </w:lvl>
  </w:abstractNum>
  <w:abstractNum w:abstractNumId="113">
    <w:nsid w:val="2708C9AF"/>
    <w:multiLevelType w:val="hybridMultilevel"/>
    <w:lvl w:ilvl="0">
      <w:lvlJc w:val="left"/>
      <w:lvlText w:val="(%1)"/>
      <w:numFmt w:val="lowerLetter"/>
      <w:start w:val="2"/>
    </w:lvl>
    <w:lvl w:ilvl="1">
      <w:lvlJc w:val="left"/>
      <w:lvlText w:val="-"/>
      <w:numFmt w:val="bullet"/>
      <w:start w:val="1"/>
    </w:lvl>
  </w:abstractNum>
  <w:abstractNum w:abstractNumId="114">
    <w:nsid w:val="5B25ACE2"/>
    <w:multiLevelType w:val="hybridMultilevel"/>
    <w:lvl w:ilvl="0">
      <w:lvlJc w:val="left"/>
      <w:lvlText w:val="(%1)"/>
      <w:numFmt w:val="lowerLetter"/>
      <w:start w:val="4"/>
    </w:lvl>
    <w:lvl w:ilvl="1">
      <w:lvlJc w:val="left"/>
      <w:lvlText w:val="-"/>
      <w:numFmt w:val="bullet"/>
      <w:start w:val="1"/>
    </w:lvl>
  </w:abstractNum>
  <w:abstractNum w:abstractNumId="115">
    <w:nsid w:val="175DFCF0"/>
    <w:multiLevelType w:val="hybridMultilevel"/>
    <w:lvl w:ilvl="0">
      <w:lvlJc w:val="left"/>
      <w:lvlText w:val="%1."/>
      <w:numFmt w:val="decimal"/>
      <w:start w:val="10"/>
    </w:lvl>
  </w:abstractNum>
  <w:abstractNum w:abstractNumId="116">
    <w:nsid w:val="4F97E3E4"/>
    <w:multiLevelType w:val="hybridMultilevel"/>
    <w:lvl w:ilvl="0">
      <w:lvlJc w:val="left"/>
      <w:lvlText w:val="(%1)"/>
      <w:numFmt w:val="lowerLetter"/>
      <w:start w:val="1"/>
    </w:lvl>
    <w:lvl w:ilvl="1">
      <w:lvlJc w:val="left"/>
      <w:lvlText w:val="-"/>
      <w:numFmt w:val="bullet"/>
      <w:start w:val="1"/>
    </w:lvl>
  </w:abstractNum>
  <w:abstractNum w:abstractNumId="117">
    <w:nsid w:val="53B0A9E"/>
    <w:multiLevelType w:val="hybridMultilevel"/>
    <w:lvl w:ilvl="0">
      <w:lvlJc w:val="left"/>
      <w:lvlText w:val="(%1)"/>
      <w:numFmt w:val="lowerLetter"/>
      <w:start w:val="3"/>
    </w:lvl>
  </w:abstractNum>
  <w:abstractNum w:abstractNumId="118">
    <w:nsid w:val="34FD6B4F"/>
    <w:multiLevelType w:val="hybridMultilevel"/>
    <w:lvl w:ilvl="0">
      <w:lvlJc w:val="left"/>
      <w:lvlText w:val="%1."/>
      <w:numFmt w:val="decimal"/>
      <w:start w:val="12"/>
    </w:lvl>
  </w:abstractNum>
  <w:abstractNum w:abstractNumId="119">
    <w:nsid w:val="5915FF32"/>
    <w:multiLevelType w:val="hybridMultilevel"/>
    <w:lvl w:ilvl="0">
      <w:lvlJc w:val="left"/>
      <w:lvlText w:val="(%1)"/>
      <w:numFmt w:val="decimal"/>
      <w:start w:val="10"/>
    </w:lvl>
    <w:lvl w:ilvl="1">
      <w:lvlJc w:val="left"/>
      <w:lvlText w:val="%2."/>
      <w:numFmt w:val="decimal"/>
      <w:start w:val="13"/>
    </w:lvl>
    <w:lvl w:ilvl="2">
      <w:lvlJc w:val="left"/>
      <w:lvlText w:val="-"/>
      <w:numFmt w:val="bullet"/>
      <w:start w:val="1"/>
    </w:lvl>
  </w:abstractNum>
  <w:abstractNum w:abstractNumId="120">
    <w:nsid w:val="56438D15"/>
    <w:multiLevelType w:val="hybridMultilevel"/>
    <w:lvl w:ilvl="0">
      <w:lvlJc w:val="left"/>
      <w:lvlText w:val="%1."/>
      <w:numFmt w:val="decimal"/>
      <w:start w:val="14"/>
    </w:lvl>
  </w:abstractNum>
  <w:abstractNum w:abstractNumId="121">
    <w:nsid w:val="519E3149"/>
    <w:multiLevelType w:val="hybridMultilevel"/>
    <w:lvl w:ilvl="0">
      <w:lvlJc w:val="left"/>
      <w:lvlText w:val="(%1)"/>
      <w:numFmt w:val="lowerLetter"/>
      <w:start w:val="1"/>
    </w:lvl>
    <w:lvl w:ilvl="1">
      <w:lvlJc w:val="left"/>
      <w:lvlText w:val="-"/>
      <w:numFmt w:val="bullet"/>
      <w:start w:val="1"/>
    </w:lvl>
  </w:abstractNum>
  <w:abstractNum w:abstractNumId="122">
    <w:nsid w:val="2C6E4AFD"/>
    <w:multiLevelType w:val="hybridMultilevel"/>
    <w:lvl w:ilvl="0">
      <w:lvlJc w:val="left"/>
      <w:lvlText w:val="(%1)"/>
      <w:numFmt w:val="lowerLetter"/>
      <w:start w:val="3"/>
    </w:lvl>
  </w:abstractNum>
  <w:abstractNum w:abstractNumId="123">
    <w:nsid w:val="17A1B582"/>
    <w:multiLevelType w:val="hybridMultilevel"/>
    <w:lvl w:ilvl="0">
      <w:lvlJc w:val="left"/>
      <w:lvlText w:val="%1."/>
      <w:numFmt w:val="decimal"/>
      <w:start w:val="19"/>
    </w:lvl>
  </w:abstractNum>
  <w:abstractNum w:abstractNumId="124">
    <w:nsid w:val="4DF72E4E"/>
    <w:multiLevelType w:val="hybridMultilevel"/>
    <w:lvl w:ilvl="0">
      <w:lvlJc w:val="left"/>
      <w:lvlText w:val="%1"/>
      <w:numFmt w:val="upperLetter"/>
      <w:start w:val="1"/>
    </w:lvl>
    <w:lvl w:ilvl="1">
      <w:lvlJc w:val="left"/>
      <w:lvlText w:val="(%2)"/>
      <w:numFmt w:val="lowerRoman"/>
      <w:start w:val="1"/>
    </w:lvl>
  </w:abstractNum>
  <w:abstractNum w:abstractNumId="125">
    <w:nsid w:val="5046B5A9"/>
    <w:multiLevelType w:val="hybridMultilevel"/>
    <w:lvl w:ilvl="0">
      <w:lvlJc w:val="left"/>
      <w:lvlText w:val="(%1)"/>
      <w:numFmt w:val="upperLetter"/>
      <w:start w:val="1"/>
    </w:lvl>
    <w:lvl w:ilvl="1">
      <w:lvlJc w:val="left"/>
      <w:lvlText w:val="(%2)"/>
      <w:numFmt w:val="lowerRoman"/>
      <w:start w:val="2"/>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jpeg"/><Relationship Id="rId308" Type="http://schemas.openxmlformats.org/officeDocument/2006/relationships/image" Target="media/image276.png"/><Relationship Id="rId309" Type="http://schemas.openxmlformats.org/officeDocument/2006/relationships/image" Target="media/image277.jpe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231" Type="http://schemas.openxmlformats.org/officeDocument/2006/relationships/hyperlink" Target="https://www.sec.gov/Archives/edgar/data/1750284/000110465920128482/tm2027048d18_ex3-1.htm" TargetMode="External"/><Relationship Id="rId232" Type="http://schemas.openxmlformats.org/officeDocument/2006/relationships/hyperlink" Target="https://www.sec.gov/Archives/edgar/data/1750284/000155837022018762/olma-20221215xex3d1.htm" TargetMode="External"/><Relationship Id="rId233" Type="http://schemas.openxmlformats.org/officeDocument/2006/relationships/hyperlink" Target="https://www.sec.gov/Archives/edgar/data/1750284/000110465920125281/tm2027048d10_ex4-1.htm" TargetMode="External"/><Relationship Id="rId234" Type="http://schemas.openxmlformats.org/officeDocument/2006/relationships/hyperlink" Target="https://www.sec.gov/Archives/edgar/data/1750284/000110465920119971/tm2027048d8_ex4-2.htm" TargetMode="External"/><Relationship Id="rId235" Type="http://schemas.openxmlformats.org/officeDocument/2006/relationships/hyperlink" Target="https://www.sec.gov/Archives/edgar/data/1750284/000155837021003141/tmb-20201231xex4d3.htm" TargetMode="External"/><Relationship Id="rId236" Type="http://schemas.openxmlformats.org/officeDocument/2006/relationships/hyperlink" Target="https://www.sec.gov/Archives/edgar/data/1750284/000110465920119971/tm2027048d8_ex10-1.htm" TargetMode="External"/><Relationship Id="rId237" Type="http://schemas.openxmlformats.org/officeDocument/2006/relationships/hyperlink" Target="https://www.sec.gov/Archives/edgar/data/1750284/000110465920119971/tm2027048d8_ex10-2.htm" TargetMode="External"/><Relationship Id="rId238" Type="http://schemas.openxmlformats.org/officeDocument/2006/relationships/hyperlink" Target="https://www.sec.gov/Archives/edgar/data/1750284/000110465920125281/tm2027048d10_ex10-3.htm" TargetMode="External"/><Relationship Id="rId239" Type="http://schemas.openxmlformats.org/officeDocument/2006/relationships/hyperlink" Target="https://www.sec.gov/Archives/edgar/data/1750284/000110465920119971/tm2027048d8_ex10-4.htm" TargetMode="External"/><Relationship Id="rId240" Type="http://schemas.openxmlformats.org/officeDocument/2006/relationships/hyperlink" Target="https://www.sec.gov/Archives/edgar/data/1750284/000110465920119971/tm2027048d8_ex10-5.htm" TargetMode="External"/><Relationship Id="rId241" Type="http://schemas.openxmlformats.org/officeDocument/2006/relationships/hyperlink" Target="https://www.sec.gov/Archives/edgar/data/1750284/000110465920125281/tm2027048d10_ex10-6.htm" TargetMode="External"/><Relationship Id="rId242" Type="http://schemas.openxmlformats.org/officeDocument/2006/relationships/hyperlink" Target="https://www.sec.gov/Archives/edgar/data/1750284/000110465920125281/tm2027048d10_ex10-7.htm" TargetMode="External"/><Relationship Id="rId243" Type="http://schemas.openxmlformats.org/officeDocument/2006/relationships/hyperlink" Target="https://www.sec.gov/Archives/edgar/data/1750284/000110465920119971/tm2027048d8_ex10-8.htm" TargetMode="External"/><Relationship Id="rId244" Type="http://schemas.openxmlformats.org/officeDocument/2006/relationships/hyperlink" Target="https://www.sec.gov/Archives/edgar/data/1750284/000110465920125281/tm2027048d10_ex10-9.htm" TargetMode="External"/><Relationship Id="rId245" Type="http://schemas.openxmlformats.org/officeDocument/2006/relationships/hyperlink" Target="https://www.sec.gov/Archives/edgar/data/1750284/000110465920125281/tm2027048d10_ex10-10.htm" TargetMode="External"/><Relationship Id="rId246" Type="http://schemas.openxmlformats.org/officeDocument/2006/relationships/hyperlink" Target="https://www.sec.gov/Archives/edgar/data/1750284/000110465920125281/tm2027048d10_ex10-11.htm" TargetMode="External"/><Relationship Id="rId247" Type="http://schemas.openxmlformats.org/officeDocument/2006/relationships/hyperlink" Target="https://www.sec.gov/Archives/edgar/data/1750284/000110465920125281/tm2027048d10_ex10-12.htm" TargetMode="External"/><Relationship Id="rId248" Type="http://schemas.openxmlformats.org/officeDocument/2006/relationships/hyperlink" Target="https://www.sec.gov/Archives/edgar/data/1750284/000110465920125281/tm2027048d10_ex10-13.htm" TargetMode="External"/><Relationship Id="rId249" Type="http://schemas.openxmlformats.org/officeDocument/2006/relationships/hyperlink" Target="https://www.sec.gov/Archives/edgar/data/1750284/000110465920125281/tm2027048d10_ex10-14.htm" TargetMode="External"/><Relationship Id="rId250" Type="http://schemas.openxmlformats.org/officeDocument/2006/relationships/hyperlink" Target="https://www.sec.gov/Archives/edgar/data/1750284/000110465920125281/tm2027048d10_ex10-15.htm" TargetMode="External"/><Relationship Id="rId251" Type="http://schemas.openxmlformats.org/officeDocument/2006/relationships/hyperlink" Target="https://www.sec.gov/Archives/edgar/data/1750284/000110465920119971/tm2027048d8_ex10-16.htm" TargetMode="External"/><Relationship Id="rId252" Type="http://schemas.openxmlformats.org/officeDocument/2006/relationships/hyperlink" Target="https://www.sec.gov/Archives/edgar/data/1750284/000155837022002388/olma-20211231xex10d17.htm" TargetMode="External"/><Relationship Id="rId253" Type="http://schemas.openxmlformats.org/officeDocument/2006/relationships/hyperlink" Target="https://www.sec.gov/Archives/edgar/data/1750284/000155837022002388/olma-20211231xex10d18.htm" TargetMode="External"/><Relationship Id="rId254" Type="http://schemas.openxmlformats.org/officeDocument/2006/relationships/hyperlink" Target="https://www.sec.gov/Archives/edgar/data/1750284/000155837022002388/olma-20211231xex10d19.htm" TargetMode="External"/><Relationship Id="rId255" Type="http://schemas.openxmlformats.org/officeDocument/2006/relationships/hyperlink" Target="https://www.sec.gov/Archives/edgar/data/1750284/000155837022012930/olma-2022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2023-03-09T16:07:38Z</dcterms:created>
  <dcterms:modified xsi:type="dcterms:W3CDTF">2023-03-09T16:07:38Z</dcterms:modified>
</cp:coreProperties>
</file>