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177800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263525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ind w:left="1"/>
        <w:spacing w:after="0"/>
        <w:rPr>
          <w:sz w:val="20"/>
          <w:szCs w:val="20"/>
          <w:color w:val="auto"/>
        </w:rPr>
      </w:pPr>
      <w:r>
        <w:rPr>
          <w:rFonts w:ascii="Arial" w:cs="Arial" w:eastAsia="Arial" w:hAnsi="Arial"/>
          <w:sz w:val="14"/>
          <w:szCs w:val="14"/>
          <w:b w:val="1"/>
          <w:bCs w:val="1"/>
          <w:color w:val="auto"/>
        </w:rPr>
        <w:t>(Mark One)</w:t>
      </w:r>
    </w:p>
    <w:p>
      <w:pPr>
        <w:spacing w:after="0" w:line="126" w:lineRule="exact"/>
        <w:rPr>
          <w:sz w:val="24"/>
          <w:szCs w:val="24"/>
          <w:color w:val="auto"/>
        </w:rPr>
      </w:pPr>
    </w:p>
    <w:p>
      <w:pPr>
        <w:ind w:left="461" w:hanging="461"/>
        <w:spacing w:after="0"/>
        <w:tabs>
          <w:tab w:leader="none" w:pos="461"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461" w:hanging="461"/>
        <w:spacing w:after="0"/>
        <w:tabs>
          <w:tab w:leader="none" w:pos="461"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12" w:lineRule="exact"/>
        <w:rPr>
          <w:sz w:val="24"/>
          <w:szCs w:val="24"/>
          <w:color w:val="auto"/>
        </w:rPr>
      </w:pPr>
    </w:p>
    <w:p>
      <w:pPr>
        <w:ind w:left="2981"/>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001-39712</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OLEMA PHARMACEUTICALS, INC.</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05" w:lineRule="exact"/>
        <w:rPr>
          <w:sz w:val="24"/>
          <w:szCs w:val="24"/>
          <w:color w:val="auto"/>
        </w:rPr>
      </w:pPr>
    </w:p>
    <w:tbl>
      <w:tblPr>
        <w:tblLayout w:type="fixed"/>
        <w:tblInd w:w="1381" w:type="dxa"/>
        <w:tblCellMar>
          <w:top w:w="0" w:type="dxa"/>
          <w:left w:w="0" w:type="dxa"/>
          <w:bottom w:w="0" w:type="dxa"/>
          <w:right w:w="0" w:type="dxa"/>
        </w:tblCellMar>
      </w:tblPr>
      <w:tr>
        <w:trPr>
          <w:trHeight w:val="207"/>
        </w:trPr>
        <w:tc>
          <w:tcPr>
            <w:tcW w:w="4040" w:type="dxa"/>
            <w:vAlign w:val="bottom"/>
          </w:tcPr>
          <w:p>
            <w:pPr>
              <w:jc w:val="center"/>
              <w:ind w:right="1625"/>
              <w:spacing w:after="0"/>
              <w:rPr>
                <w:sz w:val="20"/>
                <w:szCs w:val="20"/>
                <w:color w:val="auto"/>
              </w:rPr>
            </w:pPr>
            <w:r>
              <w:rPr>
                <w:rFonts w:ascii="Arial" w:cs="Arial" w:eastAsia="Arial" w:hAnsi="Arial"/>
                <w:sz w:val="18"/>
                <w:szCs w:val="18"/>
                <w:b w:val="1"/>
                <w:bCs w:val="1"/>
                <w:color w:val="auto"/>
                <w:w w:val="98"/>
              </w:rPr>
              <w:t>Delaware</w:t>
            </w:r>
          </w:p>
        </w:tc>
        <w:tc>
          <w:tcPr>
            <w:tcW w:w="2760" w:type="dxa"/>
            <w:vAlign w:val="bottom"/>
          </w:tcPr>
          <w:p>
            <w:pPr>
              <w:jc w:val="right"/>
              <w:spacing w:after="0"/>
              <w:rPr>
                <w:sz w:val="20"/>
                <w:szCs w:val="20"/>
                <w:color w:val="auto"/>
              </w:rPr>
            </w:pPr>
            <w:r>
              <w:rPr>
                <w:rFonts w:ascii="Arial" w:cs="Arial" w:eastAsia="Arial" w:hAnsi="Arial"/>
                <w:sz w:val="18"/>
                <w:szCs w:val="18"/>
                <w:b w:val="1"/>
                <w:bCs w:val="1"/>
                <w:color w:val="auto"/>
              </w:rPr>
              <w:t>30-0409740</w:t>
            </w:r>
          </w:p>
        </w:tc>
      </w:tr>
      <w:tr>
        <w:trPr>
          <w:trHeight w:val="135"/>
        </w:trPr>
        <w:tc>
          <w:tcPr>
            <w:tcW w:w="4040" w:type="dxa"/>
            <w:vAlign w:val="bottom"/>
          </w:tcPr>
          <w:p>
            <w:pPr>
              <w:jc w:val="center"/>
              <w:ind w:right="1625"/>
              <w:spacing w:after="0" w:line="135" w:lineRule="exact"/>
              <w:rPr>
                <w:sz w:val="20"/>
                <w:szCs w:val="20"/>
                <w:color w:val="auto"/>
              </w:rPr>
            </w:pPr>
            <w:r>
              <w:rPr>
                <w:rFonts w:ascii="Arial" w:cs="Arial" w:eastAsia="Arial" w:hAnsi="Arial"/>
                <w:sz w:val="13"/>
                <w:szCs w:val="13"/>
                <w:b w:val="1"/>
                <w:bCs w:val="1"/>
                <w:color w:val="auto"/>
                <w:w w:val="97"/>
              </w:rPr>
              <w:t>(State or other jurisdiction of</w:t>
            </w:r>
          </w:p>
        </w:tc>
        <w:tc>
          <w:tcPr>
            <w:tcW w:w="2760" w:type="dxa"/>
            <w:vAlign w:val="bottom"/>
          </w:tcPr>
          <w:p>
            <w:pPr>
              <w:jc w:val="center"/>
              <w:ind w:left="1646"/>
              <w:spacing w:after="0" w:line="135" w:lineRule="exact"/>
              <w:rPr>
                <w:sz w:val="20"/>
                <w:szCs w:val="20"/>
                <w:color w:val="auto"/>
              </w:rPr>
            </w:pPr>
            <w:r>
              <w:rPr>
                <w:rFonts w:ascii="Arial" w:cs="Arial" w:eastAsia="Arial" w:hAnsi="Arial"/>
                <w:sz w:val="13"/>
                <w:szCs w:val="13"/>
                <w:b w:val="1"/>
                <w:bCs w:val="1"/>
                <w:color w:val="auto"/>
                <w:w w:val="96"/>
              </w:rPr>
              <w:t>(I.R.S. Employer</w:t>
            </w:r>
          </w:p>
        </w:tc>
      </w:tr>
      <w:tr>
        <w:trPr>
          <w:trHeight w:val="130"/>
        </w:trPr>
        <w:tc>
          <w:tcPr>
            <w:tcW w:w="4040" w:type="dxa"/>
            <w:vAlign w:val="bottom"/>
          </w:tcPr>
          <w:p>
            <w:pPr>
              <w:jc w:val="center"/>
              <w:ind w:right="1645"/>
              <w:spacing w:after="0" w:line="130" w:lineRule="exact"/>
              <w:rPr>
                <w:sz w:val="20"/>
                <w:szCs w:val="20"/>
                <w:color w:val="auto"/>
              </w:rPr>
            </w:pPr>
            <w:r>
              <w:rPr>
                <w:rFonts w:ascii="Arial" w:cs="Arial" w:eastAsia="Arial" w:hAnsi="Arial"/>
                <w:sz w:val="13"/>
                <w:szCs w:val="13"/>
                <w:b w:val="1"/>
                <w:bCs w:val="1"/>
                <w:color w:val="auto"/>
                <w:w w:val="96"/>
              </w:rPr>
              <w:t>incorporation or organization)</w:t>
            </w:r>
          </w:p>
        </w:tc>
        <w:tc>
          <w:tcPr>
            <w:tcW w:w="2760" w:type="dxa"/>
            <w:vAlign w:val="bottom"/>
          </w:tcPr>
          <w:p>
            <w:pPr>
              <w:jc w:val="center"/>
              <w:ind w:left="1626"/>
              <w:spacing w:after="0" w:line="130" w:lineRule="exact"/>
              <w:rPr>
                <w:sz w:val="20"/>
                <w:szCs w:val="20"/>
                <w:color w:val="auto"/>
              </w:rPr>
            </w:pPr>
            <w:r>
              <w:rPr>
                <w:rFonts w:ascii="Arial" w:cs="Arial" w:eastAsia="Arial" w:hAnsi="Arial"/>
                <w:sz w:val="13"/>
                <w:szCs w:val="13"/>
                <w:b w:val="1"/>
                <w:bCs w:val="1"/>
                <w:color w:val="auto"/>
                <w:w w:val="96"/>
              </w:rPr>
              <w:t>Identification No.)</w:t>
            </w:r>
          </w:p>
        </w:tc>
      </w:tr>
      <w:tr>
        <w:trPr>
          <w:trHeight w:val="207"/>
        </w:trPr>
        <w:tc>
          <w:tcPr>
            <w:tcW w:w="4040" w:type="dxa"/>
            <w:vAlign w:val="bottom"/>
          </w:tcPr>
          <w:p>
            <w:pPr>
              <w:jc w:val="center"/>
              <w:ind w:right="1645"/>
              <w:spacing w:after="0" w:line="207" w:lineRule="exact"/>
              <w:rPr>
                <w:sz w:val="20"/>
                <w:szCs w:val="20"/>
                <w:color w:val="auto"/>
              </w:rPr>
            </w:pPr>
            <w:r>
              <w:rPr>
                <w:rFonts w:ascii="Arial" w:cs="Arial" w:eastAsia="Arial" w:hAnsi="Arial"/>
                <w:sz w:val="16"/>
                <w:szCs w:val="16"/>
                <w:b w:val="1"/>
                <w:bCs w:val="1"/>
                <w:color w:val="auto"/>
              </w:rPr>
              <w:t>512 2</w:t>
            </w:r>
            <w:r>
              <w:rPr>
                <w:rFonts w:ascii="Arial" w:cs="Arial" w:eastAsia="Arial" w:hAnsi="Arial"/>
                <w:sz w:val="23"/>
                <w:szCs w:val="23"/>
                <w:b w:val="1"/>
                <w:bCs w:val="1"/>
                <w:color w:val="auto"/>
                <w:vertAlign w:val="superscript"/>
              </w:rPr>
              <w:t>nd</w:t>
            </w:r>
            <w:r>
              <w:rPr>
                <w:rFonts w:ascii="Arial" w:cs="Arial" w:eastAsia="Arial" w:hAnsi="Arial"/>
                <w:sz w:val="16"/>
                <w:szCs w:val="16"/>
                <w:b w:val="1"/>
                <w:bCs w:val="1"/>
                <w:color w:val="auto"/>
              </w:rPr>
              <w:t xml:space="preserve"> Street, 4</w:t>
            </w:r>
            <w:r>
              <w:rPr>
                <w:rFonts w:ascii="Arial" w:cs="Arial" w:eastAsia="Arial" w:hAnsi="Arial"/>
                <w:sz w:val="23"/>
                <w:szCs w:val="23"/>
                <w:b w:val="1"/>
                <w:bCs w:val="1"/>
                <w:color w:val="auto"/>
                <w:vertAlign w:val="superscript"/>
              </w:rPr>
              <w:t>th</w:t>
            </w:r>
            <w:r>
              <w:rPr>
                <w:rFonts w:ascii="Arial" w:cs="Arial" w:eastAsia="Arial" w:hAnsi="Arial"/>
                <w:sz w:val="16"/>
                <w:szCs w:val="16"/>
                <w:b w:val="1"/>
                <w:bCs w:val="1"/>
                <w:color w:val="auto"/>
              </w:rPr>
              <w:t xml:space="preserve"> Floor</w:t>
            </w:r>
          </w:p>
        </w:tc>
        <w:tc>
          <w:tcPr>
            <w:tcW w:w="2760" w:type="dxa"/>
            <w:vAlign w:val="bottom"/>
          </w:tcPr>
          <w:p>
            <w:pPr>
              <w:spacing w:after="0"/>
              <w:rPr>
                <w:sz w:val="17"/>
                <w:szCs w:val="17"/>
                <w:color w:val="auto"/>
              </w:rPr>
            </w:pPr>
          </w:p>
        </w:tc>
      </w:tr>
      <w:tr>
        <w:trPr>
          <w:trHeight w:val="203"/>
        </w:trPr>
        <w:tc>
          <w:tcPr>
            <w:tcW w:w="4040" w:type="dxa"/>
            <w:vAlign w:val="bottom"/>
          </w:tcPr>
          <w:p>
            <w:pPr>
              <w:jc w:val="center"/>
              <w:ind w:right="1625"/>
              <w:spacing w:after="0" w:line="203" w:lineRule="exact"/>
              <w:rPr>
                <w:sz w:val="20"/>
                <w:szCs w:val="20"/>
                <w:color w:val="auto"/>
              </w:rPr>
            </w:pPr>
            <w:r>
              <w:rPr>
                <w:rFonts w:ascii="Arial" w:cs="Arial" w:eastAsia="Arial" w:hAnsi="Arial"/>
                <w:sz w:val="18"/>
                <w:szCs w:val="18"/>
                <w:b w:val="1"/>
                <w:bCs w:val="1"/>
                <w:color w:val="auto"/>
                <w:w w:val="99"/>
              </w:rPr>
              <w:t>San Francisco, CA</w:t>
            </w:r>
          </w:p>
        </w:tc>
        <w:tc>
          <w:tcPr>
            <w:tcW w:w="2760" w:type="dxa"/>
            <w:vAlign w:val="bottom"/>
          </w:tcPr>
          <w:p>
            <w:pPr>
              <w:jc w:val="right"/>
              <w:ind w:right="206"/>
              <w:spacing w:after="0" w:line="203" w:lineRule="exact"/>
              <w:rPr>
                <w:sz w:val="20"/>
                <w:szCs w:val="20"/>
                <w:color w:val="auto"/>
              </w:rPr>
            </w:pPr>
            <w:r>
              <w:rPr>
                <w:rFonts w:ascii="Arial" w:cs="Arial" w:eastAsia="Arial" w:hAnsi="Arial"/>
                <w:sz w:val="18"/>
                <w:szCs w:val="18"/>
                <w:b w:val="1"/>
                <w:bCs w:val="1"/>
                <w:color w:val="auto"/>
              </w:rPr>
              <w:t>94107</w:t>
            </w:r>
          </w:p>
        </w:tc>
      </w:tr>
      <w:tr>
        <w:trPr>
          <w:trHeight w:val="168"/>
        </w:trPr>
        <w:tc>
          <w:tcPr>
            <w:tcW w:w="4040" w:type="dxa"/>
            <w:vAlign w:val="bottom"/>
          </w:tcPr>
          <w:p>
            <w:pPr>
              <w:jc w:val="center"/>
              <w:ind w:right="1625"/>
              <w:spacing w:after="0"/>
              <w:rPr>
                <w:sz w:val="20"/>
                <w:szCs w:val="20"/>
                <w:color w:val="auto"/>
              </w:rPr>
            </w:pPr>
            <w:r>
              <w:rPr>
                <w:rFonts w:ascii="Arial" w:cs="Arial" w:eastAsia="Arial" w:hAnsi="Arial"/>
                <w:sz w:val="13"/>
                <w:szCs w:val="13"/>
                <w:b w:val="1"/>
                <w:bCs w:val="1"/>
                <w:color w:val="auto"/>
                <w:w w:val="96"/>
              </w:rPr>
              <w:t>(Address of principal executive offices)</w:t>
            </w:r>
          </w:p>
        </w:tc>
        <w:tc>
          <w:tcPr>
            <w:tcW w:w="2760" w:type="dxa"/>
            <w:vAlign w:val="bottom"/>
          </w:tcPr>
          <w:p>
            <w:pPr>
              <w:jc w:val="center"/>
              <w:ind w:left="1626"/>
              <w:spacing w:after="0"/>
              <w:rPr>
                <w:sz w:val="20"/>
                <w:szCs w:val="20"/>
                <w:color w:val="auto"/>
              </w:rPr>
            </w:pPr>
            <w:r>
              <w:rPr>
                <w:rFonts w:ascii="Arial" w:cs="Arial" w:eastAsia="Arial" w:hAnsi="Arial"/>
                <w:sz w:val="13"/>
                <w:szCs w:val="13"/>
                <w:b w:val="1"/>
                <w:bCs w:val="1"/>
                <w:color w:val="auto"/>
                <w:w w:val="96"/>
              </w:rPr>
              <w:t>(Zip Code)</w:t>
            </w:r>
          </w:p>
        </w:tc>
      </w:tr>
    </w:tbl>
    <w:p>
      <w:pPr>
        <w:spacing w:after="0" w:line="169" w:lineRule="exact"/>
        <w:rPr>
          <w:sz w:val="24"/>
          <w:szCs w:val="24"/>
          <w:color w:val="auto"/>
        </w:rPr>
      </w:pPr>
    </w:p>
    <w:p>
      <w:pPr>
        <w:ind w:left="2221"/>
        <w:spacing w:after="0"/>
        <w:rPr>
          <w:sz w:val="20"/>
          <w:szCs w:val="20"/>
          <w:color w:val="auto"/>
        </w:rPr>
      </w:pPr>
      <w:r>
        <w:rPr>
          <w:rFonts w:ascii="Arial" w:cs="Arial" w:eastAsia="Arial" w:hAnsi="Arial"/>
          <w:sz w:val="18"/>
          <w:szCs w:val="18"/>
          <w:b w:val="1"/>
          <w:bCs w:val="1"/>
          <w:color w:val="auto"/>
        </w:rPr>
        <w:t>Registrant’s telephone number, including area code: (650) 243-5555</w:t>
      </w:r>
    </w:p>
    <w:p>
      <w:pPr>
        <w:spacing w:after="0" w:line="155" w:lineRule="exact"/>
        <w:rPr>
          <w:sz w:val="24"/>
          <w:szCs w:val="24"/>
          <w:color w:val="auto"/>
        </w:rPr>
      </w:pPr>
    </w:p>
    <w:p>
      <w:pPr>
        <w:ind w:left="1"/>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8" w:lineRule="exact"/>
        <w:rPr>
          <w:sz w:val="24"/>
          <w:szCs w:val="24"/>
          <w:color w:val="auto"/>
        </w:rPr>
      </w:pPr>
    </w:p>
    <w:tbl>
      <w:tblPr>
        <w:tblLayout w:type="fixed"/>
        <w:tblInd w:w="11" w:type="dxa"/>
        <w:tblCellMar>
          <w:top w:w="0" w:type="dxa"/>
          <w:left w:w="0" w:type="dxa"/>
          <w:bottom w:w="0" w:type="dxa"/>
          <w:right w:w="0" w:type="dxa"/>
        </w:tblCellMar>
      </w:tblPr>
      <w:tr>
        <w:trPr>
          <w:trHeight w:val="203"/>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 of Securities Registered</w:t>
            </w:r>
          </w:p>
        </w:tc>
        <w:tc>
          <w:tcPr>
            <w:tcW w:w="1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w:t>
            </w:r>
          </w:p>
        </w:tc>
        <w:tc>
          <w:tcPr>
            <w:tcW w:w="51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Securities are Registered</w:t>
            </w:r>
          </w:p>
        </w:tc>
      </w:tr>
      <w:tr>
        <w:trPr>
          <w:trHeight w:val="183"/>
        </w:trPr>
        <w:tc>
          <w:tcPr>
            <w:tcW w:w="374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Common Stock, par value $0.0001 per share</w:t>
            </w:r>
          </w:p>
        </w:tc>
        <w:tc>
          <w:tcPr>
            <w:tcW w:w="13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OLMA</w:t>
            </w:r>
          </w:p>
        </w:tc>
        <w:tc>
          <w:tcPr>
            <w:tcW w:w="51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The Nasdaq Global Select Market</w:t>
            </w:r>
          </w:p>
        </w:tc>
      </w:tr>
    </w:tbl>
    <w:p>
      <w:pPr>
        <w:spacing w:after="0" w:line="204" w:lineRule="exact"/>
        <w:rPr>
          <w:sz w:val="24"/>
          <w:szCs w:val="24"/>
          <w:color w:val="auto"/>
        </w:rPr>
      </w:pPr>
    </w:p>
    <w:p>
      <w:pPr>
        <w:jc w:val="both"/>
        <w:ind w:left="1" w:right="2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3" w:lineRule="exact"/>
        <w:rPr>
          <w:sz w:val="24"/>
          <w:szCs w:val="24"/>
          <w:color w:val="auto"/>
        </w:rPr>
      </w:pPr>
    </w:p>
    <w:p>
      <w:pPr>
        <w:jc w:val="both"/>
        <w:ind w:left="1" w:right="4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7" w:lineRule="exact"/>
        <w:rPr>
          <w:sz w:val="24"/>
          <w:szCs w:val="24"/>
          <w:color w:val="auto"/>
        </w:rPr>
      </w:pPr>
    </w:p>
    <w:p>
      <w:pPr>
        <w:jc w:val="both"/>
        <w:ind w:left="1" w:right="2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8" w:lineRule="exact"/>
        <w:rPr>
          <w:sz w:val="24"/>
          <w:szCs w:val="24"/>
          <w:color w:val="auto"/>
        </w:rPr>
      </w:pPr>
    </w:p>
    <w:tbl>
      <w:tblPr>
        <w:tblLayout w:type="fixed"/>
        <w:tblInd w:w="1" w:type="dxa"/>
        <w:tblCellMar>
          <w:top w:w="0" w:type="dxa"/>
          <w:left w:w="0" w:type="dxa"/>
          <w:bottom w:w="0" w:type="dxa"/>
          <w:right w:w="0" w:type="dxa"/>
        </w:tblCellMar>
      </w:tblPr>
      <w:tr>
        <w:trPr>
          <w:trHeight w:val="203"/>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04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4840" w:type="dxa"/>
            <w:vAlign w:val="bottom"/>
          </w:tcPr>
          <w:p>
            <w:pPr>
              <w:ind w:left="2840"/>
              <w:spacing w:after="0"/>
              <w:rPr>
                <w:sz w:val="20"/>
                <w:szCs w:val="20"/>
                <w:color w:val="auto"/>
              </w:rPr>
            </w:pPr>
            <w:r>
              <w:rPr>
                <w:rFonts w:ascii="Arial" w:cs="Arial" w:eastAsia="Arial" w:hAnsi="Arial"/>
                <w:sz w:val="16"/>
                <w:szCs w:val="16"/>
                <w:color w:val="auto"/>
              </w:rPr>
              <w:t>Accelerated filer</w:t>
            </w:r>
          </w:p>
        </w:tc>
        <w:tc>
          <w:tcPr>
            <w:tcW w:w="200" w:type="dxa"/>
            <w:vAlign w:val="bottom"/>
          </w:tcPr>
          <w:p>
            <w:pPr>
              <w:ind w:left="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3"/>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04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4840" w:type="dxa"/>
            <w:vAlign w:val="bottom"/>
          </w:tcPr>
          <w:p>
            <w:pPr>
              <w:ind w:left="2840"/>
              <w:spacing w:after="0"/>
              <w:rPr>
                <w:sz w:val="20"/>
                <w:szCs w:val="20"/>
                <w:color w:val="auto"/>
              </w:rPr>
            </w:pPr>
            <w:r>
              <w:rPr>
                <w:rFonts w:ascii="Arial" w:cs="Arial" w:eastAsia="Arial" w:hAnsi="Arial"/>
                <w:sz w:val="16"/>
                <w:szCs w:val="16"/>
                <w:color w:val="auto"/>
              </w:rPr>
              <w:t>Smaller reporting company</w:t>
            </w:r>
          </w:p>
        </w:tc>
        <w:tc>
          <w:tcPr>
            <w:tcW w:w="200" w:type="dxa"/>
            <w:vAlign w:val="bottom"/>
          </w:tcPr>
          <w:p>
            <w:pPr>
              <w:ind w:left="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19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04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4840" w:type="dxa"/>
            <w:vAlign w:val="bottom"/>
          </w:tcPr>
          <w:p>
            <w:pPr>
              <w:spacing w:after="0"/>
              <w:rPr>
                <w:sz w:val="22"/>
                <w:szCs w:val="22"/>
                <w:color w:val="auto"/>
              </w:rPr>
            </w:pPr>
          </w:p>
        </w:tc>
        <w:tc>
          <w:tcPr>
            <w:tcW w:w="200" w:type="dxa"/>
            <w:vAlign w:val="bottom"/>
          </w:tcPr>
          <w:p>
            <w:pPr>
              <w:spacing w:after="0"/>
              <w:rPr>
                <w:sz w:val="22"/>
                <w:szCs w:val="22"/>
                <w:color w:val="auto"/>
              </w:rPr>
            </w:pPr>
          </w:p>
        </w:tc>
      </w:tr>
    </w:tbl>
    <w:p>
      <w:pPr>
        <w:spacing w:after="0" w:line="192" w:lineRule="exact"/>
        <w:rPr>
          <w:sz w:val="24"/>
          <w:szCs w:val="24"/>
          <w:color w:val="auto"/>
        </w:rPr>
      </w:pPr>
    </w:p>
    <w:p>
      <w:pPr>
        <w:ind w:left="1" w:right="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1" w:lineRule="exact"/>
        <w:rPr>
          <w:sz w:val="24"/>
          <w:szCs w:val="24"/>
          <w:color w:val="auto"/>
        </w:rPr>
      </w:pPr>
    </w:p>
    <w:p>
      <w:pPr>
        <w:ind w:left="1" w:right="1200"/>
        <w:spacing w:after="0" w:line="28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6, 2021, the registrant had 39,557,839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466725</wp:posOffset>
            </wp:positionV>
            <wp:extent cx="64979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-3810</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38100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1"/>
          </w:cols>
          <w:pgMar w:left="839" w:top="665" w:right="819"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940" w:type="dxa"/>
            <w:vAlign w:val="bottom"/>
            <w:gridSpan w:val="8"/>
          </w:tcPr>
          <w:p>
            <w:pPr>
              <w:jc w:val="center"/>
              <w:ind w:right="2680"/>
              <w:spacing w:after="0"/>
              <w:rPr>
                <w:sz w:val="20"/>
                <w:szCs w:val="20"/>
                <w:color w:val="auto"/>
              </w:rPr>
            </w:pPr>
            <w:r>
              <w:rPr>
                <w:rFonts w:ascii="Arial" w:cs="Arial" w:eastAsia="Arial" w:hAnsi="Arial"/>
                <w:sz w:val="18"/>
                <w:szCs w:val="18"/>
                <w:b w:val="1"/>
                <w:bCs w:val="1"/>
                <w:color w:val="auto"/>
                <w:w w:val="98"/>
              </w:rPr>
              <w:t>Table of Contents</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60" w:type="dxa"/>
            <w:vAlign w:val="bottom"/>
            <w:gridSpan w:val="11"/>
          </w:tcPr>
          <w:p>
            <w:pPr>
              <w:jc w:val="center"/>
              <w:ind w:right="2280"/>
              <w:spacing w:after="0"/>
              <w:rPr>
                <w:sz w:val="20"/>
                <w:szCs w:val="20"/>
                <w:color w:val="auto"/>
              </w:rPr>
            </w:pPr>
            <w:r>
              <w:rPr>
                <w:rFonts w:ascii="Arial" w:cs="Arial" w:eastAsia="Arial" w:hAnsi="Arial"/>
                <w:sz w:val="18"/>
                <w:szCs w:val="18"/>
                <w:b w:val="1"/>
                <w:bCs w:val="1"/>
                <w:color w:val="auto"/>
                <w:w w:val="99"/>
              </w:rPr>
              <w:t>PART I-FINANCIAL INFORMATION</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60" w:type="dxa"/>
            <w:vAlign w:val="bottom"/>
            <w:gridSpan w:val="19"/>
          </w:tcPr>
          <w:p>
            <w:pPr>
              <w:spacing w:after="0"/>
              <w:rPr>
                <w:sz w:val="20"/>
                <w:szCs w:val="20"/>
                <w:color w:val="auto"/>
              </w:rPr>
            </w:pPr>
            <w:r>
              <w:rPr>
                <w:rFonts w:ascii="Arial" w:cs="Arial" w:eastAsia="Arial" w:hAnsi="Arial"/>
                <w:sz w:val="18"/>
                <w:szCs w:val="18"/>
                <w:b w:val="1"/>
                <w:bCs w:val="1"/>
                <w:color w:val="auto"/>
              </w:rPr>
              <w:t>Item 1. Financial Statements.</w:t>
            </w:r>
          </w:p>
        </w:tc>
        <w:tc>
          <w:tcPr>
            <w:tcW w:w="640" w:type="dxa"/>
            <w:vAlign w:val="bottom"/>
            <w:vMerge w:val="restart"/>
          </w:tcPr>
          <w:p>
            <w:pPr>
              <w:jc w:val="right"/>
              <w:ind w:right="3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94"/>
        </w:trPr>
        <w:tc>
          <w:tcPr>
            <w:tcW w:w="2900" w:type="dxa"/>
            <w:vAlign w:val="bottom"/>
            <w:gridSpan w:val="8"/>
            <w:vMerge w:val="restart"/>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FINANCIAL INFORMATION</w:t>
              </w:r>
            </w:hyperlink>
          </w:p>
        </w:tc>
        <w:tc>
          <w:tcPr>
            <w:tcW w:w="5360" w:type="dxa"/>
            <w:vAlign w:val="bottom"/>
            <w:gridSpan w:val="11"/>
            <w:vMerge w:val="restart"/>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900" w:type="dxa"/>
            <w:vAlign w:val="bottom"/>
            <w:tcBorders>
              <w:bottom w:val="single" w:sz="8" w:color="0000EE"/>
            </w:tcBorders>
            <w:gridSpan w:val="8"/>
            <w:vMerge w:val="continue"/>
          </w:tcPr>
          <w:p>
            <w:pPr>
              <w:spacing w:after="0"/>
              <w:rPr>
                <w:sz w:val="14"/>
                <w:szCs w:val="14"/>
                <w:color w:val="auto"/>
              </w:rPr>
            </w:pPr>
          </w:p>
        </w:tc>
        <w:tc>
          <w:tcPr>
            <w:tcW w:w="5360" w:type="dxa"/>
            <w:vAlign w:val="bottom"/>
            <w:gridSpan w:val="11"/>
            <w:vMerge w:val="continue"/>
          </w:tcPr>
          <w:p>
            <w:pPr>
              <w:spacing w:after="0"/>
              <w:rPr>
                <w:sz w:val="14"/>
                <w:szCs w:val="14"/>
                <w:color w:val="auto"/>
              </w:rPr>
            </w:pPr>
          </w:p>
        </w:tc>
        <w:tc>
          <w:tcPr>
            <w:tcW w:w="640" w:type="dxa"/>
            <w:vAlign w:val="bottom"/>
          </w:tcPr>
          <w:p>
            <w:pPr>
              <w:jc w:val="right"/>
              <w:spacing w:after="0" w:line="16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324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Item 1. Financial Statements (unaudited)</w:t>
              </w:r>
            </w:hyperlink>
          </w:p>
        </w:tc>
        <w:tc>
          <w:tcPr>
            <w:tcW w:w="5020" w:type="dxa"/>
            <w:vAlign w:val="bottom"/>
            <w:gridSpan w:val="9"/>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8260" w:type="dxa"/>
            <w:vAlign w:val="bottom"/>
            <w:gridSpan w:val="19"/>
          </w:tcPr>
          <w:p>
            <w:pPr>
              <w:spacing w:after="0" w:line="182"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0" w:type="dxa"/>
            <w:vAlign w:val="bottom"/>
            <w:tcBorders>
              <w:bottom w:val="single" w:sz="8" w:color="0000EE"/>
            </w:tcBorders>
            <w:gridSpan w:val="16"/>
          </w:tcPr>
          <w:p>
            <w:pPr>
              <w:spacing w:after="0" w:line="18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Condensed Consolidated Statements of Operations and Comprehensive Loss</w:t>
              </w:r>
            </w:hyperlink>
          </w:p>
        </w:tc>
        <w:tc>
          <w:tcPr>
            <w:tcW w:w="2060" w:type="dxa"/>
            <w:vAlign w:val="bottom"/>
            <w:gridSpan w:val="3"/>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8260" w:type="dxa"/>
            <w:vAlign w:val="bottom"/>
            <w:gridSpan w:val="19"/>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Convertible Preferred Stock and Stockholders’ Equity</w:t>
              </w:r>
            </w:hyperlink>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6"/>
              </w:rPr>
            </w:pPr>
            <w:hyperlink w:anchor="page5">
              <w:r>
                <w:rPr>
                  <w:rFonts w:ascii="Arial" w:cs="Arial" w:eastAsia="Arial" w:hAnsi="Arial"/>
                  <w:sz w:val="18"/>
                  <w:szCs w:val="18"/>
                  <w:color w:val="0000EE"/>
                  <w:w w:val="96"/>
                </w:rPr>
                <w:t>(Deficit)</w:t>
              </w:r>
            </w:hyperlink>
          </w:p>
        </w:tc>
        <w:tc>
          <w:tcPr>
            <w:tcW w:w="7380" w:type="dxa"/>
            <w:vAlign w:val="bottom"/>
            <w:tcBorders>
              <w:top w:val="single" w:sz="8" w:color="0000EE"/>
            </w:tcBorders>
            <w:gridSpan w:val="17"/>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8260" w:type="dxa"/>
            <w:vAlign w:val="bottom"/>
            <w:gridSpan w:val="19"/>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2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4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Notes to Unaudited Condensed Consolidated Financial Statements</w:t>
              </w:r>
            </w:hyperlink>
          </w:p>
        </w:tc>
        <w:tc>
          <w:tcPr>
            <w:tcW w:w="2920" w:type="dxa"/>
            <w:vAlign w:val="bottom"/>
            <w:gridSpan w:val="5"/>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768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w:anchor="page22">
              <w:r>
                <w:rPr>
                  <w:rFonts w:ascii="Arial" w:cs="Arial" w:eastAsia="Arial" w:hAnsi="Arial"/>
                  <w:sz w:val="18"/>
                  <w:szCs w:val="18"/>
                  <w:color w:val="0000EE"/>
                  <w:w w:val="99"/>
                </w:rPr>
                <w:t>Item 2. Management’s Discussion and Analysis of Financial Condition and Results of Operations</w:t>
              </w:r>
            </w:hyperlink>
          </w:p>
        </w:tc>
        <w:tc>
          <w:tcPr>
            <w:tcW w:w="580" w:type="dxa"/>
            <w:vAlign w:val="bottom"/>
            <w:gridSpan w:val="2"/>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3"/>
        </w:trPr>
        <w:tc>
          <w:tcPr>
            <w:tcW w:w="8260" w:type="dxa"/>
            <w:vAlign w:val="bottom"/>
            <w:gridSpan w:val="19"/>
          </w:tcPr>
          <w:p>
            <w:pPr>
              <w:spacing w:after="0" w:line="182" w:lineRule="exact"/>
              <w:rPr>
                <w:rFonts w:ascii="Arial" w:cs="Arial" w:eastAsia="Arial" w:hAnsi="Arial"/>
                <w:sz w:val="18"/>
                <w:szCs w:val="18"/>
                <w:color w:val="0000EE"/>
              </w:rPr>
            </w:pPr>
            <w:hyperlink w:anchor="page33">
              <w:r>
                <w:rPr>
                  <w:rFonts w:ascii="Arial" w:cs="Arial" w:eastAsia="Arial" w:hAnsi="Arial"/>
                  <w:sz w:val="18"/>
                  <w:szCs w:val="18"/>
                  <w:color w:val="0000EE"/>
                </w:rPr>
                <w:t>Item 3. Quantitative and Qualitative Disclosures About Market Risk</w:t>
              </w:r>
            </w:hyperlink>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83"/>
        </w:trPr>
        <w:tc>
          <w:tcPr>
            <w:tcW w:w="530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w:anchor="page33">
              <w:r>
                <w:rPr>
                  <w:rFonts w:ascii="Arial" w:cs="Arial" w:eastAsia="Arial" w:hAnsi="Arial"/>
                  <w:sz w:val="18"/>
                  <w:szCs w:val="18"/>
                  <w:color w:val="0000EE"/>
                </w:rPr>
                <w:t>Item 4. Controls and Procedures</w:t>
              </w:r>
            </w:hyperlink>
          </w:p>
        </w:tc>
        <w:tc>
          <w:tcPr>
            <w:tcW w:w="2960" w:type="dxa"/>
            <w:vAlign w:val="bottom"/>
            <w:gridSpan w:val="6"/>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12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40" w:type="dxa"/>
            <w:vAlign w:val="bottom"/>
            <w:tcBorders>
              <w:bottom w:val="single" w:sz="8" w:color="0000EE"/>
            </w:tcBorders>
            <w:gridSpan w:val="7"/>
          </w:tcPr>
          <w:p>
            <w:pPr>
              <w:spacing w:after="0" w:line="182" w:lineRule="exact"/>
              <w:rPr>
                <w:rFonts w:ascii="Arial" w:cs="Arial" w:eastAsia="Arial" w:hAnsi="Arial"/>
                <w:sz w:val="18"/>
                <w:szCs w:val="18"/>
                <w:color w:val="0000EE"/>
                <w:w w:val="98"/>
              </w:rPr>
            </w:pPr>
            <w:hyperlink w:anchor="page33">
              <w:r>
                <w:rPr>
                  <w:rFonts w:ascii="Arial" w:cs="Arial" w:eastAsia="Arial" w:hAnsi="Arial"/>
                  <w:sz w:val="18"/>
                  <w:szCs w:val="18"/>
                  <w:color w:val="0000EE"/>
                  <w:w w:val="98"/>
                </w:rPr>
                <w:t>PART II. OTHER INFORMATION</w:t>
              </w:r>
            </w:hyperlink>
          </w:p>
        </w:tc>
        <w:tc>
          <w:tcPr>
            <w:tcW w:w="5620" w:type="dxa"/>
            <w:vAlign w:val="bottom"/>
            <w:gridSpan w:val="12"/>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83"/>
        </w:trPr>
        <w:tc>
          <w:tcPr>
            <w:tcW w:w="8260" w:type="dxa"/>
            <w:vAlign w:val="bottom"/>
            <w:gridSpan w:val="19"/>
          </w:tcPr>
          <w:p>
            <w:pPr>
              <w:spacing w:after="0" w:line="182" w:lineRule="exact"/>
              <w:rPr>
                <w:rFonts w:ascii="Arial" w:cs="Arial" w:eastAsia="Arial" w:hAnsi="Arial"/>
                <w:sz w:val="18"/>
                <w:szCs w:val="18"/>
                <w:color w:val="0000EE"/>
              </w:rPr>
            </w:pPr>
            <w:hyperlink w:anchor="page33">
              <w:r>
                <w:rPr>
                  <w:rFonts w:ascii="Arial" w:cs="Arial" w:eastAsia="Arial" w:hAnsi="Arial"/>
                  <w:sz w:val="18"/>
                  <w:szCs w:val="18"/>
                  <w:color w:val="0000EE"/>
                </w:rPr>
                <w:t>Item 1. Legal Proceedings</w:t>
              </w:r>
            </w:hyperlink>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83"/>
        </w:trPr>
        <w:tc>
          <w:tcPr>
            <w:tcW w:w="172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8"/>
              </w:rPr>
            </w:pPr>
            <w:hyperlink w:anchor="page34">
              <w:r>
                <w:rPr>
                  <w:rFonts w:ascii="Arial" w:cs="Arial" w:eastAsia="Arial" w:hAnsi="Arial"/>
                  <w:sz w:val="18"/>
                  <w:szCs w:val="18"/>
                  <w:color w:val="0000EE"/>
                  <w:w w:val="98"/>
                </w:rPr>
                <w:t>Item 1A. Risk Factors</w:t>
              </w:r>
            </w:hyperlink>
          </w:p>
        </w:tc>
        <w:tc>
          <w:tcPr>
            <w:tcW w:w="360" w:type="dxa"/>
            <w:vAlign w:val="bottom"/>
            <w:tcBorders>
              <w:top w:val="single" w:sz="8" w:color="0000EE"/>
            </w:tcBorders>
            <w:gridSpan w:val="2"/>
          </w:tcPr>
          <w:p>
            <w:pPr>
              <w:spacing w:after="0"/>
              <w:rPr>
                <w:sz w:val="15"/>
                <w:szCs w:val="15"/>
                <w:color w:val="auto"/>
              </w:rPr>
            </w:pPr>
          </w:p>
        </w:tc>
        <w:tc>
          <w:tcPr>
            <w:tcW w:w="6180" w:type="dxa"/>
            <w:vAlign w:val="bottom"/>
            <w:gridSpan w:val="14"/>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83"/>
        </w:trPr>
        <w:tc>
          <w:tcPr>
            <w:tcW w:w="8260" w:type="dxa"/>
            <w:vAlign w:val="bottom"/>
            <w:gridSpan w:val="19"/>
          </w:tcPr>
          <w:p>
            <w:pPr>
              <w:spacing w:after="0" w:line="182" w:lineRule="exact"/>
              <w:rPr>
                <w:rFonts w:ascii="Arial" w:cs="Arial" w:eastAsia="Arial" w:hAnsi="Arial"/>
                <w:sz w:val="18"/>
                <w:szCs w:val="18"/>
                <w:color w:val="0000EE"/>
              </w:rPr>
            </w:pPr>
            <w:hyperlink w:anchor="page100">
              <w:r>
                <w:rPr>
                  <w:rFonts w:ascii="Arial" w:cs="Arial" w:eastAsia="Arial" w:hAnsi="Arial"/>
                  <w:sz w:val="18"/>
                  <w:szCs w:val="18"/>
                  <w:color w:val="0000EE"/>
                </w:rPr>
                <w:t>Item 2. Unregistered Sales of Equity Securities and Use of Proceeds</w:t>
              </w:r>
            </w:hyperlink>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83"/>
        </w:trPr>
        <w:tc>
          <w:tcPr>
            <w:tcW w:w="544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w:anchor="page101">
              <w:r>
                <w:rPr>
                  <w:rFonts w:ascii="Arial" w:cs="Arial" w:eastAsia="Arial" w:hAnsi="Arial"/>
                  <w:sz w:val="18"/>
                  <w:szCs w:val="18"/>
                  <w:color w:val="0000EE"/>
                </w:rPr>
                <w:t>Item 3. Defaults Upon Senior Securities</w:t>
              </w:r>
            </w:hyperlink>
          </w:p>
        </w:tc>
        <w:tc>
          <w:tcPr>
            <w:tcW w:w="2820" w:type="dxa"/>
            <w:vAlign w:val="bottom"/>
            <w:gridSpan w:val="4"/>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83"/>
        </w:trPr>
        <w:tc>
          <w:tcPr>
            <w:tcW w:w="314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101">
              <w:r>
                <w:rPr>
                  <w:rFonts w:ascii="Arial" w:cs="Arial" w:eastAsia="Arial" w:hAnsi="Arial"/>
                  <w:sz w:val="18"/>
                  <w:szCs w:val="18"/>
                  <w:color w:val="0000EE"/>
                </w:rPr>
                <w:t>Item 4. Mine Safety Disclosures</w:t>
              </w:r>
            </w:hyperlink>
          </w:p>
        </w:tc>
        <w:tc>
          <w:tcPr>
            <w:tcW w:w="5120" w:type="dxa"/>
            <w:vAlign w:val="bottom"/>
            <w:gridSpan w:val="10"/>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83"/>
        </w:trPr>
        <w:tc>
          <w:tcPr>
            <w:tcW w:w="200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8"/>
              </w:rPr>
            </w:pPr>
            <w:hyperlink w:anchor="page101">
              <w:r>
                <w:rPr>
                  <w:rFonts w:ascii="Arial" w:cs="Arial" w:eastAsia="Arial" w:hAnsi="Arial"/>
                  <w:sz w:val="18"/>
                  <w:szCs w:val="18"/>
                  <w:color w:val="0000EE"/>
                  <w:w w:val="98"/>
                </w:rPr>
                <w:t>Item 5. Other Information</w:t>
              </w:r>
            </w:hyperlink>
          </w:p>
        </w:tc>
        <w:tc>
          <w:tcPr>
            <w:tcW w:w="580" w:type="dxa"/>
            <w:vAlign w:val="bottom"/>
            <w:tcBorders>
              <w:top w:val="single" w:sz="8" w:color="0000EE"/>
            </w:tcBorders>
            <w:gridSpan w:val="2"/>
          </w:tcPr>
          <w:p>
            <w:pPr>
              <w:spacing w:after="0"/>
              <w:rPr>
                <w:sz w:val="15"/>
                <w:szCs w:val="15"/>
                <w:color w:val="auto"/>
              </w:rPr>
            </w:pPr>
          </w:p>
        </w:tc>
        <w:tc>
          <w:tcPr>
            <w:tcW w:w="5680" w:type="dxa"/>
            <w:vAlign w:val="bottom"/>
            <w:gridSpan w:val="13"/>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83"/>
        </w:trPr>
        <w:tc>
          <w:tcPr>
            <w:tcW w:w="8260" w:type="dxa"/>
            <w:vAlign w:val="bottom"/>
            <w:gridSpan w:val="19"/>
          </w:tcPr>
          <w:p>
            <w:pPr>
              <w:spacing w:after="0" w:line="182" w:lineRule="exact"/>
              <w:rPr>
                <w:rFonts w:ascii="Arial" w:cs="Arial" w:eastAsia="Arial" w:hAnsi="Arial"/>
                <w:sz w:val="18"/>
                <w:szCs w:val="18"/>
                <w:color w:val="0000EE"/>
              </w:rPr>
            </w:pPr>
            <w:hyperlink w:anchor="page102">
              <w:r>
                <w:rPr>
                  <w:rFonts w:ascii="Arial" w:cs="Arial" w:eastAsia="Arial" w:hAnsi="Arial"/>
                  <w:sz w:val="18"/>
                  <w:szCs w:val="18"/>
                  <w:color w:val="0000EE"/>
                </w:rPr>
                <w:t>Item 6. Exhibits</w:t>
              </w:r>
            </w:hyperlink>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Olema Pharmaceuticals,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color w:val="auto"/>
        </w:rPr>
        <w:t>(Amounts in thousands, except per share amounts)</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70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231F20"/>
              </w:rPr>
              <w:t>June 30,</w:t>
            </w:r>
          </w:p>
        </w:tc>
        <w:tc>
          <w:tcPr>
            <w:tcW w:w="2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231F20"/>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50,422</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338,549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tcPr>
          <w:p>
            <w:pPr>
              <w:ind w:left="80"/>
              <w:spacing w:after="0" w:line="202" w:lineRule="exact"/>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7"/>
                <w:szCs w:val="17"/>
                <w:color w:val="auto"/>
              </w:rPr>
            </w:pPr>
          </w:p>
        </w:tc>
        <w:tc>
          <w:tcPr>
            <w:tcW w:w="8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267,722</w:t>
            </w:r>
          </w:p>
        </w:tc>
        <w:tc>
          <w:tcPr>
            <w:tcW w:w="2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231F20"/>
            </w:tcBorders>
            <w:shd w:val="clear" w:color="auto" w:fill="CCEEFF"/>
          </w:tcPr>
          <w:p>
            <w:pPr>
              <w:spacing w:after="0"/>
              <w:rPr>
                <w:sz w:val="17"/>
                <w:szCs w:val="17"/>
                <w:color w:val="auto"/>
              </w:rPr>
            </w:pPr>
          </w:p>
        </w:tc>
        <w:tc>
          <w:tcPr>
            <w:tcW w:w="840" w:type="dxa"/>
            <w:vAlign w:val="bottom"/>
            <w:tcBorders>
              <w:bottom w:val="single" w:sz="8" w:color="231F20"/>
            </w:tcBorders>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2,710</w:t>
            </w:r>
          </w:p>
        </w:tc>
        <w:tc>
          <w:tcPr>
            <w:tcW w:w="200" w:type="dxa"/>
            <w:vAlign w:val="bottom"/>
            <w:tcBorders>
              <w:bottom w:val="single" w:sz="8" w:color="231F20"/>
            </w:tcBorders>
            <w:shd w:val="clear" w:color="auto" w:fill="CCEEFF"/>
          </w:tcPr>
          <w:p>
            <w:pPr>
              <w:spacing w:after="0"/>
              <w:rPr>
                <w:sz w:val="17"/>
                <w:szCs w:val="17"/>
                <w:color w:val="auto"/>
              </w:rPr>
            </w:pPr>
          </w:p>
        </w:tc>
        <w:tc>
          <w:tcPr>
            <w:tcW w:w="1000" w:type="dxa"/>
            <w:vAlign w:val="bottom"/>
            <w:tcBorders>
              <w:bottom w:val="single" w:sz="8" w:color="231F20"/>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3,588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00" w:type="dxa"/>
            <w:vAlign w:val="bottom"/>
          </w:tcPr>
          <w:p>
            <w:pPr>
              <w:ind w:left="200"/>
              <w:spacing w:after="0" w:line="196" w:lineRule="exact"/>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7"/>
                <w:szCs w:val="17"/>
                <w:color w:val="auto"/>
              </w:rPr>
            </w:pPr>
          </w:p>
        </w:tc>
        <w:tc>
          <w:tcPr>
            <w:tcW w:w="840" w:type="dxa"/>
            <w:vAlign w:val="bottom"/>
          </w:tcPr>
          <w:p>
            <w:pPr>
              <w:jc w:val="right"/>
              <w:ind w:right="72"/>
              <w:spacing w:after="0" w:line="196" w:lineRule="exact"/>
              <w:rPr>
                <w:sz w:val="20"/>
                <w:szCs w:val="20"/>
                <w:color w:val="auto"/>
              </w:rPr>
            </w:pPr>
            <w:r>
              <w:rPr>
                <w:rFonts w:ascii="Arial" w:cs="Arial" w:eastAsia="Arial" w:hAnsi="Arial"/>
                <w:sz w:val="18"/>
                <w:szCs w:val="18"/>
                <w:color w:val="auto"/>
              </w:rPr>
              <w:t>320,854</w:t>
            </w:r>
          </w:p>
        </w:tc>
        <w:tc>
          <w:tcPr>
            <w:tcW w:w="20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342,137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866</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231F20"/>
            </w:tcBorders>
          </w:tcPr>
          <w:p>
            <w:pPr>
              <w:spacing w:after="0"/>
              <w:rPr>
                <w:sz w:val="17"/>
                <w:szCs w:val="17"/>
                <w:color w:val="auto"/>
              </w:rPr>
            </w:pPr>
          </w:p>
        </w:tc>
        <w:tc>
          <w:tcPr>
            <w:tcW w:w="840" w:type="dxa"/>
            <w:vAlign w:val="bottom"/>
            <w:tcBorders>
              <w:bottom w:val="single" w:sz="8" w:color="231F20"/>
            </w:tcBorders>
          </w:tcPr>
          <w:p>
            <w:pPr>
              <w:jc w:val="right"/>
              <w:ind w:right="72"/>
              <w:spacing w:after="0" w:line="202" w:lineRule="exact"/>
              <w:rPr>
                <w:sz w:val="20"/>
                <w:szCs w:val="20"/>
                <w:color w:val="auto"/>
              </w:rPr>
            </w:pPr>
            <w:r>
              <w:rPr>
                <w:rFonts w:ascii="Arial" w:cs="Arial" w:eastAsia="Arial" w:hAnsi="Arial"/>
                <w:sz w:val="18"/>
                <w:szCs w:val="18"/>
                <w:color w:val="auto"/>
              </w:rPr>
              <w:t>510</w:t>
            </w:r>
          </w:p>
        </w:tc>
        <w:tc>
          <w:tcPr>
            <w:tcW w:w="200" w:type="dxa"/>
            <w:vAlign w:val="bottom"/>
            <w:tcBorders>
              <w:bottom w:val="single" w:sz="8" w:color="231F20"/>
            </w:tcBorders>
          </w:tcPr>
          <w:p>
            <w:pPr>
              <w:spacing w:after="0"/>
              <w:rPr>
                <w:sz w:val="17"/>
                <w:szCs w:val="17"/>
                <w:color w:val="auto"/>
              </w:rPr>
            </w:pPr>
          </w:p>
        </w:tc>
        <w:tc>
          <w:tcPr>
            <w:tcW w:w="1000" w:type="dxa"/>
            <w:vAlign w:val="bottom"/>
            <w:tcBorders>
              <w:bottom w:val="single" w:sz="8" w:color="231F20"/>
            </w:tcBorders>
          </w:tcPr>
          <w:p>
            <w:pPr>
              <w:jc w:val="right"/>
              <w:spacing w:after="0" w:line="202" w:lineRule="exact"/>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0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rPr>
              <w:t>322,230</w:t>
            </w:r>
          </w:p>
        </w:tc>
        <w:tc>
          <w:tcPr>
            <w:tcW w:w="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342,722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tcPr>
          <w:p>
            <w:pPr>
              <w:spacing w:after="0" w:line="202" w:lineRule="exact"/>
              <w:rPr>
                <w:sz w:val="20"/>
                <w:szCs w:val="20"/>
                <w:color w:val="auto"/>
              </w:rPr>
            </w:pPr>
            <w:r>
              <w:rPr>
                <w:rFonts w:ascii="Arial" w:cs="Arial" w:eastAsia="Arial" w:hAnsi="Arial"/>
                <w:sz w:val="18"/>
                <w:szCs w:val="18"/>
                <w:color w:val="231F20"/>
              </w:rPr>
              <w:t>Current liabilities:</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385</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tcBorders>
              <w:bottom w:val="single" w:sz="8" w:color="CCEEFF"/>
            </w:tcBorders>
          </w:tcPr>
          <w:p>
            <w:pPr>
              <w:ind w:left="80"/>
              <w:spacing w:after="0" w:line="202" w:lineRule="exact"/>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72"/>
              <w:spacing w:after="0" w:line="202" w:lineRule="exact"/>
              <w:rPr>
                <w:sz w:val="20"/>
                <w:szCs w:val="20"/>
                <w:color w:val="auto"/>
              </w:rPr>
            </w:pPr>
            <w:r>
              <w:rPr>
                <w:rFonts w:ascii="Arial" w:cs="Arial" w:eastAsia="Arial" w:hAnsi="Arial"/>
                <w:sz w:val="18"/>
                <w:szCs w:val="18"/>
                <w:color w:val="auto"/>
              </w:rPr>
              <w:t>7,761</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3,866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0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rPr>
              <w:t>8,146</w:t>
            </w: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4,585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00" w:type="dxa"/>
            <w:vAlign w:val="bottom"/>
            <w:tcBorders>
              <w:bottom w:val="single" w:sz="8" w:color="CCEEFF"/>
            </w:tcBorders>
          </w:tcPr>
          <w:p>
            <w:pPr>
              <w:ind w:left="200"/>
              <w:spacing w:after="0" w:line="196" w:lineRule="exact"/>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72"/>
              <w:spacing w:after="0" w:line="196" w:lineRule="exact"/>
              <w:rPr>
                <w:sz w:val="20"/>
                <w:szCs w:val="20"/>
                <w:color w:val="auto"/>
              </w:rPr>
            </w:pPr>
            <w:r>
              <w:rPr>
                <w:rFonts w:ascii="Arial" w:cs="Arial" w:eastAsia="Arial" w:hAnsi="Arial"/>
                <w:sz w:val="18"/>
                <w:szCs w:val="18"/>
                <w:color w:val="auto"/>
              </w:rPr>
              <w:t>8,146</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4,585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Commitments and contingencies (Note 11)</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231F20"/>
              </w:rPr>
              <w:t>Stockholders’ equity:</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00" w:type="dxa"/>
            <w:vAlign w:val="bottom"/>
            <w:shd w:val="clear" w:color="auto" w:fill="CCEEFF"/>
          </w:tcPr>
          <w:p>
            <w:pPr>
              <w:spacing w:after="0" w:line="201" w:lineRule="exact"/>
              <w:rPr>
                <w:sz w:val="20"/>
                <w:szCs w:val="20"/>
                <w:color w:val="auto"/>
              </w:rPr>
            </w:pPr>
            <w:r>
              <w:rPr>
                <w:rFonts w:ascii="Arial" w:cs="Arial" w:eastAsia="Arial" w:hAnsi="Arial"/>
                <w:sz w:val="18"/>
                <w:szCs w:val="18"/>
                <w:color w:val="231F20"/>
              </w:rPr>
              <w:t>Preferred stock, $0.0001 par value; 10,000,000 shares authorized as of June 30,</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231F20"/>
              </w:rPr>
              <w:t>2021 and December 31, 2020; no shares issued and outstanding as of June 30,</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shd w:val="clear" w:color="auto" w:fill="CCEEFF"/>
          </w:tcPr>
          <w:p>
            <w:pPr>
              <w:spacing w:after="0" w:line="203" w:lineRule="exact"/>
              <w:rPr>
                <w:sz w:val="20"/>
                <w:szCs w:val="20"/>
                <w:color w:val="auto"/>
              </w:rPr>
            </w:pPr>
            <w:r>
              <w:rPr>
                <w:rFonts w:ascii="Arial" w:cs="Arial" w:eastAsia="Arial" w:hAnsi="Arial"/>
                <w:sz w:val="18"/>
                <w:szCs w:val="18"/>
                <w:color w:val="231F20"/>
              </w:rPr>
              <w:t>2021 and December 31, 2020.</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2"/>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00" w:type="dxa"/>
            <w:vAlign w:val="bottom"/>
          </w:tcPr>
          <w:p>
            <w:pPr>
              <w:spacing w:after="0" w:line="201" w:lineRule="exact"/>
              <w:rPr>
                <w:sz w:val="20"/>
                <w:szCs w:val="20"/>
                <w:color w:val="auto"/>
              </w:rPr>
            </w:pPr>
            <w:r>
              <w:rPr>
                <w:rFonts w:ascii="Arial" w:cs="Arial" w:eastAsia="Arial" w:hAnsi="Arial"/>
                <w:sz w:val="18"/>
                <w:szCs w:val="18"/>
                <w:color w:val="auto"/>
              </w:rPr>
              <w:t>Common stock, $0.0001 par value; 490,000,000 shares authorized as of June 30,</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gridSpan w:val="2"/>
          </w:tcPr>
          <w:p>
            <w:pPr>
              <w:spacing w:after="0" w:line="202" w:lineRule="exact"/>
              <w:rPr>
                <w:sz w:val="20"/>
                <w:szCs w:val="20"/>
                <w:color w:val="auto"/>
              </w:rPr>
            </w:pPr>
            <w:r>
              <w:rPr>
                <w:rFonts w:ascii="Arial" w:cs="Arial" w:eastAsia="Arial" w:hAnsi="Arial"/>
                <w:sz w:val="18"/>
                <w:szCs w:val="18"/>
                <w:color w:val="auto"/>
              </w:rPr>
              <w:t>2021 and December 31, 2020; 40,256,637 and 40,169,738 shares issued as of</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gridSpan w:val="2"/>
          </w:tcPr>
          <w:p>
            <w:pPr>
              <w:spacing w:after="0" w:line="202" w:lineRule="exact"/>
              <w:rPr>
                <w:sz w:val="20"/>
                <w:szCs w:val="20"/>
                <w:color w:val="auto"/>
              </w:rPr>
            </w:pPr>
            <w:r>
              <w:rPr>
                <w:rFonts w:ascii="Arial" w:cs="Arial" w:eastAsia="Arial" w:hAnsi="Arial"/>
                <w:sz w:val="18"/>
                <w:szCs w:val="18"/>
                <w:color w:val="auto"/>
              </w:rPr>
              <w:t>June 30, 2021 and December 31, 2020, respectively; 39,552,588 and 39,308,238</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gridSpan w:val="2"/>
          </w:tcPr>
          <w:p>
            <w:pPr>
              <w:spacing w:after="0" w:line="203" w:lineRule="exact"/>
              <w:rPr>
                <w:sz w:val="20"/>
                <w:szCs w:val="20"/>
                <w:color w:val="auto"/>
              </w:rPr>
            </w:pPr>
            <w:r>
              <w:rPr>
                <w:rFonts w:ascii="Arial" w:cs="Arial" w:eastAsia="Arial" w:hAnsi="Arial"/>
                <w:sz w:val="18"/>
                <w:szCs w:val="18"/>
                <w:color w:val="auto"/>
              </w:rPr>
              <w:t>shares outstanding as of June 30, 2021 and December 31, 2020, respectively.</w:t>
            </w:r>
          </w:p>
        </w:tc>
        <w:tc>
          <w:tcPr>
            <w:tcW w:w="14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Arial" w:cs="Arial" w:eastAsia="Arial" w:hAnsi="Arial"/>
                <w:sz w:val="18"/>
                <w:szCs w:val="18"/>
                <w:color w:val="auto"/>
              </w:rPr>
              <w:t>3</w:t>
            </w:r>
          </w:p>
        </w:tc>
        <w:tc>
          <w:tcPr>
            <w:tcW w:w="2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231F20"/>
              </w:rPr>
              <w:t>Additional paid-in capital</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378,934</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371,228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tcPr>
          <w:p>
            <w:pPr>
              <w:ind w:left="80"/>
              <w:spacing w:after="0" w:line="202" w:lineRule="exact"/>
              <w:rPr>
                <w:sz w:val="20"/>
                <w:szCs w:val="20"/>
                <w:color w:val="auto"/>
              </w:rPr>
            </w:pPr>
            <w:r>
              <w:rPr>
                <w:rFonts w:ascii="Arial" w:cs="Arial" w:eastAsia="Arial" w:hAnsi="Arial"/>
                <w:sz w:val="18"/>
                <w:szCs w:val="18"/>
                <w:color w:val="231F20"/>
              </w:rPr>
              <w:t>Accumulated other comprehensive loss</w:t>
            </w:r>
          </w:p>
        </w:tc>
        <w:tc>
          <w:tcPr>
            <w:tcW w:w="140" w:type="dxa"/>
            <w:vAlign w:val="bottom"/>
          </w:tcPr>
          <w:p>
            <w:pPr>
              <w:spacing w:after="0"/>
              <w:rPr>
                <w:sz w:val="17"/>
                <w:szCs w:val="17"/>
                <w:color w:val="auto"/>
              </w:rPr>
            </w:pPr>
          </w:p>
        </w:tc>
        <w:tc>
          <w:tcPr>
            <w:tcW w:w="8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(14)</w:t>
            </w:r>
          </w:p>
        </w:tc>
        <w:tc>
          <w:tcPr>
            <w:tcW w:w="2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231F20"/>
              </w:rPr>
              <w:t>Accumulated deficit</w:t>
            </w: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(64,839)</w:t>
            </w: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(33,094)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00" w:type="dxa"/>
            <w:vAlign w:val="bottom"/>
            <w:tcBorders>
              <w:bottom w:val="single" w:sz="8" w:color="CCEEFF"/>
            </w:tcBorders>
          </w:tcPr>
          <w:p>
            <w:pPr>
              <w:ind w:left="200"/>
              <w:spacing w:after="0" w:line="196" w:lineRule="exact"/>
              <w:rPr>
                <w:sz w:val="20"/>
                <w:szCs w:val="20"/>
                <w:color w:val="auto"/>
              </w:rPr>
            </w:pPr>
            <w:r>
              <w:rPr>
                <w:rFonts w:ascii="Arial" w:cs="Arial" w:eastAsia="Arial" w:hAnsi="Arial"/>
                <w:sz w:val="18"/>
                <w:szCs w:val="18"/>
                <w:color w:val="231F20"/>
              </w:rPr>
              <w:t>Total stockholders’ equity</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72"/>
              <w:spacing w:after="0" w:line="196" w:lineRule="exact"/>
              <w:rPr>
                <w:sz w:val="20"/>
                <w:szCs w:val="20"/>
                <w:color w:val="auto"/>
              </w:rPr>
            </w:pPr>
            <w:r>
              <w:rPr>
                <w:rFonts w:ascii="Arial" w:cs="Arial" w:eastAsia="Arial" w:hAnsi="Arial"/>
                <w:sz w:val="18"/>
                <w:szCs w:val="18"/>
                <w:color w:val="231F20"/>
              </w:rPr>
              <w:t>314,084</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231F20"/>
              </w:rPr>
              <w:t>338,137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00" w:type="dxa"/>
            <w:vAlign w:val="bottom"/>
            <w:tcBorders>
              <w:bottom w:val="single" w:sz="8" w:color="auto"/>
            </w:tcBorders>
            <w:shd w:val="clear" w:color="auto" w:fill="CCEEFF"/>
          </w:tcPr>
          <w:p>
            <w:pPr>
              <w:ind w:left="200"/>
              <w:spacing w:after="0" w:line="196" w:lineRule="exact"/>
              <w:rPr>
                <w:sz w:val="20"/>
                <w:szCs w:val="20"/>
                <w:color w:val="auto"/>
              </w:rPr>
            </w:pPr>
            <w:r>
              <w:rPr>
                <w:rFonts w:ascii="Arial" w:cs="Arial" w:eastAsia="Arial" w:hAnsi="Arial"/>
                <w:sz w:val="18"/>
                <w:szCs w:val="18"/>
                <w:color w:val="231F20"/>
              </w:rPr>
              <w:t>Total liabilities and stockholders’ equity</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2"/>
              <w:spacing w:after="0" w:line="196" w:lineRule="exact"/>
              <w:rPr>
                <w:sz w:val="20"/>
                <w:szCs w:val="20"/>
                <w:color w:val="auto"/>
              </w:rPr>
            </w:pPr>
            <w:r>
              <w:rPr>
                <w:rFonts w:ascii="Arial" w:cs="Arial" w:eastAsia="Arial" w:hAnsi="Arial"/>
                <w:sz w:val="18"/>
                <w:szCs w:val="18"/>
                <w:color w:val="231F20"/>
              </w:rPr>
              <w:t>322,230</w:t>
            </w:r>
          </w:p>
        </w:tc>
        <w:tc>
          <w:tcPr>
            <w:tcW w:w="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342,722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Olema Pharmaceuticals, Inc.</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Operations and Comprehensive Loss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jc w:val="center"/>
        <w:ind w:right="19"/>
        <w:spacing w:after="0"/>
        <w:rPr>
          <w:sz w:val="20"/>
          <w:szCs w:val="20"/>
          <w:color w:val="auto"/>
        </w:rPr>
      </w:pPr>
      <w:r>
        <w:rPr>
          <w:rFonts w:ascii="Arial" w:cs="Arial" w:eastAsia="Arial" w:hAnsi="Arial"/>
          <w:sz w:val="18"/>
          <w:szCs w:val="18"/>
          <w:color w:val="auto"/>
        </w:rPr>
        <w:t>(Amounts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143510</wp:posOffset>
            </wp:positionV>
            <wp:extent cx="56489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226" w:lineRule="exact"/>
        <w:rPr>
          <w:sz w:val="20"/>
          <w:szCs w:val="20"/>
          <w:color w:val="auto"/>
        </w:rPr>
      </w:pPr>
    </w:p>
    <w:p>
      <w:pPr>
        <w:ind w:left="436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2722880</wp:posOffset>
            </wp:positionH>
            <wp:positionV relativeFrom="paragraph">
              <wp:posOffset>8890</wp:posOffset>
            </wp:positionV>
            <wp:extent cx="14147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9" w:lineRule="exact"/>
        <w:rPr>
          <w:sz w:val="20"/>
          <w:szCs w:val="20"/>
          <w:color w:val="auto"/>
        </w:rPr>
      </w:pPr>
    </w:p>
    <w:p>
      <w:pPr>
        <w:ind w:left="4680"/>
        <w:spacing w:after="0"/>
        <w:tabs>
          <w:tab w:leader="none" w:pos="588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8890</wp:posOffset>
            </wp:positionV>
            <wp:extent cx="14319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31925" cy="8255"/>
                    </a:xfrm>
                    <a:prstGeom prst="rect">
                      <a:avLst/>
                    </a:prstGeom>
                    <a:noFill/>
                  </pic:spPr>
                </pic:pic>
              </a:graphicData>
            </a:graphic>
          </wp:anchor>
        </w:drawing>
      </w:r>
    </w:p>
    <w:p>
      <w:pPr>
        <w:spacing w:after="0" w:line="9" w:lineRule="exact"/>
        <w:rPr>
          <w:sz w:val="20"/>
          <w:szCs w:val="20"/>
          <w:color w:val="auto"/>
        </w:rPr>
      </w:pPr>
    </w:p>
    <w:p>
      <w:pPr>
        <w:ind w:left="240"/>
        <w:spacing w:after="0"/>
        <w:tabs>
          <w:tab w:leader="none" w:pos="144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1" w:lineRule="exact"/>
        <w:rPr>
          <w:sz w:val="20"/>
          <w:szCs w:val="20"/>
          <w:color w:val="auto"/>
        </w:rPr>
      </w:pPr>
    </w:p>
    <w:p>
      <w:pPr>
        <w:sectPr>
          <w:pgSz w:w="11900" w:h="16838" w:orient="portrait"/>
          <w:cols w:equalWidth="0" w:num="2">
            <w:col w:w="6400" w:space="480"/>
            <w:col w:w="2139"/>
          </w:cols>
          <w:pgMar w:left="1440" w:top="517" w:right="1440" w:bottom="1440" w:gutter="0" w:footer="0" w:header="0"/>
          <w:type w:val="continuous"/>
        </w:sectPr>
      </w:pPr>
    </w:p>
    <w:tbl>
      <w:tblPr>
        <w:tblLayout w:type="fixed"/>
        <w:tblInd w:w="60" w:type="dxa"/>
        <w:tblCellMar>
          <w:top w:w="0" w:type="dxa"/>
          <w:left w:w="0" w:type="dxa"/>
          <w:bottom w:w="0" w:type="dxa"/>
          <w:right w:w="0" w:type="dxa"/>
        </w:tblCellMar>
      </w:tblPr>
      <w:tr>
        <w:trPr>
          <w:trHeight w:val="155"/>
        </w:trPr>
        <w:tc>
          <w:tcPr>
            <w:tcW w:w="422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Operating expenses:</w:t>
            </w: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20" w:type="dxa"/>
            <w:vAlign w:val="bottom"/>
          </w:tcPr>
          <w:p>
            <w:pPr>
              <w:ind w:left="100"/>
              <w:spacing w:after="0"/>
              <w:rPr>
                <w:sz w:val="20"/>
                <w:szCs w:val="20"/>
                <w:color w:val="auto"/>
              </w:rPr>
            </w:pPr>
            <w:r>
              <w:rPr>
                <w:rFonts w:ascii="Arial" w:cs="Arial" w:eastAsia="Arial" w:hAnsi="Arial"/>
                <w:sz w:val="14"/>
                <w:szCs w:val="14"/>
                <w:color w:val="auto"/>
              </w:rPr>
              <w:t>Research and development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11,910</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1,947</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22,602</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2,742</w:t>
            </w:r>
          </w:p>
        </w:tc>
        <w:tc>
          <w:tcPr>
            <w:tcW w:w="0" w:type="dxa"/>
            <w:vAlign w:val="bottom"/>
          </w:tcPr>
          <w:p>
            <w:pPr>
              <w:spacing w:after="0"/>
              <w:rPr>
                <w:sz w:val="1"/>
                <w:szCs w:val="1"/>
                <w:color w:val="auto"/>
              </w:rPr>
            </w:pPr>
          </w:p>
        </w:tc>
      </w:tr>
      <w:tr>
        <w:trPr>
          <w:trHeight w:val="162"/>
        </w:trPr>
        <w:tc>
          <w:tcPr>
            <w:tcW w:w="4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General and administrative</w:t>
            </w:r>
          </w:p>
        </w:tc>
        <w:tc>
          <w:tcPr>
            <w:tcW w:w="1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4,612</w:t>
            </w:r>
          </w:p>
        </w:tc>
        <w:tc>
          <w:tcPr>
            <w:tcW w:w="3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9,370</w:t>
            </w:r>
          </w:p>
        </w:tc>
        <w:tc>
          <w:tcPr>
            <w:tcW w:w="3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787</w:t>
            </w:r>
          </w:p>
        </w:tc>
        <w:tc>
          <w:tcPr>
            <w:tcW w:w="0" w:type="dxa"/>
            <w:vAlign w:val="bottom"/>
          </w:tcPr>
          <w:p>
            <w:pPr>
              <w:spacing w:after="0"/>
              <w:rPr>
                <w:sz w:val="1"/>
                <w:szCs w:val="1"/>
                <w:color w:val="auto"/>
              </w:rPr>
            </w:pPr>
          </w:p>
        </w:tc>
      </w:tr>
      <w:tr>
        <w:trPr>
          <w:trHeight w:val="156"/>
        </w:trPr>
        <w:tc>
          <w:tcPr>
            <w:tcW w:w="422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4"/>
                <w:szCs w:val="14"/>
                <w:color w:val="auto"/>
              </w:rPr>
              <w:t>Total operating expenses</w:t>
            </w: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16,522</w:t>
            </w: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2,486</w:t>
            </w: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31,972</w:t>
            </w: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3,529</w:t>
            </w:r>
          </w:p>
        </w:tc>
        <w:tc>
          <w:tcPr>
            <w:tcW w:w="0" w:type="dxa"/>
            <w:vAlign w:val="bottom"/>
          </w:tcPr>
          <w:p>
            <w:pPr>
              <w:spacing w:after="0"/>
              <w:rPr>
                <w:sz w:val="1"/>
                <w:szCs w:val="1"/>
                <w:color w:val="auto"/>
              </w:rPr>
            </w:pPr>
          </w:p>
        </w:tc>
      </w:tr>
      <w:tr>
        <w:trPr>
          <w:trHeight w:val="155"/>
        </w:trPr>
        <w:tc>
          <w:tcPr>
            <w:tcW w:w="42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Loss from operations</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(16,522)</w:t>
            </w: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(2,486)</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(31,972)</w:t>
            </w: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(3,529)</w:t>
            </w:r>
          </w:p>
        </w:tc>
        <w:tc>
          <w:tcPr>
            <w:tcW w:w="0" w:type="dxa"/>
            <w:vAlign w:val="bottom"/>
          </w:tcPr>
          <w:p>
            <w:pPr>
              <w:spacing w:after="0"/>
              <w:rPr>
                <w:sz w:val="1"/>
                <w:szCs w:val="1"/>
                <w:color w:val="auto"/>
              </w:rPr>
            </w:pPr>
          </w:p>
        </w:tc>
      </w:tr>
      <w:tr>
        <w:trPr>
          <w:trHeight w:val="162"/>
        </w:trPr>
        <w:tc>
          <w:tcPr>
            <w:tcW w:w="4220" w:type="dxa"/>
            <w:vAlign w:val="bottom"/>
          </w:tcPr>
          <w:p>
            <w:pPr>
              <w:spacing w:after="0"/>
              <w:rPr>
                <w:sz w:val="20"/>
                <w:szCs w:val="20"/>
                <w:color w:val="auto"/>
              </w:rPr>
            </w:pPr>
            <w:r>
              <w:rPr>
                <w:rFonts w:ascii="Arial" w:cs="Arial" w:eastAsia="Arial" w:hAnsi="Arial"/>
                <w:sz w:val="14"/>
                <w:szCs w:val="14"/>
                <w:color w:val="auto"/>
              </w:rPr>
              <w:t>Other income (expense):</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Interest income</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117</w:t>
            </w: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228</w:t>
            </w: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62"/>
        </w:trPr>
        <w:tc>
          <w:tcPr>
            <w:tcW w:w="4220" w:type="dxa"/>
            <w:vAlign w:val="bottom"/>
          </w:tcPr>
          <w:p>
            <w:pPr>
              <w:ind w:left="100"/>
              <w:spacing w:after="0"/>
              <w:rPr>
                <w:sz w:val="20"/>
                <w:szCs w:val="20"/>
                <w:color w:val="auto"/>
              </w:rPr>
            </w:pPr>
            <w:r>
              <w:rPr>
                <w:rFonts w:ascii="Arial" w:cs="Arial" w:eastAsia="Arial" w:hAnsi="Arial"/>
                <w:sz w:val="14"/>
                <w:szCs w:val="14"/>
                <w:color w:val="auto"/>
              </w:rPr>
              <w:t>Interest expense</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(653)</w:t>
            </w:r>
          </w:p>
        </w:tc>
        <w:tc>
          <w:tcPr>
            <w:tcW w:w="0" w:type="dxa"/>
            <w:vAlign w:val="bottom"/>
          </w:tcPr>
          <w:p>
            <w:pPr>
              <w:spacing w:after="0"/>
              <w:rPr>
                <w:sz w:val="1"/>
                <w:szCs w:val="1"/>
                <w:color w:val="auto"/>
              </w:rPr>
            </w:pPr>
          </w:p>
        </w:tc>
      </w:tr>
      <w:tr>
        <w:trPr>
          <w:trHeight w:val="162"/>
        </w:trPr>
        <w:tc>
          <w:tcPr>
            <w:tcW w:w="4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income (expense)</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3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220" w:type="dxa"/>
            <w:vAlign w:val="bottom"/>
            <w:tcBorders>
              <w:bottom w:val="single" w:sz="8" w:color="CCEEFF"/>
            </w:tcBorders>
          </w:tcPr>
          <w:p>
            <w:pPr>
              <w:ind w:left="100"/>
              <w:spacing w:after="0" w:line="155" w:lineRule="exact"/>
              <w:rPr>
                <w:sz w:val="20"/>
                <w:szCs w:val="20"/>
                <w:color w:val="auto"/>
              </w:rPr>
            </w:pPr>
            <w:r>
              <w:rPr>
                <w:rFonts w:ascii="Arial" w:cs="Arial" w:eastAsia="Arial" w:hAnsi="Arial"/>
                <w:sz w:val="14"/>
                <w:szCs w:val="14"/>
                <w:color w:val="auto"/>
              </w:rPr>
              <w:t>Total other income (expense), net</w:t>
            </w:r>
          </w:p>
        </w:tc>
        <w:tc>
          <w:tcPr>
            <w:tcW w:w="120" w:type="dxa"/>
            <w:vAlign w:val="bottom"/>
            <w:tcBorders>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116</w:t>
            </w:r>
          </w:p>
        </w:tc>
        <w:tc>
          <w:tcPr>
            <w:tcW w:w="3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w:t>
            </w: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227</w:t>
            </w:r>
          </w:p>
        </w:tc>
        <w:tc>
          <w:tcPr>
            <w:tcW w:w="3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(617)</w:t>
            </w:r>
          </w:p>
        </w:tc>
        <w:tc>
          <w:tcPr>
            <w:tcW w:w="0" w:type="dxa"/>
            <w:vAlign w:val="bottom"/>
          </w:tcPr>
          <w:p>
            <w:pPr>
              <w:spacing w:after="0"/>
              <w:rPr>
                <w:sz w:val="1"/>
                <w:szCs w:val="1"/>
                <w:color w:val="auto"/>
              </w:rPr>
            </w:pPr>
          </w:p>
        </w:tc>
      </w:tr>
      <w:tr>
        <w:trPr>
          <w:trHeight w:val="156"/>
        </w:trPr>
        <w:tc>
          <w:tcPr>
            <w:tcW w:w="4220" w:type="dxa"/>
            <w:vAlign w:val="bottom"/>
            <w:tcBorders>
              <w:bottom w:val="single" w:sz="8" w:color="CCEEFF"/>
            </w:tcBorders>
            <w:shd w:val="clear" w:color="auto" w:fill="CCEEFF"/>
          </w:tcPr>
          <w:p>
            <w:pPr>
              <w:ind w:left="220"/>
              <w:spacing w:after="0" w:line="155" w:lineRule="exact"/>
              <w:rPr>
                <w:sz w:val="20"/>
                <w:szCs w:val="20"/>
                <w:color w:val="auto"/>
              </w:rPr>
            </w:pPr>
            <w:r>
              <w:rPr>
                <w:rFonts w:ascii="Arial" w:cs="Arial" w:eastAsia="Arial" w:hAnsi="Arial"/>
                <w:sz w:val="14"/>
                <w:szCs w:val="14"/>
                <w:color w:val="auto"/>
              </w:rPr>
              <w:t>Net loss</w:t>
            </w:r>
          </w:p>
        </w:tc>
        <w:tc>
          <w:tcPr>
            <w:tcW w:w="1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(16,406)</w:t>
            </w:r>
          </w:p>
        </w:tc>
        <w:tc>
          <w:tcPr>
            <w:tcW w:w="320" w:type="dxa"/>
            <w:vAlign w:val="bottom"/>
            <w:tcBorders>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(2,453)</w:t>
            </w:r>
          </w:p>
        </w:tc>
        <w:tc>
          <w:tcPr>
            <w:tcW w:w="1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(31,745)</w:t>
            </w:r>
          </w:p>
        </w:tc>
        <w:tc>
          <w:tcPr>
            <w:tcW w:w="320" w:type="dxa"/>
            <w:vAlign w:val="bottom"/>
            <w:tcBorders>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(4,146)</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20" w:type="dxa"/>
            <w:vAlign w:val="bottom"/>
            <w:tcBorders>
              <w:bottom w:val="single" w:sz="8" w:color="CCEEFF"/>
            </w:tcBorders>
          </w:tcPr>
          <w:p>
            <w:pPr>
              <w:spacing w:after="0" w:line="143" w:lineRule="exact"/>
              <w:rPr>
                <w:sz w:val="20"/>
                <w:szCs w:val="20"/>
                <w:color w:val="auto"/>
              </w:rPr>
            </w:pPr>
            <w:r>
              <w:rPr>
                <w:rFonts w:ascii="Arial" w:cs="Arial" w:eastAsia="Arial" w:hAnsi="Arial"/>
                <w:sz w:val="14"/>
                <w:szCs w:val="14"/>
                <w:color w:val="231F20"/>
              </w:rPr>
              <w:t>Net loss per share, basic and diluted</w:t>
            </w:r>
          </w:p>
        </w:tc>
        <w:tc>
          <w:tcPr>
            <w:tcW w:w="1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line="143" w:lineRule="exact"/>
              <w:rPr>
                <w:sz w:val="20"/>
                <w:szCs w:val="20"/>
                <w:color w:val="auto"/>
              </w:rPr>
            </w:pPr>
            <w:r>
              <w:rPr>
                <w:rFonts w:ascii="Arial" w:cs="Arial" w:eastAsia="Arial" w:hAnsi="Arial"/>
                <w:sz w:val="14"/>
                <w:szCs w:val="14"/>
                <w:color w:val="231F20"/>
              </w:rPr>
              <w:t>(0.42)</w:t>
            </w:r>
          </w:p>
        </w:tc>
        <w:tc>
          <w:tcPr>
            <w:tcW w:w="32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231F20"/>
              </w:rPr>
              <w:t>$</w:t>
            </w:r>
          </w:p>
        </w:tc>
        <w:tc>
          <w:tcPr>
            <w:tcW w:w="8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231F20"/>
              </w:rPr>
              <w:t>(0.95)</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231F20"/>
              </w:rPr>
              <w:t>(0.81)</w:t>
            </w:r>
          </w:p>
        </w:tc>
        <w:tc>
          <w:tcPr>
            <w:tcW w:w="32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231F20"/>
              </w:rPr>
              <w:t>$</w:t>
            </w:r>
          </w:p>
        </w:tc>
        <w:tc>
          <w:tcPr>
            <w:tcW w:w="8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231F20"/>
              </w:rPr>
              <w:t>(1.60)</w:t>
            </w:r>
          </w:p>
        </w:tc>
        <w:tc>
          <w:tcPr>
            <w:tcW w:w="0" w:type="dxa"/>
            <w:vAlign w:val="bottom"/>
          </w:tcPr>
          <w:p>
            <w:pPr>
              <w:spacing w:after="0"/>
              <w:rPr>
                <w:sz w:val="1"/>
                <w:szCs w:val="1"/>
                <w:color w:val="auto"/>
              </w:rPr>
            </w:pPr>
          </w:p>
        </w:tc>
      </w:tr>
      <w:tr>
        <w:trPr>
          <w:trHeight w:val="120"/>
        </w:trPr>
        <w:tc>
          <w:tcPr>
            <w:tcW w:w="4220" w:type="dxa"/>
            <w:vAlign w:val="bottom"/>
            <w:shd w:val="clear" w:color="auto" w:fill="CCEEFF"/>
          </w:tcPr>
          <w:p>
            <w:pPr>
              <w:spacing w:after="0" w:line="121" w:lineRule="exact"/>
              <w:rPr>
                <w:sz w:val="20"/>
                <w:szCs w:val="20"/>
                <w:color w:val="auto"/>
              </w:rPr>
            </w:pPr>
            <w:r>
              <w:rPr>
                <w:rFonts w:ascii="Arial" w:cs="Arial" w:eastAsia="Arial" w:hAnsi="Arial"/>
                <w:sz w:val="13"/>
                <w:szCs w:val="13"/>
                <w:color w:val="231F20"/>
              </w:rPr>
              <w:t>Weighted average shares used to compute net loss per share,</w:t>
            </w:r>
          </w:p>
        </w:tc>
        <w:tc>
          <w:tcPr>
            <w:tcW w:w="12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39,415,330</w:t>
            </w:r>
          </w:p>
        </w:tc>
        <w:tc>
          <w:tcPr>
            <w:tcW w:w="3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2,593,316</w:t>
            </w: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39,370,809</w:t>
            </w:r>
          </w:p>
        </w:tc>
        <w:tc>
          <w:tcPr>
            <w:tcW w:w="3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2,593,316</w:t>
            </w:r>
          </w:p>
        </w:tc>
        <w:tc>
          <w:tcPr>
            <w:tcW w:w="0" w:type="dxa"/>
            <w:vAlign w:val="bottom"/>
          </w:tcPr>
          <w:p>
            <w:pPr>
              <w:spacing w:after="0"/>
              <w:rPr>
                <w:sz w:val="1"/>
                <w:szCs w:val="1"/>
                <w:color w:val="auto"/>
              </w:rPr>
            </w:pPr>
          </w:p>
        </w:tc>
      </w:tr>
      <w:tr>
        <w:trPr>
          <w:trHeight w:val="144"/>
        </w:trPr>
        <w:tc>
          <w:tcPr>
            <w:tcW w:w="4220" w:type="dxa"/>
            <w:vAlign w:val="bottom"/>
            <w:tcBorders>
              <w:bottom w:val="single" w:sz="8" w:color="CCEEFF"/>
            </w:tcBorders>
            <w:shd w:val="clear" w:color="auto" w:fill="CCEEFF"/>
          </w:tcPr>
          <w:p>
            <w:pPr>
              <w:spacing w:after="0" w:line="144" w:lineRule="exact"/>
              <w:rPr>
                <w:sz w:val="20"/>
                <w:szCs w:val="20"/>
                <w:color w:val="auto"/>
              </w:rPr>
            </w:pPr>
            <w:r>
              <w:rPr>
                <w:rFonts w:ascii="Arial" w:cs="Arial" w:eastAsia="Arial" w:hAnsi="Arial"/>
                <w:sz w:val="14"/>
                <w:szCs w:val="14"/>
                <w:color w:val="231F20"/>
              </w:rPr>
              <w:t>basic and diluted</w:t>
            </w:r>
          </w:p>
        </w:tc>
        <w:tc>
          <w:tcPr>
            <w:tcW w:w="1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vMerge w:val="continue"/>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vMerge w:val="continue"/>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137160</wp:posOffset>
            </wp:positionV>
            <wp:extent cx="56489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p>
      <w:pPr>
        <w:spacing w:after="0" w:line="216" w:lineRule="exact"/>
        <w:rPr>
          <w:sz w:val="20"/>
          <w:szCs w:val="20"/>
          <w:color w:val="auto"/>
        </w:rPr>
      </w:pPr>
    </w:p>
    <w:p>
      <w:pPr>
        <w:ind w:left="436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8890</wp:posOffset>
            </wp:positionV>
            <wp:extent cx="14141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9" w:lineRule="exact"/>
        <w:rPr>
          <w:sz w:val="20"/>
          <w:szCs w:val="20"/>
          <w:color w:val="auto"/>
        </w:rPr>
      </w:pPr>
    </w:p>
    <w:p>
      <w:pPr>
        <w:ind w:left="4680"/>
        <w:spacing w:after="0"/>
        <w:tabs>
          <w:tab w:leader="none" w:pos="588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8890</wp:posOffset>
            </wp:positionV>
            <wp:extent cx="1431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31925" cy="8255"/>
                    </a:xfrm>
                    <a:prstGeom prst="rect">
                      <a:avLst/>
                    </a:prstGeom>
                    <a:noFill/>
                  </pic:spPr>
                </pic:pic>
              </a:graphicData>
            </a:graphic>
          </wp:anchor>
        </w:drawing>
      </w:r>
    </w:p>
    <w:p>
      <w:pPr>
        <w:spacing w:after="0" w:line="9" w:lineRule="exact"/>
        <w:rPr>
          <w:sz w:val="20"/>
          <w:szCs w:val="20"/>
          <w:color w:val="auto"/>
        </w:rPr>
      </w:pPr>
    </w:p>
    <w:p>
      <w:pPr>
        <w:ind w:left="240"/>
        <w:spacing w:after="0"/>
        <w:tabs>
          <w:tab w:leader="none" w:pos="144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p>
    <w:p>
      <w:pPr>
        <w:sectPr>
          <w:pgSz w:w="11900" w:h="16838" w:orient="portrait"/>
          <w:cols w:equalWidth="0" w:num="2">
            <w:col w:w="6380" w:space="480"/>
            <w:col w:w="2159"/>
          </w:cols>
          <w:pgMar w:left="1440" w:top="517" w:right="1440" w:bottom="1440" w:gutter="0" w:footer="0" w:header="0"/>
          <w:type w:val="continuous"/>
        </w:sectPr>
      </w:pPr>
    </w:p>
    <w:tbl>
      <w:tblPr>
        <w:tblLayout w:type="fixed"/>
        <w:tblInd w:w="40" w:type="dxa"/>
        <w:tblCellMar>
          <w:top w:w="0" w:type="dxa"/>
          <w:left w:w="0" w:type="dxa"/>
          <w:bottom w:w="0" w:type="dxa"/>
          <w:right w:w="0" w:type="dxa"/>
        </w:tblCellMar>
      </w:tblPr>
      <w:tr>
        <w:trPr>
          <w:trHeight w:val="20"/>
        </w:trPr>
        <w:tc>
          <w:tcPr>
            <w:tcW w:w="42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135"/>
        </w:trPr>
        <w:tc>
          <w:tcPr>
            <w:tcW w:w="42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231F20"/>
              </w:rPr>
              <w:t>Net loss</w:t>
            </w:r>
          </w:p>
        </w:tc>
        <w:tc>
          <w:tcPr>
            <w:tcW w:w="300" w:type="dxa"/>
            <w:vAlign w:val="bottom"/>
            <w:shd w:val="clear" w:color="auto" w:fill="CCEEFF"/>
          </w:tcPr>
          <w:p>
            <w:pPr>
              <w:jc w:val="right"/>
              <w:ind w:right="108"/>
              <w:spacing w:after="0" w:line="135"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line="135" w:lineRule="exact"/>
              <w:rPr>
                <w:sz w:val="20"/>
                <w:szCs w:val="20"/>
                <w:color w:val="auto"/>
              </w:rPr>
            </w:pPr>
            <w:r>
              <w:rPr>
                <w:rFonts w:ascii="Arial" w:cs="Arial" w:eastAsia="Arial" w:hAnsi="Arial"/>
                <w:sz w:val="14"/>
                <w:szCs w:val="14"/>
                <w:color w:val="auto"/>
              </w:rPr>
              <w:t>(16,406)</w:t>
            </w:r>
          </w:p>
        </w:tc>
        <w:tc>
          <w:tcPr>
            <w:tcW w:w="420" w:type="dxa"/>
            <w:vAlign w:val="bottom"/>
            <w:shd w:val="clear" w:color="auto" w:fill="CCEEFF"/>
          </w:tcPr>
          <w:p>
            <w:pPr>
              <w:jc w:val="right"/>
              <w:ind w:right="148"/>
              <w:spacing w:after="0" w:line="135"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4"/>
                <w:szCs w:val="14"/>
                <w:color w:val="auto"/>
              </w:rPr>
              <w:t>(2,453)</w:t>
            </w:r>
          </w:p>
        </w:tc>
        <w:tc>
          <w:tcPr>
            <w:tcW w:w="300" w:type="dxa"/>
            <w:vAlign w:val="bottom"/>
            <w:shd w:val="clear" w:color="auto" w:fill="CCEEFF"/>
          </w:tcPr>
          <w:p>
            <w:pPr>
              <w:jc w:val="right"/>
              <w:ind w:right="108"/>
              <w:spacing w:after="0" w:line="135"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line="135" w:lineRule="exact"/>
              <w:rPr>
                <w:sz w:val="20"/>
                <w:szCs w:val="20"/>
                <w:color w:val="auto"/>
              </w:rPr>
            </w:pPr>
            <w:r>
              <w:rPr>
                <w:rFonts w:ascii="Arial" w:cs="Arial" w:eastAsia="Arial" w:hAnsi="Arial"/>
                <w:sz w:val="14"/>
                <w:szCs w:val="14"/>
                <w:color w:val="auto"/>
              </w:rPr>
              <w:t>(31,745)</w:t>
            </w:r>
          </w:p>
        </w:tc>
        <w:tc>
          <w:tcPr>
            <w:tcW w:w="420" w:type="dxa"/>
            <w:vAlign w:val="bottom"/>
            <w:shd w:val="clear" w:color="auto" w:fill="CCEEFF"/>
          </w:tcPr>
          <w:p>
            <w:pPr>
              <w:jc w:val="right"/>
              <w:ind w:right="168"/>
              <w:spacing w:after="0" w:line="135"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(4,146)</w:t>
            </w:r>
          </w:p>
        </w:tc>
      </w:tr>
      <w:tr>
        <w:trPr>
          <w:trHeight w:val="162"/>
        </w:trPr>
        <w:tc>
          <w:tcPr>
            <w:tcW w:w="4240" w:type="dxa"/>
            <w:vAlign w:val="bottom"/>
          </w:tcPr>
          <w:p>
            <w:pPr>
              <w:ind w:left="20"/>
              <w:spacing w:after="0"/>
              <w:rPr>
                <w:sz w:val="20"/>
                <w:szCs w:val="20"/>
                <w:color w:val="auto"/>
              </w:rPr>
            </w:pPr>
            <w:r>
              <w:rPr>
                <w:rFonts w:ascii="Arial" w:cs="Arial" w:eastAsia="Arial" w:hAnsi="Arial"/>
                <w:sz w:val="14"/>
                <w:szCs w:val="14"/>
                <w:color w:val="231F20"/>
              </w:rPr>
              <w:t>Other comprehensive loss:</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2"/>
        </w:trPr>
        <w:tc>
          <w:tcPr>
            <w:tcW w:w="4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unrealized loss on marketable securities</w:t>
            </w:r>
          </w:p>
        </w:tc>
        <w:tc>
          <w:tcPr>
            <w:tcW w:w="3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4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4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55"/>
        </w:trPr>
        <w:tc>
          <w:tcPr>
            <w:tcW w:w="424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color w:val="231F20"/>
              </w:rPr>
              <w:t>Total comprehensive loss</w:t>
            </w:r>
          </w:p>
        </w:tc>
        <w:tc>
          <w:tcPr>
            <w:tcW w:w="30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(16,407)</w:t>
            </w:r>
          </w:p>
        </w:tc>
        <w:tc>
          <w:tcPr>
            <w:tcW w:w="42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gridSpan w:val="2"/>
          </w:tcPr>
          <w:p>
            <w:pPr>
              <w:jc w:val="right"/>
              <w:ind w:right="200"/>
              <w:spacing w:after="0" w:line="155" w:lineRule="exact"/>
              <w:rPr>
                <w:sz w:val="20"/>
                <w:szCs w:val="20"/>
                <w:color w:val="auto"/>
              </w:rPr>
            </w:pPr>
            <w:r>
              <w:rPr>
                <w:rFonts w:ascii="Arial" w:cs="Arial" w:eastAsia="Arial" w:hAnsi="Arial"/>
                <w:sz w:val="14"/>
                <w:szCs w:val="14"/>
                <w:color w:val="auto"/>
              </w:rPr>
              <w:t>(2,453)</w:t>
            </w:r>
          </w:p>
        </w:tc>
        <w:tc>
          <w:tcPr>
            <w:tcW w:w="30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(31,759)</w:t>
            </w:r>
          </w:p>
        </w:tc>
        <w:tc>
          <w:tcPr>
            <w:tcW w:w="42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(4,146)</w:t>
            </w:r>
          </w:p>
        </w:tc>
      </w:tr>
      <w:tr>
        <w:trPr>
          <w:trHeight w:val="20"/>
        </w:trPr>
        <w:tc>
          <w:tcPr>
            <w:tcW w:w="4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Olema Pharmaceuticals,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Convertible Preferred Stock and Stockholders’ Equity (Deficit)</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143510</wp:posOffset>
            </wp:positionV>
            <wp:extent cx="56489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45" w:lineRule="exact"/>
        <w:rPr>
          <w:sz w:val="20"/>
          <w:szCs w:val="20"/>
          <w:color w:val="auto"/>
        </w:rPr>
      </w:pPr>
    </w:p>
    <w:tbl>
      <w:tblPr>
        <w:tblLayout w:type="fixed"/>
        <w:tblInd w:w="60" w:type="dxa"/>
        <w:tblCellMar>
          <w:top w:w="0" w:type="dxa"/>
          <w:left w:w="0" w:type="dxa"/>
          <w:bottom w:w="0" w:type="dxa"/>
          <w:right w:w="0" w:type="dxa"/>
        </w:tblCellMar>
      </w:tblPr>
      <w:tr>
        <w:trPr>
          <w:trHeight w:val="142"/>
        </w:trPr>
        <w:tc>
          <w:tcPr>
            <w:tcW w:w="2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w w:val="98"/>
              </w:rPr>
              <w:t>Accumulated</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55"/>
        </w:trPr>
        <w:tc>
          <w:tcPr>
            <w:tcW w:w="2980" w:type="dxa"/>
            <w:vAlign w:val="bottom"/>
          </w:tcPr>
          <w:p>
            <w:pPr>
              <w:spacing w:after="0"/>
              <w:rPr>
                <w:sz w:val="13"/>
                <w:szCs w:val="13"/>
                <w:color w:val="auto"/>
              </w:rPr>
            </w:pPr>
          </w:p>
        </w:tc>
        <w:tc>
          <w:tcPr>
            <w:tcW w:w="1300" w:type="dxa"/>
            <w:vAlign w:val="bottom"/>
            <w:gridSpan w:val="4"/>
          </w:tcPr>
          <w:p>
            <w:pPr>
              <w:ind w:left="280"/>
              <w:spacing w:after="0"/>
              <w:rPr>
                <w:sz w:val="20"/>
                <w:szCs w:val="20"/>
                <w:color w:val="auto"/>
              </w:rPr>
            </w:pPr>
            <w:r>
              <w:rPr>
                <w:rFonts w:ascii="Arial" w:cs="Arial" w:eastAsia="Arial" w:hAnsi="Arial"/>
                <w:sz w:val="11"/>
                <w:szCs w:val="11"/>
                <w:b w:val="1"/>
                <w:bCs w:val="1"/>
                <w:color w:val="auto"/>
              </w:rPr>
              <w:t>Convertible</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gridSpan w:val="2"/>
          </w:tcPr>
          <w:p>
            <w:pPr>
              <w:ind w:left="140"/>
              <w:spacing w:after="0"/>
              <w:rPr>
                <w:sz w:val="20"/>
                <w:szCs w:val="20"/>
                <w:color w:val="auto"/>
              </w:rPr>
            </w:pPr>
            <w:r>
              <w:rPr>
                <w:rFonts w:ascii="Arial" w:cs="Arial" w:eastAsia="Arial" w:hAnsi="Arial"/>
                <w:sz w:val="11"/>
                <w:szCs w:val="11"/>
                <w:b w:val="1"/>
                <w:bCs w:val="1"/>
                <w:color w:val="auto"/>
              </w:rPr>
              <w:t>Additional</w:t>
            </w:r>
          </w:p>
        </w:tc>
        <w:tc>
          <w:tcPr>
            <w:tcW w:w="1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w w:val="95"/>
              </w:rPr>
              <w:t>Other</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jc w:val="center"/>
              <w:ind w:right="106"/>
              <w:spacing w:after="0"/>
              <w:rPr>
                <w:sz w:val="20"/>
                <w:szCs w:val="20"/>
                <w:color w:val="auto"/>
              </w:rPr>
            </w:pPr>
            <w:r>
              <w:rPr>
                <w:rFonts w:ascii="Arial" w:cs="Arial" w:eastAsia="Arial" w:hAnsi="Arial"/>
                <w:sz w:val="11"/>
                <w:szCs w:val="11"/>
                <w:b w:val="1"/>
                <w:bCs w:val="1"/>
                <w:color w:val="auto"/>
                <w:w w:val="98"/>
              </w:rPr>
              <w:t>Total</w:t>
            </w:r>
          </w:p>
        </w:tc>
      </w:tr>
      <w:tr>
        <w:trPr>
          <w:trHeight w:val="130"/>
        </w:trPr>
        <w:tc>
          <w:tcPr>
            <w:tcW w:w="2980" w:type="dxa"/>
            <w:vAlign w:val="bottom"/>
          </w:tcPr>
          <w:p>
            <w:pPr>
              <w:spacing w:after="0"/>
              <w:rPr>
                <w:sz w:val="11"/>
                <w:szCs w:val="11"/>
                <w:color w:val="auto"/>
              </w:rPr>
            </w:pPr>
          </w:p>
        </w:tc>
        <w:tc>
          <w:tcPr>
            <w:tcW w:w="1300" w:type="dxa"/>
            <w:vAlign w:val="bottom"/>
            <w:gridSpan w:val="4"/>
          </w:tcPr>
          <w:p>
            <w:pPr>
              <w:ind w:left="180"/>
              <w:spacing w:after="0" w:line="122" w:lineRule="exact"/>
              <w:rPr>
                <w:sz w:val="20"/>
                <w:szCs w:val="20"/>
                <w:color w:val="auto"/>
              </w:rPr>
            </w:pPr>
            <w:r>
              <w:rPr>
                <w:rFonts w:ascii="Arial" w:cs="Arial" w:eastAsia="Arial" w:hAnsi="Arial"/>
                <w:sz w:val="11"/>
                <w:szCs w:val="11"/>
                <w:b w:val="1"/>
                <w:bCs w:val="1"/>
                <w:color w:val="auto"/>
              </w:rPr>
              <w:t>Preferred Stock</w:t>
            </w:r>
          </w:p>
        </w:tc>
        <w:tc>
          <w:tcPr>
            <w:tcW w:w="1280" w:type="dxa"/>
            <w:vAlign w:val="bottom"/>
            <w:gridSpan w:val="3"/>
          </w:tcPr>
          <w:p>
            <w:pPr>
              <w:jc w:val="right"/>
              <w:ind w:right="186"/>
              <w:spacing w:after="0" w:line="122" w:lineRule="exact"/>
              <w:rPr>
                <w:sz w:val="20"/>
                <w:szCs w:val="20"/>
                <w:color w:val="auto"/>
              </w:rPr>
            </w:pPr>
            <w:r>
              <w:rPr>
                <w:rFonts w:ascii="Arial" w:cs="Arial" w:eastAsia="Arial" w:hAnsi="Arial"/>
                <w:sz w:val="11"/>
                <w:szCs w:val="11"/>
                <w:b w:val="1"/>
                <w:bCs w:val="1"/>
                <w:color w:val="auto"/>
              </w:rPr>
              <w:t>Common Stock</w:t>
            </w:r>
          </w:p>
        </w:tc>
        <w:tc>
          <w:tcPr>
            <w:tcW w:w="200" w:type="dxa"/>
            <w:vAlign w:val="bottom"/>
          </w:tcPr>
          <w:p>
            <w:pPr>
              <w:spacing w:after="0"/>
              <w:rPr>
                <w:sz w:val="11"/>
                <w:szCs w:val="11"/>
                <w:color w:val="auto"/>
              </w:rPr>
            </w:pPr>
          </w:p>
        </w:tc>
        <w:tc>
          <w:tcPr>
            <w:tcW w:w="540" w:type="dxa"/>
            <w:vAlign w:val="bottom"/>
          </w:tcPr>
          <w:p>
            <w:pPr>
              <w:jc w:val="right"/>
              <w:ind w:right="106"/>
              <w:spacing w:after="0" w:line="122" w:lineRule="exact"/>
              <w:rPr>
                <w:sz w:val="20"/>
                <w:szCs w:val="20"/>
                <w:color w:val="auto"/>
              </w:rPr>
            </w:pPr>
            <w:r>
              <w:rPr>
                <w:rFonts w:ascii="Arial" w:cs="Arial" w:eastAsia="Arial" w:hAnsi="Arial"/>
                <w:sz w:val="11"/>
                <w:szCs w:val="11"/>
                <w:b w:val="1"/>
                <w:bCs w:val="1"/>
                <w:color w:val="auto"/>
                <w:w w:val="98"/>
              </w:rPr>
              <w:t>Paid-in</w:t>
            </w:r>
          </w:p>
        </w:tc>
        <w:tc>
          <w:tcPr>
            <w:tcW w:w="120" w:type="dxa"/>
            <w:vAlign w:val="bottom"/>
          </w:tcPr>
          <w:p>
            <w:pPr>
              <w:spacing w:after="0"/>
              <w:rPr>
                <w:sz w:val="11"/>
                <w:szCs w:val="11"/>
                <w:color w:val="auto"/>
              </w:rPr>
            </w:pP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Comprehensive</w:t>
            </w:r>
          </w:p>
        </w:tc>
        <w:tc>
          <w:tcPr>
            <w:tcW w:w="800" w:type="dxa"/>
            <w:vAlign w:val="bottom"/>
            <w:gridSpan w:val="2"/>
          </w:tcPr>
          <w:p>
            <w:pPr>
              <w:jc w:val="right"/>
              <w:ind w:right="26"/>
              <w:spacing w:after="0" w:line="122" w:lineRule="exact"/>
              <w:rPr>
                <w:sz w:val="20"/>
                <w:szCs w:val="20"/>
                <w:color w:val="auto"/>
              </w:rPr>
            </w:pPr>
            <w:r>
              <w:rPr>
                <w:rFonts w:ascii="Arial" w:cs="Arial" w:eastAsia="Arial" w:hAnsi="Arial"/>
                <w:sz w:val="11"/>
                <w:szCs w:val="11"/>
                <w:b w:val="1"/>
                <w:bCs w:val="1"/>
                <w:color w:val="auto"/>
              </w:rPr>
              <w:t>Accumulated</w:t>
            </w:r>
          </w:p>
        </w:tc>
        <w:tc>
          <w:tcPr>
            <w:tcW w:w="800" w:type="dxa"/>
            <w:vAlign w:val="bottom"/>
            <w:gridSpan w:val="2"/>
          </w:tcPr>
          <w:p>
            <w:pPr>
              <w:jc w:val="center"/>
              <w:ind w:left="6"/>
              <w:spacing w:after="0" w:line="122" w:lineRule="exact"/>
              <w:rPr>
                <w:sz w:val="20"/>
                <w:szCs w:val="20"/>
                <w:color w:val="auto"/>
              </w:rPr>
            </w:pPr>
            <w:r>
              <w:rPr>
                <w:rFonts w:ascii="Arial" w:cs="Arial" w:eastAsia="Arial" w:hAnsi="Arial"/>
                <w:sz w:val="11"/>
                <w:szCs w:val="11"/>
                <w:b w:val="1"/>
                <w:bCs w:val="1"/>
                <w:color w:val="auto"/>
                <w:w w:val="96"/>
              </w:rPr>
              <w:t>Stockholders'</w:t>
            </w:r>
          </w:p>
        </w:tc>
      </w:tr>
      <w:tr>
        <w:trPr>
          <w:trHeight w:val="121"/>
        </w:trPr>
        <w:tc>
          <w:tcPr>
            <w:tcW w:w="2980" w:type="dxa"/>
            <w:vAlign w:val="bottom"/>
            <w:tcBorders>
              <w:bottom w:val="single" w:sz="8" w:color="CCEEFF"/>
            </w:tcBorders>
          </w:tcPr>
          <w:p>
            <w:pPr>
              <w:spacing w:after="0"/>
              <w:rPr>
                <w:sz w:val="10"/>
                <w:szCs w:val="10"/>
                <w:color w:val="auto"/>
              </w:rPr>
            </w:pPr>
          </w:p>
        </w:tc>
        <w:tc>
          <w:tcPr>
            <w:tcW w:w="540" w:type="dxa"/>
            <w:vAlign w:val="bottom"/>
            <w:tcBorders>
              <w:top w:val="single" w:sz="8" w:color="auto"/>
              <w:bottom w:val="single" w:sz="8" w:color="auto"/>
            </w:tcBorders>
          </w:tcPr>
          <w:p>
            <w:pPr>
              <w:ind w:left="60"/>
              <w:spacing w:after="0" w:line="122" w:lineRule="exact"/>
              <w:rPr>
                <w:sz w:val="20"/>
                <w:szCs w:val="20"/>
                <w:color w:val="auto"/>
              </w:rPr>
            </w:pPr>
            <w:r>
              <w:rPr>
                <w:rFonts w:ascii="Arial" w:cs="Arial" w:eastAsia="Arial" w:hAnsi="Arial"/>
                <w:sz w:val="11"/>
                <w:szCs w:val="11"/>
                <w:b w:val="1"/>
                <w:bCs w:val="1"/>
                <w:color w:val="231F20"/>
              </w:rPr>
              <w:t>Shares</w:t>
            </w:r>
          </w:p>
        </w:tc>
        <w:tc>
          <w:tcPr>
            <w:tcW w:w="14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spacing w:after="0" w:line="122" w:lineRule="exact"/>
              <w:rPr>
                <w:sz w:val="20"/>
                <w:szCs w:val="20"/>
                <w:color w:val="auto"/>
              </w:rPr>
            </w:pPr>
            <w:r>
              <w:rPr>
                <w:rFonts w:ascii="Arial" w:cs="Arial" w:eastAsia="Arial" w:hAnsi="Arial"/>
                <w:sz w:val="11"/>
                <w:szCs w:val="11"/>
                <w:b w:val="1"/>
                <w:bCs w:val="1"/>
                <w:color w:val="231F20"/>
              </w:rPr>
              <w:t>Amount</w:t>
            </w:r>
          </w:p>
        </w:tc>
        <w:tc>
          <w:tcPr>
            <w:tcW w:w="120" w:type="dxa"/>
            <w:vAlign w:val="bottom"/>
            <w:tcBorders>
              <w:bottom w:val="single" w:sz="8" w:color="CCEEFF"/>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06"/>
              <w:spacing w:after="0" w:line="122" w:lineRule="exact"/>
              <w:rPr>
                <w:sz w:val="20"/>
                <w:szCs w:val="20"/>
                <w:color w:val="auto"/>
              </w:rPr>
            </w:pPr>
            <w:r>
              <w:rPr>
                <w:rFonts w:ascii="Arial" w:cs="Arial" w:eastAsia="Arial" w:hAnsi="Arial"/>
                <w:sz w:val="11"/>
                <w:szCs w:val="11"/>
                <w:b w:val="1"/>
                <w:bCs w:val="1"/>
                <w:color w:val="231F20"/>
              </w:rPr>
              <w:t>Shares</w:t>
            </w:r>
          </w:p>
        </w:tc>
        <w:tc>
          <w:tcPr>
            <w:tcW w:w="16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26"/>
              <w:spacing w:after="0" w:line="122" w:lineRule="exact"/>
              <w:rPr>
                <w:sz w:val="20"/>
                <w:szCs w:val="20"/>
                <w:color w:val="auto"/>
              </w:rPr>
            </w:pPr>
            <w:r>
              <w:rPr>
                <w:rFonts w:ascii="Arial" w:cs="Arial" w:eastAsia="Arial" w:hAnsi="Arial"/>
                <w:sz w:val="11"/>
                <w:szCs w:val="11"/>
                <w:b w:val="1"/>
                <w:bCs w:val="1"/>
                <w:color w:val="231F20"/>
                <w:w w:val="91"/>
              </w:rPr>
              <w:t>Amount</w:t>
            </w: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06"/>
              <w:spacing w:after="0" w:line="122" w:lineRule="exact"/>
              <w:rPr>
                <w:sz w:val="20"/>
                <w:szCs w:val="20"/>
                <w:color w:val="auto"/>
              </w:rPr>
            </w:pPr>
            <w:r>
              <w:rPr>
                <w:rFonts w:ascii="Arial" w:cs="Arial" w:eastAsia="Arial" w:hAnsi="Arial"/>
                <w:sz w:val="11"/>
                <w:szCs w:val="11"/>
                <w:b w:val="1"/>
                <w:bCs w:val="1"/>
                <w:color w:val="231F20"/>
                <w:w w:val="98"/>
              </w:rPr>
              <w:t>Capital</w:t>
            </w: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spacing w:after="0" w:line="113" w:lineRule="exact"/>
              <w:rPr>
                <w:sz w:val="20"/>
                <w:szCs w:val="20"/>
                <w:color w:val="auto"/>
              </w:rPr>
            </w:pPr>
            <w:r>
              <w:rPr>
                <w:rFonts w:ascii="Arial" w:cs="Arial" w:eastAsia="Arial" w:hAnsi="Arial"/>
                <w:sz w:val="11"/>
                <w:szCs w:val="11"/>
                <w:b w:val="1"/>
                <w:bCs w:val="1"/>
                <w:color w:val="231F20"/>
                <w:w w:val="93"/>
              </w:rPr>
              <w:t>Loss</w:t>
            </w: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86"/>
              <w:spacing w:after="0" w:line="122" w:lineRule="exact"/>
              <w:rPr>
                <w:sz w:val="20"/>
                <w:szCs w:val="20"/>
                <w:color w:val="auto"/>
              </w:rPr>
            </w:pPr>
            <w:r>
              <w:rPr>
                <w:rFonts w:ascii="Arial" w:cs="Arial" w:eastAsia="Arial" w:hAnsi="Arial"/>
                <w:sz w:val="11"/>
                <w:szCs w:val="11"/>
                <w:b w:val="1"/>
                <w:bCs w:val="1"/>
                <w:color w:val="231F20"/>
              </w:rPr>
              <w:t>Deficit</w:t>
            </w:r>
          </w:p>
        </w:tc>
        <w:tc>
          <w:tcPr>
            <w:tcW w:w="2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center"/>
              <w:ind w:right="106"/>
              <w:spacing w:after="0" w:line="122" w:lineRule="exact"/>
              <w:rPr>
                <w:sz w:val="20"/>
                <w:szCs w:val="20"/>
                <w:color w:val="auto"/>
              </w:rPr>
            </w:pPr>
            <w:r>
              <w:rPr>
                <w:rFonts w:ascii="Arial" w:cs="Arial" w:eastAsia="Arial" w:hAnsi="Arial"/>
                <w:sz w:val="11"/>
                <w:szCs w:val="11"/>
                <w:b w:val="1"/>
                <w:bCs w:val="1"/>
                <w:color w:val="231F20"/>
              </w:rPr>
              <w:t>Equity</w:t>
            </w:r>
          </w:p>
        </w:tc>
      </w:tr>
      <w:tr>
        <w:trPr>
          <w:trHeight w:val="115"/>
        </w:trPr>
        <w:tc>
          <w:tcPr>
            <w:tcW w:w="2980" w:type="dxa"/>
            <w:vAlign w:val="bottom"/>
            <w:shd w:val="clear" w:color="auto" w:fill="CCEEFF"/>
          </w:tcPr>
          <w:p>
            <w:pPr>
              <w:spacing w:after="0" w:line="115" w:lineRule="exact"/>
              <w:rPr>
                <w:sz w:val="20"/>
                <w:szCs w:val="20"/>
                <w:color w:val="auto"/>
              </w:rPr>
            </w:pPr>
            <w:r>
              <w:rPr>
                <w:rFonts w:ascii="Arial" w:cs="Arial" w:eastAsia="Arial" w:hAnsi="Arial"/>
                <w:sz w:val="11"/>
                <w:szCs w:val="11"/>
                <w:color w:val="231F20"/>
              </w:rPr>
              <w:t>Balances at March 31, 2021</w:t>
            </w:r>
          </w:p>
        </w:tc>
        <w:tc>
          <w:tcPr>
            <w:tcW w:w="540" w:type="dxa"/>
            <w:vAlign w:val="bottom"/>
            <w:shd w:val="clear" w:color="auto" w:fill="CCEEFF"/>
          </w:tcPr>
          <w:p>
            <w:pPr>
              <w:ind w:left="340"/>
              <w:spacing w:after="0" w:line="115" w:lineRule="exact"/>
              <w:rPr>
                <w:sz w:val="20"/>
                <w:szCs w:val="20"/>
                <w:color w:val="auto"/>
              </w:rPr>
            </w:pPr>
            <w:r>
              <w:rPr>
                <w:rFonts w:ascii="Arial" w:cs="Arial" w:eastAsia="Arial" w:hAnsi="Arial"/>
                <w:sz w:val="11"/>
                <w:szCs w:val="11"/>
                <w:color w:val="231F20"/>
              </w:rPr>
              <w:t>—</w:t>
            </w:r>
          </w:p>
        </w:tc>
        <w:tc>
          <w:tcPr>
            <w:tcW w:w="14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231F20"/>
              </w:rPr>
              <w:t>$</w:t>
            </w:r>
          </w:p>
        </w:tc>
        <w:tc>
          <w:tcPr>
            <w:tcW w:w="500" w:type="dxa"/>
            <w:vAlign w:val="bottom"/>
            <w:shd w:val="clear" w:color="auto" w:fill="CCEEFF"/>
          </w:tcPr>
          <w:p>
            <w:pPr>
              <w:ind w:left="340"/>
              <w:spacing w:after="0" w:line="115" w:lineRule="exact"/>
              <w:rPr>
                <w:sz w:val="20"/>
                <w:szCs w:val="20"/>
                <w:color w:val="auto"/>
              </w:rPr>
            </w:pPr>
            <w:r>
              <w:rPr>
                <w:rFonts w:ascii="Arial" w:cs="Arial" w:eastAsia="Arial" w:hAnsi="Arial"/>
                <w:sz w:val="11"/>
                <w:szCs w:val="11"/>
                <w:color w:val="231F20"/>
              </w:rPr>
              <w:t>—</w:t>
            </w: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26"/>
              <w:spacing w:after="0" w:line="115" w:lineRule="exact"/>
              <w:rPr>
                <w:sz w:val="20"/>
                <w:szCs w:val="20"/>
                <w:color w:val="auto"/>
              </w:rPr>
            </w:pPr>
            <w:r>
              <w:rPr>
                <w:rFonts w:ascii="Arial" w:cs="Arial" w:eastAsia="Arial" w:hAnsi="Arial"/>
                <w:sz w:val="11"/>
                <w:szCs w:val="11"/>
                <w:color w:val="231F20"/>
                <w:w w:val="98"/>
              </w:rPr>
              <w:t>39,342,129</w:t>
            </w:r>
          </w:p>
        </w:tc>
        <w:tc>
          <w:tcPr>
            <w:tcW w:w="16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231F20"/>
              </w:rPr>
              <w:t>$</w:t>
            </w:r>
          </w:p>
        </w:tc>
        <w:tc>
          <w:tcPr>
            <w:tcW w:w="4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231F20"/>
              </w:rPr>
              <w:t>3</w:t>
            </w:r>
          </w:p>
        </w:tc>
        <w:tc>
          <w:tcPr>
            <w:tcW w:w="200" w:type="dxa"/>
            <w:vAlign w:val="bottom"/>
            <w:shd w:val="clear" w:color="auto" w:fill="CCEEFF"/>
          </w:tcPr>
          <w:p>
            <w:pPr>
              <w:ind w:left="120"/>
              <w:spacing w:after="0" w:line="115" w:lineRule="exact"/>
              <w:rPr>
                <w:sz w:val="20"/>
                <w:szCs w:val="20"/>
                <w:color w:val="auto"/>
              </w:rPr>
            </w:pPr>
            <w:r>
              <w:rPr>
                <w:rFonts w:ascii="Arial" w:cs="Arial" w:eastAsia="Arial" w:hAnsi="Arial"/>
                <w:sz w:val="11"/>
                <w:szCs w:val="11"/>
                <w:color w:val="231F20"/>
                <w:w w:val="97"/>
              </w:rPr>
              <w:t>$</w:t>
            </w:r>
          </w:p>
        </w:tc>
        <w:tc>
          <w:tcPr>
            <w:tcW w:w="540" w:type="dxa"/>
            <w:vAlign w:val="bottom"/>
            <w:shd w:val="clear" w:color="auto" w:fill="CCEEFF"/>
          </w:tcPr>
          <w:p>
            <w:pPr>
              <w:jc w:val="right"/>
              <w:ind w:right="46"/>
              <w:spacing w:after="0" w:line="115" w:lineRule="exact"/>
              <w:rPr>
                <w:sz w:val="20"/>
                <w:szCs w:val="20"/>
                <w:color w:val="auto"/>
              </w:rPr>
            </w:pPr>
            <w:r>
              <w:rPr>
                <w:rFonts w:ascii="Arial" w:cs="Arial" w:eastAsia="Arial" w:hAnsi="Arial"/>
                <w:sz w:val="11"/>
                <w:szCs w:val="11"/>
                <w:color w:val="231F20"/>
              </w:rPr>
              <w:t>374,467</w:t>
            </w:r>
          </w:p>
        </w:tc>
        <w:tc>
          <w:tcPr>
            <w:tcW w:w="1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231F20"/>
              </w:rPr>
              <w:t>$</w:t>
            </w:r>
          </w:p>
        </w:tc>
        <w:tc>
          <w:tcPr>
            <w:tcW w:w="8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231F20"/>
              </w:rPr>
              <w:t>(13)</w:t>
            </w:r>
          </w:p>
        </w:tc>
        <w:tc>
          <w:tcPr>
            <w:tcW w:w="1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231F20"/>
              </w:rPr>
              <w:t>$</w:t>
            </w:r>
          </w:p>
        </w:tc>
        <w:tc>
          <w:tcPr>
            <w:tcW w:w="620" w:type="dxa"/>
            <w:vAlign w:val="bottom"/>
            <w:shd w:val="clear" w:color="auto" w:fill="CCEEFF"/>
          </w:tcPr>
          <w:p>
            <w:pPr>
              <w:jc w:val="right"/>
              <w:ind w:right="6"/>
              <w:spacing w:after="0" w:line="115" w:lineRule="exact"/>
              <w:rPr>
                <w:sz w:val="20"/>
                <w:szCs w:val="20"/>
                <w:color w:val="auto"/>
              </w:rPr>
            </w:pPr>
            <w:r>
              <w:rPr>
                <w:rFonts w:ascii="Arial" w:cs="Arial" w:eastAsia="Arial" w:hAnsi="Arial"/>
                <w:sz w:val="11"/>
                <w:szCs w:val="11"/>
                <w:color w:val="231F20"/>
              </w:rPr>
              <w:t>(48,433)</w:t>
            </w:r>
          </w:p>
        </w:tc>
        <w:tc>
          <w:tcPr>
            <w:tcW w:w="220" w:type="dxa"/>
            <w:vAlign w:val="bottom"/>
            <w:shd w:val="clear" w:color="auto" w:fill="CCEEFF"/>
          </w:tcPr>
          <w:p>
            <w:pPr>
              <w:jc w:val="right"/>
              <w:ind w:right="6"/>
              <w:spacing w:after="0" w:line="115" w:lineRule="exact"/>
              <w:rPr>
                <w:sz w:val="20"/>
                <w:szCs w:val="20"/>
                <w:color w:val="auto"/>
              </w:rPr>
            </w:pPr>
            <w:r>
              <w:rPr>
                <w:rFonts w:ascii="Arial" w:cs="Arial" w:eastAsia="Arial" w:hAnsi="Arial"/>
                <w:sz w:val="11"/>
                <w:szCs w:val="11"/>
                <w:color w:val="231F20"/>
              </w:rPr>
              <w:t>$</w:t>
            </w:r>
          </w:p>
        </w:tc>
        <w:tc>
          <w:tcPr>
            <w:tcW w:w="5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231F20"/>
              </w:rPr>
              <w:t>326,024</w:t>
            </w:r>
          </w:p>
        </w:tc>
      </w:tr>
      <w:tr>
        <w:trPr>
          <w:trHeight w:val="122"/>
        </w:trPr>
        <w:tc>
          <w:tcPr>
            <w:tcW w:w="2980" w:type="dxa"/>
            <w:vAlign w:val="bottom"/>
          </w:tcPr>
          <w:p>
            <w:pPr>
              <w:spacing w:after="0" w:line="122" w:lineRule="exact"/>
              <w:rPr>
                <w:sz w:val="20"/>
                <w:szCs w:val="20"/>
                <w:color w:val="auto"/>
              </w:rPr>
            </w:pPr>
            <w:r>
              <w:rPr>
                <w:rFonts w:ascii="Arial" w:cs="Arial" w:eastAsia="Arial" w:hAnsi="Arial"/>
                <w:sz w:val="11"/>
                <w:szCs w:val="11"/>
                <w:color w:val="auto"/>
              </w:rPr>
              <w:t>Vesting of early exercised stock options</w:t>
            </w:r>
          </w:p>
        </w:tc>
        <w:tc>
          <w:tcPr>
            <w:tcW w:w="540" w:type="dxa"/>
            <w:vAlign w:val="bottom"/>
          </w:tcPr>
          <w:p>
            <w:pPr>
              <w:ind w:left="340"/>
              <w:spacing w:after="0" w:line="122" w:lineRule="exact"/>
              <w:rPr>
                <w:sz w:val="20"/>
                <w:szCs w:val="20"/>
                <w:color w:val="auto"/>
              </w:rPr>
            </w:pPr>
            <w:r>
              <w:rPr>
                <w:rFonts w:ascii="Arial" w:cs="Arial" w:eastAsia="Arial" w:hAnsi="Arial"/>
                <w:sz w:val="11"/>
                <w:szCs w:val="11"/>
                <w:color w:val="231F20"/>
              </w:rPr>
              <w:t>—</w:t>
            </w:r>
          </w:p>
        </w:tc>
        <w:tc>
          <w:tcPr>
            <w:tcW w:w="140" w:type="dxa"/>
            <w:vAlign w:val="bottom"/>
          </w:tcPr>
          <w:p>
            <w:pPr>
              <w:spacing w:after="0"/>
              <w:rPr>
                <w:sz w:val="10"/>
                <w:szCs w:val="10"/>
                <w:color w:val="auto"/>
              </w:rPr>
            </w:pPr>
          </w:p>
        </w:tc>
        <w:tc>
          <w:tcPr>
            <w:tcW w:w="620" w:type="dxa"/>
            <w:vAlign w:val="bottom"/>
            <w:gridSpan w:val="2"/>
          </w:tcPr>
          <w:p>
            <w:pPr>
              <w:ind w:left="340"/>
              <w:spacing w:after="0" w:line="122" w:lineRule="exact"/>
              <w:rPr>
                <w:sz w:val="20"/>
                <w:szCs w:val="20"/>
                <w:color w:val="auto"/>
              </w:rPr>
            </w:pPr>
            <w:r>
              <w:rPr>
                <w:rFonts w:ascii="Arial" w:cs="Arial" w:eastAsia="Arial" w:hAnsi="Arial"/>
                <w:sz w:val="11"/>
                <w:szCs w:val="11"/>
                <w:color w:val="231F20"/>
              </w:rPr>
              <w:t>—</w:t>
            </w:r>
          </w:p>
        </w:tc>
        <w:tc>
          <w:tcPr>
            <w:tcW w:w="640" w:type="dxa"/>
            <w:vAlign w:val="bottom"/>
          </w:tcPr>
          <w:p>
            <w:pPr>
              <w:jc w:val="right"/>
              <w:ind w:right="26"/>
              <w:spacing w:after="0" w:line="122" w:lineRule="exact"/>
              <w:rPr>
                <w:sz w:val="20"/>
                <w:szCs w:val="20"/>
                <w:color w:val="auto"/>
              </w:rPr>
            </w:pPr>
            <w:r>
              <w:rPr>
                <w:rFonts w:ascii="Arial" w:cs="Arial" w:eastAsia="Arial" w:hAnsi="Arial"/>
                <w:sz w:val="11"/>
                <w:szCs w:val="11"/>
                <w:color w:val="231F20"/>
              </w:rPr>
              <w:t>6,989</w:t>
            </w:r>
          </w:p>
        </w:tc>
        <w:tc>
          <w:tcPr>
            <w:tcW w:w="1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231F20"/>
              </w:rPr>
              <w:t>—</w:t>
            </w:r>
          </w:p>
        </w:tc>
        <w:tc>
          <w:tcPr>
            <w:tcW w:w="200" w:type="dxa"/>
            <w:vAlign w:val="bottom"/>
          </w:tcPr>
          <w:p>
            <w:pPr>
              <w:spacing w:after="0"/>
              <w:rPr>
                <w:sz w:val="10"/>
                <w:szCs w:val="10"/>
                <w:color w:val="auto"/>
              </w:rPr>
            </w:pPr>
          </w:p>
        </w:tc>
        <w:tc>
          <w:tcPr>
            <w:tcW w:w="540" w:type="dxa"/>
            <w:vAlign w:val="bottom"/>
          </w:tcPr>
          <w:p>
            <w:pPr>
              <w:jc w:val="right"/>
              <w:ind w:right="46"/>
              <w:spacing w:after="0" w:line="122" w:lineRule="exact"/>
              <w:rPr>
                <w:sz w:val="20"/>
                <w:szCs w:val="20"/>
                <w:color w:val="auto"/>
              </w:rPr>
            </w:pPr>
            <w:r>
              <w:rPr>
                <w:rFonts w:ascii="Arial" w:cs="Arial" w:eastAsia="Arial" w:hAnsi="Arial"/>
                <w:sz w:val="11"/>
                <w:szCs w:val="11"/>
                <w:color w:val="231F20"/>
              </w:rPr>
              <w:t>30</w:t>
            </w:r>
          </w:p>
        </w:tc>
        <w:tc>
          <w:tcPr>
            <w:tcW w:w="120" w:type="dxa"/>
            <w:vAlign w:val="bottom"/>
          </w:tcPr>
          <w:p>
            <w:pPr>
              <w:spacing w:after="0"/>
              <w:rPr>
                <w:sz w:val="10"/>
                <w:szCs w:val="10"/>
                <w:color w:val="auto"/>
              </w:rPr>
            </w:pPr>
          </w:p>
        </w:tc>
        <w:tc>
          <w:tcPr>
            <w:tcW w:w="880" w:type="dxa"/>
            <w:vAlign w:val="bottom"/>
          </w:tcPr>
          <w:p>
            <w:pPr>
              <w:jc w:val="right"/>
              <w:ind w:right="26"/>
              <w:spacing w:after="0" w:line="122" w:lineRule="exact"/>
              <w:rPr>
                <w:sz w:val="20"/>
                <w:szCs w:val="20"/>
                <w:color w:val="auto"/>
              </w:rPr>
            </w:pPr>
            <w:r>
              <w:rPr>
                <w:rFonts w:ascii="Arial" w:cs="Arial" w:eastAsia="Arial" w:hAnsi="Arial"/>
                <w:sz w:val="11"/>
                <w:szCs w:val="11"/>
                <w:color w:val="231F20"/>
              </w:rPr>
              <w:t>—</w:t>
            </w:r>
          </w:p>
        </w:tc>
        <w:tc>
          <w:tcPr>
            <w:tcW w:w="180" w:type="dxa"/>
            <w:vAlign w:val="bottom"/>
          </w:tcPr>
          <w:p>
            <w:pPr>
              <w:spacing w:after="0"/>
              <w:rPr>
                <w:sz w:val="10"/>
                <w:szCs w:val="10"/>
                <w:color w:val="auto"/>
              </w:rPr>
            </w:pPr>
          </w:p>
        </w:tc>
        <w:tc>
          <w:tcPr>
            <w:tcW w:w="620" w:type="dxa"/>
            <w:vAlign w:val="bottom"/>
          </w:tcPr>
          <w:p>
            <w:pPr>
              <w:jc w:val="right"/>
              <w:ind w:right="46"/>
              <w:spacing w:after="0" w:line="122" w:lineRule="exact"/>
              <w:rPr>
                <w:sz w:val="20"/>
                <w:szCs w:val="20"/>
                <w:color w:val="auto"/>
              </w:rPr>
            </w:pPr>
            <w:r>
              <w:rPr>
                <w:rFonts w:ascii="Arial" w:cs="Arial" w:eastAsia="Arial" w:hAnsi="Arial"/>
                <w:sz w:val="11"/>
                <w:szCs w:val="11"/>
                <w:color w:val="231F20"/>
              </w:rPr>
              <w:t>—</w:t>
            </w:r>
          </w:p>
        </w:tc>
        <w:tc>
          <w:tcPr>
            <w:tcW w:w="2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231F20"/>
              </w:rPr>
              <w:t>30</w:t>
            </w:r>
          </w:p>
        </w:tc>
      </w:tr>
      <w:tr>
        <w:trPr>
          <w:trHeight w:val="122"/>
        </w:trPr>
        <w:tc>
          <w:tcPr>
            <w:tcW w:w="29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Vesting of restricted stock awards</w:t>
            </w:r>
          </w:p>
        </w:tc>
        <w:tc>
          <w:tcPr>
            <w:tcW w:w="540" w:type="dxa"/>
            <w:vAlign w:val="bottom"/>
            <w:shd w:val="clear" w:color="auto" w:fill="CCEEFF"/>
          </w:tcPr>
          <w:p>
            <w:pPr>
              <w:ind w:left="340"/>
              <w:spacing w:after="0" w:line="122" w:lineRule="exact"/>
              <w:rPr>
                <w:sz w:val="20"/>
                <w:szCs w:val="20"/>
                <w:color w:val="auto"/>
              </w:rPr>
            </w:pPr>
            <w:r>
              <w:rPr>
                <w:rFonts w:ascii="Arial" w:cs="Arial" w:eastAsia="Arial" w:hAnsi="Arial"/>
                <w:sz w:val="11"/>
                <w:szCs w:val="11"/>
                <w:color w:val="231F20"/>
              </w:rPr>
              <w:t>—</w:t>
            </w:r>
          </w:p>
        </w:tc>
        <w:tc>
          <w:tcPr>
            <w:tcW w:w="140" w:type="dxa"/>
            <w:vAlign w:val="bottom"/>
            <w:shd w:val="clear" w:color="auto" w:fill="CCEEFF"/>
          </w:tcPr>
          <w:p>
            <w:pPr>
              <w:spacing w:after="0"/>
              <w:rPr>
                <w:sz w:val="10"/>
                <w:szCs w:val="10"/>
                <w:color w:val="auto"/>
              </w:rPr>
            </w:pPr>
          </w:p>
        </w:tc>
        <w:tc>
          <w:tcPr>
            <w:tcW w:w="620" w:type="dxa"/>
            <w:vAlign w:val="bottom"/>
            <w:gridSpan w:val="2"/>
            <w:shd w:val="clear" w:color="auto" w:fill="CCEEFF"/>
          </w:tcPr>
          <w:p>
            <w:pPr>
              <w:ind w:left="340"/>
              <w:spacing w:after="0" w:line="122" w:lineRule="exact"/>
              <w:rPr>
                <w:sz w:val="20"/>
                <w:szCs w:val="20"/>
                <w:color w:val="auto"/>
              </w:rPr>
            </w:pPr>
            <w:r>
              <w:rPr>
                <w:rFonts w:ascii="Arial" w:cs="Arial" w:eastAsia="Arial" w:hAnsi="Arial"/>
                <w:sz w:val="11"/>
                <w:szCs w:val="11"/>
                <w:color w:val="231F20"/>
              </w:rPr>
              <w:t>—</w:t>
            </w:r>
          </w:p>
        </w:tc>
        <w:tc>
          <w:tcPr>
            <w:tcW w:w="64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231F20"/>
              </w:rPr>
              <w:t>116,571</w:t>
            </w: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231F20"/>
              </w:rPr>
              <w:t>—</w:t>
            </w: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231F20"/>
              </w:rPr>
              <w:t>—</w:t>
            </w: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231F20"/>
              </w:rPr>
              <w:t>—</w:t>
            </w: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231F20"/>
              </w:rPr>
              <w:t>—</w:t>
            </w: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231F20"/>
              </w:rPr>
              <w:t>—</w:t>
            </w:r>
          </w:p>
        </w:tc>
      </w:tr>
      <w:tr>
        <w:trPr>
          <w:trHeight w:val="122"/>
        </w:trPr>
        <w:tc>
          <w:tcPr>
            <w:tcW w:w="2980" w:type="dxa"/>
            <w:vAlign w:val="bottom"/>
          </w:tcPr>
          <w:p>
            <w:pPr>
              <w:spacing w:after="0" w:line="122" w:lineRule="exact"/>
              <w:rPr>
                <w:sz w:val="20"/>
                <w:szCs w:val="20"/>
                <w:color w:val="auto"/>
              </w:rPr>
            </w:pPr>
            <w:r>
              <w:rPr>
                <w:rFonts w:ascii="Arial" w:cs="Arial" w:eastAsia="Arial" w:hAnsi="Arial"/>
                <w:sz w:val="11"/>
                <w:szCs w:val="11"/>
                <w:color w:val="auto"/>
              </w:rPr>
              <w:t>Exercise of stock options</w:t>
            </w:r>
          </w:p>
        </w:tc>
        <w:tc>
          <w:tcPr>
            <w:tcW w:w="540" w:type="dxa"/>
            <w:vAlign w:val="bottom"/>
          </w:tcPr>
          <w:p>
            <w:pPr>
              <w:ind w:left="340"/>
              <w:spacing w:after="0" w:line="122" w:lineRule="exact"/>
              <w:rPr>
                <w:sz w:val="20"/>
                <w:szCs w:val="20"/>
                <w:color w:val="auto"/>
              </w:rPr>
            </w:pPr>
            <w:r>
              <w:rPr>
                <w:rFonts w:ascii="Arial" w:cs="Arial" w:eastAsia="Arial" w:hAnsi="Arial"/>
                <w:sz w:val="11"/>
                <w:szCs w:val="11"/>
                <w:color w:val="231F20"/>
              </w:rPr>
              <w:t>—</w:t>
            </w:r>
          </w:p>
        </w:tc>
        <w:tc>
          <w:tcPr>
            <w:tcW w:w="140" w:type="dxa"/>
            <w:vAlign w:val="bottom"/>
          </w:tcPr>
          <w:p>
            <w:pPr>
              <w:spacing w:after="0"/>
              <w:rPr>
                <w:sz w:val="10"/>
                <w:szCs w:val="10"/>
                <w:color w:val="auto"/>
              </w:rPr>
            </w:pPr>
          </w:p>
        </w:tc>
        <w:tc>
          <w:tcPr>
            <w:tcW w:w="620" w:type="dxa"/>
            <w:vAlign w:val="bottom"/>
            <w:gridSpan w:val="2"/>
          </w:tcPr>
          <w:p>
            <w:pPr>
              <w:ind w:left="340"/>
              <w:spacing w:after="0" w:line="122" w:lineRule="exact"/>
              <w:rPr>
                <w:sz w:val="20"/>
                <w:szCs w:val="20"/>
                <w:color w:val="auto"/>
              </w:rPr>
            </w:pPr>
            <w:r>
              <w:rPr>
                <w:rFonts w:ascii="Arial" w:cs="Arial" w:eastAsia="Arial" w:hAnsi="Arial"/>
                <w:sz w:val="11"/>
                <w:szCs w:val="11"/>
                <w:color w:val="231F20"/>
              </w:rPr>
              <w:t>—</w:t>
            </w:r>
          </w:p>
        </w:tc>
        <w:tc>
          <w:tcPr>
            <w:tcW w:w="640" w:type="dxa"/>
            <w:vAlign w:val="bottom"/>
          </w:tcPr>
          <w:p>
            <w:pPr>
              <w:jc w:val="right"/>
              <w:ind w:right="26"/>
              <w:spacing w:after="0" w:line="122" w:lineRule="exact"/>
              <w:rPr>
                <w:sz w:val="20"/>
                <w:szCs w:val="20"/>
                <w:color w:val="auto"/>
              </w:rPr>
            </w:pPr>
            <w:r>
              <w:rPr>
                <w:rFonts w:ascii="Arial" w:cs="Arial" w:eastAsia="Arial" w:hAnsi="Arial"/>
                <w:sz w:val="11"/>
                <w:szCs w:val="11"/>
                <w:color w:val="231F20"/>
              </w:rPr>
              <w:t>63,014</w:t>
            </w:r>
          </w:p>
        </w:tc>
        <w:tc>
          <w:tcPr>
            <w:tcW w:w="1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231F20"/>
              </w:rPr>
              <w:t>—</w:t>
            </w:r>
          </w:p>
        </w:tc>
        <w:tc>
          <w:tcPr>
            <w:tcW w:w="200" w:type="dxa"/>
            <w:vAlign w:val="bottom"/>
          </w:tcPr>
          <w:p>
            <w:pPr>
              <w:spacing w:after="0"/>
              <w:rPr>
                <w:sz w:val="10"/>
                <w:szCs w:val="10"/>
                <w:color w:val="auto"/>
              </w:rPr>
            </w:pPr>
          </w:p>
        </w:tc>
        <w:tc>
          <w:tcPr>
            <w:tcW w:w="540" w:type="dxa"/>
            <w:vAlign w:val="bottom"/>
          </w:tcPr>
          <w:p>
            <w:pPr>
              <w:jc w:val="right"/>
              <w:ind w:right="46"/>
              <w:spacing w:after="0" w:line="122" w:lineRule="exact"/>
              <w:rPr>
                <w:sz w:val="20"/>
                <w:szCs w:val="20"/>
                <w:color w:val="auto"/>
              </w:rPr>
            </w:pPr>
            <w:r>
              <w:rPr>
                <w:rFonts w:ascii="Arial" w:cs="Arial" w:eastAsia="Arial" w:hAnsi="Arial"/>
                <w:sz w:val="11"/>
                <w:szCs w:val="11"/>
                <w:color w:val="231F20"/>
              </w:rPr>
              <w:t>130</w:t>
            </w:r>
          </w:p>
        </w:tc>
        <w:tc>
          <w:tcPr>
            <w:tcW w:w="120" w:type="dxa"/>
            <w:vAlign w:val="bottom"/>
          </w:tcPr>
          <w:p>
            <w:pPr>
              <w:spacing w:after="0"/>
              <w:rPr>
                <w:sz w:val="10"/>
                <w:szCs w:val="10"/>
                <w:color w:val="auto"/>
              </w:rPr>
            </w:pPr>
          </w:p>
        </w:tc>
        <w:tc>
          <w:tcPr>
            <w:tcW w:w="880" w:type="dxa"/>
            <w:vAlign w:val="bottom"/>
          </w:tcPr>
          <w:p>
            <w:pPr>
              <w:jc w:val="right"/>
              <w:ind w:right="26"/>
              <w:spacing w:after="0" w:line="122" w:lineRule="exact"/>
              <w:rPr>
                <w:sz w:val="20"/>
                <w:szCs w:val="20"/>
                <w:color w:val="auto"/>
              </w:rPr>
            </w:pPr>
            <w:r>
              <w:rPr>
                <w:rFonts w:ascii="Arial" w:cs="Arial" w:eastAsia="Arial" w:hAnsi="Arial"/>
                <w:sz w:val="11"/>
                <w:szCs w:val="11"/>
                <w:color w:val="231F20"/>
              </w:rPr>
              <w:t>—</w:t>
            </w:r>
          </w:p>
        </w:tc>
        <w:tc>
          <w:tcPr>
            <w:tcW w:w="180" w:type="dxa"/>
            <w:vAlign w:val="bottom"/>
          </w:tcPr>
          <w:p>
            <w:pPr>
              <w:spacing w:after="0"/>
              <w:rPr>
                <w:sz w:val="10"/>
                <w:szCs w:val="10"/>
                <w:color w:val="auto"/>
              </w:rPr>
            </w:pPr>
          </w:p>
        </w:tc>
        <w:tc>
          <w:tcPr>
            <w:tcW w:w="620" w:type="dxa"/>
            <w:vAlign w:val="bottom"/>
          </w:tcPr>
          <w:p>
            <w:pPr>
              <w:jc w:val="right"/>
              <w:ind w:right="46"/>
              <w:spacing w:after="0" w:line="122" w:lineRule="exact"/>
              <w:rPr>
                <w:sz w:val="20"/>
                <w:szCs w:val="20"/>
                <w:color w:val="auto"/>
              </w:rPr>
            </w:pPr>
            <w:r>
              <w:rPr>
                <w:rFonts w:ascii="Arial" w:cs="Arial" w:eastAsia="Arial" w:hAnsi="Arial"/>
                <w:sz w:val="11"/>
                <w:szCs w:val="11"/>
                <w:color w:val="231F20"/>
              </w:rPr>
              <w:t>—</w:t>
            </w:r>
          </w:p>
        </w:tc>
        <w:tc>
          <w:tcPr>
            <w:tcW w:w="2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231F20"/>
              </w:rPr>
              <w:t>130</w:t>
            </w:r>
          </w:p>
        </w:tc>
      </w:tr>
      <w:tr>
        <w:trPr>
          <w:trHeight w:val="118"/>
        </w:trPr>
        <w:tc>
          <w:tcPr>
            <w:tcW w:w="2980" w:type="dxa"/>
            <w:vAlign w:val="bottom"/>
            <w:shd w:val="clear" w:color="auto" w:fill="CCEEFF"/>
          </w:tcPr>
          <w:p>
            <w:pPr>
              <w:spacing w:after="0" w:line="119" w:lineRule="exact"/>
              <w:rPr>
                <w:sz w:val="20"/>
                <w:szCs w:val="20"/>
                <w:color w:val="auto"/>
              </w:rPr>
            </w:pPr>
            <w:r>
              <w:rPr>
                <w:rFonts w:ascii="Arial" w:cs="Arial" w:eastAsia="Arial" w:hAnsi="Arial"/>
                <w:sz w:val="11"/>
                <w:szCs w:val="11"/>
                <w:color w:val="auto"/>
              </w:rPr>
              <w:t>Issuance of shares under the employee stock purchase</w:t>
            </w: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25"/>
        </w:trPr>
        <w:tc>
          <w:tcPr>
            <w:tcW w:w="2980" w:type="dxa"/>
            <w:vAlign w:val="bottom"/>
            <w:shd w:val="clear" w:color="auto" w:fill="CCEEFF"/>
          </w:tcPr>
          <w:p>
            <w:pPr>
              <w:spacing w:after="0" w:line="125" w:lineRule="exact"/>
              <w:rPr>
                <w:sz w:val="20"/>
                <w:szCs w:val="20"/>
                <w:color w:val="auto"/>
              </w:rPr>
            </w:pPr>
            <w:r>
              <w:rPr>
                <w:rFonts w:ascii="Arial" w:cs="Arial" w:eastAsia="Arial" w:hAnsi="Arial"/>
                <w:sz w:val="11"/>
                <w:szCs w:val="11"/>
                <w:color w:val="auto"/>
              </w:rPr>
              <w:t>plan</w:t>
            </w:r>
          </w:p>
        </w:tc>
        <w:tc>
          <w:tcPr>
            <w:tcW w:w="540" w:type="dxa"/>
            <w:vAlign w:val="bottom"/>
            <w:shd w:val="clear" w:color="auto" w:fill="CCEEFF"/>
          </w:tcPr>
          <w:p>
            <w:pPr>
              <w:ind w:left="340"/>
              <w:spacing w:after="0" w:line="125" w:lineRule="exact"/>
              <w:rPr>
                <w:sz w:val="20"/>
                <w:szCs w:val="20"/>
                <w:color w:val="auto"/>
              </w:rPr>
            </w:pPr>
            <w:r>
              <w:rPr>
                <w:rFonts w:ascii="Arial" w:cs="Arial" w:eastAsia="Arial" w:hAnsi="Arial"/>
                <w:sz w:val="11"/>
                <w:szCs w:val="11"/>
                <w:color w:val="231F20"/>
              </w:rPr>
              <w:t>—</w:t>
            </w:r>
          </w:p>
        </w:tc>
        <w:tc>
          <w:tcPr>
            <w:tcW w:w="140" w:type="dxa"/>
            <w:vAlign w:val="bottom"/>
            <w:shd w:val="clear" w:color="auto" w:fill="CCEEFF"/>
          </w:tcPr>
          <w:p>
            <w:pPr>
              <w:spacing w:after="0"/>
              <w:rPr>
                <w:sz w:val="10"/>
                <w:szCs w:val="10"/>
                <w:color w:val="auto"/>
              </w:rPr>
            </w:pPr>
          </w:p>
        </w:tc>
        <w:tc>
          <w:tcPr>
            <w:tcW w:w="620" w:type="dxa"/>
            <w:vAlign w:val="bottom"/>
            <w:gridSpan w:val="2"/>
            <w:shd w:val="clear" w:color="auto" w:fill="CCEEFF"/>
          </w:tcPr>
          <w:p>
            <w:pPr>
              <w:ind w:left="340"/>
              <w:spacing w:after="0" w:line="125" w:lineRule="exact"/>
              <w:rPr>
                <w:sz w:val="20"/>
                <w:szCs w:val="20"/>
                <w:color w:val="auto"/>
              </w:rPr>
            </w:pPr>
            <w:r>
              <w:rPr>
                <w:rFonts w:ascii="Arial" w:cs="Arial" w:eastAsia="Arial" w:hAnsi="Arial"/>
                <w:sz w:val="11"/>
                <w:szCs w:val="11"/>
                <w:color w:val="231F20"/>
              </w:rPr>
              <w:t>—</w:t>
            </w:r>
          </w:p>
        </w:tc>
        <w:tc>
          <w:tcPr>
            <w:tcW w:w="640" w:type="dxa"/>
            <w:vAlign w:val="bottom"/>
            <w:shd w:val="clear" w:color="auto" w:fill="CCEEFF"/>
          </w:tcPr>
          <w:p>
            <w:pPr>
              <w:jc w:val="right"/>
              <w:ind w:right="26"/>
              <w:spacing w:after="0" w:line="125" w:lineRule="exact"/>
              <w:rPr>
                <w:sz w:val="20"/>
                <w:szCs w:val="20"/>
                <w:color w:val="auto"/>
              </w:rPr>
            </w:pPr>
            <w:r>
              <w:rPr>
                <w:rFonts w:ascii="Arial" w:cs="Arial" w:eastAsia="Arial" w:hAnsi="Arial"/>
                <w:sz w:val="11"/>
                <w:szCs w:val="11"/>
                <w:color w:val="231F20"/>
              </w:rPr>
              <w:t>23,885</w:t>
            </w: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231F20"/>
              </w:rPr>
              <w:t>—</w:t>
            </w: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46"/>
              <w:spacing w:after="0" w:line="125" w:lineRule="exact"/>
              <w:rPr>
                <w:sz w:val="20"/>
                <w:szCs w:val="20"/>
                <w:color w:val="auto"/>
              </w:rPr>
            </w:pPr>
            <w:r>
              <w:rPr>
                <w:rFonts w:ascii="Arial" w:cs="Arial" w:eastAsia="Arial" w:hAnsi="Arial"/>
                <w:sz w:val="11"/>
                <w:szCs w:val="11"/>
                <w:color w:val="231F20"/>
              </w:rPr>
              <w:t>386</w:t>
            </w: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jc w:val="right"/>
              <w:ind w:right="26"/>
              <w:spacing w:after="0" w:line="125" w:lineRule="exact"/>
              <w:rPr>
                <w:sz w:val="20"/>
                <w:szCs w:val="20"/>
                <w:color w:val="auto"/>
              </w:rPr>
            </w:pPr>
            <w:r>
              <w:rPr>
                <w:rFonts w:ascii="Arial" w:cs="Arial" w:eastAsia="Arial" w:hAnsi="Arial"/>
                <w:sz w:val="11"/>
                <w:szCs w:val="11"/>
                <w:color w:val="231F20"/>
              </w:rPr>
              <w:t>—</w:t>
            </w: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46"/>
              <w:spacing w:after="0" w:line="125" w:lineRule="exact"/>
              <w:rPr>
                <w:sz w:val="20"/>
                <w:szCs w:val="20"/>
                <w:color w:val="auto"/>
              </w:rPr>
            </w:pPr>
            <w:r>
              <w:rPr>
                <w:rFonts w:ascii="Arial" w:cs="Arial" w:eastAsia="Arial" w:hAnsi="Arial"/>
                <w:sz w:val="11"/>
                <w:szCs w:val="11"/>
                <w:color w:val="231F20"/>
              </w:rPr>
              <w:t>—</w:t>
            </w: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231F20"/>
              </w:rPr>
              <w:t>386</w:t>
            </w:r>
          </w:p>
        </w:tc>
      </w:tr>
      <w:tr>
        <w:trPr>
          <w:trHeight w:val="122"/>
        </w:trPr>
        <w:tc>
          <w:tcPr>
            <w:tcW w:w="2980" w:type="dxa"/>
            <w:vAlign w:val="bottom"/>
          </w:tcPr>
          <w:p>
            <w:pPr>
              <w:spacing w:after="0" w:line="122" w:lineRule="exact"/>
              <w:rPr>
                <w:sz w:val="20"/>
                <w:szCs w:val="20"/>
                <w:color w:val="auto"/>
              </w:rPr>
            </w:pPr>
            <w:r>
              <w:rPr>
                <w:rFonts w:ascii="Arial" w:cs="Arial" w:eastAsia="Arial" w:hAnsi="Arial"/>
                <w:sz w:val="11"/>
                <w:szCs w:val="11"/>
                <w:color w:val="auto"/>
              </w:rPr>
              <w:t>Stock-based compensation expense</w:t>
            </w:r>
          </w:p>
        </w:tc>
        <w:tc>
          <w:tcPr>
            <w:tcW w:w="540" w:type="dxa"/>
            <w:vAlign w:val="bottom"/>
          </w:tcPr>
          <w:p>
            <w:pPr>
              <w:ind w:left="340"/>
              <w:spacing w:after="0" w:line="122" w:lineRule="exact"/>
              <w:rPr>
                <w:sz w:val="20"/>
                <w:szCs w:val="20"/>
                <w:color w:val="auto"/>
              </w:rPr>
            </w:pPr>
            <w:r>
              <w:rPr>
                <w:rFonts w:ascii="Arial" w:cs="Arial" w:eastAsia="Arial" w:hAnsi="Arial"/>
                <w:sz w:val="11"/>
                <w:szCs w:val="11"/>
                <w:color w:val="231F20"/>
              </w:rPr>
              <w:t>—</w:t>
            </w:r>
          </w:p>
        </w:tc>
        <w:tc>
          <w:tcPr>
            <w:tcW w:w="140" w:type="dxa"/>
            <w:vAlign w:val="bottom"/>
          </w:tcPr>
          <w:p>
            <w:pPr>
              <w:spacing w:after="0"/>
              <w:rPr>
                <w:sz w:val="10"/>
                <w:szCs w:val="10"/>
                <w:color w:val="auto"/>
              </w:rPr>
            </w:pPr>
          </w:p>
        </w:tc>
        <w:tc>
          <w:tcPr>
            <w:tcW w:w="620" w:type="dxa"/>
            <w:vAlign w:val="bottom"/>
            <w:gridSpan w:val="2"/>
          </w:tcPr>
          <w:p>
            <w:pPr>
              <w:ind w:left="340"/>
              <w:spacing w:after="0" w:line="122" w:lineRule="exact"/>
              <w:rPr>
                <w:sz w:val="20"/>
                <w:szCs w:val="20"/>
                <w:color w:val="auto"/>
              </w:rPr>
            </w:pPr>
            <w:r>
              <w:rPr>
                <w:rFonts w:ascii="Arial" w:cs="Arial" w:eastAsia="Arial" w:hAnsi="Arial"/>
                <w:sz w:val="11"/>
                <w:szCs w:val="11"/>
                <w:color w:val="231F20"/>
              </w:rPr>
              <w:t>—</w:t>
            </w:r>
          </w:p>
        </w:tc>
        <w:tc>
          <w:tcPr>
            <w:tcW w:w="640" w:type="dxa"/>
            <w:vAlign w:val="bottom"/>
          </w:tcPr>
          <w:p>
            <w:pPr>
              <w:jc w:val="right"/>
              <w:ind w:right="26"/>
              <w:spacing w:after="0" w:line="122" w:lineRule="exact"/>
              <w:rPr>
                <w:sz w:val="20"/>
                <w:szCs w:val="20"/>
                <w:color w:val="auto"/>
              </w:rPr>
            </w:pPr>
            <w:r>
              <w:rPr>
                <w:rFonts w:ascii="Arial" w:cs="Arial" w:eastAsia="Arial" w:hAnsi="Arial"/>
                <w:sz w:val="11"/>
                <w:szCs w:val="11"/>
                <w:color w:val="231F20"/>
              </w:rPr>
              <w:t>—</w:t>
            </w:r>
          </w:p>
        </w:tc>
        <w:tc>
          <w:tcPr>
            <w:tcW w:w="1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231F20"/>
              </w:rPr>
              <w:t>—</w:t>
            </w:r>
          </w:p>
        </w:tc>
        <w:tc>
          <w:tcPr>
            <w:tcW w:w="200" w:type="dxa"/>
            <w:vAlign w:val="bottom"/>
          </w:tcPr>
          <w:p>
            <w:pPr>
              <w:spacing w:after="0"/>
              <w:rPr>
                <w:sz w:val="10"/>
                <w:szCs w:val="10"/>
                <w:color w:val="auto"/>
              </w:rPr>
            </w:pPr>
          </w:p>
        </w:tc>
        <w:tc>
          <w:tcPr>
            <w:tcW w:w="540" w:type="dxa"/>
            <w:vAlign w:val="bottom"/>
          </w:tcPr>
          <w:p>
            <w:pPr>
              <w:jc w:val="right"/>
              <w:ind w:right="46"/>
              <w:spacing w:after="0" w:line="122" w:lineRule="exact"/>
              <w:rPr>
                <w:sz w:val="20"/>
                <w:szCs w:val="20"/>
                <w:color w:val="auto"/>
              </w:rPr>
            </w:pPr>
            <w:r>
              <w:rPr>
                <w:rFonts w:ascii="Arial" w:cs="Arial" w:eastAsia="Arial" w:hAnsi="Arial"/>
                <w:sz w:val="11"/>
                <w:szCs w:val="11"/>
                <w:color w:val="231F20"/>
              </w:rPr>
              <w:t>3,871</w:t>
            </w:r>
          </w:p>
        </w:tc>
        <w:tc>
          <w:tcPr>
            <w:tcW w:w="120" w:type="dxa"/>
            <w:vAlign w:val="bottom"/>
          </w:tcPr>
          <w:p>
            <w:pPr>
              <w:spacing w:after="0"/>
              <w:rPr>
                <w:sz w:val="10"/>
                <w:szCs w:val="10"/>
                <w:color w:val="auto"/>
              </w:rPr>
            </w:pPr>
          </w:p>
        </w:tc>
        <w:tc>
          <w:tcPr>
            <w:tcW w:w="880" w:type="dxa"/>
            <w:vAlign w:val="bottom"/>
          </w:tcPr>
          <w:p>
            <w:pPr>
              <w:jc w:val="right"/>
              <w:ind w:right="26"/>
              <w:spacing w:after="0" w:line="122" w:lineRule="exact"/>
              <w:rPr>
                <w:sz w:val="20"/>
                <w:szCs w:val="20"/>
                <w:color w:val="auto"/>
              </w:rPr>
            </w:pPr>
            <w:r>
              <w:rPr>
                <w:rFonts w:ascii="Arial" w:cs="Arial" w:eastAsia="Arial" w:hAnsi="Arial"/>
                <w:sz w:val="11"/>
                <w:szCs w:val="11"/>
                <w:color w:val="231F20"/>
              </w:rPr>
              <w:t>—</w:t>
            </w:r>
          </w:p>
        </w:tc>
        <w:tc>
          <w:tcPr>
            <w:tcW w:w="180" w:type="dxa"/>
            <w:vAlign w:val="bottom"/>
          </w:tcPr>
          <w:p>
            <w:pPr>
              <w:spacing w:after="0"/>
              <w:rPr>
                <w:sz w:val="10"/>
                <w:szCs w:val="10"/>
                <w:color w:val="auto"/>
              </w:rPr>
            </w:pPr>
          </w:p>
        </w:tc>
        <w:tc>
          <w:tcPr>
            <w:tcW w:w="620" w:type="dxa"/>
            <w:vAlign w:val="bottom"/>
          </w:tcPr>
          <w:p>
            <w:pPr>
              <w:jc w:val="right"/>
              <w:ind w:right="46"/>
              <w:spacing w:after="0" w:line="122" w:lineRule="exact"/>
              <w:rPr>
                <w:sz w:val="20"/>
                <w:szCs w:val="20"/>
                <w:color w:val="auto"/>
              </w:rPr>
            </w:pPr>
            <w:r>
              <w:rPr>
                <w:rFonts w:ascii="Arial" w:cs="Arial" w:eastAsia="Arial" w:hAnsi="Arial"/>
                <w:sz w:val="11"/>
                <w:szCs w:val="11"/>
                <w:color w:val="231F20"/>
              </w:rPr>
              <w:t>—</w:t>
            </w:r>
          </w:p>
        </w:tc>
        <w:tc>
          <w:tcPr>
            <w:tcW w:w="2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231F20"/>
              </w:rPr>
              <w:t>3,871</w:t>
            </w:r>
          </w:p>
        </w:tc>
      </w:tr>
      <w:tr>
        <w:trPr>
          <w:trHeight w:val="122"/>
        </w:trPr>
        <w:tc>
          <w:tcPr>
            <w:tcW w:w="2980" w:type="dxa"/>
            <w:vAlign w:val="bottom"/>
            <w:shd w:val="clear" w:color="auto" w:fill="CCEEFF"/>
          </w:tcPr>
          <w:p>
            <w:pPr>
              <w:spacing w:after="0" w:line="122" w:lineRule="exact"/>
              <w:rPr>
                <w:sz w:val="20"/>
                <w:szCs w:val="20"/>
                <w:color w:val="auto"/>
              </w:rPr>
            </w:pPr>
            <w:r>
              <w:rPr>
                <w:rFonts w:ascii="Arial" w:cs="Arial" w:eastAsia="Arial" w:hAnsi="Arial"/>
                <w:sz w:val="11"/>
                <w:szCs w:val="11"/>
                <w:color w:val="231F20"/>
              </w:rPr>
              <w:t>Employee stock purchase plan expense</w:t>
            </w:r>
          </w:p>
        </w:tc>
        <w:tc>
          <w:tcPr>
            <w:tcW w:w="540" w:type="dxa"/>
            <w:vAlign w:val="bottom"/>
            <w:shd w:val="clear" w:color="auto" w:fill="CCEEFF"/>
          </w:tcPr>
          <w:p>
            <w:pPr>
              <w:ind w:left="340"/>
              <w:spacing w:after="0" w:line="122" w:lineRule="exact"/>
              <w:rPr>
                <w:sz w:val="20"/>
                <w:szCs w:val="20"/>
                <w:color w:val="auto"/>
              </w:rPr>
            </w:pPr>
            <w:r>
              <w:rPr>
                <w:rFonts w:ascii="Arial" w:cs="Arial" w:eastAsia="Arial" w:hAnsi="Arial"/>
                <w:sz w:val="11"/>
                <w:szCs w:val="11"/>
                <w:color w:val="231F20"/>
              </w:rPr>
              <w:t>—</w:t>
            </w:r>
          </w:p>
        </w:tc>
        <w:tc>
          <w:tcPr>
            <w:tcW w:w="140" w:type="dxa"/>
            <w:vAlign w:val="bottom"/>
            <w:shd w:val="clear" w:color="auto" w:fill="CCEEFF"/>
          </w:tcPr>
          <w:p>
            <w:pPr>
              <w:spacing w:after="0"/>
              <w:rPr>
                <w:sz w:val="10"/>
                <w:szCs w:val="10"/>
                <w:color w:val="auto"/>
              </w:rPr>
            </w:pPr>
          </w:p>
        </w:tc>
        <w:tc>
          <w:tcPr>
            <w:tcW w:w="620" w:type="dxa"/>
            <w:vAlign w:val="bottom"/>
            <w:gridSpan w:val="2"/>
            <w:shd w:val="clear" w:color="auto" w:fill="CCEEFF"/>
          </w:tcPr>
          <w:p>
            <w:pPr>
              <w:ind w:left="340"/>
              <w:spacing w:after="0" w:line="122" w:lineRule="exact"/>
              <w:rPr>
                <w:sz w:val="20"/>
                <w:szCs w:val="20"/>
                <w:color w:val="auto"/>
              </w:rPr>
            </w:pPr>
            <w:r>
              <w:rPr>
                <w:rFonts w:ascii="Arial" w:cs="Arial" w:eastAsia="Arial" w:hAnsi="Arial"/>
                <w:sz w:val="11"/>
                <w:szCs w:val="11"/>
                <w:color w:val="231F20"/>
              </w:rPr>
              <w:t>—</w:t>
            </w:r>
          </w:p>
        </w:tc>
        <w:tc>
          <w:tcPr>
            <w:tcW w:w="64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231F20"/>
              </w:rPr>
              <w:t>—</w:t>
            </w: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231F20"/>
              </w:rPr>
              <w:t>—</w:t>
            </w: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231F20"/>
              </w:rPr>
              <w:t>50</w:t>
            </w: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231F20"/>
              </w:rPr>
              <w:t>—</w:t>
            </w: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231F20"/>
              </w:rPr>
              <w:t>—</w:t>
            </w: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231F20"/>
              </w:rPr>
              <w:t>50</w:t>
            </w:r>
          </w:p>
        </w:tc>
      </w:tr>
      <w:tr>
        <w:trPr>
          <w:trHeight w:val="122"/>
        </w:trPr>
        <w:tc>
          <w:tcPr>
            <w:tcW w:w="2980" w:type="dxa"/>
            <w:vAlign w:val="bottom"/>
          </w:tcPr>
          <w:p>
            <w:pPr>
              <w:spacing w:after="0" w:line="122" w:lineRule="exact"/>
              <w:rPr>
                <w:sz w:val="20"/>
                <w:szCs w:val="20"/>
                <w:color w:val="auto"/>
              </w:rPr>
            </w:pPr>
            <w:r>
              <w:rPr>
                <w:rFonts w:ascii="Arial" w:cs="Arial" w:eastAsia="Arial" w:hAnsi="Arial"/>
                <w:sz w:val="11"/>
                <w:szCs w:val="11"/>
                <w:color w:val="231F20"/>
              </w:rPr>
              <w:t>Net unrealized loss on marketable securities</w:t>
            </w:r>
          </w:p>
        </w:tc>
        <w:tc>
          <w:tcPr>
            <w:tcW w:w="540" w:type="dxa"/>
            <w:vAlign w:val="bottom"/>
          </w:tcPr>
          <w:p>
            <w:pPr>
              <w:ind w:left="340"/>
              <w:spacing w:after="0" w:line="122" w:lineRule="exact"/>
              <w:rPr>
                <w:sz w:val="20"/>
                <w:szCs w:val="20"/>
                <w:color w:val="auto"/>
              </w:rPr>
            </w:pPr>
            <w:r>
              <w:rPr>
                <w:rFonts w:ascii="Arial" w:cs="Arial" w:eastAsia="Arial" w:hAnsi="Arial"/>
                <w:sz w:val="11"/>
                <w:szCs w:val="11"/>
                <w:color w:val="231F20"/>
              </w:rPr>
              <w:t>—</w:t>
            </w:r>
          </w:p>
        </w:tc>
        <w:tc>
          <w:tcPr>
            <w:tcW w:w="140" w:type="dxa"/>
            <w:vAlign w:val="bottom"/>
          </w:tcPr>
          <w:p>
            <w:pPr>
              <w:spacing w:after="0"/>
              <w:rPr>
                <w:sz w:val="10"/>
                <w:szCs w:val="10"/>
                <w:color w:val="auto"/>
              </w:rPr>
            </w:pPr>
          </w:p>
        </w:tc>
        <w:tc>
          <w:tcPr>
            <w:tcW w:w="620" w:type="dxa"/>
            <w:vAlign w:val="bottom"/>
            <w:gridSpan w:val="2"/>
          </w:tcPr>
          <w:p>
            <w:pPr>
              <w:ind w:left="340"/>
              <w:spacing w:after="0" w:line="122" w:lineRule="exact"/>
              <w:rPr>
                <w:sz w:val="20"/>
                <w:szCs w:val="20"/>
                <w:color w:val="auto"/>
              </w:rPr>
            </w:pPr>
            <w:r>
              <w:rPr>
                <w:rFonts w:ascii="Arial" w:cs="Arial" w:eastAsia="Arial" w:hAnsi="Arial"/>
                <w:sz w:val="11"/>
                <w:szCs w:val="11"/>
                <w:color w:val="231F20"/>
              </w:rPr>
              <w:t>—</w:t>
            </w:r>
          </w:p>
        </w:tc>
        <w:tc>
          <w:tcPr>
            <w:tcW w:w="640" w:type="dxa"/>
            <w:vAlign w:val="bottom"/>
          </w:tcPr>
          <w:p>
            <w:pPr>
              <w:jc w:val="right"/>
              <w:ind w:right="26"/>
              <w:spacing w:after="0" w:line="122" w:lineRule="exact"/>
              <w:rPr>
                <w:sz w:val="20"/>
                <w:szCs w:val="20"/>
                <w:color w:val="auto"/>
              </w:rPr>
            </w:pPr>
            <w:r>
              <w:rPr>
                <w:rFonts w:ascii="Arial" w:cs="Arial" w:eastAsia="Arial" w:hAnsi="Arial"/>
                <w:sz w:val="11"/>
                <w:szCs w:val="11"/>
                <w:color w:val="231F20"/>
              </w:rPr>
              <w:t>—</w:t>
            </w:r>
          </w:p>
        </w:tc>
        <w:tc>
          <w:tcPr>
            <w:tcW w:w="1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231F20"/>
              </w:rPr>
              <w:t>—</w:t>
            </w:r>
          </w:p>
        </w:tc>
        <w:tc>
          <w:tcPr>
            <w:tcW w:w="200" w:type="dxa"/>
            <w:vAlign w:val="bottom"/>
          </w:tcPr>
          <w:p>
            <w:pPr>
              <w:spacing w:after="0"/>
              <w:rPr>
                <w:sz w:val="10"/>
                <w:szCs w:val="10"/>
                <w:color w:val="auto"/>
              </w:rPr>
            </w:pPr>
          </w:p>
        </w:tc>
        <w:tc>
          <w:tcPr>
            <w:tcW w:w="540" w:type="dxa"/>
            <w:vAlign w:val="bottom"/>
          </w:tcPr>
          <w:p>
            <w:pPr>
              <w:jc w:val="right"/>
              <w:ind w:right="46"/>
              <w:spacing w:after="0" w:line="122" w:lineRule="exact"/>
              <w:rPr>
                <w:sz w:val="20"/>
                <w:szCs w:val="20"/>
                <w:color w:val="auto"/>
              </w:rPr>
            </w:pPr>
            <w:r>
              <w:rPr>
                <w:rFonts w:ascii="Arial" w:cs="Arial" w:eastAsia="Arial" w:hAnsi="Arial"/>
                <w:sz w:val="11"/>
                <w:szCs w:val="11"/>
                <w:color w:val="231F20"/>
              </w:rPr>
              <w:t>—</w:t>
            </w:r>
          </w:p>
        </w:tc>
        <w:tc>
          <w:tcPr>
            <w:tcW w:w="12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Arial" w:cs="Arial" w:eastAsia="Arial" w:hAnsi="Arial"/>
                <w:sz w:val="11"/>
                <w:szCs w:val="11"/>
                <w:color w:val="231F20"/>
              </w:rPr>
              <w:t>(1)</w:t>
            </w:r>
          </w:p>
        </w:tc>
        <w:tc>
          <w:tcPr>
            <w:tcW w:w="180" w:type="dxa"/>
            <w:vAlign w:val="bottom"/>
          </w:tcPr>
          <w:p>
            <w:pPr>
              <w:spacing w:after="0"/>
              <w:rPr>
                <w:sz w:val="10"/>
                <w:szCs w:val="10"/>
                <w:color w:val="auto"/>
              </w:rPr>
            </w:pPr>
          </w:p>
        </w:tc>
        <w:tc>
          <w:tcPr>
            <w:tcW w:w="620" w:type="dxa"/>
            <w:vAlign w:val="bottom"/>
          </w:tcPr>
          <w:p>
            <w:pPr>
              <w:jc w:val="right"/>
              <w:ind w:right="46"/>
              <w:spacing w:after="0" w:line="122" w:lineRule="exact"/>
              <w:rPr>
                <w:sz w:val="20"/>
                <w:szCs w:val="20"/>
                <w:color w:val="auto"/>
              </w:rPr>
            </w:pPr>
            <w:r>
              <w:rPr>
                <w:rFonts w:ascii="Arial" w:cs="Arial" w:eastAsia="Arial" w:hAnsi="Arial"/>
                <w:sz w:val="11"/>
                <w:szCs w:val="11"/>
                <w:color w:val="231F20"/>
              </w:rPr>
              <w:t>—</w:t>
            </w:r>
          </w:p>
        </w:tc>
        <w:tc>
          <w:tcPr>
            <w:tcW w:w="2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231F20"/>
              </w:rPr>
              <w:t>(1)</w:t>
            </w:r>
          </w:p>
        </w:tc>
      </w:tr>
      <w:tr>
        <w:trPr>
          <w:trHeight w:val="122"/>
        </w:trPr>
        <w:tc>
          <w:tcPr>
            <w:tcW w:w="2980" w:type="dxa"/>
            <w:vAlign w:val="bottom"/>
            <w:shd w:val="clear" w:color="auto" w:fill="CCEEFF"/>
          </w:tcPr>
          <w:p>
            <w:pPr>
              <w:spacing w:after="0" w:line="122" w:lineRule="exact"/>
              <w:rPr>
                <w:sz w:val="20"/>
                <w:szCs w:val="20"/>
                <w:color w:val="auto"/>
              </w:rPr>
            </w:pPr>
            <w:r>
              <w:rPr>
                <w:rFonts w:ascii="Arial" w:cs="Arial" w:eastAsia="Arial" w:hAnsi="Arial"/>
                <w:sz w:val="11"/>
                <w:szCs w:val="11"/>
                <w:color w:val="231F20"/>
              </w:rPr>
              <w:t>Net loss</w:t>
            </w:r>
          </w:p>
        </w:tc>
        <w:tc>
          <w:tcPr>
            <w:tcW w:w="540" w:type="dxa"/>
            <w:vAlign w:val="bottom"/>
            <w:tcBorders>
              <w:bottom w:val="single" w:sz="8" w:color="auto"/>
            </w:tcBorders>
            <w:shd w:val="clear" w:color="auto" w:fill="CCEEFF"/>
          </w:tcPr>
          <w:p>
            <w:pPr>
              <w:ind w:left="340"/>
              <w:spacing w:after="0" w:line="122" w:lineRule="exact"/>
              <w:rPr>
                <w:sz w:val="20"/>
                <w:szCs w:val="20"/>
                <w:color w:val="auto"/>
              </w:rPr>
            </w:pPr>
            <w:r>
              <w:rPr>
                <w:rFonts w:ascii="Arial" w:cs="Arial" w:eastAsia="Arial" w:hAnsi="Arial"/>
                <w:sz w:val="11"/>
                <w:szCs w:val="11"/>
                <w:color w:val="231F20"/>
              </w:rPr>
              <w:t>—</w:t>
            </w:r>
          </w:p>
        </w:tc>
        <w:tc>
          <w:tcPr>
            <w:tcW w:w="14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gridSpan w:val="2"/>
            <w:shd w:val="clear" w:color="auto" w:fill="CCEEFF"/>
          </w:tcPr>
          <w:p>
            <w:pPr>
              <w:ind w:left="340"/>
              <w:spacing w:after="0" w:line="122" w:lineRule="exact"/>
              <w:rPr>
                <w:sz w:val="20"/>
                <w:szCs w:val="20"/>
                <w:color w:val="auto"/>
              </w:rPr>
            </w:pPr>
            <w:r>
              <w:rPr>
                <w:rFonts w:ascii="Arial" w:cs="Arial" w:eastAsia="Arial" w:hAnsi="Arial"/>
                <w:sz w:val="11"/>
                <w:szCs w:val="11"/>
                <w:color w:val="231F20"/>
              </w:rPr>
              <w:t>—</w:t>
            </w:r>
          </w:p>
        </w:tc>
        <w:tc>
          <w:tcPr>
            <w:tcW w:w="640" w:type="dxa"/>
            <w:vAlign w:val="bottom"/>
            <w:tcBorders>
              <w:bottom w:val="single" w:sz="8" w:color="auto"/>
            </w:tcBorders>
            <w:shd w:val="clear" w:color="auto" w:fill="CCEEFF"/>
          </w:tcPr>
          <w:p>
            <w:pPr>
              <w:jc w:val="right"/>
              <w:ind w:right="26"/>
              <w:spacing w:after="0" w:line="122" w:lineRule="exact"/>
              <w:rPr>
                <w:sz w:val="20"/>
                <w:szCs w:val="20"/>
                <w:color w:val="auto"/>
              </w:rPr>
            </w:pPr>
            <w:r>
              <w:rPr>
                <w:rFonts w:ascii="Arial" w:cs="Arial" w:eastAsia="Arial" w:hAnsi="Arial"/>
                <w:sz w:val="11"/>
                <w:szCs w:val="11"/>
                <w:color w:val="231F20"/>
              </w:rPr>
              <w:t>—</w:t>
            </w:r>
          </w:p>
        </w:tc>
        <w:tc>
          <w:tcPr>
            <w:tcW w:w="160" w:type="dxa"/>
            <w:vAlign w:val="bottom"/>
            <w:tcBorders>
              <w:bottom w:val="single" w:sz="8" w:color="auto"/>
            </w:tcBorders>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231F20"/>
              </w:rPr>
              <w:t>—</w:t>
            </w:r>
          </w:p>
        </w:tc>
        <w:tc>
          <w:tcPr>
            <w:tcW w:w="20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ind w:right="46"/>
              <w:spacing w:after="0" w:line="122" w:lineRule="exact"/>
              <w:rPr>
                <w:sz w:val="20"/>
                <w:szCs w:val="20"/>
                <w:color w:val="auto"/>
              </w:rPr>
            </w:pPr>
            <w:r>
              <w:rPr>
                <w:rFonts w:ascii="Arial" w:cs="Arial" w:eastAsia="Arial" w:hAnsi="Arial"/>
                <w:sz w:val="11"/>
                <w:szCs w:val="11"/>
                <w:color w:val="231F20"/>
              </w:rPr>
              <w:t>—</w:t>
            </w:r>
          </w:p>
        </w:tc>
        <w:tc>
          <w:tcPr>
            <w:tcW w:w="12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ind w:right="26"/>
              <w:spacing w:after="0" w:line="122" w:lineRule="exact"/>
              <w:rPr>
                <w:sz w:val="20"/>
                <w:szCs w:val="20"/>
                <w:color w:val="auto"/>
              </w:rPr>
            </w:pPr>
            <w:r>
              <w:rPr>
                <w:rFonts w:ascii="Arial" w:cs="Arial" w:eastAsia="Arial" w:hAnsi="Arial"/>
                <w:sz w:val="11"/>
                <w:szCs w:val="11"/>
                <w:color w:val="231F20"/>
              </w:rPr>
              <w:t>—</w:t>
            </w:r>
          </w:p>
        </w:tc>
        <w:tc>
          <w:tcPr>
            <w:tcW w:w="18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ind w:right="6"/>
              <w:spacing w:after="0" w:line="122" w:lineRule="exact"/>
              <w:rPr>
                <w:sz w:val="20"/>
                <w:szCs w:val="20"/>
                <w:color w:val="auto"/>
              </w:rPr>
            </w:pPr>
            <w:r>
              <w:rPr>
                <w:rFonts w:ascii="Arial" w:cs="Arial" w:eastAsia="Arial" w:hAnsi="Arial"/>
                <w:sz w:val="11"/>
                <w:szCs w:val="11"/>
                <w:color w:val="231F20"/>
              </w:rPr>
              <w:t>(16,406)</w:t>
            </w:r>
          </w:p>
        </w:tc>
        <w:tc>
          <w:tcPr>
            <w:tcW w:w="22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231F20"/>
              </w:rPr>
              <w:t>(16,406)</w:t>
            </w:r>
          </w:p>
        </w:tc>
      </w:tr>
      <w:tr>
        <w:trPr>
          <w:trHeight w:val="115"/>
        </w:trPr>
        <w:tc>
          <w:tcPr>
            <w:tcW w:w="2980" w:type="dxa"/>
            <w:vAlign w:val="bottom"/>
          </w:tcPr>
          <w:p>
            <w:pPr>
              <w:spacing w:after="0" w:line="115" w:lineRule="exact"/>
              <w:rPr>
                <w:sz w:val="20"/>
                <w:szCs w:val="20"/>
                <w:color w:val="auto"/>
              </w:rPr>
            </w:pPr>
            <w:r>
              <w:rPr>
                <w:rFonts w:ascii="Arial" w:cs="Arial" w:eastAsia="Arial" w:hAnsi="Arial"/>
                <w:sz w:val="11"/>
                <w:szCs w:val="11"/>
                <w:color w:val="231F20"/>
              </w:rPr>
              <w:t>Balances at June 30, 2021</w:t>
            </w:r>
          </w:p>
        </w:tc>
        <w:tc>
          <w:tcPr>
            <w:tcW w:w="540" w:type="dxa"/>
            <w:vAlign w:val="bottom"/>
            <w:tcBorders>
              <w:bottom w:val="single" w:sz="8" w:color="auto"/>
            </w:tcBorders>
          </w:tcPr>
          <w:p>
            <w:pPr>
              <w:ind w:left="340"/>
              <w:spacing w:after="0" w:line="115" w:lineRule="exact"/>
              <w:rPr>
                <w:sz w:val="20"/>
                <w:szCs w:val="20"/>
                <w:color w:val="auto"/>
              </w:rPr>
            </w:pPr>
            <w:r>
              <w:rPr>
                <w:rFonts w:ascii="Arial" w:cs="Arial" w:eastAsia="Arial" w:hAnsi="Arial"/>
                <w:sz w:val="11"/>
                <w:szCs w:val="11"/>
                <w:color w:val="231F20"/>
              </w:rPr>
              <w:t>—</w:t>
            </w:r>
          </w:p>
        </w:tc>
        <w:tc>
          <w:tcPr>
            <w:tcW w:w="1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231F20"/>
              </w:rPr>
              <w:t>$</w:t>
            </w:r>
          </w:p>
        </w:tc>
        <w:tc>
          <w:tcPr>
            <w:tcW w:w="620" w:type="dxa"/>
            <w:vAlign w:val="bottom"/>
            <w:tcBorders>
              <w:bottom w:val="single" w:sz="8" w:color="auto"/>
            </w:tcBorders>
            <w:gridSpan w:val="2"/>
          </w:tcPr>
          <w:p>
            <w:pPr>
              <w:ind w:left="340"/>
              <w:spacing w:after="0" w:line="115" w:lineRule="exact"/>
              <w:rPr>
                <w:sz w:val="20"/>
                <w:szCs w:val="20"/>
                <w:color w:val="auto"/>
              </w:rPr>
            </w:pPr>
            <w:r>
              <w:rPr>
                <w:rFonts w:ascii="Arial" w:cs="Arial" w:eastAsia="Arial" w:hAnsi="Arial"/>
                <w:sz w:val="11"/>
                <w:szCs w:val="11"/>
                <w:color w:val="231F20"/>
              </w:rPr>
              <w:t>—</w:t>
            </w:r>
          </w:p>
        </w:tc>
        <w:tc>
          <w:tcPr>
            <w:tcW w:w="640" w:type="dxa"/>
            <w:vAlign w:val="bottom"/>
            <w:tcBorders>
              <w:bottom w:val="single" w:sz="8" w:color="auto"/>
            </w:tcBorders>
          </w:tcPr>
          <w:p>
            <w:pPr>
              <w:jc w:val="right"/>
              <w:ind w:right="26"/>
              <w:spacing w:after="0" w:line="115" w:lineRule="exact"/>
              <w:rPr>
                <w:sz w:val="20"/>
                <w:szCs w:val="20"/>
                <w:color w:val="auto"/>
              </w:rPr>
            </w:pPr>
            <w:r>
              <w:rPr>
                <w:rFonts w:ascii="Arial" w:cs="Arial" w:eastAsia="Arial" w:hAnsi="Arial"/>
                <w:sz w:val="11"/>
                <w:szCs w:val="11"/>
                <w:color w:val="231F20"/>
                <w:w w:val="98"/>
              </w:rPr>
              <w:t>39,552,588</w:t>
            </w:r>
          </w:p>
        </w:tc>
        <w:tc>
          <w:tcPr>
            <w:tcW w:w="1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231F20"/>
              </w:rPr>
              <w:t>$</w:t>
            </w:r>
          </w:p>
        </w:tc>
        <w:tc>
          <w:tcPr>
            <w:tcW w:w="4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231F20"/>
              </w:rPr>
              <w:t>3</w:t>
            </w:r>
          </w:p>
        </w:tc>
        <w:tc>
          <w:tcPr>
            <w:tcW w:w="200" w:type="dxa"/>
            <w:vAlign w:val="bottom"/>
            <w:tcBorders>
              <w:bottom w:val="single" w:sz="8" w:color="auto"/>
            </w:tcBorders>
          </w:tcPr>
          <w:p>
            <w:pPr>
              <w:ind w:left="120"/>
              <w:spacing w:after="0" w:line="115" w:lineRule="exact"/>
              <w:rPr>
                <w:sz w:val="20"/>
                <w:szCs w:val="20"/>
                <w:color w:val="auto"/>
              </w:rPr>
            </w:pPr>
            <w:r>
              <w:rPr>
                <w:rFonts w:ascii="Arial" w:cs="Arial" w:eastAsia="Arial" w:hAnsi="Arial"/>
                <w:sz w:val="11"/>
                <w:szCs w:val="11"/>
                <w:color w:val="231F20"/>
                <w:w w:val="97"/>
              </w:rPr>
              <w:t>$</w:t>
            </w:r>
          </w:p>
        </w:tc>
        <w:tc>
          <w:tcPr>
            <w:tcW w:w="540" w:type="dxa"/>
            <w:vAlign w:val="bottom"/>
            <w:tcBorders>
              <w:bottom w:val="single" w:sz="8" w:color="auto"/>
            </w:tcBorders>
          </w:tcPr>
          <w:p>
            <w:pPr>
              <w:jc w:val="right"/>
              <w:ind w:right="46"/>
              <w:spacing w:after="0" w:line="115" w:lineRule="exact"/>
              <w:rPr>
                <w:sz w:val="20"/>
                <w:szCs w:val="20"/>
                <w:color w:val="auto"/>
              </w:rPr>
            </w:pPr>
            <w:r>
              <w:rPr>
                <w:rFonts w:ascii="Arial" w:cs="Arial" w:eastAsia="Arial" w:hAnsi="Arial"/>
                <w:sz w:val="11"/>
                <w:szCs w:val="11"/>
                <w:color w:val="231F20"/>
              </w:rPr>
              <w:t>378,934</w:t>
            </w:r>
          </w:p>
        </w:tc>
        <w:tc>
          <w:tcPr>
            <w:tcW w:w="1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231F20"/>
              </w:rPr>
              <w:t>$</w:t>
            </w:r>
          </w:p>
        </w:tc>
        <w:tc>
          <w:tcPr>
            <w:tcW w:w="8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231F20"/>
              </w:rPr>
              <w:t>(14)</w:t>
            </w:r>
          </w:p>
        </w:tc>
        <w:tc>
          <w:tcPr>
            <w:tcW w:w="1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231F20"/>
              </w:rPr>
              <w:t>$</w:t>
            </w:r>
          </w:p>
        </w:tc>
        <w:tc>
          <w:tcPr>
            <w:tcW w:w="620" w:type="dxa"/>
            <w:vAlign w:val="bottom"/>
            <w:tcBorders>
              <w:bottom w:val="single" w:sz="8" w:color="auto"/>
            </w:tcBorders>
          </w:tcPr>
          <w:p>
            <w:pPr>
              <w:jc w:val="right"/>
              <w:ind w:right="6"/>
              <w:spacing w:after="0" w:line="115" w:lineRule="exact"/>
              <w:rPr>
                <w:sz w:val="20"/>
                <w:szCs w:val="20"/>
                <w:color w:val="auto"/>
              </w:rPr>
            </w:pPr>
            <w:r>
              <w:rPr>
                <w:rFonts w:ascii="Arial" w:cs="Arial" w:eastAsia="Arial" w:hAnsi="Arial"/>
                <w:sz w:val="11"/>
                <w:szCs w:val="11"/>
                <w:color w:val="231F20"/>
              </w:rPr>
              <w:t>(64,839)</w:t>
            </w:r>
          </w:p>
        </w:tc>
        <w:tc>
          <w:tcPr>
            <w:tcW w:w="220" w:type="dxa"/>
            <w:vAlign w:val="bottom"/>
            <w:tcBorders>
              <w:bottom w:val="single" w:sz="8" w:color="auto"/>
            </w:tcBorders>
          </w:tcPr>
          <w:p>
            <w:pPr>
              <w:jc w:val="right"/>
              <w:ind w:right="6"/>
              <w:spacing w:after="0" w:line="115" w:lineRule="exact"/>
              <w:rPr>
                <w:sz w:val="20"/>
                <w:szCs w:val="20"/>
                <w:color w:val="auto"/>
              </w:rPr>
            </w:pPr>
            <w:r>
              <w:rPr>
                <w:rFonts w:ascii="Arial" w:cs="Arial" w:eastAsia="Arial" w:hAnsi="Arial"/>
                <w:sz w:val="11"/>
                <w:szCs w:val="11"/>
                <w:color w:val="231F20"/>
              </w:rPr>
              <w:t>$</w:t>
            </w:r>
          </w:p>
        </w:tc>
        <w:tc>
          <w:tcPr>
            <w:tcW w:w="5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231F20"/>
              </w:rPr>
              <w:t>314,084</w:t>
            </w:r>
          </w:p>
        </w:tc>
      </w:tr>
      <w:tr>
        <w:trPr>
          <w:trHeight w:val="20"/>
        </w:trPr>
        <w:tc>
          <w:tcPr>
            <w:tcW w:w="29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154305</wp:posOffset>
            </wp:positionV>
            <wp:extent cx="56489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4896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760"/>
        <w:spacing w:after="0" w:line="230" w:lineRule="auto"/>
        <w:rPr>
          <w:sz w:val="20"/>
          <w:szCs w:val="20"/>
          <w:color w:val="auto"/>
        </w:rPr>
      </w:pPr>
      <w:r>
        <w:rPr>
          <w:rFonts w:ascii="Arial" w:cs="Arial" w:eastAsia="Arial" w:hAnsi="Arial"/>
          <w:sz w:val="11"/>
          <w:szCs w:val="11"/>
          <w:color w:val="231F20"/>
        </w:rPr>
        <w:t xml:space="preserve">Balances at December 31, 2020 </w:t>
      </w:r>
      <w:r>
        <w:rPr>
          <w:rFonts w:ascii="Arial" w:cs="Arial" w:eastAsia="Arial" w:hAnsi="Arial"/>
          <w:sz w:val="11"/>
          <w:szCs w:val="11"/>
          <w:color w:val="000000"/>
        </w:rPr>
        <w:t>Vesting of early exercised stock options Vesting of restricted stock awards Exercise of stock options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0"/>
          <w:szCs w:val="10"/>
          <w:color w:val="auto"/>
        </w:rPr>
        <w:t>Issuance of shares under the employee stock purchase</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1"/>
          <w:szCs w:val="11"/>
          <w:color w:val="auto"/>
        </w:rPr>
        <w:t>plan</w:t>
      </w:r>
    </w:p>
    <w:p>
      <w:pPr>
        <w:ind w:left="60"/>
        <w:spacing w:after="0" w:line="230" w:lineRule="auto"/>
        <w:rPr>
          <w:sz w:val="20"/>
          <w:szCs w:val="20"/>
          <w:color w:val="auto"/>
        </w:rPr>
      </w:pPr>
      <w:r>
        <w:rPr>
          <w:rFonts w:ascii="Arial" w:cs="Arial" w:eastAsia="Arial" w:hAnsi="Arial"/>
          <w:sz w:val="11"/>
          <w:szCs w:val="11"/>
          <w:color w:val="auto"/>
        </w:rPr>
        <w:t>Stock-based compensation expense</w:t>
      </w:r>
    </w:p>
    <w:p>
      <w:pPr>
        <w:ind w:left="60"/>
        <w:spacing w:after="0" w:line="231" w:lineRule="auto"/>
        <w:rPr>
          <w:sz w:val="20"/>
          <w:szCs w:val="20"/>
          <w:color w:val="auto"/>
        </w:rPr>
      </w:pPr>
      <w:r>
        <w:rPr>
          <w:rFonts w:ascii="Arial" w:cs="Arial" w:eastAsia="Arial" w:hAnsi="Arial"/>
          <w:sz w:val="11"/>
          <w:szCs w:val="11"/>
          <w:color w:val="231F20"/>
        </w:rPr>
        <w:t>Employee stock purchase plan expense</w:t>
      </w:r>
    </w:p>
    <w:p>
      <w:pPr>
        <w:ind w:left="60"/>
        <w:spacing w:after="0" w:line="230" w:lineRule="auto"/>
        <w:rPr>
          <w:sz w:val="20"/>
          <w:szCs w:val="20"/>
          <w:color w:val="auto"/>
        </w:rPr>
      </w:pPr>
      <w:r>
        <w:rPr>
          <w:rFonts w:ascii="Arial" w:cs="Arial" w:eastAsia="Arial" w:hAnsi="Arial"/>
          <w:sz w:val="11"/>
          <w:szCs w:val="11"/>
          <w:color w:val="231F20"/>
        </w:rPr>
        <w:t>Net unrealized loss on marketable securities</w:t>
      </w:r>
    </w:p>
    <w:p>
      <w:pPr>
        <w:ind w:left="60"/>
        <w:spacing w:after="0"/>
        <w:rPr>
          <w:sz w:val="20"/>
          <w:szCs w:val="20"/>
          <w:color w:val="auto"/>
        </w:rPr>
      </w:pPr>
      <w:r>
        <w:rPr>
          <w:rFonts w:ascii="Arial" w:cs="Arial" w:eastAsia="Arial" w:hAnsi="Arial"/>
          <w:sz w:val="11"/>
          <w:szCs w:val="11"/>
          <w:color w:val="231F20"/>
        </w:rPr>
        <w:t>Net loss</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1"/>
          <w:szCs w:val="11"/>
          <w:color w:val="231F20"/>
        </w:rPr>
        <w:t>Balances at June 30, 2021</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2"/>
        </w:trPr>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w w:val="98"/>
              </w:rPr>
              <w:t>Accumulated</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55"/>
        </w:trPr>
        <w:tc>
          <w:tcPr>
            <w:tcW w:w="1300" w:type="dxa"/>
            <w:vAlign w:val="bottom"/>
            <w:gridSpan w:val="4"/>
          </w:tcPr>
          <w:p>
            <w:pPr>
              <w:ind w:left="280"/>
              <w:spacing w:after="0"/>
              <w:rPr>
                <w:sz w:val="20"/>
                <w:szCs w:val="20"/>
                <w:color w:val="auto"/>
              </w:rPr>
            </w:pPr>
            <w:r>
              <w:rPr>
                <w:rFonts w:ascii="Arial" w:cs="Arial" w:eastAsia="Arial" w:hAnsi="Arial"/>
                <w:sz w:val="11"/>
                <w:szCs w:val="11"/>
                <w:b w:val="1"/>
                <w:bCs w:val="1"/>
                <w:color w:val="auto"/>
              </w:rPr>
              <w:t>Convertible</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gridSpan w:val="2"/>
          </w:tcPr>
          <w:p>
            <w:pPr>
              <w:ind w:left="140"/>
              <w:spacing w:after="0"/>
              <w:rPr>
                <w:sz w:val="20"/>
                <w:szCs w:val="20"/>
                <w:color w:val="auto"/>
              </w:rPr>
            </w:pPr>
            <w:r>
              <w:rPr>
                <w:rFonts w:ascii="Arial" w:cs="Arial" w:eastAsia="Arial" w:hAnsi="Arial"/>
                <w:sz w:val="11"/>
                <w:szCs w:val="11"/>
                <w:b w:val="1"/>
                <w:bCs w:val="1"/>
                <w:color w:val="auto"/>
              </w:rPr>
              <w:t>Additional</w:t>
            </w:r>
          </w:p>
        </w:tc>
        <w:tc>
          <w:tcPr>
            <w:tcW w:w="1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w w:val="95"/>
              </w:rPr>
              <w:t>Other</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jc w:val="right"/>
              <w:ind w:right="186"/>
              <w:spacing w:after="0"/>
              <w:rPr>
                <w:sz w:val="20"/>
                <w:szCs w:val="20"/>
                <w:color w:val="auto"/>
              </w:rPr>
            </w:pPr>
            <w:r>
              <w:rPr>
                <w:rFonts w:ascii="Arial" w:cs="Arial" w:eastAsia="Arial" w:hAnsi="Arial"/>
                <w:sz w:val="11"/>
                <w:szCs w:val="11"/>
                <w:b w:val="1"/>
                <w:bCs w:val="1"/>
                <w:color w:val="auto"/>
              </w:rPr>
              <w:t>Total</w:t>
            </w:r>
          </w:p>
        </w:tc>
      </w:tr>
      <w:tr>
        <w:trPr>
          <w:trHeight w:val="130"/>
        </w:trPr>
        <w:tc>
          <w:tcPr>
            <w:tcW w:w="1300" w:type="dxa"/>
            <w:vAlign w:val="bottom"/>
            <w:gridSpan w:val="4"/>
          </w:tcPr>
          <w:p>
            <w:pPr>
              <w:ind w:left="180"/>
              <w:spacing w:after="0" w:line="122" w:lineRule="exact"/>
              <w:rPr>
                <w:sz w:val="20"/>
                <w:szCs w:val="20"/>
                <w:color w:val="auto"/>
              </w:rPr>
            </w:pPr>
            <w:r>
              <w:rPr>
                <w:rFonts w:ascii="Arial" w:cs="Arial" w:eastAsia="Arial" w:hAnsi="Arial"/>
                <w:sz w:val="11"/>
                <w:szCs w:val="11"/>
                <w:b w:val="1"/>
                <w:bCs w:val="1"/>
                <w:color w:val="auto"/>
              </w:rPr>
              <w:t>Preferred Stock</w:t>
            </w:r>
          </w:p>
        </w:tc>
        <w:tc>
          <w:tcPr>
            <w:tcW w:w="1280" w:type="dxa"/>
            <w:vAlign w:val="bottom"/>
            <w:gridSpan w:val="3"/>
          </w:tcPr>
          <w:p>
            <w:pPr>
              <w:jc w:val="right"/>
              <w:ind w:right="186"/>
              <w:spacing w:after="0" w:line="122" w:lineRule="exact"/>
              <w:rPr>
                <w:sz w:val="20"/>
                <w:szCs w:val="20"/>
                <w:color w:val="auto"/>
              </w:rPr>
            </w:pPr>
            <w:r>
              <w:rPr>
                <w:rFonts w:ascii="Arial" w:cs="Arial" w:eastAsia="Arial" w:hAnsi="Arial"/>
                <w:sz w:val="11"/>
                <w:szCs w:val="11"/>
                <w:b w:val="1"/>
                <w:bCs w:val="1"/>
                <w:color w:val="auto"/>
              </w:rPr>
              <w:t>Common Stock</w:t>
            </w:r>
          </w:p>
        </w:tc>
        <w:tc>
          <w:tcPr>
            <w:tcW w:w="200" w:type="dxa"/>
            <w:vAlign w:val="bottom"/>
          </w:tcPr>
          <w:p>
            <w:pPr>
              <w:spacing w:after="0"/>
              <w:rPr>
                <w:sz w:val="11"/>
                <w:szCs w:val="11"/>
                <w:color w:val="auto"/>
              </w:rPr>
            </w:pPr>
          </w:p>
        </w:tc>
        <w:tc>
          <w:tcPr>
            <w:tcW w:w="540" w:type="dxa"/>
            <w:vAlign w:val="bottom"/>
          </w:tcPr>
          <w:p>
            <w:pPr>
              <w:jc w:val="right"/>
              <w:ind w:right="106"/>
              <w:spacing w:after="0" w:line="122" w:lineRule="exact"/>
              <w:rPr>
                <w:sz w:val="20"/>
                <w:szCs w:val="20"/>
                <w:color w:val="auto"/>
              </w:rPr>
            </w:pPr>
            <w:r>
              <w:rPr>
                <w:rFonts w:ascii="Arial" w:cs="Arial" w:eastAsia="Arial" w:hAnsi="Arial"/>
                <w:sz w:val="11"/>
                <w:szCs w:val="11"/>
                <w:b w:val="1"/>
                <w:bCs w:val="1"/>
                <w:color w:val="auto"/>
                <w:w w:val="98"/>
              </w:rPr>
              <w:t>Paid-in</w:t>
            </w:r>
          </w:p>
        </w:tc>
        <w:tc>
          <w:tcPr>
            <w:tcW w:w="120" w:type="dxa"/>
            <w:vAlign w:val="bottom"/>
          </w:tcPr>
          <w:p>
            <w:pPr>
              <w:spacing w:after="0"/>
              <w:rPr>
                <w:sz w:val="11"/>
                <w:szCs w:val="11"/>
                <w:color w:val="auto"/>
              </w:rPr>
            </w:pP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Comprehensive</w:t>
            </w:r>
          </w:p>
        </w:tc>
        <w:tc>
          <w:tcPr>
            <w:tcW w:w="8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Accumulated</w:t>
            </w:r>
          </w:p>
        </w:tc>
        <w:tc>
          <w:tcPr>
            <w:tcW w:w="80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w w:val="96"/>
              </w:rPr>
              <w:t>Stockholders'</w:t>
            </w:r>
          </w:p>
        </w:tc>
      </w:tr>
      <w:tr>
        <w:trPr>
          <w:trHeight w:val="122"/>
        </w:trPr>
        <w:tc>
          <w:tcPr>
            <w:tcW w:w="540" w:type="dxa"/>
            <w:vAlign w:val="bottom"/>
            <w:tcBorders>
              <w:top w:val="single" w:sz="8" w:color="auto"/>
              <w:bottom w:val="single" w:sz="8" w:color="auto"/>
            </w:tcBorders>
          </w:tcPr>
          <w:p>
            <w:pPr>
              <w:ind w:left="60"/>
              <w:spacing w:after="0" w:line="122" w:lineRule="exact"/>
              <w:rPr>
                <w:sz w:val="20"/>
                <w:szCs w:val="20"/>
                <w:color w:val="auto"/>
              </w:rPr>
            </w:pPr>
            <w:r>
              <w:rPr>
                <w:rFonts w:ascii="Arial" w:cs="Arial" w:eastAsia="Arial" w:hAnsi="Arial"/>
                <w:sz w:val="11"/>
                <w:szCs w:val="11"/>
                <w:b w:val="1"/>
                <w:bCs w:val="1"/>
                <w:color w:val="231F20"/>
              </w:rPr>
              <w:t>Shares</w:t>
            </w:r>
          </w:p>
        </w:tc>
        <w:tc>
          <w:tcPr>
            <w:tcW w:w="14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spacing w:after="0" w:line="122" w:lineRule="exact"/>
              <w:rPr>
                <w:sz w:val="20"/>
                <w:szCs w:val="20"/>
                <w:color w:val="auto"/>
              </w:rPr>
            </w:pPr>
            <w:r>
              <w:rPr>
                <w:rFonts w:ascii="Arial" w:cs="Arial" w:eastAsia="Arial" w:hAnsi="Arial"/>
                <w:sz w:val="11"/>
                <w:szCs w:val="11"/>
                <w:b w:val="1"/>
                <w:bCs w:val="1"/>
                <w:color w:val="231F20"/>
              </w:rPr>
              <w:t>Amount</w:t>
            </w:r>
          </w:p>
        </w:tc>
        <w:tc>
          <w:tcPr>
            <w:tcW w:w="12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ind w:right="106"/>
              <w:spacing w:after="0" w:line="122" w:lineRule="exact"/>
              <w:rPr>
                <w:sz w:val="20"/>
                <w:szCs w:val="20"/>
                <w:color w:val="auto"/>
              </w:rPr>
            </w:pPr>
            <w:r>
              <w:rPr>
                <w:rFonts w:ascii="Arial" w:cs="Arial" w:eastAsia="Arial" w:hAnsi="Arial"/>
                <w:sz w:val="11"/>
                <w:szCs w:val="11"/>
                <w:b w:val="1"/>
                <w:bCs w:val="1"/>
                <w:color w:val="231F20"/>
              </w:rPr>
              <w:t>Shares</w:t>
            </w:r>
          </w:p>
        </w:tc>
        <w:tc>
          <w:tcPr>
            <w:tcW w:w="16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26"/>
              <w:spacing w:after="0" w:line="122" w:lineRule="exact"/>
              <w:rPr>
                <w:sz w:val="20"/>
                <w:szCs w:val="20"/>
                <w:color w:val="auto"/>
              </w:rPr>
            </w:pPr>
            <w:r>
              <w:rPr>
                <w:rFonts w:ascii="Arial" w:cs="Arial" w:eastAsia="Arial" w:hAnsi="Arial"/>
                <w:sz w:val="11"/>
                <w:szCs w:val="11"/>
                <w:b w:val="1"/>
                <w:bCs w:val="1"/>
                <w:color w:val="231F20"/>
                <w:w w:val="91"/>
              </w:rPr>
              <w:t>Amount</w:t>
            </w: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06"/>
              <w:spacing w:after="0" w:line="122" w:lineRule="exact"/>
              <w:rPr>
                <w:sz w:val="20"/>
                <w:szCs w:val="20"/>
                <w:color w:val="auto"/>
              </w:rPr>
            </w:pPr>
            <w:r>
              <w:rPr>
                <w:rFonts w:ascii="Arial" w:cs="Arial" w:eastAsia="Arial" w:hAnsi="Arial"/>
                <w:sz w:val="11"/>
                <w:szCs w:val="11"/>
                <w:b w:val="1"/>
                <w:bCs w:val="1"/>
                <w:color w:val="231F20"/>
                <w:w w:val="98"/>
              </w:rPr>
              <w:t>Capital</w:t>
            </w: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spacing w:after="0" w:line="113" w:lineRule="exact"/>
              <w:rPr>
                <w:sz w:val="20"/>
                <w:szCs w:val="20"/>
                <w:color w:val="auto"/>
              </w:rPr>
            </w:pPr>
            <w:r>
              <w:rPr>
                <w:rFonts w:ascii="Arial" w:cs="Arial" w:eastAsia="Arial" w:hAnsi="Arial"/>
                <w:sz w:val="11"/>
                <w:szCs w:val="11"/>
                <w:b w:val="1"/>
                <w:bCs w:val="1"/>
                <w:color w:val="231F20"/>
                <w:w w:val="93"/>
              </w:rPr>
              <w:t>Loss</w:t>
            </w: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86"/>
              <w:spacing w:after="0" w:line="122" w:lineRule="exact"/>
              <w:rPr>
                <w:sz w:val="20"/>
                <w:szCs w:val="20"/>
                <w:color w:val="auto"/>
              </w:rPr>
            </w:pPr>
            <w:r>
              <w:rPr>
                <w:rFonts w:ascii="Arial" w:cs="Arial" w:eastAsia="Arial" w:hAnsi="Arial"/>
                <w:sz w:val="11"/>
                <w:szCs w:val="11"/>
                <w:b w:val="1"/>
                <w:bCs w:val="1"/>
                <w:color w:val="231F20"/>
              </w:rPr>
              <w:t>Deficit</w:t>
            </w:r>
          </w:p>
        </w:tc>
        <w:tc>
          <w:tcPr>
            <w:tcW w:w="2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46"/>
              <w:spacing w:after="0" w:line="122" w:lineRule="exact"/>
              <w:rPr>
                <w:sz w:val="20"/>
                <w:szCs w:val="20"/>
                <w:color w:val="auto"/>
              </w:rPr>
            </w:pPr>
            <w:r>
              <w:rPr>
                <w:rFonts w:ascii="Arial" w:cs="Arial" w:eastAsia="Arial" w:hAnsi="Arial"/>
                <w:sz w:val="11"/>
                <w:szCs w:val="11"/>
                <w:b w:val="1"/>
                <w:bCs w:val="1"/>
                <w:color w:val="231F20"/>
              </w:rPr>
              <w:t>Equity</w:t>
            </w:r>
          </w:p>
        </w:tc>
      </w:tr>
      <w:tr>
        <w:trPr>
          <w:trHeight w:val="112"/>
        </w:trPr>
        <w:tc>
          <w:tcPr>
            <w:tcW w:w="540" w:type="dxa"/>
            <w:vAlign w:val="bottom"/>
          </w:tcPr>
          <w:p>
            <w:pPr>
              <w:ind w:left="340"/>
              <w:spacing w:after="0" w:line="112" w:lineRule="exact"/>
              <w:rPr>
                <w:sz w:val="20"/>
                <w:szCs w:val="20"/>
                <w:color w:val="auto"/>
              </w:rPr>
            </w:pPr>
            <w:r>
              <w:rPr>
                <w:rFonts w:ascii="Arial" w:cs="Arial" w:eastAsia="Arial" w:hAnsi="Arial"/>
                <w:sz w:val="11"/>
                <w:szCs w:val="11"/>
                <w:color w:val="231F20"/>
              </w:rPr>
              <w:t>—</w:t>
            </w:r>
          </w:p>
        </w:tc>
        <w:tc>
          <w:tcPr>
            <w:tcW w:w="140" w:type="dxa"/>
            <w:vAlign w:val="bottom"/>
          </w:tcPr>
          <w:p>
            <w:pPr>
              <w:jc w:val="right"/>
              <w:spacing w:after="0" w:line="112" w:lineRule="exact"/>
              <w:rPr>
                <w:sz w:val="20"/>
                <w:szCs w:val="20"/>
                <w:color w:val="auto"/>
              </w:rPr>
            </w:pPr>
            <w:r>
              <w:rPr>
                <w:rFonts w:ascii="Arial" w:cs="Arial" w:eastAsia="Arial" w:hAnsi="Arial"/>
                <w:sz w:val="11"/>
                <w:szCs w:val="11"/>
                <w:color w:val="231F20"/>
              </w:rPr>
              <w:t>$</w:t>
            </w:r>
          </w:p>
        </w:tc>
        <w:tc>
          <w:tcPr>
            <w:tcW w:w="500" w:type="dxa"/>
            <w:vAlign w:val="bottom"/>
          </w:tcPr>
          <w:p>
            <w:pPr>
              <w:ind w:left="340"/>
              <w:spacing w:after="0" w:line="112" w:lineRule="exact"/>
              <w:rPr>
                <w:sz w:val="20"/>
                <w:szCs w:val="20"/>
                <w:color w:val="auto"/>
              </w:rPr>
            </w:pPr>
            <w:r>
              <w:rPr>
                <w:rFonts w:ascii="Arial" w:cs="Arial" w:eastAsia="Arial" w:hAnsi="Arial"/>
                <w:sz w:val="11"/>
                <w:szCs w:val="11"/>
                <w:color w:val="231F20"/>
              </w:rPr>
              <w:t>—</w:t>
            </w:r>
          </w:p>
        </w:tc>
        <w:tc>
          <w:tcPr>
            <w:tcW w:w="120" w:type="dxa"/>
            <w:vAlign w:val="bottom"/>
          </w:tcPr>
          <w:p>
            <w:pPr>
              <w:spacing w:after="0"/>
              <w:rPr>
                <w:sz w:val="9"/>
                <w:szCs w:val="9"/>
                <w:color w:val="auto"/>
              </w:rPr>
            </w:pPr>
          </w:p>
        </w:tc>
        <w:tc>
          <w:tcPr>
            <w:tcW w:w="640" w:type="dxa"/>
            <w:vAlign w:val="bottom"/>
          </w:tcPr>
          <w:p>
            <w:pPr>
              <w:jc w:val="right"/>
              <w:ind w:right="26"/>
              <w:spacing w:after="0" w:line="112" w:lineRule="exact"/>
              <w:rPr>
                <w:sz w:val="20"/>
                <w:szCs w:val="20"/>
                <w:color w:val="auto"/>
              </w:rPr>
            </w:pPr>
            <w:r>
              <w:rPr>
                <w:rFonts w:ascii="Arial" w:cs="Arial" w:eastAsia="Arial" w:hAnsi="Arial"/>
                <w:sz w:val="11"/>
                <w:szCs w:val="11"/>
                <w:color w:val="231F20"/>
                <w:w w:val="98"/>
              </w:rPr>
              <w:t>39,308,238</w:t>
            </w:r>
          </w:p>
        </w:tc>
        <w:tc>
          <w:tcPr>
            <w:tcW w:w="160" w:type="dxa"/>
            <w:vAlign w:val="bottom"/>
          </w:tcPr>
          <w:p>
            <w:pPr>
              <w:jc w:val="right"/>
              <w:spacing w:after="0" w:line="112" w:lineRule="exact"/>
              <w:rPr>
                <w:sz w:val="20"/>
                <w:szCs w:val="20"/>
                <w:color w:val="auto"/>
              </w:rPr>
            </w:pPr>
            <w:r>
              <w:rPr>
                <w:rFonts w:ascii="Arial" w:cs="Arial" w:eastAsia="Arial" w:hAnsi="Arial"/>
                <w:sz w:val="11"/>
                <w:szCs w:val="11"/>
                <w:color w:val="231F20"/>
              </w:rPr>
              <w:t>$</w:t>
            </w:r>
          </w:p>
        </w:tc>
        <w:tc>
          <w:tcPr>
            <w:tcW w:w="480" w:type="dxa"/>
            <w:vAlign w:val="bottom"/>
          </w:tcPr>
          <w:p>
            <w:pPr>
              <w:jc w:val="right"/>
              <w:spacing w:after="0" w:line="112" w:lineRule="exact"/>
              <w:rPr>
                <w:sz w:val="20"/>
                <w:szCs w:val="20"/>
                <w:color w:val="auto"/>
              </w:rPr>
            </w:pPr>
            <w:r>
              <w:rPr>
                <w:rFonts w:ascii="Arial" w:cs="Arial" w:eastAsia="Arial" w:hAnsi="Arial"/>
                <w:sz w:val="11"/>
                <w:szCs w:val="11"/>
                <w:color w:val="231F20"/>
              </w:rPr>
              <w:t>3</w:t>
            </w:r>
          </w:p>
        </w:tc>
        <w:tc>
          <w:tcPr>
            <w:tcW w:w="200" w:type="dxa"/>
            <w:vAlign w:val="bottom"/>
          </w:tcPr>
          <w:p>
            <w:pPr>
              <w:ind w:left="120"/>
              <w:spacing w:after="0" w:line="112" w:lineRule="exact"/>
              <w:rPr>
                <w:sz w:val="20"/>
                <w:szCs w:val="20"/>
                <w:color w:val="auto"/>
              </w:rPr>
            </w:pPr>
            <w:r>
              <w:rPr>
                <w:rFonts w:ascii="Arial" w:cs="Arial" w:eastAsia="Arial" w:hAnsi="Arial"/>
                <w:sz w:val="11"/>
                <w:szCs w:val="11"/>
                <w:color w:val="231F20"/>
                <w:w w:val="97"/>
              </w:rPr>
              <w:t>$</w:t>
            </w:r>
          </w:p>
        </w:tc>
        <w:tc>
          <w:tcPr>
            <w:tcW w:w="540" w:type="dxa"/>
            <w:vAlign w:val="bottom"/>
          </w:tcPr>
          <w:p>
            <w:pPr>
              <w:jc w:val="right"/>
              <w:ind w:right="46"/>
              <w:spacing w:after="0" w:line="112" w:lineRule="exact"/>
              <w:rPr>
                <w:sz w:val="20"/>
                <w:szCs w:val="20"/>
                <w:color w:val="auto"/>
              </w:rPr>
            </w:pPr>
            <w:r>
              <w:rPr>
                <w:rFonts w:ascii="Arial" w:cs="Arial" w:eastAsia="Arial" w:hAnsi="Arial"/>
                <w:sz w:val="11"/>
                <w:szCs w:val="11"/>
                <w:color w:val="231F20"/>
              </w:rPr>
              <w:t>371,228</w:t>
            </w:r>
          </w:p>
        </w:tc>
        <w:tc>
          <w:tcPr>
            <w:tcW w:w="120" w:type="dxa"/>
            <w:vAlign w:val="bottom"/>
          </w:tcPr>
          <w:p>
            <w:pPr>
              <w:jc w:val="right"/>
              <w:spacing w:after="0" w:line="112" w:lineRule="exact"/>
              <w:rPr>
                <w:sz w:val="20"/>
                <w:szCs w:val="20"/>
                <w:color w:val="auto"/>
              </w:rPr>
            </w:pPr>
            <w:r>
              <w:rPr>
                <w:rFonts w:ascii="Arial" w:cs="Arial" w:eastAsia="Arial" w:hAnsi="Arial"/>
                <w:sz w:val="11"/>
                <w:szCs w:val="11"/>
                <w:color w:val="231F20"/>
              </w:rPr>
              <w:t>$</w:t>
            </w:r>
          </w:p>
        </w:tc>
        <w:tc>
          <w:tcPr>
            <w:tcW w:w="880" w:type="dxa"/>
            <w:vAlign w:val="bottom"/>
          </w:tcPr>
          <w:p>
            <w:pPr>
              <w:jc w:val="right"/>
              <w:ind w:right="26"/>
              <w:spacing w:after="0" w:line="112" w:lineRule="exact"/>
              <w:rPr>
                <w:sz w:val="20"/>
                <w:szCs w:val="20"/>
                <w:color w:val="auto"/>
              </w:rPr>
            </w:pPr>
            <w:r>
              <w:rPr>
                <w:rFonts w:ascii="Arial" w:cs="Arial" w:eastAsia="Arial" w:hAnsi="Arial"/>
                <w:sz w:val="11"/>
                <w:szCs w:val="11"/>
                <w:color w:val="231F20"/>
              </w:rPr>
              <w:t>—</w:t>
            </w:r>
          </w:p>
        </w:tc>
        <w:tc>
          <w:tcPr>
            <w:tcW w:w="180" w:type="dxa"/>
            <w:vAlign w:val="bottom"/>
          </w:tcPr>
          <w:p>
            <w:pPr>
              <w:ind w:left="80"/>
              <w:spacing w:after="0" w:line="112" w:lineRule="exact"/>
              <w:rPr>
                <w:sz w:val="20"/>
                <w:szCs w:val="20"/>
                <w:color w:val="auto"/>
              </w:rPr>
            </w:pPr>
            <w:r>
              <w:rPr>
                <w:rFonts w:ascii="Arial" w:cs="Arial" w:eastAsia="Arial" w:hAnsi="Arial"/>
                <w:sz w:val="11"/>
                <w:szCs w:val="11"/>
                <w:color w:val="231F20"/>
              </w:rPr>
              <w:t>$</w:t>
            </w:r>
          </w:p>
        </w:tc>
        <w:tc>
          <w:tcPr>
            <w:tcW w:w="620" w:type="dxa"/>
            <w:vAlign w:val="bottom"/>
          </w:tcPr>
          <w:p>
            <w:pPr>
              <w:jc w:val="right"/>
              <w:ind w:right="6"/>
              <w:spacing w:after="0" w:line="112" w:lineRule="exact"/>
              <w:rPr>
                <w:sz w:val="20"/>
                <w:szCs w:val="20"/>
                <w:color w:val="auto"/>
              </w:rPr>
            </w:pPr>
            <w:r>
              <w:rPr>
                <w:rFonts w:ascii="Arial" w:cs="Arial" w:eastAsia="Arial" w:hAnsi="Arial"/>
                <w:sz w:val="11"/>
                <w:szCs w:val="11"/>
                <w:color w:val="231F20"/>
              </w:rPr>
              <w:t>(33,094)</w:t>
            </w:r>
          </w:p>
        </w:tc>
        <w:tc>
          <w:tcPr>
            <w:tcW w:w="220" w:type="dxa"/>
            <w:vAlign w:val="bottom"/>
          </w:tcPr>
          <w:p>
            <w:pPr>
              <w:ind w:left="100"/>
              <w:spacing w:after="0" w:line="112" w:lineRule="exact"/>
              <w:rPr>
                <w:sz w:val="20"/>
                <w:szCs w:val="20"/>
                <w:color w:val="auto"/>
              </w:rPr>
            </w:pPr>
            <w:r>
              <w:rPr>
                <w:rFonts w:ascii="Arial" w:cs="Arial" w:eastAsia="Arial" w:hAnsi="Arial"/>
                <w:sz w:val="11"/>
                <w:szCs w:val="11"/>
                <w:color w:val="231F20"/>
              </w:rPr>
              <w:t>$</w:t>
            </w:r>
          </w:p>
        </w:tc>
        <w:tc>
          <w:tcPr>
            <w:tcW w:w="580" w:type="dxa"/>
            <w:vAlign w:val="bottom"/>
          </w:tcPr>
          <w:p>
            <w:pPr>
              <w:jc w:val="right"/>
              <w:spacing w:after="0" w:line="112" w:lineRule="exact"/>
              <w:rPr>
                <w:sz w:val="20"/>
                <w:szCs w:val="20"/>
                <w:color w:val="auto"/>
              </w:rPr>
            </w:pPr>
            <w:r>
              <w:rPr>
                <w:rFonts w:ascii="Arial" w:cs="Arial" w:eastAsia="Arial" w:hAnsi="Arial"/>
                <w:sz w:val="11"/>
                <w:szCs w:val="11"/>
                <w:color w:val="231F20"/>
              </w:rPr>
              <w:t>338,137</w:t>
            </w:r>
          </w:p>
        </w:tc>
      </w:tr>
      <w:tr>
        <w:trPr>
          <w:trHeight w:val="121"/>
        </w:trPr>
        <w:tc>
          <w:tcPr>
            <w:tcW w:w="540" w:type="dxa"/>
            <w:vAlign w:val="bottom"/>
          </w:tcPr>
          <w:p>
            <w:pPr>
              <w:ind w:left="340"/>
              <w:spacing w:after="0" w:line="122" w:lineRule="exact"/>
              <w:rPr>
                <w:sz w:val="20"/>
                <w:szCs w:val="20"/>
                <w:color w:val="auto"/>
              </w:rPr>
            </w:pPr>
            <w:r>
              <w:rPr>
                <w:rFonts w:ascii="Arial" w:cs="Arial" w:eastAsia="Arial" w:hAnsi="Arial"/>
                <w:sz w:val="11"/>
                <w:szCs w:val="11"/>
                <w:color w:val="231F20"/>
              </w:rPr>
              <w:t>—</w:t>
            </w:r>
          </w:p>
        </w:tc>
        <w:tc>
          <w:tcPr>
            <w:tcW w:w="140" w:type="dxa"/>
            <w:vAlign w:val="bottom"/>
          </w:tcPr>
          <w:p>
            <w:pPr>
              <w:spacing w:after="0"/>
              <w:rPr>
                <w:sz w:val="10"/>
                <w:szCs w:val="10"/>
                <w:color w:val="auto"/>
              </w:rPr>
            </w:pPr>
          </w:p>
        </w:tc>
        <w:tc>
          <w:tcPr>
            <w:tcW w:w="620" w:type="dxa"/>
            <w:vAlign w:val="bottom"/>
            <w:gridSpan w:val="2"/>
          </w:tcPr>
          <w:p>
            <w:pPr>
              <w:ind w:left="340"/>
              <w:spacing w:after="0" w:line="122" w:lineRule="exact"/>
              <w:rPr>
                <w:sz w:val="20"/>
                <w:szCs w:val="20"/>
                <w:color w:val="auto"/>
              </w:rPr>
            </w:pPr>
            <w:r>
              <w:rPr>
                <w:rFonts w:ascii="Arial" w:cs="Arial" w:eastAsia="Arial" w:hAnsi="Arial"/>
                <w:sz w:val="11"/>
                <w:szCs w:val="11"/>
                <w:color w:val="231F20"/>
              </w:rPr>
              <w:t>—</w:t>
            </w:r>
          </w:p>
        </w:tc>
        <w:tc>
          <w:tcPr>
            <w:tcW w:w="640" w:type="dxa"/>
            <w:vAlign w:val="bottom"/>
          </w:tcPr>
          <w:p>
            <w:pPr>
              <w:jc w:val="right"/>
              <w:ind w:right="26"/>
              <w:spacing w:after="0" w:line="122" w:lineRule="exact"/>
              <w:rPr>
                <w:sz w:val="20"/>
                <w:szCs w:val="20"/>
                <w:color w:val="auto"/>
              </w:rPr>
            </w:pPr>
            <w:r>
              <w:rPr>
                <w:rFonts w:ascii="Arial" w:cs="Arial" w:eastAsia="Arial" w:hAnsi="Arial"/>
                <w:sz w:val="11"/>
                <w:szCs w:val="11"/>
                <w:color w:val="231F20"/>
              </w:rPr>
              <w:t>13,979</w:t>
            </w:r>
          </w:p>
        </w:tc>
        <w:tc>
          <w:tcPr>
            <w:tcW w:w="1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231F20"/>
              </w:rPr>
              <w:t>—</w:t>
            </w:r>
          </w:p>
        </w:tc>
        <w:tc>
          <w:tcPr>
            <w:tcW w:w="200" w:type="dxa"/>
            <w:vAlign w:val="bottom"/>
          </w:tcPr>
          <w:p>
            <w:pPr>
              <w:spacing w:after="0"/>
              <w:rPr>
                <w:sz w:val="10"/>
                <w:szCs w:val="10"/>
                <w:color w:val="auto"/>
              </w:rPr>
            </w:pPr>
          </w:p>
        </w:tc>
        <w:tc>
          <w:tcPr>
            <w:tcW w:w="540" w:type="dxa"/>
            <w:vAlign w:val="bottom"/>
          </w:tcPr>
          <w:p>
            <w:pPr>
              <w:jc w:val="right"/>
              <w:ind w:right="46"/>
              <w:spacing w:after="0" w:line="122" w:lineRule="exact"/>
              <w:rPr>
                <w:sz w:val="20"/>
                <w:szCs w:val="20"/>
                <w:color w:val="auto"/>
              </w:rPr>
            </w:pPr>
            <w:r>
              <w:rPr>
                <w:rFonts w:ascii="Arial" w:cs="Arial" w:eastAsia="Arial" w:hAnsi="Arial"/>
                <w:sz w:val="11"/>
                <w:szCs w:val="11"/>
                <w:color w:val="231F20"/>
              </w:rPr>
              <w:t>61</w:t>
            </w:r>
          </w:p>
        </w:tc>
        <w:tc>
          <w:tcPr>
            <w:tcW w:w="120" w:type="dxa"/>
            <w:vAlign w:val="bottom"/>
          </w:tcPr>
          <w:p>
            <w:pPr>
              <w:spacing w:after="0"/>
              <w:rPr>
                <w:sz w:val="10"/>
                <w:szCs w:val="10"/>
                <w:color w:val="auto"/>
              </w:rPr>
            </w:pPr>
          </w:p>
        </w:tc>
        <w:tc>
          <w:tcPr>
            <w:tcW w:w="880" w:type="dxa"/>
            <w:vAlign w:val="bottom"/>
          </w:tcPr>
          <w:p>
            <w:pPr>
              <w:jc w:val="right"/>
              <w:ind w:right="26"/>
              <w:spacing w:after="0" w:line="122" w:lineRule="exact"/>
              <w:rPr>
                <w:sz w:val="20"/>
                <w:szCs w:val="20"/>
                <w:color w:val="auto"/>
              </w:rPr>
            </w:pPr>
            <w:r>
              <w:rPr>
                <w:rFonts w:ascii="Arial" w:cs="Arial" w:eastAsia="Arial" w:hAnsi="Arial"/>
                <w:sz w:val="11"/>
                <w:szCs w:val="11"/>
                <w:color w:val="231F20"/>
              </w:rPr>
              <w:t>—</w:t>
            </w:r>
          </w:p>
        </w:tc>
        <w:tc>
          <w:tcPr>
            <w:tcW w:w="180" w:type="dxa"/>
            <w:vAlign w:val="bottom"/>
          </w:tcPr>
          <w:p>
            <w:pPr>
              <w:spacing w:after="0"/>
              <w:rPr>
                <w:sz w:val="10"/>
                <w:szCs w:val="10"/>
                <w:color w:val="auto"/>
              </w:rPr>
            </w:pPr>
          </w:p>
        </w:tc>
        <w:tc>
          <w:tcPr>
            <w:tcW w:w="620" w:type="dxa"/>
            <w:vAlign w:val="bottom"/>
          </w:tcPr>
          <w:p>
            <w:pPr>
              <w:jc w:val="right"/>
              <w:ind w:right="46"/>
              <w:spacing w:after="0" w:line="122" w:lineRule="exact"/>
              <w:rPr>
                <w:sz w:val="20"/>
                <w:szCs w:val="20"/>
                <w:color w:val="auto"/>
              </w:rPr>
            </w:pPr>
            <w:r>
              <w:rPr>
                <w:rFonts w:ascii="Arial" w:cs="Arial" w:eastAsia="Arial" w:hAnsi="Arial"/>
                <w:sz w:val="11"/>
                <w:szCs w:val="11"/>
                <w:color w:val="231F20"/>
              </w:rPr>
              <w:t>—</w:t>
            </w:r>
          </w:p>
        </w:tc>
        <w:tc>
          <w:tcPr>
            <w:tcW w:w="2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231F20"/>
              </w:rPr>
              <w:t>61</w:t>
            </w:r>
          </w:p>
        </w:tc>
      </w:tr>
      <w:tr>
        <w:trPr>
          <w:trHeight w:val="122"/>
        </w:trPr>
        <w:tc>
          <w:tcPr>
            <w:tcW w:w="540" w:type="dxa"/>
            <w:vAlign w:val="bottom"/>
          </w:tcPr>
          <w:p>
            <w:pPr>
              <w:ind w:left="340"/>
              <w:spacing w:after="0" w:line="122" w:lineRule="exact"/>
              <w:rPr>
                <w:sz w:val="20"/>
                <w:szCs w:val="20"/>
                <w:color w:val="auto"/>
              </w:rPr>
            </w:pPr>
            <w:r>
              <w:rPr>
                <w:rFonts w:ascii="Arial" w:cs="Arial" w:eastAsia="Arial" w:hAnsi="Arial"/>
                <w:sz w:val="11"/>
                <w:szCs w:val="11"/>
                <w:color w:val="231F20"/>
              </w:rPr>
              <w:t>—</w:t>
            </w:r>
          </w:p>
        </w:tc>
        <w:tc>
          <w:tcPr>
            <w:tcW w:w="140" w:type="dxa"/>
            <w:vAlign w:val="bottom"/>
          </w:tcPr>
          <w:p>
            <w:pPr>
              <w:spacing w:after="0"/>
              <w:rPr>
                <w:sz w:val="10"/>
                <w:szCs w:val="10"/>
                <w:color w:val="auto"/>
              </w:rPr>
            </w:pPr>
          </w:p>
        </w:tc>
        <w:tc>
          <w:tcPr>
            <w:tcW w:w="620" w:type="dxa"/>
            <w:vAlign w:val="bottom"/>
            <w:gridSpan w:val="2"/>
          </w:tcPr>
          <w:p>
            <w:pPr>
              <w:ind w:left="340"/>
              <w:spacing w:after="0" w:line="122" w:lineRule="exact"/>
              <w:rPr>
                <w:sz w:val="20"/>
                <w:szCs w:val="20"/>
                <w:color w:val="auto"/>
              </w:rPr>
            </w:pPr>
            <w:r>
              <w:rPr>
                <w:rFonts w:ascii="Arial" w:cs="Arial" w:eastAsia="Arial" w:hAnsi="Arial"/>
                <w:sz w:val="11"/>
                <w:szCs w:val="11"/>
                <w:color w:val="231F20"/>
              </w:rPr>
              <w:t>—</w:t>
            </w:r>
          </w:p>
        </w:tc>
        <w:tc>
          <w:tcPr>
            <w:tcW w:w="640" w:type="dxa"/>
            <w:vAlign w:val="bottom"/>
          </w:tcPr>
          <w:p>
            <w:pPr>
              <w:jc w:val="right"/>
              <w:ind w:right="26"/>
              <w:spacing w:after="0" w:line="122" w:lineRule="exact"/>
              <w:rPr>
                <w:sz w:val="20"/>
                <w:szCs w:val="20"/>
                <w:color w:val="auto"/>
              </w:rPr>
            </w:pPr>
            <w:r>
              <w:rPr>
                <w:rFonts w:ascii="Arial" w:cs="Arial" w:eastAsia="Arial" w:hAnsi="Arial"/>
                <w:sz w:val="11"/>
                <w:szCs w:val="11"/>
                <w:color w:val="231F20"/>
              </w:rPr>
              <w:t>143,472</w:t>
            </w:r>
          </w:p>
        </w:tc>
        <w:tc>
          <w:tcPr>
            <w:tcW w:w="1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231F20"/>
              </w:rPr>
              <w:t>—</w:t>
            </w:r>
          </w:p>
        </w:tc>
        <w:tc>
          <w:tcPr>
            <w:tcW w:w="200" w:type="dxa"/>
            <w:vAlign w:val="bottom"/>
          </w:tcPr>
          <w:p>
            <w:pPr>
              <w:spacing w:after="0"/>
              <w:rPr>
                <w:sz w:val="10"/>
                <w:szCs w:val="10"/>
                <w:color w:val="auto"/>
              </w:rPr>
            </w:pPr>
          </w:p>
        </w:tc>
        <w:tc>
          <w:tcPr>
            <w:tcW w:w="540" w:type="dxa"/>
            <w:vAlign w:val="bottom"/>
          </w:tcPr>
          <w:p>
            <w:pPr>
              <w:jc w:val="right"/>
              <w:ind w:right="46"/>
              <w:spacing w:after="0" w:line="122" w:lineRule="exact"/>
              <w:rPr>
                <w:sz w:val="20"/>
                <w:szCs w:val="20"/>
                <w:color w:val="auto"/>
              </w:rPr>
            </w:pPr>
            <w:r>
              <w:rPr>
                <w:rFonts w:ascii="Arial" w:cs="Arial" w:eastAsia="Arial" w:hAnsi="Arial"/>
                <w:sz w:val="11"/>
                <w:szCs w:val="11"/>
                <w:color w:val="231F20"/>
              </w:rPr>
              <w:t>—</w:t>
            </w:r>
          </w:p>
        </w:tc>
        <w:tc>
          <w:tcPr>
            <w:tcW w:w="120" w:type="dxa"/>
            <w:vAlign w:val="bottom"/>
          </w:tcPr>
          <w:p>
            <w:pPr>
              <w:spacing w:after="0"/>
              <w:rPr>
                <w:sz w:val="10"/>
                <w:szCs w:val="10"/>
                <w:color w:val="auto"/>
              </w:rPr>
            </w:pPr>
          </w:p>
        </w:tc>
        <w:tc>
          <w:tcPr>
            <w:tcW w:w="880" w:type="dxa"/>
            <w:vAlign w:val="bottom"/>
          </w:tcPr>
          <w:p>
            <w:pPr>
              <w:jc w:val="right"/>
              <w:ind w:right="26"/>
              <w:spacing w:after="0" w:line="122" w:lineRule="exact"/>
              <w:rPr>
                <w:sz w:val="20"/>
                <w:szCs w:val="20"/>
                <w:color w:val="auto"/>
              </w:rPr>
            </w:pPr>
            <w:r>
              <w:rPr>
                <w:rFonts w:ascii="Arial" w:cs="Arial" w:eastAsia="Arial" w:hAnsi="Arial"/>
                <w:sz w:val="11"/>
                <w:szCs w:val="11"/>
                <w:color w:val="231F20"/>
              </w:rPr>
              <w:t>—</w:t>
            </w:r>
          </w:p>
        </w:tc>
        <w:tc>
          <w:tcPr>
            <w:tcW w:w="180" w:type="dxa"/>
            <w:vAlign w:val="bottom"/>
          </w:tcPr>
          <w:p>
            <w:pPr>
              <w:spacing w:after="0"/>
              <w:rPr>
                <w:sz w:val="10"/>
                <w:szCs w:val="10"/>
                <w:color w:val="auto"/>
              </w:rPr>
            </w:pPr>
          </w:p>
        </w:tc>
        <w:tc>
          <w:tcPr>
            <w:tcW w:w="620" w:type="dxa"/>
            <w:vAlign w:val="bottom"/>
          </w:tcPr>
          <w:p>
            <w:pPr>
              <w:jc w:val="right"/>
              <w:ind w:right="46"/>
              <w:spacing w:after="0" w:line="122" w:lineRule="exact"/>
              <w:rPr>
                <w:sz w:val="20"/>
                <w:szCs w:val="20"/>
                <w:color w:val="auto"/>
              </w:rPr>
            </w:pPr>
            <w:r>
              <w:rPr>
                <w:rFonts w:ascii="Arial" w:cs="Arial" w:eastAsia="Arial" w:hAnsi="Arial"/>
                <w:sz w:val="11"/>
                <w:szCs w:val="11"/>
                <w:color w:val="231F20"/>
              </w:rPr>
              <w:t>—</w:t>
            </w:r>
          </w:p>
        </w:tc>
        <w:tc>
          <w:tcPr>
            <w:tcW w:w="2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231F20"/>
              </w:rPr>
              <w:t>—</w:t>
            </w:r>
          </w:p>
        </w:tc>
      </w:tr>
      <w:tr>
        <w:trPr>
          <w:trHeight w:val="130"/>
        </w:trPr>
        <w:tc>
          <w:tcPr>
            <w:tcW w:w="540" w:type="dxa"/>
            <w:vAlign w:val="bottom"/>
          </w:tcPr>
          <w:p>
            <w:pPr>
              <w:ind w:left="340"/>
              <w:spacing w:after="0"/>
              <w:rPr>
                <w:sz w:val="20"/>
                <w:szCs w:val="20"/>
                <w:color w:val="auto"/>
              </w:rPr>
            </w:pPr>
            <w:r>
              <w:rPr>
                <w:rFonts w:ascii="Arial" w:cs="Arial" w:eastAsia="Arial" w:hAnsi="Arial"/>
                <w:sz w:val="11"/>
                <w:szCs w:val="11"/>
                <w:color w:val="231F20"/>
              </w:rPr>
              <w:t>—</w:t>
            </w:r>
          </w:p>
        </w:tc>
        <w:tc>
          <w:tcPr>
            <w:tcW w:w="140" w:type="dxa"/>
            <w:vAlign w:val="bottom"/>
          </w:tcPr>
          <w:p>
            <w:pPr>
              <w:spacing w:after="0"/>
              <w:rPr>
                <w:sz w:val="11"/>
                <w:szCs w:val="11"/>
                <w:color w:val="auto"/>
              </w:rPr>
            </w:pPr>
          </w:p>
        </w:tc>
        <w:tc>
          <w:tcPr>
            <w:tcW w:w="620" w:type="dxa"/>
            <w:vAlign w:val="bottom"/>
            <w:gridSpan w:val="2"/>
          </w:tcPr>
          <w:p>
            <w:pPr>
              <w:ind w:left="340"/>
              <w:spacing w:after="0"/>
              <w:rPr>
                <w:sz w:val="20"/>
                <w:szCs w:val="20"/>
                <w:color w:val="auto"/>
              </w:rPr>
            </w:pPr>
            <w:r>
              <w:rPr>
                <w:rFonts w:ascii="Arial" w:cs="Arial" w:eastAsia="Arial" w:hAnsi="Arial"/>
                <w:sz w:val="11"/>
                <w:szCs w:val="11"/>
                <w:color w:val="231F20"/>
              </w:rPr>
              <w:t>—</w:t>
            </w:r>
          </w:p>
        </w:tc>
        <w:tc>
          <w:tcPr>
            <w:tcW w:w="640" w:type="dxa"/>
            <w:vAlign w:val="bottom"/>
          </w:tcPr>
          <w:p>
            <w:pPr>
              <w:jc w:val="right"/>
              <w:ind w:right="26"/>
              <w:spacing w:after="0"/>
              <w:rPr>
                <w:sz w:val="20"/>
                <w:szCs w:val="20"/>
                <w:color w:val="auto"/>
              </w:rPr>
            </w:pPr>
            <w:r>
              <w:rPr>
                <w:rFonts w:ascii="Arial" w:cs="Arial" w:eastAsia="Arial" w:hAnsi="Arial"/>
                <w:sz w:val="11"/>
                <w:szCs w:val="11"/>
                <w:color w:val="231F20"/>
              </w:rPr>
              <w:t>63,014</w:t>
            </w:r>
          </w:p>
        </w:tc>
        <w:tc>
          <w:tcPr>
            <w:tcW w:w="1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231F20"/>
              </w:rPr>
              <w:t>—</w:t>
            </w:r>
          </w:p>
        </w:tc>
        <w:tc>
          <w:tcPr>
            <w:tcW w:w="200" w:type="dxa"/>
            <w:vAlign w:val="bottom"/>
          </w:tcPr>
          <w:p>
            <w:pPr>
              <w:spacing w:after="0"/>
              <w:rPr>
                <w:sz w:val="11"/>
                <w:szCs w:val="1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231F20"/>
              </w:rPr>
              <w:t>130</w:t>
            </w:r>
          </w:p>
        </w:tc>
        <w:tc>
          <w:tcPr>
            <w:tcW w:w="120" w:type="dxa"/>
            <w:vAlign w:val="bottom"/>
          </w:tcPr>
          <w:p>
            <w:pPr>
              <w:spacing w:after="0"/>
              <w:rPr>
                <w:sz w:val="11"/>
                <w:szCs w:val="11"/>
                <w:color w:val="auto"/>
              </w:rPr>
            </w:pPr>
          </w:p>
        </w:tc>
        <w:tc>
          <w:tcPr>
            <w:tcW w:w="880" w:type="dxa"/>
            <w:vAlign w:val="bottom"/>
          </w:tcPr>
          <w:p>
            <w:pPr>
              <w:jc w:val="right"/>
              <w:ind w:right="26"/>
              <w:spacing w:after="0"/>
              <w:rPr>
                <w:sz w:val="20"/>
                <w:szCs w:val="20"/>
                <w:color w:val="auto"/>
              </w:rPr>
            </w:pPr>
            <w:r>
              <w:rPr>
                <w:rFonts w:ascii="Arial" w:cs="Arial" w:eastAsia="Arial" w:hAnsi="Arial"/>
                <w:sz w:val="11"/>
                <w:szCs w:val="11"/>
                <w:color w:val="231F20"/>
              </w:rPr>
              <w:t>—</w:t>
            </w:r>
          </w:p>
        </w:tc>
        <w:tc>
          <w:tcPr>
            <w:tcW w:w="180" w:type="dxa"/>
            <w:vAlign w:val="bottom"/>
          </w:tcPr>
          <w:p>
            <w:pPr>
              <w:spacing w:after="0"/>
              <w:rPr>
                <w:sz w:val="11"/>
                <w:szCs w:val="11"/>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231F20"/>
              </w:rPr>
              <w:t>—</w:t>
            </w:r>
          </w:p>
        </w:tc>
        <w:tc>
          <w:tcPr>
            <w:tcW w:w="2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231F20"/>
              </w:rPr>
              <w:t>130</w:t>
            </w:r>
          </w:p>
        </w:tc>
      </w:tr>
      <w:tr>
        <w:trPr>
          <w:trHeight w:val="235"/>
        </w:trPr>
        <w:tc>
          <w:tcPr>
            <w:tcW w:w="540" w:type="dxa"/>
            <w:vAlign w:val="bottom"/>
          </w:tcPr>
          <w:p>
            <w:pPr>
              <w:ind w:left="340"/>
              <w:spacing w:after="0"/>
              <w:rPr>
                <w:sz w:val="20"/>
                <w:szCs w:val="20"/>
                <w:color w:val="auto"/>
              </w:rPr>
            </w:pPr>
            <w:r>
              <w:rPr>
                <w:rFonts w:ascii="Arial" w:cs="Arial" w:eastAsia="Arial" w:hAnsi="Arial"/>
                <w:sz w:val="11"/>
                <w:szCs w:val="11"/>
                <w:color w:val="231F20"/>
              </w:rPr>
              <w:t>—</w:t>
            </w:r>
          </w:p>
        </w:tc>
        <w:tc>
          <w:tcPr>
            <w:tcW w:w="140" w:type="dxa"/>
            <w:vAlign w:val="bottom"/>
          </w:tcPr>
          <w:p>
            <w:pPr>
              <w:spacing w:after="0"/>
              <w:rPr>
                <w:sz w:val="20"/>
                <w:szCs w:val="20"/>
                <w:color w:val="auto"/>
              </w:rPr>
            </w:pPr>
          </w:p>
        </w:tc>
        <w:tc>
          <w:tcPr>
            <w:tcW w:w="620" w:type="dxa"/>
            <w:vAlign w:val="bottom"/>
            <w:gridSpan w:val="2"/>
          </w:tcPr>
          <w:p>
            <w:pPr>
              <w:ind w:left="340"/>
              <w:spacing w:after="0"/>
              <w:rPr>
                <w:sz w:val="20"/>
                <w:szCs w:val="20"/>
                <w:color w:val="auto"/>
              </w:rPr>
            </w:pPr>
            <w:r>
              <w:rPr>
                <w:rFonts w:ascii="Arial" w:cs="Arial" w:eastAsia="Arial" w:hAnsi="Arial"/>
                <w:sz w:val="11"/>
                <w:szCs w:val="11"/>
                <w:color w:val="231F20"/>
              </w:rPr>
              <w:t>—</w:t>
            </w:r>
          </w:p>
        </w:tc>
        <w:tc>
          <w:tcPr>
            <w:tcW w:w="640" w:type="dxa"/>
            <w:vAlign w:val="bottom"/>
          </w:tcPr>
          <w:p>
            <w:pPr>
              <w:jc w:val="right"/>
              <w:ind w:right="26"/>
              <w:spacing w:after="0"/>
              <w:rPr>
                <w:sz w:val="20"/>
                <w:szCs w:val="20"/>
                <w:color w:val="auto"/>
              </w:rPr>
            </w:pPr>
            <w:r>
              <w:rPr>
                <w:rFonts w:ascii="Arial" w:cs="Arial" w:eastAsia="Arial" w:hAnsi="Arial"/>
                <w:sz w:val="11"/>
                <w:szCs w:val="11"/>
                <w:color w:val="231F20"/>
              </w:rPr>
              <w:t>23,885</w:t>
            </w:r>
          </w:p>
        </w:tc>
        <w:tc>
          <w:tcPr>
            <w:tcW w:w="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231F20"/>
              </w:rPr>
              <w:t>—</w:t>
            </w:r>
          </w:p>
        </w:tc>
        <w:tc>
          <w:tcPr>
            <w:tcW w:w="200" w:type="dxa"/>
            <w:vAlign w:val="bottom"/>
          </w:tcPr>
          <w:p>
            <w:pPr>
              <w:spacing w:after="0"/>
              <w:rPr>
                <w:sz w:val="20"/>
                <w:szCs w:val="20"/>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231F20"/>
              </w:rPr>
              <w:t>386</w:t>
            </w:r>
          </w:p>
        </w:tc>
        <w:tc>
          <w:tcPr>
            <w:tcW w:w="120" w:type="dxa"/>
            <w:vAlign w:val="bottom"/>
          </w:tcPr>
          <w:p>
            <w:pPr>
              <w:spacing w:after="0"/>
              <w:rPr>
                <w:sz w:val="20"/>
                <w:szCs w:val="20"/>
                <w:color w:val="auto"/>
              </w:rPr>
            </w:pPr>
          </w:p>
        </w:tc>
        <w:tc>
          <w:tcPr>
            <w:tcW w:w="880" w:type="dxa"/>
            <w:vAlign w:val="bottom"/>
          </w:tcPr>
          <w:p>
            <w:pPr>
              <w:jc w:val="right"/>
              <w:ind w:right="26"/>
              <w:spacing w:after="0"/>
              <w:rPr>
                <w:sz w:val="20"/>
                <w:szCs w:val="20"/>
                <w:color w:val="auto"/>
              </w:rPr>
            </w:pPr>
            <w:r>
              <w:rPr>
                <w:rFonts w:ascii="Arial" w:cs="Arial" w:eastAsia="Arial" w:hAnsi="Arial"/>
                <w:sz w:val="11"/>
                <w:szCs w:val="11"/>
                <w:color w:val="231F20"/>
              </w:rPr>
              <w:t>—</w:t>
            </w:r>
          </w:p>
        </w:tc>
        <w:tc>
          <w:tcPr>
            <w:tcW w:w="180" w:type="dxa"/>
            <w:vAlign w:val="bottom"/>
          </w:tcPr>
          <w:p>
            <w:pPr>
              <w:spacing w:after="0"/>
              <w:rPr>
                <w:sz w:val="20"/>
                <w:szCs w:val="20"/>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231F20"/>
              </w:rPr>
              <w:t>—</w:t>
            </w: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231F20"/>
              </w:rPr>
              <w:t>386</w:t>
            </w:r>
          </w:p>
        </w:tc>
      </w:tr>
      <w:tr>
        <w:trPr>
          <w:trHeight w:val="122"/>
        </w:trPr>
        <w:tc>
          <w:tcPr>
            <w:tcW w:w="540" w:type="dxa"/>
            <w:vAlign w:val="bottom"/>
          </w:tcPr>
          <w:p>
            <w:pPr>
              <w:ind w:left="340"/>
              <w:spacing w:after="0" w:line="122" w:lineRule="exact"/>
              <w:rPr>
                <w:sz w:val="20"/>
                <w:szCs w:val="20"/>
                <w:color w:val="auto"/>
              </w:rPr>
            </w:pPr>
            <w:r>
              <w:rPr>
                <w:rFonts w:ascii="Arial" w:cs="Arial" w:eastAsia="Arial" w:hAnsi="Arial"/>
                <w:sz w:val="11"/>
                <w:szCs w:val="11"/>
                <w:color w:val="231F20"/>
              </w:rPr>
              <w:t>—</w:t>
            </w:r>
          </w:p>
        </w:tc>
        <w:tc>
          <w:tcPr>
            <w:tcW w:w="140" w:type="dxa"/>
            <w:vAlign w:val="bottom"/>
          </w:tcPr>
          <w:p>
            <w:pPr>
              <w:spacing w:after="0"/>
              <w:rPr>
                <w:sz w:val="10"/>
                <w:szCs w:val="10"/>
                <w:color w:val="auto"/>
              </w:rPr>
            </w:pPr>
          </w:p>
        </w:tc>
        <w:tc>
          <w:tcPr>
            <w:tcW w:w="620" w:type="dxa"/>
            <w:vAlign w:val="bottom"/>
            <w:gridSpan w:val="2"/>
          </w:tcPr>
          <w:p>
            <w:pPr>
              <w:ind w:left="340"/>
              <w:spacing w:after="0" w:line="122" w:lineRule="exact"/>
              <w:rPr>
                <w:sz w:val="20"/>
                <w:szCs w:val="20"/>
                <w:color w:val="auto"/>
              </w:rPr>
            </w:pPr>
            <w:r>
              <w:rPr>
                <w:rFonts w:ascii="Arial" w:cs="Arial" w:eastAsia="Arial" w:hAnsi="Arial"/>
                <w:sz w:val="11"/>
                <w:szCs w:val="11"/>
                <w:color w:val="231F20"/>
              </w:rPr>
              <w:t>—</w:t>
            </w:r>
          </w:p>
        </w:tc>
        <w:tc>
          <w:tcPr>
            <w:tcW w:w="640" w:type="dxa"/>
            <w:vAlign w:val="bottom"/>
          </w:tcPr>
          <w:p>
            <w:pPr>
              <w:jc w:val="right"/>
              <w:ind w:right="26"/>
              <w:spacing w:after="0" w:line="122" w:lineRule="exact"/>
              <w:rPr>
                <w:sz w:val="20"/>
                <w:szCs w:val="20"/>
                <w:color w:val="auto"/>
              </w:rPr>
            </w:pPr>
            <w:r>
              <w:rPr>
                <w:rFonts w:ascii="Arial" w:cs="Arial" w:eastAsia="Arial" w:hAnsi="Arial"/>
                <w:sz w:val="11"/>
                <w:szCs w:val="11"/>
                <w:color w:val="231F20"/>
              </w:rPr>
              <w:t>—</w:t>
            </w:r>
          </w:p>
        </w:tc>
        <w:tc>
          <w:tcPr>
            <w:tcW w:w="1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231F20"/>
              </w:rPr>
              <w:t>—</w:t>
            </w:r>
          </w:p>
        </w:tc>
        <w:tc>
          <w:tcPr>
            <w:tcW w:w="200" w:type="dxa"/>
            <w:vAlign w:val="bottom"/>
          </w:tcPr>
          <w:p>
            <w:pPr>
              <w:spacing w:after="0"/>
              <w:rPr>
                <w:sz w:val="10"/>
                <w:szCs w:val="10"/>
                <w:color w:val="auto"/>
              </w:rPr>
            </w:pPr>
          </w:p>
        </w:tc>
        <w:tc>
          <w:tcPr>
            <w:tcW w:w="540" w:type="dxa"/>
            <w:vAlign w:val="bottom"/>
          </w:tcPr>
          <w:p>
            <w:pPr>
              <w:jc w:val="right"/>
              <w:ind w:right="46"/>
              <w:spacing w:after="0" w:line="122" w:lineRule="exact"/>
              <w:rPr>
                <w:sz w:val="20"/>
                <w:szCs w:val="20"/>
                <w:color w:val="auto"/>
              </w:rPr>
            </w:pPr>
            <w:r>
              <w:rPr>
                <w:rFonts w:ascii="Arial" w:cs="Arial" w:eastAsia="Arial" w:hAnsi="Arial"/>
                <w:sz w:val="11"/>
                <w:szCs w:val="11"/>
                <w:color w:val="231F20"/>
              </w:rPr>
              <w:t>7,015</w:t>
            </w:r>
          </w:p>
        </w:tc>
        <w:tc>
          <w:tcPr>
            <w:tcW w:w="120" w:type="dxa"/>
            <w:vAlign w:val="bottom"/>
          </w:tcPr>
          <w:p>
            <w:pPr>
              <w:spacing w:after="0"/>
              <w:rPr>
                <w:sz w:val="10"/>
                <w:szCs w:val="10"/>
                <w:color w:val="auto"/>
              </w:rPr>
            </w:pPr>
          </w:p>
        </w:tc>
        <w:tc>
          <w:tcPr>
            <w:tcW w:w="880" w:type="dxa"/>
            <w:vAlign w:val="bottom"/>
          </w:tcPr>
          <w:p>
            <w:pPr>
              <w:jc w:val="right"/>
              <w:ind w:right="26"/>
              <w:spacing w:after="0" w:line="122" w:lineRule="exact"/>
              <w:rPr>
                <w:sz w:val="20"/>
                <w:szCs w:val="20"/>
                <w:color w:val="auto"/>
              </w:rPr>
            </w:pPr>
            <w:r>
              <w:rPr>
                <w:rFonts w:ascii="Arial" w:cs="Arial" w:eastAsia="Arial" w:hAnsi="Arial"/>
                <w:sz w:val="11"/>
                <w:szCs w:val="11"/>
                <w:color w:val="231F20"/>
              </w:rPr>
              <w:t>—</w:t>
            </w:r>
          </w:p>
        </w:tc>
        <w:tc>
          <w:tcPr>
            <w:tcW w:w="180" w:type="dxa"/>
            <w:vAlign w:val="bottom"/>
          </w:tcPr>
          <w:p>
            <w:pPr>
              <w:spacing w:after="0"/>
              <w:rPr>
                <w:sz w:val="10"/>
                <w:szCs w:val="10"/>
                <w:color w:val="auto"/>
              </w:rPr>
            </w:pPr>
          </w:p>
        </w:tc>
        <w:tc>
          <w:tcPr>
            <w:tcW w:w="620" w:type="dxa"/>
            <w:vAlign w:val="bottom"/>
          </w:tcPr>
          <w:p>
            <w:pPr>
              <w:jc w:val="right"/>
              <w:ind w:right="46"/>
              <w:spacing w:after="0" w:line="122" w:lineRule="exact"/>
              <w:rPr>
                <w:sz w:val="20"/>
                <w:szCs w:val="20"/>
                <w:color w:val="auto"/>
              </w:rPr>
            </w:pPr>
            <w:r>
              <w:rPr>
                <w:rFonts w:ascii="Arial" w:cs="Arial" w:eastAsia="Arial" w:hAnsi="Arial"/>
                <w:sz w:val="11"/>
                <w:szCs w:val="11"/>
                <w:color w:val="231F20"/>
              </w:rPr>
              <w:t>—</w:t>
            </w:r>
          </w:p>
        </w:tc>
        <w:tc>
          <w:tcPr>
            <w:tcW w:w="2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231F20"/>
              </w:rPr>
              <w:t>7,015</w:t>
            </w:r>
          </w:p>
        </w:tc>
      </w:tr>
      <w:tr>
        <w:trPr>
          <w:trHeight w:val="121"/>
        </w:trPr>
        <w:tc>
          <w:tcPr>
            <w:tcW w:w="540" w:type="dxa"/>
            <w:vAlign w:val="bottom"/>
          </w:tcPr>
          <w:p>
            <w:pPr>
              <w:ind w:left="340"/>
              <w:spacing w:after="0" w:line="122" w:lineRule="exact"/>
              <w:rPr>
                <w:sz w:val="20"/>
                <w:szCs w:val="20"/>
                <w:color w:val="auto"/>
              </w:rPr>
            </w:pPr>
            <w:r>
              <w:rPr>
                <w:rFonts w:ascii="Arial" w:cs="Arial" w:eastAsia="Arial" w:hAnsi="Arial"/>
                <w:sz w:val="11"/>
                <w:szCs w:val="11"/>
                <w:color w:val="231F20"/>
              </w:rPr>
              <w:t>—</w:t>
            </w:r>
          </w:p>
        </w:tc>
        <w:tc>
          <w:tcPr>
            <w:tcW w:w="140" w:type="dxa"/>
            <w:vAlign w:val="bottom"/>
          </w:tcPr>
          <w:p>
            <w:pPr>
              <w:spacing w:after="0"/>
              <w:rPr>
                <w:sz w:val="10"/>
                <w:szCs w:val="10"/>
                <w:color w:val="auto"/>
              </w:rPr>
            </w:pPr>
          </w:p>
        </w:tc>
        <w:tc>
          <w:tcPr>
            <w:tcW w:w="620" w:type="dxa"/>
            <w:vAlign w:val="bottom"/>
            <w:gridSpan w:val="2"/>
          </w:tcPr>
          <w:p>
            <w:pPr>
              <w:ind w:left="340"/>
              <w:spacing w:after="0" w:line="122" w:lineRule="exact"/>
              <w:rPr>
                <w:sz w:val="20"/>
                <w:szCs w:val="20"/>
                <w:color w:val="auto"/>
              </w:rPr>
            </w:pPr>
            <w:r>
              <w:rPr>
                <w:rFonts w:ascii="Arial" w:cs="Arial" w:eastAsia="Arial" w:hAnsi="Arial"/>
                <w:sz w:val="11"/>
                <w:szCs w:val="11"/>
                <w:color w:val="231F20"/>
              </w:rPr>
              <w:t>—</w:t>
            </w:r>
          </w:p>
        </w:tc>
        <w:tc>
          <w:tcPr>
            <w:tcW w:w="640" w:type="dxa"/>
            <w:vAlign w:val="bottom"/>
          </w:tcPr>
          <w:p>
            <w:pPr>
              <w:jc w:val="right"/>
              <w:ind w:right="26"/>
              <w:spacing w:after="0" w:line="122" w:lineRule="exact"/>
              <w:rPr>
                <w:sz w:val="20"/>
                <w:szCs w:val="20"/>
                <w:color w:val="auto"/>
              </w:rPr>
            </w:pPr>
            <w:r>
              <w:rPr>
                <w:rFonts w:ascii="Arial" w:cs="Arial" w:eastAsia="Arial" w:hAnsi="Arial"/>
                <w:sz w:val="11"/>
                <w:szCs w:val="11"/>
                <w:color w:val="231F20"/>
              </w:rPr>
              <w:t>—</w:t>
            </w:r>
          </w:p>
        </w:tc>
        <w:tc>
          <w:tcPr>
            <w:tcW w:w="1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231F20"/>
              </w:rPr>
              <w:t>—</w:t>
            </w:r>
          </w:p>
        </w:tc>
        <w:tc>
          <w:tcPr>
            <w:tcW w:w="200" w:type="dxa"/>
            <w:vAlign w:val="bottom"/>
          </w:tcPr>
          <w:p>
            <w:pPr>
              <w:spacing w:after="0"/>
              <w:rPr>
                <w:sz w:val="10"/>
                <w:szCs w:val="10"/>
                <w:color w:val="auto"/>
              </w:rPr>
            </w:pPr>
          </w:p>
        </w:tc>
        <w:tc>
          <w:tcPr>
            <w:tcW w:w="540" w:type="dxa"/>
            <w:vAlign w:val="bottom"/>
          </w:tcPr>
          <w:p>
            <w:pPr>
              <w:jc w:val="right"/>
              <w:ind w:right="46"/>
              <w:spacing w:after="0" w:line="122" w:lineRule="exact"/>
              <w:rPr>
                <w:sz w:val="20"/>
                <w:szCs w:val="20"/>
                <w:color w:val="auto"/>
              </w:rPr>
            </w:pPr>
            <w:r>
              <w:rPr>
                <w:rFonts w:ascii="Arial" w:cs="Arial" w:eastAsia="Arial" w:hAnsi="Arial"/>
                <w:sz w:val="11"/>
                <w:szCs w:val="11"/>
                <w:color w:val="231F20"/>
              </w:rPr>
              <w:t>114</w:t>
            </w:r>
          </w:p>
        </w:tc>
        <w:tc>
          <w:tcPr>
            <w:tcW w:w="120" w:type="dxa"/>
            <w:vAlign w:val="bottom"/>
          </w:tcPr>
          <w:p>
            <w:pPr>
              <w:spacing w:after="0"/>
              <w:rPr>
                <w:sz w:val="10"/>
                <w:szCs w:val="10"/>
                <w:color w:val="auto"/>
              </w:rPr>
            </w:pPr>
          </w:p>
        </w:tc>
        <w:tc>
          <w:tcPr>
            <w:tcW w:w="880" w:type="dxa"/>
            <w:vAlign w:val="bottom"/>
          </w:tcPr>
          <w:p>
            <w:pPr>
              <w:jc w:val="right"/>
              <w:ind w:right="26"/>
              <w:spacing w:after="0" w:line="122" w:lineRule="exact"/>
              <w:rPr>
                <w:sz w:val="20"/>
                <w:szCs w:val="20"/>
                <w:color w:val="auto"/>
              </w:rPr>
            </w:pPr>
            <w:r>
              <w:rPr>
                <w:rFonts w:ascii="Arial" w:cs="Arial" w:eastAsia="Arial" w:hAnsi="Arial"/>
                <w:sz w:val="11"/>
                <w:szCs w:val="11"/>
                <w:color w:val="231F20"/>
              </w:rPr>
              <w:t>—</w:t>
            </w:r>
          </w:p>
        </w:tc>
        <w:tc>
          <w:tcPr>
            <w:tcW w:w="180" w:type="dxa"/>
            <w:vAlign w:val="bottom"/>
          </w:tcPr>
          <w:p>
            <w:pPr>
              <w:spacing w:after="0"/>
              <w:rPr>
                <w:sz w:val="10"/>
                <w:szCs w:val="10"/>
                <w:color w:val="auto"/>
              </w:rPr>
            </w:pPr>
          </w:p>
        </w:tc>
        <w:tc>
          <w:tcPr>
            <w:tcW w:w="620" w:type="dxa"/>
            <w:vAlign w:val="bottom"/>
          </w:tcPr>
          <w:p>
            <w:pPr>
              <w:jc w:val="right"/>
              <w:ind w:right="46"/>
              <w:spacing w:after="0" w:line="122" w:lineRule="exact"/>
              <w:rPr>
                <w:sz w:val="20"/>
                <w:szCs w:val="20"/>
                <w:color w:val="auto"/>
              </w:rPr>
            </w:pPr>
            <w:r>
              <w:rPr>
                <w:rFonts w:ascii="Arial" w:cs="Arial" w:eastAsia="Arial" w:hAnsi="Arial"/>
                <w:sz w:val="11"/>
                <w:szCs w:val="11"/>
                <w:color w:val="231F20"/>
              </w:rPr>
              <w:t>—</w:t>
            </w:r>
          </w:p>
        </w:tc>
        <w:tc>
          <w:tcPr>
            <w:tcW w:w="2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231F20"/>
              </w:rPr>
              <w:t>114</w:t>
            </w:r>
          </w:p>
        </w:tc>
      </w:tr>
      <w:tr>
        <w:trPr>
          <w:trHeight w:val="122"/>
        </w:trPr>
        <w:tc>
          <w:tcPr>
            <w:tcW w:w="540" w:type="dxa"/>
            <w:vAlign w:val="bottom"/>
          </w:tcPr>
          <w:p>
            <w:pPr>
              <w:ind w:left="340"/>
              <w:spacing w:after="0" w:line="122" w:lineRule="exact"/>
              <w:rPr>
                <w:sz w:val="20"/>
                <w:szCs w:val="20"/>
                <w:color w:val="auto"/>
              </w:rPr>
            </w:pPr>
            <w:r>
              <w:rPr>
                <w:rFonts w:ascii="Arial" w:cs="Arial" w:eastAsia="Arial" w:hAnsi="Arial"/>
                <w:sz w:val="11"/>
                <w:szCs w:val="11"/>
                <w:color w:val="231F20"/>
              </w:rPr>
              <w:t>—</w:t>
            </w:r>
          </w:p>
        </w:tc>
        <w:tc>
          <w:tcPr>
            <w:tcW w:w="140" w:type="dxa"/>
            <w:vAlign w:val="bottom"/>
          </w:tcPr>
          <w:p>
            <w:pPr>
              <w:spacing w:after="0"/>
              <w:rPr>
                <w:sz w:val="10"/>
                <w:szCs w:val="10"/>
                <w:color w:val="auto"/>
              </w:rPr>
            </w:pPr>
          </w:p>
        </w:tc>
        <w:tc>
          <w:tcPr>
            <w:tcW w:w="620" w:type="dxa"/>
            <w:vAlign w:val="bottom"/>
            <w:gridSpan w:val="2"/>
          </w:tcPr>
          <w:p>
            <w:pPr>
              <w:ind w:left="340"/>
              <w:spacing w:after="0" w:line="122" w:lineRule="exact"/>
              <w:rPr>
                <w:sz w:val="20"/>
                <w:szCs w:val="20"/>
                <w:color w:val="auto"/>
              </w:rPr>
            </w:pPr>
            <w:r>
              <w:rPr>
                <w:rFonts w:ascii="Arial" w:cs="Arial" w:eastAsia="Arial" w:hAnsi="Arial"/>
                <w:sz w:val="11"/>
                <w:szCs w:val="11"/>
                <w:color w:val="231F20"/>
              </w:rPr>
              <w:t>—</w:t>
            </w:r>
          </w:p>
        </w:tc>
        <w:tc>
          <w:tcPr>
            <w:tcW w:w="640" w:type="dxa"/>
            <w:vAlign w:val="bottom"/>
          </w:tcPr>
          <w:p>
            <w:pPr>
              <w:jc w:val="right"/>
              <w:ind w:right="26"/>
              <w:spacing w:after="0" w:line="122" w:lineRule="exact"/>
              <w:rPr>
                <w:sz w:val="20"/>
                <w:szCs w:val="20"/>
                <w:color w:val="auto"/>
              </w:rPr>
            </w:pPr>
            <w:r>
              <w:rPr>
                <w:rFonts w:ascii="Arial" w:cs="Arial" w:eastAsia="Arial" w:hAnsi="Arial"/>
                <w:sz w:val="11"/>
                <w:szCs w:val="11"/>
                <w:color w:val="231F20"/>
              </w:rPr>
              <w:t>—</w:t>
            </w:r>
          </w:p>
        </w:tc>
        <w:tc>
          <w:tcPr>
            <w:tcW w:w="1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231F20"/>
              </w:rPr>
              <w:t>—</w:t>
            </w:r>
          </w:p>
        </w:tc>
        <w:tc>
          <w:tcPr>
            <w:tcW w:w="200" w:type="dxa"/>
            <w:vAlign w:val="bottom"/>
          </w:tcPr>
          <w:p>
            <w:pPr>
              <w:spacing w:after="0"/>
              <w:rPr>
                <w:sz w:val="10"/>
                <w:szCs w:val="10"/>
                <w:color w:val="auto"/>
              </w:rPr>
            </w:pPr>
          </w:p>
        </w:tc>
        <w:tc>
          <w:tcPr>
            <w:tcW w:w="540" w:type="dxa"/>
            <w:vAlign w:val="bottom"/>
          </w:tcPr>
          <w:p>
            <w:pPr>
              <w:jc w:val="right"/>
              <w:ind w:right="46"/>
              <w:spacing w:after="0" w:line="122" w:lineRule="exact"/>
              <w:rPr>
                <w:sz w:val="20"/>
                <w:szCs w:val="20"/>
                <w:color w:val="auto"/>
              </w:rPr>
            </w:pPr>
            <w:r>
              <w:rPr>
                <w:rFonts w:ascii="Arial" w:cs="Arial" w:eastAsia="Arial" w:hAnsi="Arial"/>
                <w:sz w:val="11"/>
                <w:szCs w:val="11"/>
                <w:color w:val="231F20"/>
              </w:rPr>
              <w:t>—</w:t>
            </w:r>
          </w:p>
        </w:tc>
        <w:tc>
          <w:tcPr>
            <w:tcW w:w="12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Arial" w:cs="Arial" w:eastAsia="Arial" w:hAnsi="Arial"/>
                <w:sz w:val="11"/>
                <w:szCs w:val="11"/>
                <w:color w:val="231F20"/>
              </w:rPr>
              <w:t>(14)</w:t>
            </w:r>
          </w:p>
        </w:tc>
        <w:tc>
          <w:tcPr>
            <w:tcW w:w="180" w:type="dxa"/>
            <w:vAlign w:val="bottom"/>
          </w:tcPr>
          <w:p>
            <w:pPr>
              <w:spacing w:after="0"/>
              <w:rPr>
                <w:sz w:val="10"/>
                <w:szCs w:val="10"/>
                <w:color w:val="auto"/>
              </w:rPr>
            </w:pPr>
          </w:p>
        </w:tc>
        <w:tc>
          <w:tcPr>
            <w:tcW w:w="620" w:type="dxa"/>
            <w:vAlign w:val="bottom"/>
          </w:tcPr>
          <w:p>
            <w:pPr>
              <w:jc w:val="right"/>
              <w:ind w:right="46"/>
              <w:spacing w:after="0" w:line="122" w:lineRule="exact"/>
              <w:rPr>
                <w:sz w:val="20"/>
                <w:szCs w:val="20"/>
                <w:color w:val="auto"/>
              </w:rPr>
            </w:pPr>
            <w:r>
              <w:rPr>
                <w:rFonts w:ascii="Arial" w:cs="Arial" w:eastAsia="Arial" w:hAnsi="Arial"/>
                <w:sz w:val="11"/>
                <w:szCs w:val="11"/>
                <w:color w:val="231F20"/>
              </w:rPr>
              <w:t>—</w:t>
            </w:r>
          </w:p>
        </w:tc>
        <w:tc>
          <w:tcPr>
            <w:tcW w:w="2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231F20"/>
              </w:rPr>
              <w:t>(14)</w:t>
            </w:r>
          </w:p>
        </w:tc>
      </w:tr>
      <w:tr>
        <w:trPr>
          <w:trHeight w:val="125"/>
        </w:trPr>
        <w:tc>
          <w:tcPr>
            <w:tcW w:w="540" w:type="dxa"/>
            <w:vAlign w:val="bottom"/>
            <w:tcBorders>
              <w:bottom w:val="single" w:sz="8" w:color="auto"/>
            </w:tcBorders>
          </w:tcPr>
          <w:p>
            <w:pPr>
              <w:ind w:left="340"/>
              <w:spacing w:after="0" w:line="125" w:lineRule="exact"/>
              <w:rPr>
                <w:sz w:val="20"/>
                <w:szCs w:val="20"/>
                <w:color w:val="auto"/>
              </w:rPr>
            </w:pPr>
            <w:r>
              <w:rPr>
                <w:rFonts w:ascii="Arial" w:cs="Arial" w:eastAsia="Arial" w:hAnsi="Arial"/>
                <w:sz w:val="11"/>
                <w:szCs w:val="11"/>
                <w:color w:val="231F20"/>
              </w:rPr>
              <w:t>—</w:t>
            </w: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gridSpan w:val="2"/>
          </w:tcPr>
          <w:p>
            <w:pPr>
              <w:ind w:left="340"/>
              <w:spacing w:after="0" w:line="125" w:lineRule="exact"/>
              <w:rPr>
                <w:sz w:val="20"/>
                <w:szCs w:val="20"/>
                <w:color w:val="auto"/>
              </w:rPr>
            </w:pPr>
            <w:r>
              <w:rPr>
                <w:rFonts w:ascii="Arial" w:cs="Arial" w:eastAsia="Arial" w:hAnsi="Arial"/>
                <w:sz w:val="11"/>
                <w:szCs w:val="11"/>
                <w:color w:val="231F20"/>
              </w:rPr>
              <w:t>—</w:t>
            </w:r>
          </w:p>
        </w:tc>
        <w:tc>
          <w:tcPr>
            <w:tcW w:w="640" w:type="dxa"/>
            <w:vAlign w:val="bottom"/>
            <w:tcBorders>
              <w:bottom w:val="single" w:sz="8" w:color="auto"/>
            </w:tcBorders>
          </w:tcPr>
          <w:p>
            <w:pPr>
              <w:jc w:val="right"/>
              <w:ind w:right="26"/>
              <w:spacing w:after="0" w:line="125" w:lineRule="exact"/>
              <w:rPr>
                <w:sz w:val="20"/>
                <w:szCs w:val="20"/>
                <w:color w:val="auto"/>
              </w:rPr>
            </w:pPr>
            <w:r>
              <w:rPr>
                <w:rFonts w:ascii="Arial" w:cs="Arial" w:eastAsia="Arial" w:hAnsi="Arial"/>
                <w:sz w:val="11"/>
                <w:szCs w:val="11"/>
                <w:color w:val="231F20"/>
              </w:rPr>
              <w:t>—</w:t>
            </w:r>
          </w:p>
        </w:tc>
        <w:tc>
          <w:tcPr>
            <w:tcW w:w="1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color w:val="231F20"/>
              </w:rPr>
              <w:t>—</w:t>
            </w: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46"/>
              <w:spacing w:after="0" w:line="125" w:lineRule="exact"/>
              <w:rPr>
                <w:sz w:val="20"/>
                <w:szCs w:val="20"/>
                <w:color w:val="auto"/>
              </w:rPr>
            </w:pPr>
            <w:r>
              <w:rPr>
                <w:rFonts w:ascii="Arial" w:cs="Arial" w:eastAsia="Arial" w:hAnsi="Arial"/>
                <w:sz w:val="11"/>
                <w:szCs w:val="11"/>
                <w:color w:val="231F20"/>
              </w:rPr>
              <w:t>—</w:t>
            </w: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26"/>
              <w:spacing w:after="0" w:line="125" w:lineRule="exact"/>
              <w:rPr>
                <w:sz w:val="20"/>
                <w:szCs w:val="20"/>
                <w:color w:val="auto"/>
              </w:rPr>
            </w:pPr>
            <w:r>
              <w:rPr>
                <w:rFonts w:ascii="Arial" w:cs="Arial" w:eastAsia="Arial" w:hAnsi="Arial"/>
                <w:sz w:val="11"/>
                <w:szCs w:val="11"/>
                <w:color w:val="231F20"/>
              </w:rPr>
              <w:t>—</w:t>
            </w: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6"/>
              <w:spacing w:after="0" w:line="125" w:lineRule="exact"/>
              <w:rPr>
                <w:sz w:val="20"/>
                <w:szCs w:val="20"/>
                <w:color w:val="auto"/>
              </w:rPr>
            </w:pPr>
            <w:r>
              <w:rPr>
                <w:rFonts w:ascii="Arial" w:cs="Arial" w:eastAsia="Arial" w:hAnsi="Arial"/>
                <w:sz w:val="11"/>
                <w:szCs w:val="11"/>
                <w:color w:val="231F20"/>
              </w:rPr>
              <w:t>(31,745)</w:t>
            </w:r>
          </w:p>
        </w:tc>
        <w:tc>
          <w:tcPr>
            <w:tcW w:w="2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color w:val="231F20"/>
              </w:rPr>
              <w:t>(31,745)</w:t>
            </w:r>
          </w:p>
        </w:tc>
      </w:tr>
      <w:tr>
        <w:trPr>
          <w:trHeight w:val="115"/>
        </w:trPr>
        <w:tc>
          <w:tcPr>
            <w:tcW w:w="540" w:type="dxa"/>
            <w:vAlign w:val="bottom"/>
            <w:tcBorders>
              <w:bottom w:val="single" w:sz="8" w:color="auto"/>
            </w:tcBorders>
          </w:tcPr>
          <w:p>
            <w:pPr>
              <w:ind w:left="340"/>
              <w:spacing w:after="0" w:line="115" w:lineRule="exact"/>
              <w:rPr>
                <w:sz w:val="20"/>
                <w:szCs w:val="20"/>
                <w:color w:val="auto"/>
              </w:rPr>
            </w:pPr>
            <w:r>
              <w:rPr>
                <w:rFonts w:ascii="Arial" w:cs="Arial" w:eastAsia="Arial" w:hAnsi="Arial"/>
                <w:sz w:val="11"/>
                <w:szCs w:val="11"/>
                <w:color w:val="231F20"/>
              </w:rPr>
              <w:t>—</w:t>
            </w:r>
          </w:p>
        </w:tc>
        <w:tc>
          <w:tcPr>
            <w:tcW w:w="1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231F20"/>
              </w:rPr>
              <w:t>$</w:t>
            </w:r>
          </w:p>
        </w:tc>
        <w:tc>
          <w:tcPr>
            <w:tcW w:w="620" w:type="dxa"/>
            <w:vAlign w:val="bottom"/>
            <w:tcBorders>
              <w:bottom w:val="single" w:sz="8" w:color="auto"/>
            </w:tcBorders>
            <w:gridSpan w:val="2"/>
          </w:tcPr>
          <w:p>
            <w:pPr>
              <w:ind w:left="340"/>
              <w:spacing w:after="0" w:line="115" w:lineRule="exact"/>
              <w:rPr>
                <w:sz w:val="20"/>
                <w:szCs w:val="20"/>
                <w:color w:val="auto"/>
              </w:rPr>
            </w:pPr>
            <w:r>
              <w:rPr>
                <w:rFonts w:ascii="Arial" w:cs="Arial" w:eastAsia="Arial" w:hAnsi="Arial"/>
                <w:sz w:val="11"/>
                <w:szCs w:val="11"/>
                <w:color w:val="231F20"/>
              </w:rPr>
              <w:t>—</w:t>
            </w:r>
          </w:p>
        </w:tc>
        <w:tc>
          <w:tcPr>
            <w:tcW w:w="640" w:type="dxa"/>
            <w:vAlign w:val="bottom"/>
            <w:tcBorders>
              <w:bottom w:val="single" w:sz="8" w:color="auto"/>
            </w:tcBorders>
          </w:tcPr>
          <w:p>
            <w:pPr>
              <w:jc w:val="right"/>
              <w:ind w:right="26"/>
              <w:spacing w:after="0" w:line="115" w:lineRule="exact"/>
              <w:rPr>
                <w:sz w:val="20"/>
                <w:szCs w:val="20"/>
                <w:color w:val="auto"/>
              </w:rPr>
            </w:pPr>
            <w:r>
              <w:rPr>
                <w:rFonts w:ascii="Arial" w:cs="Arial" w:eastAsia="Arial" w:hAnsi="Arial"/>
                <w:sz w:val="11"/>
                <w:szCs w:val="11"/>
                <w:color w:val="231F20"/>
                <w:w w:val="98"/>
              </w:rPr>
              <w:t>39,552,588</w:t>
            </w:r>
          </w:p>
        </w:tc>
        <w:tc>
          <w:tcPr>
            <w:tcW w:w="1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231F20"/>
              </w:rPr>
              <w:t>$</w:t>
            </w:r>
          </w:p>
        </w:tc>
        <w:tc>
          <w:tcPr>
            <w:tcW w:w="4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231F20"/>
              </w:rPr>
              <w:t>3</w:t>
            </w:r>
          </w:p>
        </w:tc>
        <w:tc>
          <w:tcPr>
            <w:tcW w:w="200" w:type="dxa"/>
            <w:vAlign w:val="bottom"/>
            <w:tcBorders>
              <w:bottom w:val="single" w:sz="8" w:color="auto"/>
            </w:tcBorders>
          </w:tcPr>
          <w:p>
            <w:pPr>
              <w:ind w:left="120"/>
              <w:spacing w:after="0" w:line="115" w:lineRule="exact"/>
              <w:rPr>
                <w:sz w:val="20"/>
                <w:szCs w:val="20"/>
                <w:color w:val="auto"/>
              </w:rPr>
            </w:pPr>
            <w:r>
              <w:rPr>
                <w:rFonts w:ascii="Arial" w:cs="Arial" w:eastAsia="Arial" w:hAnsi="Arial"/>
                <w:sz w:val="11"/>
                <w:szCs w:val="11"/>
                <w:color w:val="231F20"/>
                <w:w w:val="97"/>
              </w:rPr>
              <w:t>$</w:t>
            </w:r>
          </w:p>
        </w:tc>
        <w:tc>
          <w:tcPr>
            <w:tcW w:w="540" w:type="dxa"/>
            <w:vAlign w:val="bottom"/>
            <w:tcBorders>
              <w:bottom w:val="single" w:sz="8" w:color="auto"/>
            </w:tcBorders>
          </w:tcPr>
          <w:p>
            <w:pPr>
              <w:jc w:val="right"/>
              <w:ind w:right="46"/>
              <w:spacing w:after="0" w:line="115" w:lineRule="exact"/>
              <w:rPr>
                <w:sz w:val="20"/>
                <w:szCs w:val="20"/>
                <w:color w:val="auto"/>
              </w:rPr>
            </w:pPr>
            <w:r>
              <w:rPr>
                <w:rFonts w:ascii="Arial" w:cs="Arial" w:eastAsia="Arial" w:hAnsi="Arial"/>
                <w:sz w:val="11"/>
                <w:szCs w:val="11"/>
                <w:color w:val="231F20"/>
              </w:rPr>
              <w:t>378,934</w:t>
            </w:r>
          </w:p>
        </w:tc>
        <w:tc>
          <w:tcPr>
            <w:tcW w:w="1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231F20"/>
              </w:rPr>
              <w:t>$</w:t>
            </w:r>
          </w:p>
        </w:tc>
        <w:tc>
          <w:tcPr>
            <w:tcW w:w="8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231F20"/>
              </w:rPr>
              <w:t>(14)</w:t>
            </w:r>
          </w:p>
        </w:tc>
        <w:tc>
          <w:tcPr>
            <w:tcW w:w="180" w:type="dxa"/>
            <w:vAlign w:val="bottom"/>
            <w:tcBorders>
              <w:bottom w:val="single" w:sz="8" w:color="auto"/>
            </w:tcBorders>
          </w:tcPr>
          <w:p>
            <w:pPr>
              <w:ind w:left="80"/>
              <w:spacing w:after="0" w:line="115" w:lineRule="exact"/>
              <w:rPr>
                <w:sz w:val="20"/>
                <w:szCs w:val="20"/>
                <w:color w:val="auto"/>
              </w:rPr>
            </w:pPr>
            <w:r>
              <w:rPr>
                <w:rFonts w:ascii="Arial" w:cs="Arial" w:eastAsia="Arial" w:hAnsi="Arial"/>
                <w:sz w:val="11"/>
                <w:szCs w:val="11"/>
                <w:color w:val="231F20"/>
              </w:rPr>
              <w:t>$</w:t>
            </w:r>
          </w:p>
        </w:tc>
        <w:tc>
          <w:tcPr>
            <w:tcW w:w="620" w:type="dxa"/>
            <w:vAlign w:val="bottom"/>
            <w:tcBorders>
              <w:bottom w:val="single" w:sz="8" w:color="auto"/>
            </w:tcBorders>
          </w:tcPr>
          <w:p>
            <w:pPr>
              <w:jc w:val="right"/>
              <w:ind w:right="6"/>
              <w:spacing w:after="0" w:line="115" w:lineRule="exact"/>
              <w:rPr>
                <w:sz w:val="20"/>
                <w:szCs w:val="20"/>
                <w:color w:val="auto"/>
              </w:rPr>
            </w:pPr>
            <w:r>
              <w:rPr>
                <w:rFonts w:ascii="Arial" w:cs="Arial" w:eastAsia="Arial" w:hAnsi="Arial"/>
                <w:sz w:val="11"/>
                <w:szCs w:val="11"/>
                <w:color w:val="231F20"/>
              </w:rPr>
              <w:t>(64,839)</w:t>
            </w:r>
          </w:p>
        </w:tc>
        <w:tc>
          <w:tcPr>
            <w:tcW w:w="220" w:type="dxa"/>
            <w:vAlign w:val="bottom"/>
            <w:tcBorders>
              <w:bottom w:val="single" w:sz="8" w:color="auto"/>
            </w:tcBorders>
          </w:tcPr>
          <w:p>
            <w:pPr>
              <w:ind w:left="100"/>
              <w:spacing w:after="0" w:line="115" w:lineRule="exact"/>
              <w:rPr>
                <w:sz w:val="20"/>
                <w:szCs w:val="20"/>
                <w:color w:val="auto"/>
              </w:rPr>
            </w:pPr>
            <w:r>
              <w:rPr>
                <w:rFonts w:ascii="Arial" w:cs="Arial" w:eastAsia="Arial" w:hAnsi="Arial"/>
                <w:sz w:val="11"/>
                <w:szCs w:val="11"/>
                <w:color w:val="231F20"/>
              </w:rPr>
              <w:t>$</w:t>
            </w:r>
          </w:p>
        </w:tc>
        <w:tc>
          <w:tcPr>
            <w:tcW w:w="5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231F20"/>
              </w:rPr>
              <w:t>314,084</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-1890395</wp:posOffset>
            </wp:positionH>
            <wp:positionV relativeFrom="paragraph">
              <wp:posOffset>-890905</wp:posOffset>
            </wp:positionV>
            <wp:extent cx="5648960" cy="857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48960" cy="85725"/>
                    </a:xfrm>
                    <a:prstGeom prst="rect">
                      <a:avLst/>
                    </a:prstGeom>
                    <a:noFill/>
                  </pic:spPr>
                </pic:pic>
              </a:graphicData>
            </a:graphic>
          </wp:anchor>
        </w:drawing>
        <w:drawing>
          <wp:anchor simplePos="0" relativeHeight="251657728" behindDoc="1" locked="0" layoutInCell="0" allowOverlap="1">
            <wp:simplePos x="0" y="0"/>
            <wp:positionH relativeFrom="column">
              <wp:posOffset>-1890395</wp:posOffset>
            </wp:positionH>
            <wp:positionV relativeFrom="paragraph">
              <wp:posOffset>-727710</wp:posOffset>
            </wp:positionV>
            <wp:extent cx="5648960" cy="768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48960" cy="76835"/>
                    </a:xfrm>
                    <a:prstGeom prst="rect">
                      <a:avLst/>
                    </a:prstGeom>
                    <a:noFill/>
                  </pic:spPr>
                </pic:pic>
              </a:graphicData>
            </a:graphic>
          </wp:anchor>
        </w:drawing>
        <w:drawing>
          <wp:anchor simplePos="0" relativeHeight="251657728" behindDoc="1" locked="0" layoutInCell="0" allowOverlap="1">
            <wp:simplePos x="0" y="0"/>
            <wp:positionH relativeFrom="column">
              <wp:posOffset>-1890395</wp:posOffset>
            </wp:positionH>
            <wp:positionV relativeFrom="paragraph">
              <wp:posOffset>-574040</wp:posOffset>
            </wp:positionV>
            <wp:extent cx="564896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48960" cy="154305"/>
                    </a:xfrm>
                    <a:prstGeom prst="rect">
                      <a:avLst/>
                    </a:prstGeom>
                    <a:noFill/>
                  </pic:spPr>
                </pic:pic>
              </a:graphicData>
            </a:graphic>
          </wp:anchor>
        </w:drawing>
        <w:drawing>
          <wp:anchor simplePos="0" relativeHeight="251657728" behindDoc="1" locked="0" layoutInCell="0" allowOverlap="1">
            <wp:simplePos x="0" y="0"/>
            <wp:positionH relativeFrom="column">
              <wp:posOffset>-1890395</wp:posOffset>
            </wp:positionH>
            <wp:positionV relativeFrom="paragraph">
              <wp:posOffset>-342265</wp:posOffset>
            </wp:positionV>
            <wp:extent cx="5648960" cy="774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-1890395</wp:posOffset>
            </wp:positionH>
            <wp:positionV relativeFrom="paragraph">
              <wp:posOffset>-187960</wp:posOffset>
            </wp:positionV>
            <wp:extent cx="5648960" cy="774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-1898650</wp:posOffset>
            </wp:positionH>
            <wp:positionV relativeFrom="paragraph">
              <wp:posOffset>137160</wp:posOffset>
            </wp:positionV>
            <wp:extent cx="56489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00" w:space="340"/>
            <w:col w:w="5979"/>
          </w:cols>
          <w:pgMar w:left="1440" w:top="517" w:right="1440" w:bottom="1440" w:gutter="0" w:footer="0" w:header="0"/>
          <w:type w:val="continuous"/>
        </w:sectPr>
      </w:pP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2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w w:val="98"/>
              </w:rPr>
              <w:t>Accumulated</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55"/>
        </w:trPr>
        <w:tc>
          <w:tcPr>
            <w:tcW w:w="2960" w:type="dxa"/>
            <w:vAlign w:val="bottom"/>
          </w:tcPr>
          <w:p>
            <w:pPr>
              <w:spacing w:after="0"/>
              <w:rPr>
                <w:sz w:val="13"/>
                <w:szCs w:val="13"/>
                <w:color w:val="auto"/>
              </w:rPr>
            </w:pPr>
          </w:p>
        </w:tc>
        <w:tc>
          <w:tcPr>
            <w:tcW w:w="138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95"/>
              </w:rPr>
              <w:t>Convertible</w:t>
            </w: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gridSpan w:val="2"/>
          </w:tcPr>
          <w:p>
            <w:pPr>
              <w:ind w:left="140"/>
              <w:spacing w:after="0"/>
              <w:rPr>
                <w:sz w:val="20"/>
                <w:szCs w:val="20"/>
                <w:color w:val="auto"/>
              </w:rPr>
            </w:pPr>
            <w:r>
              <w:rPr>
                <w:rFonts w:ascii="Arial" w:cs="Arial" w:eastAsia="Arial" w:hAnsi="Arial"/>
                <w:sz w:val="11"/>
                <w:szCs w:val="11"/>
                <w:b w:val="1"/>
                <w:bCs w:val="1"/>
                <w:color w:val="auto"/>
              </w:rPr>
              <w:t>Additional</w:t>
            </w:r>
          </w:p>
        </w:tc>
        <w:tc>
          <w:tcPr>
            <w:tcW w:w="1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w w:val="95"/>
              </w:rPr>
              <w:t>Other</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center"/>
              <w:ind w:right="86"/>
              <w:spacing w:after="0"/>
              <w:rPr>
                <w:sz w:val="20"/>
                <w:szCs w:val="20"/>
                <w:color w:val="auto"/>
              </w:rPr>
            </w:pPr>
            <w:r>
              <w:rPr>
                <w:rFonts w:ascii="Arial" w:cs="Arial" w:eastAsia="Arial" w:hAnsi="Arial"/>
                <w:sz w:val="11"/>
                <w:szCs w:val="11"/>
                <w:b w:val="1"/>
                <w:bCs w:val="1"/>
                <w:color w:val="auto"/>
                <w:w w:val="98"/>
              </w:rPr>
              <w:t>Total</w:t>
            </w:r>
          </w:p>
        </w:tc>
      </w:tr>
      <w:tr>
        <w:trPr>
          <w:trHeight w:val="130"/>
        </w:trPr>
        <w:tc>
          <w:tcPr>
            <w:tcW w:w="2960" w:type="dxa"/>
            <w:vAlign w:val="bottom"/>
          </w:tcPr>
          <w:p>
            <w:pPr>
              <w:spacing w:after="0"/>
              <w:rPr>
                <w:sz w:val="11"/>
                <w:szCs w:val="11"/>
                <w:color w:val="auto"/>
              </w:rPr>
            </w:pPr>
          </w:p>
        </w:tc>
        <w:tc>
          <w:tcPr>
            <w:tcW w:w="13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rPr>
              <w:t>Preferred Stock</w:t>
            </w:r>
          </w:p>
        </w:tc>
        <w:tc>
          <w:tcPr>
            <w:tcW w:w="1220" w:type="dxa"/>
            <w:vAlign w:val="bottom"/>
            <w:gridSpan w:val="3"/>
          </w:tcPr>
          <w:p>
            <w:pPr>
              <w:ind w:left="220"/>
              <w:spacing w:after="0" w:line="122" w:lineRule="exact"/>
              <w:rPr>
                <w:sz w:val="20"/>
                <w:szCs w:val="20"/>
                <w:color w:val="auto"/>
              </w:rPr>
            </w:pPr>
            <w:r>
              <w:rPr>
                <w:rFonts w:ascii="Arial" w:cs="Arial" w:eastAsia="Arial" w:hAnsi="Arial"/>
                <w:sz w:val="11"/>
                <w:szCs w:val="11"/>
                <w:b w:val="1"/>
                <w:bCs w:val="1"/>
                <w:color w:val="auto"/>
              </w:rPr>
              <w:t>Common Stock</w:t>
            </w:r>
          </w:p>
        </w:tc>
        <w:tc>
          <w:tcPr>
            <w:tcW w:w="200" w:type="dxa"/>
            <w:vAlign w:val="bottom"/>
          </w:tcPr>
          <w:p>
            <w:pPr>
              <w:spacing w:after="0"/>
              <w:rPr>
                <w:sz w:val="11"/>
                <w:szCs w:val="11"/>
                <w:color w:val="auto"/>
              </w:rPr>
            </w:pPr>
          </w:p>
        </w:tc>
        <w:tc>
          <w:tcPr>
            <w:tcW w:w="540" w:type="dxa"/>
            <w:vAlign w:val="bottom"/>
          </w:tcPr>
          <w:p>
            <w:pPr>
              <w:jc w:val="right"/>
              <w:ind w:right="106"/>
              <w:spacing w:after="0" w:line="122" w:lineRule="exact"/>
              <w:rPr>
                <w:sz w:val="20"/>
                <w:szCs w:val="20"/>
                <w:color w:val="auto"/>
              </w:rPr>
            </w:pPr>
            <w:r>
              <w:rPr>
                <w:rFonts w:ascii="Arial" w:cs="Arial" w:eastAsia="Arial" w:hAnsi="Arial"/>
                <w:sz w:val="11"/>
                <w:szCs w:val="11"/>
                <w:b w:val="1"/>
                <w:bCs w:val="1"/>
                <w:color w:val="auto"/>
                <w:w w:val="98"/>
              </w:rPr>
              <w:t>Paid-in</w:t>
            </w:r>
          </w:p>
        </w:tc>
        <w:tc>
          <w:tcPr>
            <w:tcW w:w="120" w:type="dxa"/>
            <w:vAlign w:val="bottom"/>
          </w:tcPr>
          <w:p>
            <w:pPr>
              <w:spacing w:after="0"/>
              <w:rPr>
                <w:sz w:val="11"/>
                <w:szCs w:val="11"/>
                <w:color w:val="auto"/>
              </w:rPr>
            </w:pP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Comprehensive</w:t>
            </w:r>
          </w:p>
        </w:tc>
        <w:tc>
          <w:tcPr>
            <w:tcW w:w="80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8"/>
              </w:rPr>
              <w:t>Accumulated</w:t>
            </w:r>
          </w:p>
        </w:tc>
        <w:tc>
          <w:tcPr>
            <w:tcW w:w="80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w w:val="96"/>
              </w:rPr>
              <w:t>Stockholders'</w:t>
            </w:r>
          </w:p>
        </w:tc>
      </w:tr>
      <w:tr>
        <w:trPr>
          <w:trHeight w:val="121"/>
        </w:trPr>
        <w:tc>
          <w:tcPr>
            <w:tcW w:w="2960" w:type="dxa"/>
            <w:vAlign w:val="bottom"/>
            <w:tcBorders>
              <w:bottom w:val="single" w:sz="8" w:color="CCEEFF"/>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06"/>
              <w:spacing w:after="0" w:line="122" w:lineRule="exact"/>
              <w:rPr>
                <w:sz w:val="20"/>
                <w:szCs w:val="20"/>
                <w:color w:val="auto"/>
              </w:rPr>
            </w:pPr>
            <w:r>
              <w:rPr>
                <w:rFonts w:ascii="Arial" w:cs="Arial" w:eastAsia="Arial" w:hAnsi="Arial"/>
                <w:sz w:val="11"/>
                <w:szCs w:val="11"/>
                <w:b w:val="1"/>
                <w:bCs w:val="1"/>
                <w:color w:val="231F20"/>
              </w:rPr>
              <w:t>Shares</w:t>
            </w:r>
          </w:p>
        </w:tc>
        <w:tc>
          <w:tcPr>
            <w:tcW w:w="14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6"/>
              <w:spacing w:after="0" w:line="122" w:lineRule="exact"/>
              <w:rPr>
                <w:sz w:val="20"/>
                <w:szCs w:val="20"/>
                <w:color w:val="auto"/>
              </w:rPr>
            </w:pPr>
            <w:r>
              <w:rPr>
                <w:rFonts w:ascii="Arial" w:cs="Arial" w:eastAsia="Arial" w:hAnsi="Arial"/>
                <w:sz w:val="11"/>
                <w:szCs w:val="11"/>
                <w:b w:val="1"/>
                <w:bCs w:val="1"/>
                <w:color w:val="231F20"/>
                <w:w w:val="96"/>
              </w:rPr>
              <w:t>Amount</w:t>
            </w:r>
          </w:p>
        </w:tc>
        <w:tc>
          <w:tcPr>
            <w:tcW w:w="120" w:type="dxa"/>
            <w:vAlign w:val="bottom"/>
            <w:tcBorders>
              <w:bottom w:val="single" w:sz="8" w:color="CCEEFF"/>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86"/>
              <w:spacing w:after="0" w:line="122" w:lineRule="exact"/>
              <w:rPr>
                <w:sz w:val="20"/>
                <w:szCs w:val="20"/>
                <w:color w:val="auto"/>
              </w:rPr>
            </w:pPr>
            <w:r>
              <w:rPr>
                <w:rFonts w:ascii="Arial" w:cs="Arial" w:eastAsia="Arial" w:hAnsi="Arial"/>
                <w:sz w:val="11"/>
                <w:szCs w:val="11"/>
                <w:b w:val="1"/>
                <w:bCs w:val="1"/>
                <w:color w:val="231F20"/>
              </w:rPr>
              <w:t>Shares</w:t>
            </w:r>
          </w:p>
        </w:tc>
        <w:tc>
          <w:tcPr>
            <w:tcW w:w="14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spacing w:after="0" w:line="122" w:lineRule="exact"/>
              <w:rPr>
                <w:sz w:val="20"/>
                <w:szCs w:val="20"/>
                <w:color w:val="auto"/>
              </w:rPr>
            </w:pPr>
            <w:r>
              <w:rPr>
                <w:rFonts w:ascii="Arial" w:cs="Arial" w:eastAsia="Arial" w:hAnsi="Arial"/>
                <w:sz w:val="11"/>
                <w:szCs w:val="11"/>
                <w:b w:val="1"/>
                <w:bCs w:val="1"/>
                <w:color w:val="231F20"/>
              </w:rPr>
              <w:t>Amount</w:t>
            </w: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06"/>
              <w:spacing w:after="0" w:line="122" w:lineRule="exact"/>
              <w:rPr>
                <w:sz w:val="20"/>
                <w:szCs w:val="20"/>
                <w:color w:val="auto"/>
              </w:rPr>
            </w:pPr>
            <w:r>
              <w:rPr>
                <w:rFonts w:ascii="Arial" w:cs="Arial" w:eastAsia="Arial" w:hAnsi="Arial"/>
                <w:sz w:val="11"/>
                <w:szCs w:val="11"/>
                <w:b w:val="1"/>
                <w:bCs w:val="1"/>
                <w:color w:val="231F20"/>
                <w:w w:val="98"/>
              </w:rPr>
              <w:t>Capital</w:t>
            </w: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spacing w:after="0" w:line="113" w:lineRule="exact"/>
              <w:rPr>
                <w:sz w:val="20"/>
                <w:szCs w:val="20"/>
                <w:color w:val="auto"/>
              </w:rPr>
            </w:pPr>
            <w:r>
              <w:rPr>
                <w:rFonts w:ascii="Arial" w:cs="Arial" w:eastAsia="Arial" w:hAnsi="Arial"/>
                <w:sz w:val="11"/>
                <w:szCs w:val="11"/>
                <w:b w:val="1"/>
                <w:bCs w:val="1"/>
                <w:color w:val="231F20"/>
                <w:w w:val="93"/>
              </w:rPr>
              <w:t>Loss</w:t>
            </w: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center"/>
              <w:ind w:right="146"/>
              <w:spacing w:after="0" w:line="122" w:lineRule="exact"/>
              <w:rPr>
                <w:sz w:val="20"/>
                <w:szCs w:val="20"/>
                <w:color w:val="auto"/>
              </w:rPr>
            </w:pPr>
            <w:r>
              <w:rPr>
                <w:rFonts w:ascii="Arial" w:cs="Arial" w:eastAsia="Arial" w:hAnsi="Arial"/>
                <w:sz w:val="11"/>
                <w:szCs w:val="11"/>
                <w:b w:val="1"/>
                <w:bCs w:val="1"/>
                <w:color w:val="231F20"/>
                <w:w w:val="95"/>
              </w:rPr>
              <w:t>Deficit</w:t>
            </w:r>
          </w:p>
        </w:tc>
        <w:tc>
          <w:tcPr>
            <w:tcW w:w="2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86"/>
              <w:spacing w:after="0" w:line="122" w:lineRule="exact"/>
              <w:rPr>
                <w:sz w:val="20"/>
                <w:szCs w:val="20"/>
                <w:color w:val="auto"/>
              </w:rPr>
            </w:pPr>
            <w:r>
              <w:rPr>
                <w:rFonts w:ascii="Arial" w:cs="Arial" w:eastAsia="Arial" w:hAnsi="Arial"/>
                <w:sz w:val="11"/>
                <w:szCs w:val="11"/>
                <w:b w:val="1"/>
                <w:bCs w:val="1"/>
                <w:color w:val="231F20"/>
              </w:rPr>
              <w:t>Equity</w:t>
            </w:r>
          </w:p>
        </w:tc>
      </w:tr>
      <w:tr>
        <w:trPr>
          <w:trHeight w:val="115"/>
        </w:trPr>
        <w:tc>
          <w:tcPr>
            <w:tcW w:w="2960" w:type="dxa"/>
            <w:vAlign w:val="bottom"/>
            <w:shd w:val="clear" w:color="auto" w:fill="CCEEFF"/>
          </w:tcPr>
          <w:p>
            <w:pPr>
              <w:ind w:left="20"/>
              <w:spacing w:after="0" w:line="115" w:lineRule="exact"/>
              <w:rPr>
                <w:sz w:val="20"/>
                <w:szCs w:val="20"/>
                <w:color w:val="auto"/>
              </w:rPr>
            </w:pPr>
            <w:r>
              <w:rPr>
                <w:rFonts w:ascii="Arial" w:cs="Arial" w:eastAsia="Arial" w:hAnsi="Arial"/>
                <w:sz w:val="11"/>
                <w:szCs w:val="11"/>
                <w:color w:val="231F20"/>
              </w:rPr>
              <w:t>Balances at March 31, 2020</w:t>
            </w:r>
          </w:p>
        </w:tc>
        <w:tc>
          <w:tcPr>
            <w:tcW w:w="640" w:type="dxa"/>
            <w:vAlign w:val="bottom"/>
            <w:shd w:val="clear" w:color="auto" w:fill="CCEEFF"/>
          </w:tcPr>
          <w:p>
            <w:pPr>
              <w:jc w:val="right"/>
              <w:ind w:right="26"/>
              <w:spacing w:after="0" w:line="115" w:lineRule="exact"/>
              <w:rPr>
                <w:sz w:val="20"/>
                <w:szCs w:val="20"/>
                <w:color w:val="auto"/>
              </w:rPr>
            </w:pPr>
            <w:r>
              <w:rPr>
                <w:rFonts w:ascii="Arial" w:cs="Arial" w:eastAsia="Arial" w:hAnsi="Arial"/>
                <w:sz w:val="11"/>
                <w:szCs w:val="11"/>
                <w:color w:val="231F20"/>
                <w:w w:val="98"/>
              </w:rPr>
              <w:t>10,995,312</w:t>
            </w:r>
          </w:p>
        </w:tc>
        <w:tc>
          <w:tcPr>
            <w:tcW w:w="14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231F20"/>
              </w:rPr>
              <w:t>$</w:t>
            </w:r>
          </w:p>
        </w:tc>
        <w:tc>
          <w:tcPr>
            <w:tcW w:w="4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231F20"/>
              </w:rPr>
              <w:t>39,235</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ind w:right="26"/>
              <w:spacing w:after="0" w:line="115" w:lineRule="exact"/>
              <w:rPr>
                <w:sz w:val="20"/>
                <w:szCs w:val="20"/>
                <w:color w:val="auto"/>
              </w:rPr>
            </w:pPr>
            <w:r>
              <w:rPr>
                <w:rFonts w:ascii="Arial" w:cs="Arial" w:eastAsia="Arial" w:hAnsi="Arial"/>
                <w:sz w:val="11"/>
                <w:szCs w:val="11"/>
                <w:color w:val="231F20"/>
              </w:rPr>
              <w:t>2,593,316</w:t>
            </w:r>
          </w:p>
        </w:tc>
        <w:tc>
          <w:tcPr>
            <w:tcW w:w="14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231F20"/>
              </w:rPr>
              <w:t>$</w:t>
            </w:r>
          </w:p>
        </w:tc>
        <w:tc>
          <w:tcPr>
            <w:tcW w:w="480" w:type="dxa"/>
            <w:vAlign w:val="bottom"/>
            <w:shd w:val="clear" w:color="auto" w:fill="CCEEFF"/>
          </w:tcPr>
          <w:p>
            <w:pPr>
              <w:ind w:left="340"/>
              <w:spacing w:after="0" w:line="115" w:lineRule="exact"/>
              <w:rPr>
                <w:sz w:val="20"/>
                <w:szCs w:val="20"/>
                <w:color w:val="auto"/>
              </w:rPr>
            </w:pPr>
            <w:r>
              <w:rPr>
                <w:rFonts w:ascii="Arial" w:cs="Arial" w:eastAsia="Arial" w:hAnsi="Arial"/>
                <w:sz w:val="11"/>
                <w:szCs w:val="11"/>
                <w:color w:val="231F20"/>
              </w:rPr>
              <w:t>—</w:t>
            </w:r>
          </w:p>
        </w:tc>
        <w:tc>
          <w:tcPr>
            <w:tcW w:w="200" w:type="dxa"/>
            <w:vAlign w:val="bottom"/>
            <w:shd w:val="clear" w:color="auto" w:fill="CCEEFF"/>
          </w:tcPr>
          <w:p>
            <w:pPr>
              <w:ind w:left="120"/>
              <w:spacing w:after="0" w:line="115" w:lineRule="exact"/>
              <w:rPr>
                <w:sz w:val="20"/>
                <w:szCs w:val="20"/>
                <w:color w:val="auto"/>
              </w:rPr>
            </w:pPr>
            <w:r>
              <w:rPr>
                <w:rFonts w:ascii="Arial" w:cs="Arial" w:eastAsia="Arial" w:hAnsi="Arial"/>
                <w:sz w:val="11"/>
                <w:szCs w:val="11"/>
                <w:color w:val="231F20"/>
                <w:w w:val="97"/>
              </w:rPr>
              <w:t>$</w:t>
            </w:r>
          </w:p>
        </w:tc>
        <w:tc>
          <w:tcPr>
            <w:tcW w:w="540" w:type="dxa"/>
            <w:vAlign w:val="bottom"/>
            <w:shd w:val="clear" w:color="auto" w:fill="CCEEFF"/>
          </w:tcPr>
          <w:p>
            <w:pPr>
              <w:jc w:val="right"/>
              <w:ind w:right="46"/>
              <w:spacing w:after="0" w:line="115" w:lineRule="exact"/>
              <w:rPr>
                <w:sz w:val="20"/>
                <w:szCs w:val="20"/>
                <w:color w:val="auto"/>
              </w:rPr>
            </w:pPr>
            <w:r>
              <w:rPr>
                <w:rFonts w:ascii="Arial" w:cs="Arial" w:eastAsia="Arial" w:hAnsi="Arial"/>
                <w:sz w:val="11"/>
                <w:szCs w:val="11"/>
                <w:color w:val="231F20"/>
              </w:rPr>
              <w:t>802</w:t>
            </w:r>
          </w:p>
        </w:tc>
        <w:tc>
          <w:tcPr>
            <w:tcW w:w="1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231F20"/>
              </w:rPr>
              <w:t>$</w:t>
            </w:r>
          </w:p>
        </w:tc>
        <w:tc>
          <w:tcPr>
            <w:tcW w:w="880" w:type="dxa"/>
            <w:vAlign w:val="bottom"/>
            <w:shd w:val="clear" w:color="auto" w:fill="CCEEFF"/>
          </w:tcPr>
          <w:p>
            <w:pPr>
              <w:ind w:left="700"/>
              <w:spacing w:after="0" w:line="115" w:lineRule="exact"/>
              <w:rPr>
                <w:sz w:val="20"/>
                <w:szCs w:val="20"/>
                <w:color w:val="auto"/>
              </w:rPr>
            </w:pPr>
            <w:r>
              <w:rPr>
                <w:rFonts w:ascii="Arial" w:cs="Arial" w:eastAsia="Arial" w:hAnsi="Arial"/>
                <w:sz w:val="11"/>
                <w:szCs w:val="11"/>
                <w:color w:val="231F20"/>
              </w:rPr>
              <w:t>—</w:t>
            </w:r>
          </w:p>
        </w:tc>
        <w:tc>
          <w:tcPr>
            <w:tcW w:w="16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231F20"/>
              </w:rPr>
              <w:t>$</w:t>
            </w:r>
          </w:p>
        </w:tc>
        <w:tc>
          <w:tcPr>
            <w:tcW w:w="640" w:type="dxa"/>
            <w:vAlign w:val="bottom"/>
            <w:shd w:val="clear" w:color="auto" w:fill="CCEEFF"/>
          </w:tcPr>
          <w:p>
            <w:pPr>
              <w:jc w:val="right"/>
              <w:ind w:right="26"/>
              <w:spacing w:after="0" w:line="115" w:lineRule="exact"/>
              <w:rPr>
                <w:sz w:val="20"/>
                <w:szCs w:val="20"/>
                <w:color w:val="auto"/>
              </w:rPr>
            </w:pPr>
            <w:r>
              <w:rPr>
                <w:rFonts w:ascii="Arial" w:cs="Arial" w:eastAsia="Arial" w:hAnsi="Arial"/>
                <w:sz w:val="11"/>
                <w:szCs w:val="11"/>
                <w:color w:val="231F20"/>
              </w:rPr>
              <w:t>(12,455)</w:t>
            </w:r>
          </w:p>
        </w:tc>
        <w:tc>
          <w:tcPr>
            <w:tcW w:w="200" w:type="dxa"/>
            <w:vAlign w:val="bottom"/>
            <w:shd w:val="clear" w:color="auto" w:fill="CCEEFF"/>
          </w:tcPr>
          <w:p>
            <w:pPr>
              <w:ind w:left="80"/>
              <w:spacing w:after="0" w:line="115" w:lineRule="exact"/>
              <w:rPr>
                <w:sz w:val="20"/>
                <w:szCs w:val="20"/>
                <w:color w:val="auto"/>
              </w:rPr>
            </w:pPr>
            <w:r>
              <w:rPr>
                <w:rFonts w:ascii="Arial" w:cs="Arial" w:eastAsia="Arial" w:hAnsi="Arial"/>
                <w:sz w:val="11"/>
                <w:szCs w:val="11"/>
                <w:color w:val="231F20"/>
              </w:rPr>
              <w:t>$</w:t>
            </w:r>
          </w:p>
        </w:tc>
        <w:tc>
          <w:tcPr>
            <w:tcW w:w="60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231F20"/>
              </w:rPr>
              <w:t>(11,653)</w:t>
            </w:r>
          </w:p>
        </w:tc>
      </w:tr>
      <w:tr>
        <w:trPr>
          <w:trHeight w:val="118"/>
        </w:trPr>
        <w:tc>
          <w:tcPr>
            <w:tcW w:w="2960" w:type="dxa"/>
            <w:vAlign w:val="bottom"/>
          </w:tcPr>
          <w:p>
            <w:pPr>
              <w:ind w:left="20"/>
              <w:spacing w:after="0" w:line="119" w:lineRule="exact"/>
              <w:rPr>
                <w:sz w:val="20"/>
                <w:szCs w:val="20"/>
                <w:color w:val="auto"/>
              </w:rPr>
            </w:pPr>
            <w:r>
              <w:rPr>
                <w:rFonts w:ascii="Arial" w:cs="Arial" w:eastAsia="Arial" w:hAnsi="Arial"/>
                <w:sz w:val="11"/>
                <w:szCs w:val="11"/>
                <w:color w:val="auto"/>
              </w:rPr>
              <w:t>Issuance of Series B convertible stock, net of issuance</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25"/>
        </w:trPr>
        <w:tc>
          <w:tcPr>
            <w:tcW w:w="2960" w:type="dxa"/>
            <w:vAlign w:val="bottom"/>
          </w:tcPr>
          <w:p>
            <w:pPr>
              <w:ind w:left="20"/>
              <w:spacing w:after="0" w:line="125" w:lineRule="exact"/>
              <w:rPr>
                <w:sz w:val="20"/>
                <w:szCs w:val="20"/>
                <w:color w:val="auto"/>
              </w:rPr>
            </w:pPr>
            <w:r>
              <w:rPr>
                <w:rFonts w:ascii="Arial" w:cs="Arial" w:eastAsia="Arial" w:hAnsi="Arial"/>
                <w:sz w:val="11"/>
                <w:szCs w:val="11"/>
                <w:color w:val="auto"/>
              </w:rPr>
              <w:t>costs of $130</w:t>
            </w:r>
          </w:p>
        </w:tc>
        <w:tc>
          <w:tcPr>
            <w:tcW w:w="640" w:type="dxa"/>
            <w:vAlign w:val="bottom"/>
          </w:tcPr>
          <w:p>
            <w:pPr>
              <w:jc w:val="right"/>
              <w:ind w:right="26"/>
              <w:spacing w:after="0" w:line="125" w:lineRule="exact"/>
              <w:rPr>
                <w:sz w:val="20"/>
                <w:szCs w:val="20"/>
                <w:color w:val="auto"/>
              </w:rPr>
            </w:pPr>
            <w:r>
              <w:rPr>
                <w:rFonts w:ascii="Arial" w:cs="Arial" w:eastAsia="Arial" w:hAnsi="Arial"/>
                <w:sz w:val="11"/>
                <w:szCs w:val="11"/>
                <w:color w:val="231F20"/>
              </w:rPr>
              <w:t>5,072,450</w:t>
            </w:r>
          </w:p>
        </w:tc>
        <w:tc>
          <w:tcPr>
            <w:tcW w:w="140" w:type="dxa"/>
            <w:vAlign w:val="bottom"/>
          </w:tcPr>
          <w:p>
            <w:pPr>
              <w:spacing w:after="0"/>
              <w:rPr>
                <w:sz w:val="10"/>
                <w:szCs w:val="10"/>
                <w:color w:val="auto"/>
              </w:rPr>
            </w:pPr>
          </w:p>
        </w:tc>
        <w:tc>
          <w:tcPr>
            <w:tcW w:w="480" w:type="dxa"/>
            <w:vAlign w:val="bottom"/>
          </w:tcPr>
          <w:p>
            <w:pPr>
              <w:jc w:val="right"/>
              <w:spacing w:after="0" w:line="125" w:lineRule="exact"/>
              <w:rPr>
                <w:sz w:val="20"/>
                <w:szCs w:val="20"/>
                <w:color w:val="auto"/>
              </w:rPr>
            </w:pPr>
            <w:r>
              <w:rPr>
                <w:rFonts w:ascii="Arial" w:cs="Arial" w:eastAsia="Arial" w:hAnsi="Arial"/>
                <w:sz w:val="11"/>
                <w:szCs w:val="11"/>
                <w:color w:val="231F20"/>
              </w:rPr>
              <w:t>23,769</w:t>
            </w:r>
          </w:p>
        </w:tc>
        <w:tc>
          <w:tcPr>
            <w:tcW w:w="120" w:type="dxa"/>
            <w:vAlign w:val="bottom"/>
          </w:tcPr>
          <w:p>
            <w:pPr>
              <w:spacing w:after="0"/>
              <w:rPr>
                <w:sz w:val="10"/>
                <w:szCs w:val="10"/>
                <w:color w:val="auto"/>
              </w:rPr>
            </w:pPr>
          </w:p>
        </w:tc>
        <w:tc>
          <w:tcPr>
            <w:tcW w:w="600" w:type="dxa"/>
            <w:vAlign w:val="bottom"/>
          </w:tcPr>
          <w:p>
            <w:pPr>
              <w:jc w:val="right"/>
              <w:ind w:right="26"/>
              <w:spacing w:after="0" w:line="125" w:lineRule="exact"/>
              <w:rPr>
                <w:sz w:val="20"/>
                <w:szCs w:val="20"/>
                <w:color w:val="auto"/>
              </w:rPr>
            </w:pPr>
            <w:r>
              <w:rPr>
                <w:rFonts w:ascii="Arial" w:cs="Arial" w:eastAsia="Arial" w:hAnsi="Arial"/>
                <w:sz w:val="11"/>
                <w:szCs w:val="11"/>
                <w:color w:val="231F20"/>
              </w:rPr>
              <w:t>—</w:t>
            </w:r>
          </w:p>
        </w:tc>
        <w:tc>
          <w:tcPr>
            <w:tcW w:w="140" w:type="dxa"/>
            <w:vAlign w:val="bottom"/>
          </w:tcPr>
          <w:p>
            <w:pPr>
              <w:spacing w:after="0"/>
              <w:rPr>
                <w:sz w:val="10"/>
                <w:szCs w:val="10"/>
                <w:color w:val="auto"/>
              </w:rPr>
            </w:pPr>
          </w:p>
        </w:tc>
        <w:tc>
          <w:tcPr>
            <w:tcW w:w="480" w:type="dxa"/>
            <w:vAlign w:val="bottom"/>
          </w:tcPr>
          <w:p>
            <w:pPr>
              <w:ind w:left="340"/>
              <w:spacing w:after="0" w:line="125" w:lineRule="exact"/>
              <w:rPr>
                <w:sz w:val="20"/>
                <w:szCs w:val="20"/>
                <w:color w:val="auto"/>
              </w:rPr>
            </w:pPr>
            <w:r>
              <w:rPr>
                <w:rFonts w:ascii="Arial" w:cs="Arial" w:eastAsia="Arial" w:hAnsi="Arial"/>
                <w:sz w:val="11"/>
                <w:szCs w:val="11"/>
                <w:color w:val="231F20"/>
              </w:rPr>
              <w:t>—</w:t>
            </w:r>
          </w:p>
        </w:tc>
        <w:tc>
          <w:tcPr>
            <w:tcW w:w="200" w:type="dxa"/>
            <w:vAlign w:val="bottom"/>
          </w:tcPr>
          <w:p>
            <w:pPr>
              <w:spacing w:after="0"/>
              <w:rPr>
                <w:sz w:val="10"/>
                <w:szCs w:val="10"/>
                <w:color w:val="auto"/>
              </w:rPr>
            </w:pPr>
          </w:p>
        </w:tc>
        <w:tc>
          <w:tcPr>
            <w:tcW w:w="540" w:type="dxa"/>
            <w:vAlign w:val="bottom"/>
          </w:tcPr>
          <w:p>
            <w:pPr>
              <w:jc w:val="right"/>
              <w:ind w:right="46"/>
              <w:spacing w:after="0" w:line="125" w:lineRule="exact"/>
              <w:rPr>
                <w:sz w:val="20"/>
                <w:szCs w:val="20"/>
                <w:color w:val="auto"/>
              </w:rPr>
            </w:pPr>
            <w:r>
              <w:rPr>
                <w:rFonts w:ascii="Arial" w:cs="Arial" w:eastAsia="Arial" w:hAnsi="Arial"/>
                <w:sz w:val="11"/>
                <w:szCs w:val="11"/>
                <w:color w:val="231F20"/>
              </w:rPr>
              <w:t>—</w:t>
            </w:r>
          </w:p>
        </w:tc>
        <w:tc>
          <w:tcPr>
            <w:tcW w:w="120" w:type="dxa"/>
            <w:vAlign w:val="bottom"/>
          </w:tcPr>
          <w:p>
            <w:pPr>
              <w:spacing w:after="0"/>
              <w:rPr>
                <w:sz w:val="10"/>
                <w:szCs w:val="10"/>
                <w:color w:val="auto"/>
              </w:rPr>
            </w:pPr>
          </w:p>
        </w:tc>
        <w:tc>
          <w:tcPr>
            <w:tcW w:w="880" w:type="dxa"/>
            <w:vAlign w:val="bottom"/>
          </w:tcPr>
          <w:p>
            <w:pPr>
              <w:ind w:left="700"/>
              <w:spacing w:after="0" w:line="125" w:lineRule="exact"/>
              <w:rPr>
                <w:sz w:val="20"/>
                <w:szCs w:val="20"/>
                <w:color w:val="auto"/>
              </w:rPr>
            </w:pPr>
            <w:r>
              <w:rPr>
                <w:rFonts w:ascii="Arial" w:cs="Arial" w:eastAsia="Arial" w:hAnsi="Arial"/>
                <w:sz w:val="11"/>
                <w:szCs w:val="11"/>
                <w:color w:val="231F20"/>
              </w:rPr>
              <w:t>—</w:t>
            </w:r>
          </w:p>
        </w:tc>
        <w:tc>
          <w:tcPr>
            <w:tcW w:w="160" w:type="dxa"/>
            <w:vAlign w:val="bottom"/>
          </w:tcPr>
          <w:p>
            <w:pPr>
              <w:spacing w:after="0"/>
              <w:rPr>
                <w:sz w:val="10"/>
                <w:szCs w:val="10"/>
                <w:color w:val="auto"/>
              </w:rPr>
            </w:pPr>
          </w:p>
        </w:tc>
        <w:tc>
          <w:tcPr>
            <w:tcW w:w="640" w:type="dxa"/>
            <w:vAlign w:val="bottom"/>
          </w:tcPr>
          <w:p>
            <w:pPr>
              <w:jc w:val="right"/>
              <w:ind w:right="46"/>
              <w:spacing w:after="0" w:line="125" w:lineRule="exact"/>
              <w:rPr>
                <w:sz w:val="20"/>
                <w:szCs w:val="20"/>
                <w:color w:val="auto"/>
              </w:rPr>
            </w:pPr>
            <w:r>
              <w:rPr>
                <w:rFonts w:ascii="Arial" w:cs="Arial" w:eastAsia="Arial" w:hAnsi="Arial"/>
                <w:sz w:val="11"/>
                <w:szCs w:val="11"/>
                <w:color w:val="231F20"/>
              </w:rPr>
              <w:t>—</w:t>
            </w:r>
          </w:p>
        </w:tc>
        <w:tc>
          <w:tcPr>
            <w:tcW w:w="200" w:type="dxa"/>
            <w:vAlign w:val="bottom"/>
          </w:tcPr>
          <w:p>
            <w:pPr>
              <w:spacing w:after="0"/>
              <w:rPr>
                <w:sz w:val="10"/>
                <w:szCs w:val="10"/>
                <w:color w:val="auto"/>
              </w:rPr>
            </w:pPr>
          </w:p>
        </w:tc>
        <w:tc>
          <w:tcPr>
            <w:tcW w:w="60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r>
      <w:tr>
        <w:trPr>
          <w:trHeight w:val="122"/>
        </w:trPr>
        <w:tc>
          <w:tcPr>
            <w:tcW w:w="296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Stock-based compensation expense</w:t>
            </w:r>
          </w:p>
        </w:tc>
        <w:tc>
          <w:tcPr>
            <w:tcW w:w="64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231F20"/>
              </w:rPr>
              <w:t>—</w:t>
            </w:r>
          </w:p>
        </w:tc>
        <w:tc>
          <w:tcPr>
            <w:tcW w:w="1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231F20"/>
              </w:rPr>
              <w:t>—</w:t>
            </w:r>
          </w:p>
        </w:tc>
        <w:tc>
          <w:tcPr>
            <w:tcW w:w="60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231F20"/>
              </w:rPr>
              <w:t>—</w:t>
            </w: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ind w:left="340"/>
              <w:spacing w:after="0" w:line="122" w:lineRule="exact"/>
              <w:rPr>
                <w:sz w:val="20"/>
                <w:szCs w:val="20"/>
                <w:color w:val="auto"/>
              </w:rPr>
            </w:pPr>
            <w:r>
              <w:rPr>
                <w:rFonts w:ascii="Arial" w:cs="Arial" w:eastAsia="Arial" w:hAnsi="Arial"/>
                <w:sz w:val="11"/>
                <w:szCs w:val="11"/>
                <w:color w:val="231F20"/>
              </w:rPr>
              <w:t>—</w:t>
            </w: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231F20"/>
              </w:rPr>
              <w:t>154</w:t>
            </w: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ind w:left="700"/>
              <w:spacing w:after="0" w:line="122" w:lineRule="exact"/>
              <w:rPr>
                <w:sz w:val="20"/>
                <w:szCs w:val="20"/>
                <w:color w:val="auto"/>
              </w:rPr>
            </w:pPr>
            <w:r>
              <w:rPr>
                <w:rFonts w:ascii="Arial" w:cs="Arial" w:eastAsia="Arial" w:hAnsi="Arial"/>
                <w:sz w:val="11"/>
                <w:szCs w:val="11"/>
                <w:color w:val="231F20"/>
              </w:rPr>
              <w:t>—</w:t>
            </w: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231F20"/>
              </w:rPr>
              <w:t>—</w:t>
            </w: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231F20"/>
              </w:rPr>
              <w:t>154</w:t>
            </w:r>
          </w:p>
        </w:tc>
      </w:tr>
      <w:tr>
        <w:trPr>
          <w:trHeight w:val="122"/>
        </w:trPr>
        <w:tc>
          <w:tcPr>
            <w:tcW w:w="2960" w:type="dxa"/>
            <w:vAlign w:val="bottom"/>
            <w:tcBorders>
              <w:bottom w:val="single" w:sz="8" w:color="CCEEFF"/>
            </w:tcBorders>
          </w:tcPr>
          <w:p>
            <w:pPr>
              <w:ind w:left="20"/>
              <w:spacing w:after="0" w:line="122" w:lineRule="exact"/>
              <w:rPr>
                <w:sz w:val="20"/>
                <w:szCs w:val="20"/>
                <w:color w:val="auto"/>
              </w:rPr>
            </w:pPr>
            <w:r>
              <w:rPr>
                <w:rFonts w:ascii="Arial" w:cs="Arial" w:eastAsia="Arial" w:hAnsi="Arial"/>
                <w:sz w:val="11"/>
                <w:szCs w:val="11"/>
                <w:color w:val="auto"/>
              </w:rPr>
              <w:t>Net loss</w:t>
            </w:r>
          </w:p>
        </w:tc>
        <w:tc>
          <w:tcPr>
            <w:tcW w:w="640" w:type="dxa"/>
            <w:vAlign w:val="bottom"/>
            <w:tcBorders>
              <w:bottom w:val="single" w:sz="8" w:color="auto"/>
            </w:tcBorders>
          </w:tcPr>
          <w:p>
            <w:pPr>
              <w:jc w:val="right"/>
              <w:ind w:right="26"/>
              <w:spacing w:after="0" w:line="122" w:lineRule="exact"/>
              <w:rPr>
                <w:sz w:val="20"/>
                <w:szCs w:val="20"/>
                <w:color w:val="auto"/>
              </w:rPr>
            </w:pPr>
            <w:r>
              <w:rPr>
                <w:rFonts w:ascii="Arial" w:cs="Arial" w:eastAsia="Arial" w:hAnsi="Arial"/>
                <w:sz w:val="11"/>
                <w:szCs w:val="11"/>
                <w:color w:val="231F20"/>
              </w:rPr>
              <w:t>—</w:t>
            </w:r>
          </w:p>
        </w:tc>
        <w:tc>
          <w:tcPr>
            <w:tcW w:w="1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gridSpan w:val="2"/>
          </w:tcPr>
          <w:p>
            <w:pPr>
              <w:jc w:val="right"/>
              <w:ind w:right="160"/>
              <w:spacing w:after="0" w:line="122" w:lineRule="exact"/>
              <w:rPr>
                <w:sz w:val="20"/>
                <w:szCs w:val="20"/>
                <w:color w:val="auto"/>
              </w:rPr>
            </w:pPr>
            <w:r>
              <w:rPr>
                <w:rFonts w:ascii="Arial" w:cs="Arial" w:eastAsia="Arial" w:hAnsi="Arial"/>
                <w:sz w:val="11"/>
                <w:szCs w:val="11"/>
                <w:color w:val="231F20"/>
              </w:rPr>
              <w:t>—</w:t>
            </w:r>
          </w:p>
        </w:tc>
        <w:tc>
          <w:tcPr>
            <w:tcW w:w="600" w:type="dxa"/>
            <w:vAlign w:val="bottom"/>
            <w:tcBorders>
              <w:bottom w:val="single" w:sz="8" w:color="auto"/>
            </w:tcBorders>
          </w:tcPr>
          <w:p>
            <w:pPr>
              <w:jc w:val="right"/>
              <w:ind w:right="26"/>
              <w:spacing w:after="0" w:line="122" w:lineRule="exact"/>
              <w:rPr>
                <w:sz w:val="20"/>
                <w:szCs w:val="20"/>
                <w:color w:val="auto"/>
              </w:rPr>
            </w:pPr>
            <w:r>
              <w:rPr>
                <w:rFonts w:ascii="Arial" w:cs="Arial" w:eastAsia="Arial" w:hAnsi="Arial"/>
                <w:sz w:val="11"/>
                <w:szCs w:val="11"/>
                <w:color w:val="231F20"/>
              </w:rPr>
              <w:t>—</w:t>
            </w: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ind w:left="340"/>
              <w:spacing w:after="0" w:line="122" w:lineRule="exact"/>
              <w:rPr>
                <w:sz w:val="20"/>
                <w:szCs w:val="20"/>
                <w:color w:val="auto"/>
              </w:rPr>
            </w:pPr>
            <w:r>
              <w:rPr>
                <w:rFonts w:ascii="Arial" w:cs="Arial" w:eastAsia="Arial" w:hAnsi="Arial"/>
                <w:sz w:val="11"/>
                <w:szCs w:val="11"/>
                <w:color w:val="231F20"/>
              </w:rPr>
              <w:t>—</w:t>
            </w: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46"/>
              <w:spacing w:after="0" w:line="122" w:lineRule="exact"/>
              <w:rPr>
                <w:sz w:val="20"/>
                <w:szCs w:val="20"/>
                <w:color w:val="auto"/>
              </w:rPr>
            </w:pPr>
            <w:r>
              <w:rPr>
                <w:rFonts w:ascii="Arial" w:cs="Arial" w:eastAsia="Arial" w:hAnsi="Arial"/>
                <w:sz w:val="11"/>
                <w:szCs w:val="11"/>
                <w:color w:val="231F20"/>
              </w:rPr>
              <w:t>—</w:t>
            </w: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ind w:left="700"/>
              <w:spacing w:after="0" w:line="122" w:lineRule="exact"/>
              <w:rPr>
                <w:sz w:val="20"/>
                <w:szCs w:val="20"/>
                <w:color w:val="auto"/>
              </w:rPr>
            </w:pPr>
            <w:r>
              <w:rPr>
                <w:rFonts w:ascii="Arial" w:cs="Arial" w:eastAsia="Arial" w:hAnsi="Arial"/>
                <w:sz w:val="11"/>
                <w:szCs w:val="11"/>
                <w:color w:val="231F20"/>
              </w:rPr>
              <w:t>—</w:t>
            </w: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6"/>
              <w:spacing w:after="0" w:line="122" w:lineRule="exact"/>
              <w:rPr>
                <w:sz w:val="20"/>
                <w:szCs w:val="20"/>
                <w:color w:val="auto"/>
              </w:rPr>
            </w:pPr>
            <w:r>
              <w:rPr>
                <w:rFonts w:ascii="Arial" w:cs="Arial" w:eastAsia="Arial" w:hAnsi="Arial"/>
                <w:sz w:val="11"/>
                <w:szCs w:val="11"/>
                <w:color w:val="231F20"/>
              </w:rPr>
              <w:t>(2,453)</w:t>
            </w:r>
          </w:p>
        </w:tc>
        <w:tc>
          <w:tcPr>
            <w:tcW w:w="2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231F20"/>
              </w:rPr>
              <w:t>(2,453)</w:t>
            </w:r>
          </w:p>
        </w:tc>
      </w:tr>
      <w:tr>
        <w:trPr>
          <w:trHeight w:val="115"/>
        </w:trPr>
        <w:tc>
          <w:tcPr>
            <w:tcW w:w="2960" w:type="dxa"/>
            <w:vAlign w:val="bottom"/>
            <w:tcBorders>
              <w:bottom w:val="single" w:sz="8" w:color="CCEEFF"/>
            </w:tcBorders>
            <w:shd w:val="clear" w:color="auto" w:fill="CCEEFF"/>
          </w:tcPr>
          <w:p>
            <w:pPr>
              <w:ind w:left="20"/>
              <w:spacing w:after="0" w:line="115" w:lineRule="exact"/>
              <w:rPr>
                <w:sz w:val="20"/>
                <w:szCs w:val="20"/>
                <w:color w:val="auto"/>
              </w:rPr>
            </w:pPr>
            <w:r>
              <w:rPr>
                <w:rFonts w:ascii="Arial" w:cs="Arial" w:eastAsia="Arial" w:hAnsi="Arial"/>
                <w:sz w:val="11"/>
                <w:szCs w:val="11"/>
                <w:color w:val="auto"/>
              </w:rPr>
              <w:t>Balances at June 30, 2020</w:t>
            </w:r>
          </w:p>
        </w:tc>
        <w:tc>
          <w:tcPr>
            <w:tcW w:w="640" w:type="dxa"/>
            <w:vAlign w:val="bottom"/>
            <w:tcBorders>
              <w:bottom w:val="single" w:sz="8" w:color="auto"/>
            </w:tcBorders>
            <w:shd w:val="clear" w:color="auto" w:fill="CCEEFF"/>
          </w:tcPr>
          <w:p>
            <w:pPr>
              <w:jc w:val="right"/>
              <w:ind w:right="26"/>
              <w:spacing w:after="0" w:line="115" w:lineRule="exact"/>
              <w:rPr>
                <w:sz w:val="20"/>
                <w:szCs w:val="20"/>
                <w:color w:val="auto"/>
              </w:rPr>
            </w:pPr>
            <w:r>
              <w:rPr>
                <w:rFonts w:ascii="Arial" w:cs="Arial" w:eastAsia="Arial" w:hAnsi="Arial"/>
                <w:sz w:val="11"/>
                <w:szCs w:val="11"/>
                <w:color w:val="auto"/>
                <w:w w:val="98"/>
              </w:rPr>
              <w:t>16,067,762</w:t>
            </w:r>
          </w:p>
        </w:tc>
        <w:tc>
          <w:tcPr>
            <w:tcW w:w="1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48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63,004</w:t>
            </w: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ind w:right="26"/>
              <w:spacing w:after="0" w:line="115" w:lineRule="exact"/>
              <w:rPr>
                <w:sz w:val="20"/>
                <w:szCs w:val="20"/>
                <w:color w:val="auto"/>
              </w:rPr>
            </w:pPr>
            <w:r>
              <w:rPr>
                <w:rFonts w:ascii="Arial" w:cs="Arial" w:eastAsia="Arial" w:hAnsi="Arial"/>
                <w:sz w:val="11"/>
                <w:szCs w:val="11"/>
                <w:color w:val="auto"/>
              </w:rPr>
              <w:t>2,593,316</w:t>
            </w:r>
          </w:p>
        </w:tc>
        <w:tc>
          <w:tcPr>
            <w:tcW w:w="1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480" w:type="dxa"/>
            <w:vAlign w:val="bottom"/>
            <w:tcBorders>
              <w:bottom w:val="single" w:sz="8" w:color="auto"/>
            </w:tcBorders>
            <w:shd w:val="clear" w:color="auto" w:fill="CCEEFF"/>
          </w:tcPr>
          <w:p>
            <w:pPr>
              <w:ind w:left="340"/>
              <w:spacing w:after="0" w:line="115" w:lineRule="exact"/>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shd w:val="clear" w:color="auto" w:fill="CCEEFF"/>
          </w:tcPr>
          <w:p>
            <w:pPr>
              <w:ind w:left="120"/>
              <w:spacing w:after="0" w:line="115" w:lineRule="exact"/>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shd w:val="clear" w:color="auto" w:fill="CCEEFF"/>
          </w:tcPr>
          <w:p>
            <w:pPr>
              <w:jc w:val="right"/>
              <w:ind w:right="46"/>
              <w:spacing w:after="0" w:line="115" w:lineRule="exact"/>
              <w:rPr>
                <w:sz w:val="20"/>
                <w:szCs w:val="20"/>
                <w:color w:val="auto"/>
              </w:rPr>
            </w:pPr>
            <w:r>
              <w:rPr>
                <w:rFonts w:ascii="Arial" w:cs="Arial" w:eastAsia="Arial" w:hAnsi="Arial"/>
                <w:sz w:val="11"/>
                <w:szCs w:val="11"/>
                <w:color w:val="auto"/>
              </w:rPr>
              <w:t>956</w:t>
            </w:r>
          </w:p>
        </w:tc>
        <w:tc>
          <w:tcPr>
            <w:tcW w:w="1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shd w:val="clear" w:color="auto" w:fill="CCEEFF"/>
          </w:tcPr>
          <w:p>
            <w:pPr>
              <w:ind w:left="700"/>
              <w:spacing w:after="0" w:line="115" w:lineRule="exact"/>
              <w:rPr>
                <w:sz w:val="20"/>
                <w:szCs w:val="20"/>
                <w:color w:val="auto"/>
              </w:rPr>
            </w:pPr>
            <w:r>
              <w:rPr>
                <w:rFonts w:ascii="Arial" w:cs="Arial" w:eastAsia="Arial" w:hAnsi="Arial"/>
                <w:sz w:val="11"/>
                <w:szCs w:val="11"/>
                <w:color w:val="auto"/>
              </w:rPr>
              <w:t>—</w:t>
            </w:r>
          </w:p>
        </w:tc>
        <w:tc>
          <w:tcPr>
            <w:tcW w:w="1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640" w:type="dxa"/>
            <w:vAlign w:val="bottom"/>
            <w:tcBorders>
              <w:bottom w:val="single" w:sz="8" w:color="auto"/>
            </w:tcBorders>
            <w:shd w:val="clear" w:color="auto" w:fill="CCEEFF"/>
          </w:tcPr>
          <w:p>
            <w:pPr>
              <w:jc w:val="right"/>
              <w:ind w:right="26"/>
              <w:spacing w:after="0" w:line="115" w:lineRule="exact"/>
              <w:rPr>
                <w:sz w:val="20"/>
                <w:szCs w:val="20"/>
                <w:color w:val="auto"/>
              </w:rPr>
            </w:pPr>
            <w:r>
              <w:rPr>
                <w:rFonts w:ascii="Arial" w:cs="Arial" w:eastAsia="Arial" w:hAnsi="Arial"/>
                <w:sz w:val="11"/>
                <w:szCs w:val="11"/>
                <w:color w:val="auto"/>
              </w:rPr>
              <w:t>(14,908)</w:t>
            </w:r>
          </w:p>
        </w:tc>
        <w:tc>
          <w:tcPr>
            <w:tcW w:w="200" w:type="dxa"/>
            <w:vAlign w:val="bottom"/>
            <w:tcBorders>
              <w:bottom w:val="single" w:sz="8" w:color="auto"/>
            </w:tcBorders>
            <w:shd w:val="clear" w:color="auto" w:fill="CCEEFF"/>
          </w:tcPr>
          <w:p>
            <w:pPr>
              <w:ind w:left="80"/>
              <w:spacing w:after="0" w:line="115"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(13,952)</w:t>
            </w:r>
          </w:p>
        </w:tc>
      </w:tr>
      <w:tr>
        <w:trPr>
          <w:trHeight w:val="20"/>
        </w:trPr>
        <w:tc>
          <w:tcPr>
            <w:tcW w:w="29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30"/>
        </w:trPr>
        <w:tc>
          <w:tcPr>
            <w:tcW w:w="29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r>
      <w:tr>
        <w:trPr>
          <w:trHeight w:val="106"/>
        </w:trPr>
        <w:tc>
          <w:tcPr>
            <w:tcW w:w="29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8"/>
              </w:rPr>
              <w:t>Accumulated</w:t>
            </w: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122"/>
        </w:trPr>
        <w:tc>
          <w:tcPr>
            <w:tcW w:w="2960" w:type="dxa"/>
            <w:vAlign w:val="bottom"/>
          </w:tcPr>
          <w:p>
            <w:pPr>
              <w:spacing w:after="0"/>
              <w:rPr>
                <w:sz w:val="10"/>
                <w:szCs w:val="10"/>
                <w:color w:val="auto"/>
              </w:rPr>
            </w:pPr>
          </w:p>
        </w:tc>
        <w:tc>
          <w:tcPr>
            <w:tcW w:w="13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5"/>
              </w:rPr>
              <w:t>Convertible</w:t>
            </w: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gridSpan w:val="2"/>
          </w:tcPr>
          <w:p>
            <w:pPr>
              <w:ind w:left="140"/>
              <w:spacing w:after="0" w:line="122" w:lineRule="exact"/>
              <w:rPr>
                <w:sz w:val="20"/>
                <w:szCs w:val="20"/>
                <w:color w:val="auto"/>
              </w:rPr>
            </w:pPr>
            <w:r>
              <w:rPr>
                <w:rFonts w:ascii="Arial" w:cs="Arial" w:eastAsia="Arial" w:hAnsi="Arial"/>
                <w:sz w:val="11"/>
                <w:szCs w:val="11"/>
                <w:b w:val="1"/>
                <w:bCs w:val="1"/>
                <w:color w:val="auto"/>
              </w:rPr>
              <w:t>Additional</w:t>
            </w:r>
          </w:p>
        </w:tc>
        <w:tc>
          <w:tcPr>
            <w:tcW w:w="120" w:type="dxa"/>
            <w:vAlign w:val="bottom"/>
          </w:tcPr>
          <w:p>
            <w:pPr>
              <w:spacing w:after="0"/>
              <w:rPr>
                <w:sz w:val="10"/>
                <w:szCs w:val="10"/>
                <w:color w:val="auto"/>
              </w:rPr>
            </w:pP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Other</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jc w:val="center"/>
              <w:ind w:right="86"/>
              <w:spacing w:after="0" w:line="122" w:lineRule="exact"/>
              <w:rPr>
                <w:sz w:val="20"/>
                <w:szCs w:val="20"/>
                <w:color w:val="auto"/>
              </w:rPr>
            </w:pPr>
            <w:r>
              <w:rPr>
                <w:rFonts w:ascii="Arial" w:cs="Arial" w:eastAsia="Arial" w:hAnsi="Arial"/>
                <w:sz w:val="11"/>
                <w:szCs w:val="11"/>
                <w:b w:val="1"/>
                <w:bCs w:val="1"/>
                <w:color w:val="auto"/>
                <w:w w:val="98"/>
              </w:rPr>
              <w:t>Total</w:t>
            </w:r>
          </w:p>
        </w:tc>
      </w:tr>
      <w:tr>
        <w:trPr>
          <w:trHeight w:val="130"/>
        </w:trPr>
        <w:tc>
          <w:tcPr>
            <w:tcW w:w="2960" w:type="dxa"/>
            <w:vAlign w:val="bottom"/>
          </w:tcPr>
          <w:p>
            <w:pPr>
              <w:spacing w:after="0"/>
              <w:rPr>
                <w:sz w:val="11"/>
                <w:szCs w:val="11"/>
                <w:color w:val="auto"/>
              </w:rPr>
            </w:pPr>
          </w:p>
        </w:tc>
        <w:tc>
          <w:tcPr>
            <w:tcW w:w="13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rPr>
              <w:t>Preferred Stock</w:t>
            </w:r>
          </w:p>
        </w:tc>
        <w:tc>
          <w:tcPr>
            <w:tcW w:w="1220" w:type="dxa"/>
            <w:vAlign w:val="bottom"/>
            <w:gridSpan w:val="3"/>
          </w:tcPr>
          <w:p>
            <w:pPr>
              <w:ind w:left="220"/>
              <w:spacing w:after="0" w:line="122" w:lineRule="exact"/>
              <w:rPr>
                <w:sz w:val="20"/>
                <w:szCs w:val="20"/>
                <w:color w:val="auto"/>
              </w:rPr>
            </w:pPr>
            <w:r>
              <w:rPr>
                <w:rFonts w:ascii="Arial" w:cs="Arial" w:eastAsia="Arial" w:hAnsi="Arial"/>
                <w:sz w:val="11"/>
                <w:szCs w:val="11"/>
                <w:b w:val="1"/>
                <w:bCs w:val="1"/>
                <w:color w:val="auto"/>
              </w:rPr>
              <w:t>Common Stock</w:t>
            </w:r>
          </w:p>
        </w:tc>
        <w:tc>
          <w:tcPr>
            <w:tcW w:w="200" w:type="dxa"/>
            <w:vAlign w:val="bottom"/>
          </w:tcPr>
          <w:p>
            <w:pPr>
              <w:spacing w:after="0"/>
              <w:rPr>
                <w:sz w:val="11"/>
                <w:szCs w:val="11"/>
                <w:color w:val="auto"/>
              </w:rPr>
            </w:pPr>
          </w:p>
        </w:tc>
        <w:tc>
          <w:tcPr>
            <w:tcW w:w="540" w:type="dxa"/>
            <w:vAlign w:val="bottom"/>
          </w:tcPr>
          <w:p>
            <w:pPr>
              <w:jc w:val="right"/>
              <w:ind w:right="106"/>
              <w:spacing w:after="0" w:line="122" w:lineRule="exact"/>
              <w:rPr>
                <w:sz w:val="20"/>
                <w:szCs w:val="20"/>
                <w:color w:val="auto"/>
              </w:rPr>
            </w:pPr>
            <w:r>
              <w:rPr>
                <w:rFonts w:ascii="Arial" w:cs="Arial" w:eastAsia="Arial" w:hAnsi="Arial"/>
                <w:sz w:val="11"/>
                <w:szCs w:val="11"/>
                <w:b w:val="1"/>
                <w:bCs w:val="1"/>
                <w:color w:val="auto"/>
                <w:w w:val="98"/>
              </w:rPr>
              <w:t>Paid-in</w:t>
            </w:r>
          </w:p>
        </w:tc>
        <w:tc>
          <w:tcPr>
            <w:tcW w:w="120" w:type="dxa"/>
            <w:vAlign w:val="bottom"/>
          </w:tcPr>
          <w:p>
            <w:pPr>
              <w:spacing w:after="0"/>
              <w:rPr>
                <w:sz w:val="11"/>
                <w:szCs w:val="11"/>
                <w:color w:val="auto"/>
              </w:rPr>
            </w:pP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Comprehensive</w:t>
            </w:r>
          </w:p>
        </w:tc>
        <w:tc>
          <w:tcPr>
            <w:tcW w:w="80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8"/>
              </w:rPr>
              <w:t>Accumulated</w:t>
            </w:r>
          </w:p>
        </w:tc>
        <w:tc>
          <w:tcPr>
            <w:tcW w:w="80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w w:val="96"/>
              </w:rPr>
              <w:t>Stockholders'</w:t>
            </w:r>
          </w:p>
        </w:tc>
      </w:tr>
      <w:tr>
        <w:trPr>
          <w:trHeight w:val="121"/>
        </w:trPr>
        <w:tc>
          <w:tcPr>
            <w:tcW w:w="2960" w:type="dxa"/>
            <w:vAlign w:val="bottom"/>
            <w:tcBorders>
              <w:bottom w:val="single" w:sz="8" w:color="CCEEFF"/>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06"/>
              <w:spacing w:after="0" w:line="122" w:lineRule="exact"/>
              <w:rPr>
                <w:sz w:val="20"/>
                <w:szCs w:val="20"/>
                <w:color w:val="auto"/>
              </w:rPr>
            </w:pPr>
            <w:r>
              <w:rPr>
                <w:rFonts w:ascii="Arial" w:cs="Arial" w:eastAsia="Arial" w:hAnsi="Arial"/>
                <w:sz w:val="11"/>
                <w:szCs w:val="11"/>
                <w:b w:val="1"/>
                <w:bCs w:val="1"/>
                <w:color w:val="231F20"/>
              </w:rPr>
              <w:t>Shares</w:t>
            </w:r>
          </w:p>
        </w:tc>
        <w:tc>
          <w:tcPr>
            <w:tcW w:w="14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6"/>
              <w:spacing w:after="0" w:line="122" w:lineRule="exact"/>
              <w:rPr>
                <w:sz w:val="20"/>
                <w:szCs w:val="20"/>
                <w:color w:val="auto"/>
              </w:rPr>
            </w:pPr>
            <w:r>
              <w:rPr>
                <w:rFonts w:ascii="Arial" w:cs="Arial" w:eastAsia="Arial" w:hAnsi="Arial"/>
                <w:sz w:val="11"/>
                <w:szCs w:val="11"/>
                <w:b w:val="1"/>
                <w:bCs w:val="1"/>
                <w:color w:val="231F20"/>
                <w:w w:val="96"/>
              </w:rPr>
              <w:t>Amount</w:t>
            </w:r>
          </w:p>
        </w:tc>
        <w:tc>
          <w:tcPr>
            <w:tcW w:w="120" w:type="dxa"/>
            <w:vAlign w:val="bottom"/>
            <w:tcBorders>
              <w:bottom w:val="single" w:sz="8" w:color="CCEEFF"/>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86"/>
              <w:spacing w:after="0" w:line="122" w:lineRule="exact"/>
              <w:rPr>
                <w:sz w:val="20"/>
                <w:szCs w:val="20"/>
                <w:color w:val="auto"/>
              </w:rPr>
            </w:pPr>
            <w:r>
              <w:rPr>
                <w:rFonts w:ascii="Arial" w:cs="Arial" w:eastAsia="Arial" w:hAnsi="Arial"/>
                <w:sz w:val="11"/>
                <w:szCs w:val="11"/>
                <w:b w:val="1"/>
                <w:bCs w:val="1"/>
                <w:color w:val="231F20"/>
              </w:rPr>
              <w:t>Shares</w:t>
            </w:r>
          </w:p>
        </w:tc>
        <w:tc>
          <w:tcPr>
            <w:tcW w:w="14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spacing w:after="0" w:line="122" w:lineRule="exact"/>
              <w:rPr>
                <w:sz w:val="20"/>
                <w:szCs w:val="20"/>
                <w:color w:val="auto"/>
              </w:rPr>
            </w:pPr>
            <w:r>
              <w:rPr>
                <w:rFonts w:ascii="Arial" w:cs="Arial" w:eastAsia="Arial" w:hAnsi="Arial"/>
                <w:sz w:val="11"/>
                <w:szCs w:val="11"/>
                <w:b w:val="1"/>
                <w:bCs w:val="1"/>
                <w:color w:val="231F20"/>
              </w:rPr>
              <w:t>Amount</w:t>
            </w: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06"/>
              <w:spacing w:after="0" w:line="122" w:lineRule="exact"/>
              <w:rPr>
                <w:sz w:val="20"/>
                <w:szCs w:val="20"/>
                <w:color w:val="auto"/>
              </w:rPr>
            </w:pPr>
            <w:r>
              <w:rPr>
                <w:rFonts w:ascii="Arial" w:cs="Arial" w:eastAsia="Arial" w:hAnsi="Arial"/>
                <w:sz w:val="11"/>
                <w:szCs w:val="11"/>
                <w:b w:val="1"/>
                <w:bCs w:val="1"/>
                <w:color w:val="231F20"/>
                <w:w w:val="98"/>
              </w:rPr>
              <w:t>Capital</w:t>
            </w: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spacing w:after="0" w:line="113" w:lineRule="exact"/>
              <w:rPr>
                <w:sz w:val="20"/>
                <w:szCs w:val="20"/>
                <w:color w:val="auto"/>
              </w:rPr>
            </w:pPr>
            <w:r>
              <w:rPr>
                <w:rFonts w:ascii="Arial" w:cs="Arial" w:eastAsia="Arial" w:hAnsi="Arial"/>
                <w:sz w:val="11"/>
                <w:szCs w:val="11"/>
                <w:b w:val="1"/>
                <w:bCs w:val="1"/>
                <w:color w:val="231F20"/>
                <w:w w:val="93"/>
              </w:rPr>
              <w:t>Loss</w:t>
            </w: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center"/>
              <w:ind w:right="146"/>
              <w:spacing w:after="0" w:line="122" w:lineRule="exact"/>
              <w:rPr>
                <w:sz w:val="20"/>
                <w:szCs w:val="20"/>
                <w:color w:val="auto"/>
              </w:rPr>
            </w:pPr>
            <w:r>
              <w:rPr>
                <w:rFonts w:ascii="Arial" w:cs="Arial" w:eastAsia="Arial" w:hAnsi="Arial"/>
                <w:sz w:val="11"/>
                <w:szCs w:val="11"/>
                <w:b w:val="1"/>
                <w:bCs w:val="1"/>
                <w:color w:val="231F20"/>
                <w:w w:val="95"/>
              </w:rPr>
              <w:t>Deficit</w:t>
            </w:r>
          </w:p>
        </w:tc>
        <w:tc>
          <w:tcPr>
            <w:tcW w:w="2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86"/>
              <w:spacing w:after="0" w:line="122" w:lineRule="exact"/>
              <w:rPr>
                <w:sz w:val="20"/>
                <w:szCs w:val="20"/>
                <w:color w:val="auto"/>
              </w:rPr>
            </w:pPr>
            <w:r>
              <w:rPr>
                <w:rFonts w:ascii="Arial" w:cs="Arial" w:eastAsia="Arial" w:hAnsi="Arial"/>
                <w:sz w:val="11"/>
                <w:szCs w:val="11"/>
                <w:b w:val="1"/>
                <w:bCs w:val="1"/>
                <w:color w:val="231F20"/>
              </w:rPr>
              <w:t>Deficit</w:t>
            </w:r>
          </w:p>
        </w:tc>
      </w:tr>
      <w:tr>
        <w:trPr>
          <w:trHeight w:val="115"/>
        </w:trPr>
        <w:tc>
          <w:tcPr>
            <w:tcW w:w="2960" w:type="dxa"/>
            <w:vAlign w:val="bottom"/>
            <w:shd w:val="clear" w:color="auto" w:fill="CCEEFF"/>
          </w:tcPr>
          <w:p>
            <w:pPr>
              <w:ind w:left="20"/>
              <w:spacing w:after="0" w:line="115" w:lineRule="exact"/>
              <w:rPr>
                <w:sz w:val="20"/>
                <w:szCs w:val="20"/>
                <w:color w:val="auto"/>
              </w:rPr>
            </w:pPr>
            <w:r>
              <w:rPr>
                <w:rFonts w:ascii="Arial" w:cs="Arial" w:eastAsia="Arial" w:hAnsi="Arial"/>
                <w:sz w:val="11"/>
                <w:szCs w:val="11"/>
                <w:color w:val="231F20"/>
              </w:rPr>
              <w:t>Balances at December 31, 2019</w:t>
            </w:r>
          </w:p>
        </w:tc>
        <w:tc>
          <w:tcPr>
            <w:tcW w:w="640" w:type="dxa"/>
            <w:vAlign w:val="bottom"/>
            <w:shd w:val="clear" w:color="auto" w:fill="CCEEFF"/>
          </w:tcPr>
          <w:p>
            <w:pPr>
              <w:jc w:val="right"/>
              <w:ind w:right="26"/>
              <w:spacing w:after="0" w:line="115" w:lineRule="exact"/>
              <w:rPr>
                <w:sz w:val="20"/>
                <w:szCs w:val="20"/>
                <w:color w:val="auto"/>
              </w:rPr>
            </w:pPr>
            <w:r>
              <w:rPr>
                <w:rFonts w:ascii="Arial" w:cs="Arial" w:eastAsia="Arial" w:hAnsi="Arial"/>
                <w:sz w:val="11"/>
                <w:szCs w:val="11"/>
                <w:color w:val="231F20"/>
              </w:rPr>
              <w:t>4,628,215</w:t>
            </w:r>
          </w:p>
        </w:tc>
        <w:tc>
          <w:tcPr>
            <w:tcW w:w="14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231F20"/>
              </w:rPr>
              <w:t>$</w:t>
            </w:r>
          </w:p>
        </w:tc>
        <w:tc>
          <w:tcPr>
            <w:tcW w:w="4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231F20"/>
              </w:rPr>
              <w:t>9,348</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ind w:right="26"/>
              <w:spacing w:after="0" w:line="115" w:lineRule="exact"/>
              <w:rPr>
                <w:sz w:val="20"/>
                <w:szCs w:val="20"/>
                <w:color w:val="auto"/>
              </w:rPr>
            </w:pPr>
            <w:r>
              <w:rPr>
                <w:rFonts w:ascii="Arial" w:cs="Arial" w:eastAsia="Arial" w:hAnsi="Arial"/>
                <w:sz w:val="11"/>
                <w:szCs w:val="11"/>
                <w:color w:val="231F20"/>
              </w:rPr>
              <w:t>2,593,316</w:t>
            </w:r>
          </w:p>
        </w:tc>
        <w:tc>
          <w:tcPr>
            <w:tcW w:w="14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231F20"/>
              </w:rPr>
              <w:t>$</w:t>
            </w:r>
          </w:p>
        </w:tc>
        <w:tc>
          <w:tcPr>
            <w:tcW w:w="480" w:type="dxa"/>
            <w:vAlign w:val="bottom"/>
            <w:shd w:val="clear" w:color="auto" w:fill="CCEEFF"/>
          </w:tcPr>
          <w:p>
            <w:pPr>
              <w:ind w:left="340"/>
              <w:spacing w:after="0" w:line="115" w:lineRule="exact"/>
              <w:rPr>
                <w:sz w:val="20"/>
                <w:szCs w:val="20"/>
                <w:color w:val="auto"/>
              </w:rPr>
            </w:pPr>
            <w:r>
              <w:rPr>
                <w:rFonts w:ascii="Arial" w:cs="Arial" w:eastAsia="Arial" w:hAnsi="Arial"/>
                <w:sz w:val="11"/>
                <w:szCs w:val="11"/>
                <w:color w:val="231F20"/>
              </w:rPr>
              <w:t>—</w:t>
            </w:r>
          </w:p>
        </w:tc>
        <w:tc>
          <w:tcPr>
            <w:tcW w:w="200" w:type="dxa"/>
            <w:vAlign w:val="bottom"/>
            <w:shd w:val="clear" w:color="auto" w:fill="CCEEFF"/>
          </w:tcPr>
          <w:p>
            <w:pPr>
              <w:ind w:left="120"/>
              <w:spacing w:after="0" w:line="115" w:lineRule="exact"/>
              <w:rPr>
                <w:sz w:val="20"/>
                <w:szCs w:val="20"/>
                <w:color w:val="auto"/>
              </w:rPr>
            </w:pPr>
            <w:r>
              <w:rPr>
                <w:rFonts w:ascii="Arial" w:cs="Arial" w:eastAsia="Arial" w:hAnsi="Arial"/>
                <w:sz w:val="11"/>
                <w:szCs w:val="11"/>
                <w:color w:val="231F20"/>
                <w:w w:val="97"/>
              </w:rPr>
              <w:t>$</w:t>
            </w:r>
          </w:p>
        </w:tc>
        <w:tc>
          <w:tcPr>
            <w:tcW w:w="540" w:type="dxa"/>
            <w:vAlign w:val="bottom"/>
            <w:shd w:val="clear" w:color="auto" w:fill="CCEEFF"/>
          </w:tcPr>
          <w:p>
            <w:pPr>
              <w:jc w:val="right"/>
              <w:ind w:right="46"/>
              <w:spacing w:after="0" w:line="115" w:lineRule="exact"/>
              <w:rPr>
                <w:sz w:val="20"/>
                <w:szCs w:val="20"/>
                <w:color w:val="auto"/>
              </w:rPr>
            </w:pPr>
            <w:r>
              <w:rPr>
                <w:rFonts w:ascii="Arial" w:cs="Arial" w:eastAsia="Arial" w:hAnsi="Arial"/>
                <w:sz w:val="11"/>
                <w:szCs w:val="11"/>
                <w:color w:val="231F20"/>
              </w:rPr>
              <w:t>168</w:t>
            </w:r>
          </w:p>
        </w:tc>
        <w:tc>
          <w:tcPr>
            <w:tcW w:w="1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231F20"/>
              </w:rPr>
              <w:t>$</w:t>
            </w:r>
          </w:p>
        </w:tc>
        <w:tc>
          <w:tcPr>
            <w:tcW w:w="880" w:type="dxa"/>
            <w:vAlign w:val="bottom"/>
            <w:shd w:val="clear" w:color="auto" w:fill="CCEEFF"/>
          </w:tcPr>
          <w:p>
            <w:pPr>
              <w:ind w:left="700"/>
              <w:spacing w:after="0" w:line="115"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231F20"/>
              </w:rPr>
              <w:t>$</w:t>
            </w:r>
          </w:p>
        </w:tc>
        <w:tc>
          <w:tcPr>
            <w:tcW w:w="640" w:type="dxa"/>
            <w:vAlign w:val="bottom"/>
            <w:shd w:val="clear" w:color="auto" w:fill="CCEEFF"/>
          </w:tcPr>
          <w:p>
            <w:pPr>
              <w:jc w:val="right"/>
              <w:ind w:right="26"/>
              <w:spacing w:after="0" w:line="115" w:lineRule="exact"/>
              <w:rPr>
                <w:sz w:val="20"/>
                <w:szCs w:val="20"/>
                <w:color w:val="auto"/>
              </w:rPr>
            </w:pPr>
            <w:r>
              <w:rPr>
                <w:rFonts w:ascii="Arial" w:cs="Arial" w:eastAsia="Arial" w:hAnsi="Arial"/>
                <w:sz w:val="11"/>
                <w:szCs w:val="11"/>
                <w:color w:val="231F20"/>
              </w:rPr>
              <w:t>(10,762)</w:t>
            </w:r>
          </w:p>
        </w:tc>
        <w:tc>
          <w:tcPr>
            <w:tcW w:w="200" w:type="dxa"/>
            <w:vAlign w:val="bottom"/>
            <w:shd w:val="clear" w:color="auto" w:fill="CCEEFF"/>
          </w:tcPr>
          <w:p>
            <w:pPr>
              <w:ind w:left="80"/>
              <w:spacing w:after="0" w:line="115" w:lineRule="exact"/>
              <w:rPr>
                <w:sz w:val="20"/>
                <w:szCs w:val="20"/>
                <w:color w:val="auto"/>
              </w:rPr>
            </w:pPr>
            <w:r>
              <w:rPr>
                <w:rFonts w:ascii="Arial" w:cs="Arial" w:eastAsia="Arial" w:hAnsi="Arial"/>
                <w:sz w:val="11"/>
                <w:szCs w:val="11"/>
                <w:color w:val="231F20"/>
              </w:rPr>
              <w:t>$</w:t>
            </w:r>
          </w:p>
        </w:tc>
        <w:tc>
          <w:tcPr>
            <w:tcW w:w="60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231F20"/>
              </w:rPr>
              <w:t>(10,594)</w:t>
            </w:r>
          </w:p>
        </w:tc>
      </w:tr>
      <w:tr>
        <w:trPr>
          <w:trHeight w:val="118"/>
        </w:trPr>
        <w:tc>
          <w:tcPr>
            <w:tcW w:w="2960" w:type="dxa"/>
            <w:vAlign w:val="bottom"/>
          </w:tcPr>
          <w:p>
            <w:pPr>
              <w:ind w:left="20"/>
              <w:spacing w:after="0" w:line="119" w:lineRule="exact"/>
              <w:rPr>
                <w:sz w:val="20"/>
                <w:szCs w:val="20"/>
                <w:color w:val="auto"/>
              </w:rPr>
            </w:pPr>
            <w:r>
              <w:rPr>
                <w:rFonts w:ascii="Arial" w:cs="Arial" w:eastAsia="Arial" w:hAnsi="Arial"/>
                <w:sz w:val="11"/>
                <w:szCs w:val="11"/>
                <w:color w:val="auto"/>
              </w:rPr>
              <w:t>Beneficial conversion option recognized upon issuance of</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25"/>
        </w:trPr>
        <w:tc>
          <w:tcPr>
            <w:tcW w:w="2960" w:type="dxa"/>
            <w:vAlign w:val="bottom"/>
          </w:tcPr>
          <w:p>
            <w:pPr>
              <w:ind w:left="20"/>
              <w:spacing w:after="0" w:line="125" w:lineRule="exact"/>
              <w:rPr>
                <w:sz w:val="20"/>
                <w:szCs w:val="20"/>
                <w:color w:val="auto"/>
              </w:rPr>
            </w:pPr>
            <w:r>
              <w:rPr>
                <w:rFonts w:ascii="Arial" w:cs="Arial" w:eastAsia="Arial" w:hAnsi="Arial"/>
                <w:sz w:val="11"/>
                <w:szCs w:val="11"/>
                <w:color w:val="auto"/>
              </w:rPr>
              <w:t>2020 convertible notes</w:t>
            </w:r>
          </w:p>
        </w:tc>
        <w:tc>
          <w:tcPr>
            <w:tcW w:w="640" w:type="dxa"/>
            <w:vAlign w:val="bottom"/>
          </w:tcPr>
          <w:p>
            <w:pPr>
              <w:jc w:val="right"/>
              <w:ind w:right="26"/>
              <w:spacing w:after="0" w:line="125"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0" w:type="dxa"/>
            <w:vAlign w:val="bottom"/>
            <w:gridSpan w:val="2"/>
          </w:tcPr>
          <w:p>
            <w:pPr>
              <w:jc w:val="right"/>
              <w:ind w:right="160"/>
              <w:spacing w:after="0" w:line="125" w:lineRule="exact"/>
              <w:rPr>
                <w:sz w:val="20"/>
                <w:szCs w:val="20"/>
                <w:color w:val="auto"/>
              </w:rPr>
            </w:pPr>
            <w:r>
              <w:rPr>
                <w:rFonts w:ascii="Arial" w:cs="Arial" w:eastAsia="Arial" w:hAnsi="Arial"/>
                <w:sz w:val="11"/>
                <w:szCs w:val="11"/>
                <w:color w:val="auto"/>
              </w:rPr>
              <w:t>—</w:t>
            </w:r>
          </w:p>
        </w:tc>
        <w:tc>
          <w:tcPr>
            <w:tcW w:w="600" w:type="dxa"/>
            <w:vAlign w:val="bottom"/>
          </w:tcPr>
          <w:p>
            <w:pPr>
              <w:jc w:val="right"/>
              <w:ind w:right="26"/>
              <w:spacing w:after="0" w:line="125"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480" w:type="dxa"/>
            <w:vAlign w:val="bottom"/>
          </w:tcPr>
          <w:p>
            <w:pPr>
              <w:ind w:left="340"/>
              <w:spacing w:after="0" w:line="125"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540" w:type="dxa"/>
            <w:vAlign w:val="bottom"/>
          </w:tcPr>
          <w:p>
            <w:pPr>
              <w:jc w:val="right"/>
              <w:ind w:right="46"/>
              <w:spacing w:after="0" w:line="125" w:lineRule="exact"/>
              <w:rPr>
                <w:sz w:val="20"/>
                <w:szCs w:val="20"/>
                <w:color w:val="auto"/>
              </w:rPr>
            </w:pPr>
            <w:r>
              <w:rPr>
                <w:rFonts w:ascii="Arial" w:cs="Arial" w:eastAsia="Arial" w:hAnsi="Arial"/>
                <w:sz w:val="11"/>
                <w:szCs w:val="11"/>
                <w:color w:val="auto"/>
              </w:rPr>
              <w:t>1,054</w:t>
            </w:r>
          </w:p>
        </w:tc>
        <w:tc>
          <w:tcPr>
            <w:tcW w:w="120" w:type="dxa"/>
            <w:vAlign w:val="bottom"/>
          </w:tcPr>
          <w:p>
            <w:pPr>
              <w:spacing w:after="0"/>
              <w:rPr>
                <w:sz w:val="10"/>
                <w:szCs w:val="10"/>
                <w:color w:val="auto"/>
              </w:rPr>
            </w:pPr>
          </w:p>
        </w:tc>
        <w:tc>
          <w:tcPr>
            <w:tcW w:w="880" w:type="dxa"/>
            <w:vAlign w:val="bottom"/>
          </w:tcPr>
          <w:p>
            <w:pPr>
              <w:ind w:left="700"/>
              <w:spacing w:after="0" w:line="12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40" w:type="dxa"/>
            <w:vAlign w:val="bottom"/>
          </w:tcPr>
          <w:p>
            <w:pPr>
              <w:jc w:val="right"/>
              <w:ind w:right="46"/>
              <w:spacing w:after="0" w:line="125"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600" w:type="dxa"/>
            <w:vAlign w:val="bottom"/>
          </w:tcPr>
          <w:p>
            <w:pPr>
              <w:jc w:val="right"/>
              <w:spacing w:after="0" w:line="125" w:lineRule="exact"/>
              <w:rPr>
                <w:sz w:val="20"/>
                <w:szCs w:val="20"/>
                <w:color w:val="auto"/>
              </w:rPr>
            </w:pPr>
            <w:r>
              <w:rPr>
                <w:rFonts w:ascii="Arial" w:cs="Arial" w:eastAsia="Arial" w:hAnsi="Arial"/>
                <w:sz w:val="11"/>
                <w:szCs w:val="11"/>
                <w:color w:val="231F20"/>
              </w:rPr>
              <w:t>1,054</w:t>
            </w:r>
          </w:p>
        </w:tc>
      </w:tr>
      <w:tr>
        <w:trPr>
          <w:trHeight w:val="118"/>
        </w:trPr>
        <w:tc>
          <w:tcPr>
            <w:tcW w:w="29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Beneficial conversion option recognized upon repurchase</w:t>
            </w: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r>
      <w:tr>
        <w:trPr>
          <w:trHeight w:val="125"/>
        </w:trPr>
        <w:tc>
          <w:tcPr>
            <w:tcW w:w="2960" w:type="dxa"/>
            <w:vAlign w:val="bottom"/>
            <w:shd w:val="clear" w:color="auto" w:fill="CCEEFF"/>
          </w:tcPr>
          <w:p>
            <w:pPr>
              <w:ind w:left="20"/>
              <w:spacing w:after="0" w:line="125" w:lineRule="exact"/>
              <w:rPr>
                <w:sz w:val="20"/>
                <w:szCs w:val="20"/>
                <w:color w:val="auto"/>
              </w:rPr>
            </w:pPr>
            <w:r>
              <w:rPr>
                <w:rFonts w:ascii="Arial" w:cs="Arial" w:eastAsia="Arial" w:hAnsi="Arial"/>
                <w:sz w:val="11"/>
                <w:szCs w:val="11"/>
                <w:color w:val="auto"/>
              </w:rPr>
              <w:t>of 2020 convertible notes on settlement date</w:t>
            </w:r>
          </w:p>
        </w:tc>
        <w:tc>
          <w:tcPr>
            <w:tcW w:w="640" w:type="dxa"/>
            <w:vAlign w:val="bottom"/>
            <w:shd w:val="clear" w:color="auto" w:fill="CCEEFF"/>
          </w:tcPr>
          <w:p>
            <w:pPr>
              <w:jc w:val="right"/>
              <w:ind w:right="26"/>
              <w:spacing w:after="0" w:line="125"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60"/>
              <w:spacing w:after="0" w:line="125" w:lineRule="exact"/>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ind w:right="26"/>
              <w:spacing w:after="0" w:line="125"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ind w:left="340"/>
              <w:spacing w:after="0" w:line="125"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6"/>
              <w:spacing w:after="0" w:line="125" w:lineRule="exact"/>
              <w:rPr>
                <w:sz w:val="20"/>
                <w:szCs w:val="20"/>
                <w:color w:val="auto"/>
              </w:rPr>
            </w:pPr>
            <w:r>
              <w:rPr>
                <w:rFonts w:ascii="Arial" w:cs="Arial" w:eastAsia="Arial" w:hAnsi="Arial"/>
                <w:sz w:val="11"/>
                <w:szCs w:val="11"/>
                <w:color w:val="auto"/>
              </w:rPr>
              <w:t>(2,568)</w:t>
            </w: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ind w:left="700"/>
              <w:spacing w:after="0" w:line="125"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46"/>
              <w:spacing w:after="0" w:line="125"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231F20"/>
              </w:rPr>
              <w:t>(2,568)</w:t>
            </w:r>
          </w:p>
        </w:tc>
      </w:tr>
      <w:tr>
        <w:trPr>
          <w:trHeight w:val="121"/>
        </w:trPr>
        <w:tc>
          <w:tcPr>
            <w:tcW w:w="2960" w:type="dxa"/>
            <w:vAlign w:val="bottom"/>
          </w:tcPr>
          <w:p>
            <w:pPr>
              <w:ind w:left="20"/>
              <w:spacing w:after="0" w:line="122" w:lineRule="exact"/>
              <w:rPr>
                <w:sz w:val="20"/>
                <w:szCs w:val="20"/>
                <w:color w:val="auto"/>
              </w:rPr>
            </w:pPr>
            <w:r>
              <w:rPr>
                <w:rFonts w:ascii="Arial" w:cs="Arial" w:eastAsia="Arial" w:hAnsi="Arial"/>
                <w:sz w:val="11"/>
                <w:szCs w:val="11"/>
                <w:color w:val="auto"/>
              </w:rPr>
              <w:t>Extinguishment of 2020 convertible notes</w:t>
            </w:r>
          </w:p>
        </w:tc>
        <w:tc>
          <w:tcPr>
            <w:tcW w:w="640" w:type="dxa"/>
            <w:vAlign w:val="bottom"/>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00" w:type="dxa"/>
            <w:vAlign w:val="bottom"/>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480" w:type="dxa"/>
            <w:vAlign w:val="bottom"/>
          </w:tcPr>
          <w:p>
            <w:pPr>
              <w:ind w:left="340"/>
              <w:spacing w:after="0" w:line="122"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540" w:type="dxa"/>
            <w:vAlign w:val="bottom"/>
          </w:tcPr>
          <w:p>
            <w:pPr>
              <w:jc w:val="right"/>
              <w:ind w:right="46"/>
              <w:spacing w:after="0" w:line="122" w:lineRule="exact"/>
              <w:rPr>
                <w:sz w:val="20"/>
                <w:szCs w:val="20"/>
                <w:color w:val="auto"/>
              </w:rPr>
            </w:pPr>
            <w:r>
              <w:rPr>
                <w:rFonts w:ascii="Arial" w:cs="Arial" w:eastAsia="Arial" w:hAnsi="Arial"/>
                <w:sz w:val="11"/>
                <w:szCs w:val="11"/>
                <w:color w:val="auto"/>
              </w:rPr>
              <w:t>2,148</w:t>
            </w:r>
          </w:p>
        </w:tc>
        <w:tc>
          <w:tcPr>
            <w:tcW w:w="120" w:type="dxa"/>
            <w:vAlign w:val="bottom"/>
          </w:tcPr>
          <w:p>
            <w:pPr>
              <w:spacing w:after="0"/>
              <w:rPr>
                <w:sz w:val="10"/>
                <w:szCs w:val="10"/>
                <w:color w:val="auto"/>
              </w:rPr>
            </w:pPr>
          </w:p>
        </w:tc>
        <w:tc>
          <w:tcPr>
            <w:tcW w:w="880" w:type="dxa"/>
            <w:vAlign w:val="bottom"/>
          </w:tcPr>
          <w:p>
            <w:pPr>
              <w:ind w:left="70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40" w:type="dxa"/>
            <w:vAlign w:val="bottom"/>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231F20"/>
              </w:rPr>
              <w:t>2,148</w:t>
            </w:r>
          </w:p>
        </w:tc>
      </w:tr>
      <w:tr>
        <w:trPr>
          <w:trHeight w:val="118"/>
        </w:trPr>
        <w:tc>
          <w:tcPr>
            <w:tcW w:w="29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Issuance of Series B convertible stock, net of issuance</w:t>
            </w: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r>
      <w:tr>
        <w:trPr>
          <w:trHeight w:val="125"/>
        </w:trPr>
        <w:tc>
          <w:tcPr>
            <w:tcW w:w="2960" w:type="dxa"/>
            <w:vAlign w:val="bottom"/>
            <w:shd w:val="clear" w:color="auto" w:fill="CCEEFF"/>
          </w:tcPr>
          <w:p>
            <w:pPr>
              <w:ind w:left="20"/>
              <w:spacing w:after="0" w:line="125" w:lineRule="exact"/>
              <w:rPr>
                <w:sz w:val="20"/>
                <w:szCs w:val="20"/>
                <w:color w:val="auto"/>
              </w:rPr>
            </w:pPr>
            <w:r>
              <w:rPr>
                <w:rFonts w:ascii="Arial" w:cs="Arial" w:eastAsia="Arial" w:hAnsi="Arial"/>
                <w:sz w:val="11"/>
                <w:szCs w:val="11"/>
                <w:color w:val="auto"/>
              </w:rPr>
              <w:t>costs of $243</w:t>
            </w:r>
          </w:p>
        </w:tc>
        <w:tc>
          <w:tcPr>
            <w:tcW w:w="640" w:type="dxa"/>
            <w:vAlign w:val="bottom"/>
            <w:shd w:val="clear" w:color="auto" w:fill="CCEEFF"/>
          </w:tcPr>
          <w:p>
            <w:pPr>
              <w:jc w:val="right"/>
              <w:ind w:right="26"/>
              <w:spacing w:after="0" w:line="125" w:lineRule="exact"/>
              <w:rPr>
                <w:sz w:val="20"/>
                <w:szCs w:val="20"/>
                <w:color w:val="auto"/>
              </w:rPr>
            </w:pPr>
            <w:r>
              <w:rPr>
                <w:rFonts w:ascii="Arial" w:cs="Arial" w:eastAsia="Arial" w:hAnsi="Arial"/>
                <w:sz w:val="11"/>
                <w:szCs w:val="11"/>
                <w:color w:val="auto"/>
                <w:w w:val="98"/>
              </w:rPr>
              <w:t>10,801,277</w:t>
            </w: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auto"/>
              </w:rPr>
              <w:t>50,649</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ind w:right="26"/>
              <w:spacing w:after="0" w:line="125"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ind w:left="340"/>
              <w:spacing w:after="0" w:line="125"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46"/>
              <w:spacing w:after="0" w:line="125"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ind w:left="700"/>
              <w:spacing w:after="0" w:line="125"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46"/>
              <w:spacing w:after="0" w:line="125"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231F20"/>
              </w:rPr>
              <w:t>—</w:t>
            </w:r>
          </w:p>
        </w:tc>
      </w:tr>
      <w:tr>
        <w:trPr>
          <w:trHeight w:val="118"/>
        </w:trPr>
        <w:tc>
          <w:tcPr>
            <w:tcW w:w="2960" w:type="dxa"/>
            <w:vAlign w:val="bottom"/>
          </w:tcPr>
          <w:p>
            <w:pPr>
              <w:ind w:left="20"/>
              <w:spacing w:after="0" w:line="119" w:lineRule="exact"/>
              <w:rPr>
                <w:sz w:val="20"/>
                <w:szCs w:val="20"/>
                <w:color w:val="auto"/>
              </w:rPr>
            </w:pPr>
            <w:r>
              <w:rPr>
                <w:rFonts w:ascii="Arial" w:cs="Arial" w:eastAsia="Arial" w:hAnsi="Arial"/>
                <w:sz w:val="11"/>
                <w:szCs w:val="11"/>
                <w:color w:val="auto"/>
              </w:rPr>
              <w:t>Issuance of Series B convertible preferred stock in</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25"/>
        </w:trPr>
        <w:tc>
          <w:tcPr>
            <w:tcW w:w="2960" w:type="dxa"/>
            <w:vAlign w:val="bottom"/>
          </w:tcPr>
          <w:p>
            <w:pPr>
              <w:ind w:left="20"/>
              <w:spacing w:after="0" w:line="125" w:lineRule="exact"/>
              <w:rPr>
                <w:sz w:val="20"/>
                <w:szCs w:val="20"/>
                <w:color w:val="auto"/>
              </w:rPr>
            </w:pPr>
            <w:r>
              <w:rPr>
                <w:rFonts w:ascii="Arial" w:cs="Arial" w:eastAsia="Arial" w:hAnsi="Arial"/>
                <w:sz w:val="11"/>
                <w:szCs w:val="11"/>
                <w:color w:val="auto"/>
              </w:rPr>
              <w:t>connection with the conversion of convertible notes</w:t>
            </w:r>
          </w:p>
        </w:tc>
        <w:tc>
          <w:tcPr>
            <w:tcW w:w="640" w:type="dxa"/>
            <w:vAlign w:val="bottom"/>
          </w:tcPr>
          <w:p>
            <w:pPr>
              <w:jc w:val="right"/>
              <w:ind w:right="26"/>
              <w:spacing w:after="0" w:line="125" w:lineRule="exact"/>
              <w:rPr>
                <w:sz w:val="20"/>
                <w:szCs w:val="20"/>
                <w:color w:val="auto"/>
              </w:rPr>
            </w:pPr>
            <w:r>
              <w:rPr>
                <w:rFonts w:ascii="Arial" w:cs="Arial" w:eastAsia="Arial" w:hAnsi="Arial"/>
                <w:sz w:val="11"/>
                <w:szCs w:val="11"/>
                <w:color w:val="auto"/>
              </w:rPr>
              <w:t>638,270</w:t>
            </w:r>
          </w:p>
        </w:tc>
        <w:tc>
          <w:tcPr>
            <w:tcW w:w="140" w:type="dxa"/>
            <w:vAlign w:val="bottom"/>
          </w:tcPr>
          <w:p>
            <w:pPr>
              <w:spacing w:after="0"/>
              <w:rPr>
                <w:sz w:val="10"/>
                <w:szCs w:val="10"/>
                <w:color w:val="auto"/>
              </w:rPr>
            </w:pPr>
          </w:p>
        </w:tc>
        <w:tc>
          <w:tcPr>
            <w:tcW w:w="480" w:type="dxa"/>
            <w:vAlign w:val="bottom"/>
          </w:tcPr>
          <w:p>
            <w:pPr>
              <w:jc w:val="right"/>
              <w:spacing w:after="0" w:line="125" w:lineRule="exact"/>
              <w:rPr>
                <w:sz w:val="20"/>
                <w:szCs w:val="20"/>
                <w:color w:val="auto"/>
              </w:rPr>
            </w:pPr>
            <w:r>
              <w:rPr>
                <w:rFonts w:ascii="Arial" w:cs="Arial" w:eastAsia="Arial" w:hAnsi="Arial"/>
                <w:sz w:val="11"/>
                <w:szCs w:val="11"/>
                <w:color w:val="auto"/>
              </w:rPr>
              <w:t>3,007</w:t>
            </w:r>
          </w:p>
        </w:tc>
        <w:tc>
          <w:tcPr>
            <w:tcW w:w="120" w:type="dxa"/>
            <w:vAlign w:val="bottom"/>
          </w:tcPr>
          <w:p>
            <w:pPr>
              <w:spacing w:after="0"/>
              <w:rPr>
                <w:sz w:val="10"/>
                <w:szCs w:val="10"/>
                <w:color w:val="auto"/>
              </w:rPr>
            </w:pPr>
          </w:p>
        </w:tc>
        <w:tc>
          <w:tcPr>
            <w:tcW w:w="600" w:type="dxa"/>
            <w:vAlign w:val="bottom"/>
          </w:tcPr>
          <w:p>
            <w:pPr>
              <w:jc w:val="right"/>
              <w:ind w:right="26"/>
              <w:spacing w:after="0" w:line="125"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480" w:type="dxa"/>
            <w:vAlign w:val="bottom"/>
          </w:tcPr>
          <w:p>
            <w:pPr>
              <w:ind w:left="340"/>
              <w:spacing w:after="0" w:line="125"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540" w:type="dxa"/>
            <w:vAlign w:val="bottom"/>
          </w:tcPr>
          <w:p>
            <w:pPr>
              <w:jc w:val="right"/>
              <w:ind w:right="46"/>
              <w:spacing w:after="0" w:line="125"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80" w:type="dxa"/>
            <w:vAlign w:val="bottom"/>
          </w:tcPr>
          <w:p>
            <w:pPr>
              <w:ind w:left="700"/>
              <w:spacing w:after="0" w:line="12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40" w:type="dxa"/>
            <w:vAlign w:val="bottom"/>
          </w:tcPr>
          <w:p>
            <w:pPr>
              <w:jc w:val="right"/>
              <w:ind w:right="46"/>
              <w:spacing w:after="0" w:line="125"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60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r>
      <w:tr>
        <w:trPr>
          <w:trHeight w:val="121"/>
        </w:trPr>
        <w:tc>
          <w:tcPr>
            <w:tcW w:w="296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Stock-based compensation expense</w:t>
            </w:r>
          </w:p>
        </w:tc>
        <w:tc>
          <w:tcPr>
            <w:tcW w:w="64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ind w:left="340"/>
              <w:spacing w:after="0" w:line="122"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154</w:t>
            </w: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ind w:left="700"/>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231F20"/>
              </w:rPr>
              <w:t>154</w:t>
            </w:r>
          </w:p>
        </w:tc>
      </w:tr>
      <w:tr>
        <w:trPr>
          <w:trHeight w:val="122"/>
        </w:trPr>
        <w:tc>
          <w:tcPr>
            <w:tcW w:w="2960" w:type="dxa"/>
            <w:vAlign w:val="bottom"/>
            <w:tcBorders>
              <w:bottom w:val="single" w:sz="8" w:color="CCEEFF"/>
            </w:tcBorders>
          </w:tcPr>
          <w:p>
            <w:pPr>
              <w:ind w:left="20"/>
              <w:spacing w:after="0" w:line="122" w:lineRule="exact"/>
              <w:rPr>
                <w:sz w:val="20"/>
                <w:szCs w:val="20"/>
                <w:color w:val="auto"/>
              </w:rPr>
            </w:pPr>
            <w:r>
              <w:rPr>
                <w:rFonts w:ascii="Arial" w:cs="Arial" w:eastAsia="Arial" w:hAnsi="Arial"/>
                <w:sz w:val="11"/>
                <w:szCs w:val="11"/>
                <w:color w:val="auto"/>
              </w:rPr>
              <w:t>Net loss</w:t>
            </w:r>
          </w:p>
        </w:tc>
        <w:tc>
          <w:tcPr>
            <w:tcW w:w="640" w:type="dxa"/>
            <w:vAlign w:val="bottom"/>
            <w:tcBorders>
              <w:bottom w:val="single" w:sz="8" w:color="auto"/>
            </w:tcBorders>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ind w:left="340"/>
              <w:spacing w:after="0" w:line="122" w:lineRule="exact"/>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ind w:left="700"/>
              <w:spacing w:after="0" w:line="122" w:lineRule="exact"/>
              <w:rPr>
                <w:sz w:val="20"/>
                <w:szCs w:val="20"/>
                <w:color w:val="auto"/>
              </w:rPr>
            </w:pPr>
            <w:r>
              <w:rPr>
                <w:rFonts w:ascii="Arial" w:cs="Arial" w:eastAsia="Arial" w:hAnsi="Arial"/>
                <w:sz w:val="11"/>
                <w:szCs w:val="11"/>
                <w:color w:val="auto"/>
              </w:rPr>
              <w:t>—</w:t>
            </w: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6"/>
              <w:spacing w:after="0" w:line="122" w:lineRule="exact"/>
              <w:rPr>
                <w:sz w:val="20"/>
                <w:szCs w:val="20"/>
                <w:color w:val="auto"/>
              </w:rPr>
            </w:pPr>
            <w:r>
              <w:rPr>
                <w:rFonts w:ascii="Arial" w:cs="Arial" w:eastAsia="Arial" w:hAnsi="Arial"/>
                <w:sz w:val="11"/>
                <w:szCs w:val="11"/>
                <w:color w:val="auto"/>
              </w:rPr>
              <w:t>(4,146)</w:t>
            </w:r>
          </w:p>
        </w:tc>
        <w:tc>
          <w:tcPr>
            <w:tcW w:w="2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231F20"/>
              </w:rPr>
              <w:t>(4,146)</w:t>
            </w:r>
          </w:p>
        </w:tc>
      </w:tr>
      <w:tr>
        <w:trPr>
          <w:trHeight w:val="115"/>
        </w:trPr>
        <w:tc>
          <w:tcPr>
            <w:tcW w:w="2960" w:type="dxa"/>
            <w:vAlign w:val="bottom"/>
            <w:tcBorders>
              <w:bottom w:val="single" w:sz="8" w:color="CCEEFF"/>
            </w:tcBorders>
            <w:shd w:val="clear" w:color="auto" w:fill="CCEEFF"/>
          </w:tcPr>
          <w:p>
            <w:pPr>
              <w:ind w:left="20"/>
              <w:spacing w:after="0" w:line="115" w:lineRule="exact"/>
              <w:rPr>
                <w:sz w:val="20"/>
                <w:szCs w:val="20"/>
                <w:color w:val="auto"/>
              </w:rPr>
            </w:pPr>
            <w:r>
              <w:rPr>
                <w:rFonts w:ascii="Arial" w:cs="Arial" w:eastAsia="Arial" w:hAnsi="Arial"/>
                <w:sz w:val="11"/>
                <w:szCs w:val="11"/>
                <w:color w:val="231F20"/>
              </w:rPr>
              <w:t>Balances at June 30, 2020</w:t>
            </w:r>
          </w:p>
        </w:tc>
        <w:tc>
          <w:tcPr>
            <w:tcW w:w="640" w:type="dxa"/>
            <w:vAlign w:val="bottom"/>
            <w:tcBorders>
              <w:bottom w:val="single" w:sz="8" w:color="auto"/>
            </w:tcBorders>
            <w:shd w:val="clear" w:color="auto" w:fill="CCEEFF"/>
          </w:tcPr>
          <w:p>
            <w:pPr>
              <w:jc w:val="right"/>
              <w:ind w:right="26"/>
              <w:spacing w:after="0" w:line="115" w:lineRule="exact"/>
              <w:rPr>
                <w:sz w:val="20"/>
                <w:szCs w:val="20"/>
                <w:color w:val="auto"/>
              </w:rPr>
            </w:pPr>
            <w:r>
              <w:rPr>
                <w:rFonts w:ascii="Arial" w:cs="Arial" w:eastAsia="Arial" w:hAnsi="Arial"/>
                <w:sz w:val="11"/>
                <w:szCs w:val="11"/>
                <w:color w:val="auto"/>
                <w:w w:val="98"/>
              </w:rPr>
              <w:t>16,067,762</w:t>
            </w:r>
          </w:p>
        </w:tc>
        <w:tc>
          <w:tcPr>
            <w:tcW w:w="1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48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63,004</w:t>
            </w: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ind w:right="26"/>
              <w:spacing w:after="0" w:line="115" w:lineRule="exact"/>
              <w:rPr>
                <w:sz w:val="20"/>
                <w:szCs w:val="20"/>
                <w:color w:val="auto"/>
              </w:rPr>
            </w:pPr>
            <w:r>
              <w:rPr>
                <w:rFonts w:ascii="Arial" w:cs="Arial" w:eastAsia="Arial" w:hAnsi="Arial"/>
                <w:sz w:val="11"/>
                <w:szCs w:val="11"/>
                <w:color w:val="auto"/>
              </w:rPr>
              <w:t>2,593,316</w:t>
            </w:r>
          </w:p>
        </w:tc>
        <w:tc>
          <w:tcPr>
            <w:tcW w:w="1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480" w:type="dxa"/>
            <w:vAlign w:val="bottom"/>
            <w:tcBorders>
              <w:bottom w:val="single" w:sz="8" w:color="auto"/>
            </w:tcBorders>
            <w:shd w:val="clear" w:color="auto" w:fill="CCEEFF"/>
          </w:tcPr>
          <w:p>
            <w:pPr>
              <w:ind w:left="340"/>
              <w:spacing w:after="0" w:line="115" w:lineRule="exact"/>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shd w:val="clear" w:color="auto" w:fill="CCEEFF"/>
          </w:tcPr>
          <w:p>
            <w:pPr>
              <w:ind w:left="120"/>
              <w:spacing w:after="0" w:line="115" w:lineRule="exact"/>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shd w:val="clear" w:color="auto" w:fill="CCEEFF"/>
          </w:tcPr>
          <w:p>
            <w:pPr>
              <w:jc w:val="right"/>
              <w:ind w:right="46"/>
              <w:spacing w:after="0" w:line="115" w:lineRule="exact"/>
              <w:rPr>
                <w:sz w:val="20"/>
                <w:szCs w:val="20"/>
                <w:color w:val="auto"/>
              </w:rPr>
            </w:pPr>
            <w:r>
              <w:rPr>
                <w:rFonts w:ascii="Arial" w:cs="Arial" w:eastAsia="Arial" w:hAnsi="Arial"/>
                <w:sz w:val="11"/>
                <w:szCs w:val="11"/>
                <w:color w:val="auto"/>
              </w:rPr>
              <w:t>956</w:t>
            </w:r>
          </w:p>
        </w:tc>
        <w:tc>
          <w:tcPr>
            <w:tcW w:w="1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shd w:val="clear" w:color="auto" w:fill="CCEEFF"/>
          </w:tcPr>
          <w:p>
            <w:pPr>
              <w:ind w:left="700"/>
              <w:spacing w:after="0" w:line="115" w:lineRule="exact"/>
              <w:rPr>
                <w:sz w:val="20"/>
                <w:szCs w:val="20"/>
                <w:color w:val="auto"/>
              </w:rPr>
            </w:pPr>
            <w:r>
              <w:rPr>
                <w:rFonts w:ascii="Arial" w:cs="Arial" w:eastAsia="Arial" w:hAnsi="Arial"/>
                <w:sz w:val="11"/>
                <w:szCs w:val="11"/>
                <w:color w:val="auto"/>
              </w:rPr>
              <w:t>—</w:t>
            </w:r>
          </w:p>
        </w:tc>
        <w:tc>
          <w:tcPr>
            <w:tcW w:w="1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640" w:type="dxa"/>
            <w:vAlign w:val="bottom"/>
            <w:tcBorders>
              <w:bottom w:val="single" w:sz="8" w:color="auto"/>
            </w:tcBorders>
            <w:shd w:val="clear" w:color="auto" w:fill="CCEEFF"/>
          </w:tcPr>
          <w:p>
            <w:pPr>
              <w:jc w:val="right"/>
              <w:ind w:right="26"/>
              <w:spacing w:after="0" w:line="115" w:lineRule="exact"/>
              <w:rPr>
                <w:sz w:val="20"/>
                <w:szCs w:val="20"/>
                <w:color w:val="auto"/>
              </w:rPr>
            </w:pPr>
            <w:r>
              <w:rPr>
                <w:rFonts w:ascii="Arial" w:cs="Arial" w:eastAsia="Arial" w:hAnsi="Arial"/>
                <w:sz w:val="11"/>
                <w:szCs w:val="11"/>
                <w:color w:val="auto"/>
              </w:rPr>
              <w:t>(14,908)</w:t>
            </w:r>
          </w:p>
        </w:tc>
        <w:tc>
          <w:tcPr>
            <w:tcW w:w="200" w:type="dxa"/>
            <w:vAlign w:val="bottom"/>
            <w:tcBorders>
              <w:bottom w:val="single" w:sz="8" w:color="auto"/>
            </w:tcBorders>
            <w:shd w:val="clear" w:color="auto" w:fill="CCEEFF"/>
          </w:tcPr>
          <w:p>
            <w:pPr>
              <w:ind w:left="80"/>
              <w:spacing w:after="0" w:line="115"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(13,952)</w:t>
            </w:r>
          </w:p>
        </w:tc>
      </w:tr>
      <w:tr>
        <w:trPr>
          <w:trHeight w:val="20"/>
        </w:trPr>
        <w:tc>
          <w:tcPr>
            <w:tcW w:w="29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Olema Pharmaceuticals,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color w:val="auto"/>
        </w:rPr>
        <w:t>(In thousands)</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67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940" w:type="dxa"/>
            <w:vAlign w:val="bottom"/>
            <w:tcBorders>
              <w:top w:val="single" w:sz="8" w:color="auto"/>
            </w:tcBorders>
            <w:gridSpan w:val="3"/>
          </w:tcPr>
          <w:p>
            <w:pPr>
              <w:jc w:val="right"/>
              <w:ind w:right="279"/>
              <w:spacing w:after="0"/>
              <w:rPr>
                <w:sz w:val="20"/>
                <w:szCs w:val="20"/>
                <w:color w:val="auto"/>
              </w:rPr>
            </w:pPr>
            <w:r>
              <w:rPr>
                <w:rFonts w:ascii="Arial" w:cs="Arial" w:eastAsia="Arial" w:hAnsi="Arial"/>
                <w:sz w:val="16"/>
                <w:szCs w:val="16"/>
                <w:b w:val="1"/>
                <w:bCs w:val="1"/>
                <w:color w:val="auto"/>
              </w:rPr>
              <w:t>Six Months Ended</w:t>
            </w:r>
          </w:p>
        </w:tc>
      </w:tr>
      <w:tr>
        <w:trPr>
          <w:trHeight w:val="207"/>
        </w:trPr>
        <w:tc>
          <w:tcPr>
            <w:tcW w:w="6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720" w:type="dxa"/>
            <w:vAlign w:val="bottom"/>
            <w:tcBorders>
              <w:bottom w:val="single" w:sz="8" w:color="auto"/>
            </w:tcBorders>
          </w:tcPr>
          <w:p>
            <w:pPr>
              <w:spacing w:after="0"/>
              <w:rPr>
                <w:sz w:val="18"/>
                <w:szCs w:val="18"/>
                <w:color w:val="auto"/>
              </w:rPr>
            </w:pPr>
          </w:p>
        </w:tc>
      </w:tr>
      <w:tr>
        <w:trPr>
          <w:trHeight w:val="183"/>
        </w:trPr>
        <w:tc>
          <w:tcPr>
            <w:tcW w:w="67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9"/>
              <w:spacing w:after="0" w:line="183" w:lineRule="exact"/>
              <w:rPr>
                <w:sz w:val="20"/>
                <w:szCs w:val="20"/>
                <w:color w:val="auto"/>
              </w:rPr>
            </w:pPr>
            <w:r>
              <w:rPr>
                <w:rFonts w:ascii="Arial" w:cs="Arial" w:eastAsia="Arial" w:hAnsi="Arial"/>
                <w:sz w:val="16"/>
                <w:szCs w:val="16"/>
                <w:b w:val="1"/>
                <w:bCs w:val="1"/>
                <w:color w:val="auto"/>
              </w:rPr>
              <w:t>2021</w:t>
            </w: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9"/>
              <w:spacing w:after="0" w:line="183" w:lineRule="exact"/>
              <w:rPr>
                <w:sz w:val="20"/>
                <w:szCs w:val="20"/>
                <w:color w:val="auto"/>
              </w:rPr>
            </w:pPr>
            <w:r>
              <w:rPr>
                <w:rFonts w:ascii="Arial" w:cs="Arial" w:eastAsia="Arial" w:hAnsi="Arial"/>
                <w:sz w:val="16"/>
                <w:szCs w:val="16"/>
                <w:b w:val="1"/>
                <w:bCs w:val="1"/>
                <w:color w:val="auto"/>
              </w:rPr>
              <w:t>2020</w:t>
            </w:r>
          </w:p>
        </w:tc>
      </w:tr>
      <w:tr>
        <w:trPr>
          <w:trHeight w:val="183"/>
        </w:trPr>
        <w:tc>
          <w:tcPr>
            <w:tcW w:w="678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189"/>
        </w:trPr>
        <w:tc>
          <w:tcPr>
            <w:tcW w:w="6780" w:type="dxa"/>
            <w:vAlign w:val="bottom"/>
          </w:tcPr>
          <w:p>
            <w:pPr>
              <w:ind w:left="100"/>
              <w:spacing w:after="0"/>
              <w:rPr>
                <w:sz w:val="20"/>
                <w:szCs w:val="20"/>
                <w:color w:val="auto"/>
              </w:rPr>
            </w:pPr>
            <w:r>
              <w:rPr>
                <w:rFonts w:ascii="Arial" w:cs="Arial" w:eastAsia="Arial" w:hAnsi="Arial"/>
                <w:sz w:val="16"/>
                <w:szCs w:val="16"/>
                <w:color w:val="auto"/>
              </w:rPr>
              <w:t>Net loss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(31,745)</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(4,146)</w:t>
            </w:r>
          </w:p>
        </w:tc>
      </w:tr>
      <w:tr>
        <w:trPr>
          <w:trHeight w:val="189"/>
        </w:trPr>
        <w:tc>
          <w:tcPr>
            <w:tcW w:w="67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189"/>
        </w:trPr>
        <w:tc>
          <w:tcPr>
            <w:tcW w:w="6780" w:type="dxa"/>
            <w:vAlign w:val="bottom"/>
          </w:tcPr>
          <w:p>
            <w:pPr>
              <w:ind w:left="220"/>
              <w:spacing w:after="0"/>
              <w:rPr>
                <w:sz w:val="20"/>
                <w:szCs w:val="20"/>
                <w:color w:val="auto"/>
              </w:rPr>
            </w:pPr>
            <w:r>
              <w:rPr>
                <w:rFonts w:ascii="Arial" w:cs="Arial" w:eastAsia="Arial" w:hAnsi="Arial"/>
                <w:sz w:val="16"/>
                <w:szCs w:val="16"/>
                <w:color w:val="auto"/>
              </w:rPr>
              <w:t>Depreciation and amortization expense</w:t>
            </w:r>
          </w:p>
        </w:tc>
        <w:tc>
          <w:tcPr>
            <w:tcW w:w="180" w:type="dxa"/>
            <w:vAlign w:val="bottom"/>
          </w:tcPr>
          <w:p>
            <w:pPr>
              <w:spacing w:after="0"/>
              <w:rPr>
                <w:sz w:val="16"/>
                <w:szCs w:val="16"/>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40</w:t>
            </w:r>
          </w:p>
        </w:tc>
        <w:tc>
          <w:tcPr>
            <w:tcW w:w="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89"/>
        </w:trPr>
        <w:tc>
          <w:tcPr>
            <w:tcW w:w="6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interest expense</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w:t>
            </w:r>
          </w:p>
        </w:tc>
      </w:tr>
      <w:tr>
        <w:trPr>
          <w:trHeight w:val="189"/>
        </w:trPr>
        <w:tc>
          <w:tcPr>
            <w:tcW w:w="6780" w:type="dxa"/>
            <w:vAlign w:val="bottom"/>
          </w:tcPr>
          <w:p>
            <w:pPr>
              <w:ind w:left="220"/>
              <w:spacing w:after="0"/>
              <w:rPr>
                <w:sz w:val="20"/>
                <w:szCs w:val="20"/>
                <w:color w:val="auto"/>
              </w:rPr>
            </w:pPr>
            <w:r>
              <w:rPr>
                <w:rFonts w:ascii="Arial" w:cs="Arial" w:eastAsia="Arial" w:hAnsi="Arial"/>
                <w:sz w:val="16"/>
                <w:szCs w:val="16"/>
                <w:color w:val="auto"/>
              </w:rPr>
              <w:t>Premium amortization and discount accretion on marketable securities, net</w:t>
            </w:r>
          </w:p>
        </w:tc>
        <w:tc>
          <w:tcPr>
            <w:tcW w:w="180" w:type="dxa"/>
            <w:vAlign w:val="bottom"/>
          </w:tcPr>
          <w:p>
            <w:pPr>
              <w:spacing w:after="0"/>
              <w:rPr>
                <w:sz w:val="16"/>
                <w:szCs w:val="16"/>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138</w:t>
            </w:r>
          </w:p>
        </w:tc>
        <w:tc>
          <w:tcPr>
            <w:tcW w:w="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6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 expense, including employee stock purchase plan expense</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7,129</w:t>
            </w: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r>
      <w:tr>
        <w:trPr>
          <w:trHeight w:val="189"/>
        </w:trPr>
        <w:tc>
          <w:tcPr>
            <w:tcW w:w="678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9"/>
        </w:trPr>
        <w:tc>
          <w:tcPr>
            <w:tcW w:w="67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Prepaid expenses, other current assets</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878</w:t>
            </w: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r>
      <w:tr>
        <w:trPr>
          <w:trHeight w:val="189"/>
        </w:trPr>
        <w:tc>
          <w:tcPr>
            <w:tcW w:w="6780" w:type="dxa"/>
            <w:vAlign w:val="bottom"/>
          </w:tcPr>
          <w:p>
            <w:pPr>
              <w:ind w:left="32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16"/>
                <w:szCs w:val="16"/>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(322)</w:t>
            </w:r>
          </w:p>
        </w:tc>
        <w:tc>
          <w:tcPr>
            <w:tcW w:w="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189"/>
        </w:trPr>
        <w:tc>
          <w:tcPr>
            <w:tcW w:w="67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3,893</w:t>
            </w:r>
          </w:p>
        </w:tc>
        <w:tc>
          <w:tcPr>
            <w:tcW w:w="3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183"/>
        </w:trPr>
        <w:tc>
          <w:tcPr>
            <w:tcW w:w="6780" w:type="dxa"/>
            <w:vAlign w:val="bottom"/>
            <w:tcBorders>
              <w:bottom w:val="single" w:sz="8" w:color="CCEEFF"/>
            </w:tcBorders>
          </w:tcPr>
          <w:p>
            <w:pPr>
              <w:ind w:left="220"/>
              <w:spacing w:after="0" w:line="183" w:lineRule="exact"/>
              <w:rPr>
                <w:sz w:val="20"/>
                <w:szCs w:val="20"/>
                <w:color w:val="auto"/>
              </w:rPr>
            </w:pPr>
            <w:r>
              <w:rPr>
                <w:rFonts w:ascii="Arial" w:cs="Arial" w:eastAsia="Arial" w:hAnsi="Arial"/>
                <w:sz w:val="16"/>
                <w:szCs w:val="16"/>
                <w:color w:val="auto"/>
              </w:rPr>
              <w:t>Net cash used in operating activities</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(19,989)</w:t>
            </w: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(3,317)</w:t>
            </w:r>
          </w:p>
        </w:tc>
      </w:tr>
      <w:tr>
        <w:trPr>
          <w:trHeight w:val="183"/>
        </w:trPr>
        <w:tc>
          <w:tcPr>
            <w:tcW w:w="678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189"/>
        </w:trPr>
        <w:tc>
          <w:tcPr>
            <w:tcW w:w="6780" w:type="dxa"/>
            <w:vAlign w:val="bottom"/>
          </w:tcPr>
          <w:p>
            <w:pPr>
              <w:spacing w:after="0"/>
              <w:rPr>
                <w:sz w:val="20"/>
                <w:szCs w:val="20"/>
                <w:color w:val="auto"/>
              </w:rPr>
            </w:pPr>
            <w:r>
              <w:rPr>
                <w:rFonts w:ascii="Arial" w:cs="Arial" w:eastAsia="Arial" w:hAnsi="Arial"/>
                <w:sz w:val="16"/>
                <w:szCs w:val="16"/>
                <w:color w:val="auto"/>
              </w:rPr>
              <w:t>Purchase of equipment</w:t>
            </w:r>
          </w:p>
        </w:tc>
        <w:tc>
          <w:tcPr>
            <w:tcW w:w="180" w:type="dxa"/>
            <w:vAlign w:val="bottom"/>
          </w:tcPr>
          <w:p>
            <w:pPr>
              <w:spacing w:after="0"/>
              <w:rPr>
                <w:sz w:val="16"/>
                <w:szCs w:val="16"/>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(780)</w:t>
            </w:r>
          </w:p>
        </w:tc>
        <w:tc>
          <w:tcPr>
            <w:tcW w:w="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189"/>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Maturities of marketable securities</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67,000</w:t>
            </w: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67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Purchases of marketable securities</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(334,874)</w:t>
            </w: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6780" w:type="dxa"/>
            <w:vAlign w:val="bottom"/>
            <w:shd w:val="clear" w:color="auto" w:fill="CCEEFF"/>
          </w:tcPr>
          <w:p>
            <w:pPr>
              <w:ind w:left="100"/>
              <w:spacing w:after="0" w:line="183" w:lineRule="exact"/>
              <w:rPr>
                <w:sz w:val="20"/>
                <w:szCs w:val="20"/>
                <w:color w:val="auto"/>
              </w:rPr>
            </w:pPr>
            <w:r>
              <w:rPr>
                <w:rFonts w:ascii="Arial" w:cs="Arial" w:eastAsia="Arial" w:hAnsi="Arial"/>
                <w:sz w:val="16"/>
                <w:szCs w:val="16"/>
                <w:color w:val="auto"/>
              </w:rPr>
              <w:t>Net cash used in investing activities</w:t>
            </w:r>
          </w:p>
        </w:tc>
        <w:tc>
          <w:tcPr>
            <w:tcW w:w="1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rPr>
              <w:t>(268,654)</w:t>
            </w:r>
          </w:p>
        </w:tc>
        <w:tc>
          <w:tcPr>
            <w:tcW w:w="3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w:t>
            </w:r>
          </w:p>
        </w:tc>
      </w:tr>
      <w:tr>
        <w:trPr>
          <w:trHeight w:val="183"/>
        </w:trPr>
        <w:tc>
          <w:tcPr>
            <w:tcW w:w="6780" w:type="dxa"/>
            <w:vAlign w:val="bottom"/>
          </w:tcPr>
          <w:p>
            <w:pPr>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9"/>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Proceeds from exercise of stock options</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130</w:t>
            </w: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6780" w:type="dxa"/>
            <w:vAlign w:val="bottom"/>
          </w:tcPr>
          <w:p>
            <w:pPr>
              <w:spacing w:after="0"/>
              <w:rPr>
                <w:sz w:val="20"/>
                <w:szCs w:val="20"/>
                <w:color w:val="auto"/>
              </w:rPr>
            </w:pPr>
            <w:r>
              <w:rPr>
                <w:rFonts w:ascii="Arial" w:cs="Arial" w:eastAsia="Arial" w:hAnsi="Arial"/>
                <w:sz w:val="16"/>
                <w:szCs w:val="16"/>
                <w:color w:val="auto"/>
              </w:rPr>
              <w:t>Proceeds from issuance of common stock under employee stock purchase plan</w:t>
            </w:r>
          </w:p>
        </w:tc>
        <w:tc>
          <w:tcPr>
            <w:tcW w:w="180" w:type="dxa"/>
            <w:vAlign w:val="bottom"/>
          </w:tcPr>
          <w:p>
            <w:pPr>
              <w:spacing w:after="0"/>
              <w:rPr>
                <w:sz w:val="16"/>
                <w:szCs w:val="16"/>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386</w:t>
            </w:r>
          </w:p>
        </w:tc>
        <w:tc>
          <w:tcPr>
            <w:tcW w:w="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Proceeds from the issuance of convertible notes</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r>
      <w:tr>
        <w:trPr>
          <w:trHeight w:val="189"/>
        </w:trPr>
        <w:tc>
          <w:tcPr>
            <w:tcW w:w="67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Proceeds from issuance of Series B convertible preferred stock, net of issuance costs</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50,740</w:t>
            </w:r>
          </w:p>
        </w:tc>
      </w:tr>
      <w:tr>
        <w:trPr>
          <w:trHeight w:val="183"/>
        </w:trPr>
        <w:tc>
          <w:tcPr>
            <w:tcW w:w="6780" w:type="dxa"/>
            <w:vAlign w:val="bottom"/>
            <w:shd w:val="clear" w:color="auto" w:fill="CCEEFF"/>
          </w:tcPr>
          <w:p>
            <w:pPr>
              <w:ind w:left="220"/>
              <w:spacing w:after="0" w:line="183" w:lineRule="exact"/>
              <w:rPr>
                <w:sz w:val="20"/>
                <w:szCs w:val="20"/>
                <w:color w:val="auto"/>
              </w:rPr>
            </w:pPr>
            <w:r>
              <w:rPr>
                <w:rFonts w:ascii="Arial" w:cs="Arial" w:eastAsia="Arial" w:hAnsi="Arial"/>
                <w:sz w:val="16"/>
                <w:szCs w:val="16"/>
                <w:color w:val="auto"/>
              </w:rPr>
              <w:t>Net cash provided by financing activities</w:t>
            </w:r>
          </w:p>
        </w:tc>
        <w:tc>
          <w:tcPr>
            <w:tcW w:w="1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rPr>
              <w:t>516</w:t>
            </w:r>
          </w:p>
        </w:tc>
        <w:tc>
          <w:tcPr>
            <w:tcW w:w="3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53,740</w:t>
            </w:r>
          </w:p>
        </w:tc>
      </w:tr>
      <w:tr>
        <w:trPr>
          <w:trHeight w:val="183"/>
        </w:trPr>
        <w:tc>
          <w:tcPr>
            <w:tcW w:w="6780" w:type="dxa"/>
            <w:vAlign w:val="bottom"/>
          </w:tcPr>
          <w:p>
            <w:pPr>
              <w:spacing w:after="0" w:line="183" w:lineRule="exact"/>
              <w:rPr>
                <w:sz w:val="20"/>
                <w:szCs w:val="20"/>
                <w:color w:val="auto"/>
              </w:rPr>
            </w:pPr>
            <w:r>
              <w:rPr>
                <w:rFonts w:ascii="Arial" w:cs="Arial" w:eastAsia="Arial" w:hAnsi="Arial"/>
                <w:sz w:val="16"/>
                <w:szCs w:val="16"/>
                <w:b w:val="1"/>
                <w:bCs w:val="1"/>
                <w:color w:val="auto"/>
              </w:rPr>
              <w:t>Net (decrease) increase in cash and cash equivalents</w:t>
            </w:r>
          </w:p>
        </w:tc>
        <w:tc>
          <w:tcPr>
            <w:tcW w:w="180" w:type="dxa"/>
            <w:vAlign w:val="bottom"/>
          </w:tcPr>
          <w:p>
            <w:pPr>
              <w:spacing w:after="0"/>
              <w:rPr>
                <w:sz w:val="15"/>
                <w:szCs w:val="15"/>
                <w:color w:val="auto"/>
              </w:rPr>
            </w:pPr>
          </w:p>
        </w:tc>
        <w:tc>
          <w:tcPr>
            <w:tcW w:w="9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(288,127)</w:t>
            </w:r>
          </w:p>
        </w:tc>
        <w:tc>
          <w:tcPr>
            <w:tcW w:w="320" w:type="dxa"/>
            <w:vAlign w:val="bottom"/>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auto"/>
              </w:rPr>
              <w:t>50,408</w:t>
            </w:r>
          </w:p>
        </w:tc>
      </w:tr>
      <w:tr>
        <w:trPr>
          <w:trHeight w:val="189"/>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period</w:t>
            </w: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338,549</w:t>
            </w:r>
          </w:p>
        </w:tc>
        <w:tc>
          <w:tcPr>
            <w:tcW w:w="3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23"/>
        </w:trPr>
        <w:tc>
          <w:tcPr>
            <w:tcW w:w="678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color w:val="auto"/>
              </w:rPr>
              <w:t>Cash and cash equivalents at end of period</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50,422</w:t>
            </w:r>
          </w:p>
        </w:tc>
        <w:tc>
          <w:tcPr>
            <w:tcW w:w="3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50,476</w:t>
            </w:r>
          </w:p>
        </w:tc>
      </w:tr>
      <w:tr>
        <w:trPr>
          <w:trHeight w:val="169"/>
        </w:trPr>
        <w:tc>
          <w:tcPr>
            <w:tcW w:w="6780" w:type="dxa"/>
            <w:vAlign w:val="bottom"/>
            <w:shd w:val="clear" w:color="auto" w:fill="CCEEFF"/>
          </w:tcPr>
          <w:p>
            <w:pPr>
              <w:spacing w:after="0" w:line="170" w:lineRule="exact"/>
              <w:rPr>
                <w:sz w:val="20"/>
                <w:szCs w:val="20"/>
                <w:color w:val="auto"/>
              </w:rPr>
            </w:pPr>
            <w:r>
              <w:rPr>
                <w:rFonts w:ascii="Arial" w:cs="Arial" w:eastAsia="Arial" w:hAnsi="Arial"/>
                <w:sz w:val="16"/>
                <w:szCs w:val="16"/>
                <w:b w:val="1"/>
                <w:bCs w:val="1"/>
                <w:color w:val="231F20"/>
              </w:rPr>
              <w:t>Supplemental disclosure of non-cash investing and financing activities:</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89"/>
        </w:trPr>
        <w:tc>
          <w:tcPr>
            <w:tcW w:w="6780" w:type="dxa"/>
            <w:vAlign w:val="bottom"/>
          </w:tcPr>
          <w:p>
            <w:pPr>
              <w:spacing w:after="0"/>
              <w:rPr>
                <w:sz w:val="20"/>
                <w:szCs w:val="20"/>
                <w:color w:val="auto"/>
              </w:rPr>
            </w:pPr>
            <w:r>
              <w:rPr>
                <w:rFonts w:ascii="Arial" w:cs="Arial" w:eastAsia="Arial" w:hAnsi="Arial"/>
                <w:sz w:val="16"/>
                <w:szCs w:val="16"/>
                <w:color w:val="231F20"/>
              </w:rPr>
              <w:t>Purchases of property and equipment included in accounts payable and accrued liabilities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63</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231F20"/>
              </w:rPr>
              <w:t>Conversion of convertible notes into Series B convertible preferred stock</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3,007</w:t>
            </w:r>
          </w:p>
        </w:tc>
      </w:tr>
      <w:tr>
        <w:trPr>
          <w:trHeight w:val="189"/>
        </w:trPr>
        <w:tc>
          <w:tcPr>
            <w:tcW w:w="6780" w:type="dxa"/>
            <w:vAlign w:val="bottom"/>
          </w:tcPr>
          <w:p>
            <w:pPr>
              <w:spacing w:after="0"/>
              <w:rPr>
                <w:sz w:val="20"/>
                <w:szCs w:val="20"/>
                <w:color w:val="auto"/>
              </w:rPr>
            </w:pPr>
            <w:r>
              <w:rPr>
                <w:rFonts w:ascii="Arial" w:cs="Arial" w:eastAsia="Arial" w:hAnsi="Arial"/>
                <w:sz w:val="16"/>
                <w:szCs w:val="16"/>
                <w:color w:val="231F20"/>
              </w:rPr>
              <w:t>Offering costs included in other current liabilities - Series B</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03"/>
        </w:trPr>
        <w:tc>
          <w:tcPr>
            <w:tcW w:w="6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231F20"/>
              </w:rPr>
              <w:t>Vesting of early exercised stock options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61</w:t>
            </w:r>
          </w:p>
        </w:tc>
        <w:tc>
          <w:tcPr>
            <w:tcW w:w="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6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Olema Pharmaceuticals,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90"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Nature of the Business and Basis of Presentation</w:t>
      </w:r>
    </w:p>
    <w:p>
      <w:pPr>
        <w:spacing w:after="0" w:line="21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Olema Pharmaceuticals Inc. (“Olema” or the “Company”) is a clinical-stage biopharmaceutical company focused on the discovery, development and commercialization of next-generation targeted therapies for women’s cancers. The Company is initially focused on developing therapies for the treatment of breast cancer. The Company’s wholly owned, lead product candidate, OP-1250, is a novel oral therapy with combined activity as both a complete estrogen receptor (“ER”) antagonist (“CERAN”) and a selective ER degrader (“SERD”). The Company is currently evaluating OP-1250 in a Phase 1/2 dose escalation and expansion trial for the treatment of recurrent, locally advanced or metastatic estrogen receptor-positive (“ER+”), human epidermal growth factor receptor 2-negative (“HER2-”) breast cancer.</w:t>
      </w:r>
    </w:p>
    <w:p>
      <w:pPr>
        <w:spacing w:after="0" w:line="208"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The Company is located in San Francisco, California and was incorporated in Delaware on August 7, 2006 under the legal name of CombiThera, Inc. and on March 25, 2009 was renamed Olema Pharmaceuticals, Inc. The Company’s principal operations are based in San Francisco, California, and it operates in one business segment and therefore has only one reportable segment. The Company is subject to risks and uncertainties common to early-stage companies in the biopharmaceutical industry, including, but not limited to, successful discovery and development of its product candidates, development by competitors of new technological innovations, dependence on key personnel, the ability to attract and retain qualified employees, protection of proprietary technology, compliance with governmental regulations, the impact of COVID-19, the ability to secure additional capital to fund operations and commercial success of its product candidates. OP-1250 and any future product candidates the Company may develop will require extensive nonclinical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significant revenue from product sales.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Initial Public Offering</w:t>
      </w:r>
    </w:p>
    <w:p>
      <w:pPr>
        <w:spacing w:after="0" w:line="23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November 2020, the Company completed the initial public offering of its common stock (“IPO”). In connection with its IPO, the Company issued and sold 12,650,000 shares of its common stock, at a price to the public of $19.00 per share. As a result of the IPO, the Company received $220.6 million in net proceeds, after deducting underwriting discounts and commissions and offering costs of $19.8 million.</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Upon the closing of the IPO, 23,765,075 shares of outstanding convertible preferred stock were automatically converted into 23,765,075 shares of common stock with the related carrying value of $148.3 million reclassified to common stock and additional paid-in capital. In connection with the IPO, the Company amended and restated its amended and restated certificate of incorporation to change the authorized capital stock to 490,000,000 shares designated as common stock and 10,000,000 shares designated as preferred stock, all with a par value of $0.0001 per share.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Liquidity</w:t>
      </w:r>
    </w:p>
    <w:p>
      <w:pPr>
        <w:spacing w:after="0" w:line="23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Company had $318.1 million of cash, cash equivalents and marketable securities at June 30 2021, which management believes is sufficient to fund its operating expenses and capital expenditure requirements for at least the next 12 months from the filing date of these condensed consolidated financial statements.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Impact of COVID-19</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extent of the impact of the COVID-19 pandemic on the Company’s business, operations and development timelines and plans remains uncertain, and will depend on certain developments, including the duration of the outbreak and its impact on the Company’s development activities, planned clinical trial enrollment, future trial sites, CROs, third-party manufacturers, and other third parties with whom the Company does business, as well as its impact on regulatory authorities and the Company’s key scientific and management personnel. During 2020, although the Company modified its operations and practices due to the COVID-19 pandemic and to comply with federal, state and local requirements, its business, operations and development timelines were not material adversely affected. However, the extent to which the COVID-19 pandemic may affect the Company’s business, operations and development timelines and plans in the future, including the resulting impact on its expenditures and capital needs, remains uncertain.</w:t>
      </w:r>
    </w:p>
    <w:p>
      <w:pPr>
        <w:spacing w:after="0" w:line="206" w:lineRule="exact"/>
        <w:rPr>
          <w:sz w:val="20"/>
          <w:szCs w:val="20"/>
          <w:color w:val="auto"/>
        </w:rPr>
      </w:pPr>
    </w:p>
    <w:p>
      <w:pPr>
        <w:ind w:left="380" w:hanging="330"/>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Summary of Significant Accounting Policies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of Presentation and Consolidation</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accompanying interim unaudited condensed consolidated financial statements have been prepared in accordance with generally accepted accounting principles in the United Stated (“GAAP”) and applicable rules and regulations of the Securities and Exchange Commission (the “SEC”) regarding interim financial reporting, and the instructions to Form 10-Q and Article 10 of Regulation S-X. Accordingly, they do not include all of the information and footnotes required by GAAP for complete financial statements. These condensed consolidated financial statements include the accounts of Olema Pharmaceuticals, Inc. and its wholly-owned subsidiary, Olema Oncology Australia Pty Ltd incorporated on January 6, 2021. All intercompany balances and transactions have been eliminated upon consolidation.</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Unaudited Interim Financial Information</w:t>
      </w:r>
    </w:p>
    <w:p>
      <w:pPr>
        <w:spacing w:after="0" w:line="230"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The interim condensed consolidated balance sheet as of June 30, 2021, the statements of operations and comprehensive loss, and stockholders’ equity (deficit) for the three and six months ended June 30, 2021 and 2020, and the statements of cash flows for the six months ended June 30, 2021 and 2020 are unaudited. The unaudited interim condensed consolidated financial statements have been prepared on the same basis as the annual financial statements and reflect, in the opinion of management, all adjustments of a normal and recurring nature that are necessary for the fair presentation of the Company’s condensed consolidated financial statements included in this report. The financial data and the other information disclosed in these notes to the condensed consolidated financial statements related to the three- and six-month periods are also unaudited. The results of operations for the six months ended June 30, 2021 are not necessarily indicative of the results to be expected for the year ending December 31, 2021 or for any other future annual or interim period. The condensed consolidated balance sheet as of December 31, 2020 included herein was derived from the audited financial statements as of that date. These interim condensed consolidated financial statements should be read in conjunction with the Company’s audited financial statements included in the Company’s Form 10-K as filed with the SEC on March 17, 2021.</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Use of Estimates</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accompanying condensed consolidated financial statements are prepared in accordance with GAAP. The preparation of the condensed consolidated financial statements in conformity with GAAP requires management to make estimates and assumptions that affect the reported amounts of assets and liabilities at the date of the condensed consolidated financial statements and reported amounts of expenses during the reporting period. Significant areas that require management’s estimates include accruals of research and development expenses, including accrual of research contract costs, share-based compensation assumptions, and fair value of common stock and convertible preferred stock prior to the IPO. On an ongoing basis, the Company evaluates its estimates and judgments, which are based on historical and anticipated results and trends and on various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other assumptions that management believes to be reasonable under the circumstances. Actual results could differ from those estimates.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and Cash Equivalents</w:t>
      </w:r>
    </w:p>
    <w:p>
      <w:pPr>
        <w:spacing w:after="0" w:line="23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Cash and cash equivalents are defined as short-term, highly liquid investments with original maturities of 90 days or less at the date of purchase. Cash deposits are all in reputable financial institutions in the United States and as of June 30, 2021 and December 31, 2020, cash and cash equivalents consisted of cash on deposit with U.S. banks denominated in U.S. dollars and investments in interest bearing money market funds.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Marketable Securities</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All marketable securities have been classified as “available-for-sale” and are carried at estimated fair value as determined based upon quoted market prices or pricing models for similar securities. Management determines the appropriate classification of its investments at the time of purchase and reevaluates such designation as of each balance sheet date. Unrealized gains and losses are excluded from earnings and are reported as a component of comprehensive loss. Realized gains and losses and declines in fair value judged to be other than temporary, if any, on available-for-sale securities are included in interest income. The cost of securities sold is based on the specific-identification method. Interest earned on marketable securities is included in interest income.</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Concentration of Credit Risk and Other Risks and Uncertainties</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cash equivalents, and marketable securities. The Company invests in a variety of financial instruments and, by its policy, limits these financial instruments to high credit quality securities issued by the U.S. government, U.S. government-sponsored agencies and highly rated banks and corporations, subject to certain concentration limits. The Company’s cash, cash equivalents, and marketable securities are held by financial institutions in the United States that management believes are of high credit quality. Amounts on deposit with individual banking institutions may at times exceed the limits insured by the Federal Deposit Insurance Corporation (“FDIC”); however, the Company has not experienced any losses on such deposits.</w:t>
      </w:r>
    </w:p>
    <w:p>
      <w:pPr>
        <w:spacing w:after="0" w:line="208"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Company’s future results of operations involve a number of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current and potential future product candidates, uncertainty of market acceptance of the Company’s product candidates, competition from substitute products and larger companies, securing and protecting proprietary technology, strategic relationships and dependence on key individuals or sole-source suppliers.</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Company’s product candidates require approvals from the U.S. Food and Drug Administration (“FDA”) and comparable foreign regulatory agencies prior to commercial sales in their respective jurisdictions. There can be no assurance that any product candidates will receive the necessary approvals. If the Company were denied approval, approval was delayed or the Company was unable to maintain approval for any product candidate, it could have a materially adverse impact on the Company.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Costs</w:t>
      </w:r>
    </w:p>
    <w:p>
      <w:pPr>
        <w:spacing w:after="0" w:line="23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Research and development costs are expensed as incurred. Research and development expenses consist of costs incurred to discover, research and develop product candidates. These costs are recorded within research and development expenses in the condensed consolidated statements of operations and include personnel expenses, stock-based compensation expenses, allocated general and administrative expenses, and external costs including fees paid to consultants and clinical research organizations (“CROs”) and contract manufacturing organizations (“CMOs”), in connection with nonclinical studies and clinical trials, and other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related clinical trial fees, such as for investigator fees, patient screening, laboratory work, clinical trial database management, clinical trial material management and statistical compilation and analysis. Non-refundable prepayments for goods or services that will be used or rendered for future research and development activities are recorded as prepaid expenses. Such amounts are recognized as an expense as the goods are delivered or the related services are performed.</w:t>
      </w:r>
    </w:p>
    <w:p>
      <w:pPr>
        <w:spacing w:after="0" w:line="202"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Costs incurred in obtaining technology licenses are charged immediately to research and development expense if the technology licensed has not reached technological feasibility and has no alternative future uses.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Contract Costs and Accruals</w:t>
      </w:r>
    </w:p>
    <w:p>
      <w:pPr>
        <w:spacing w:after="0" w:line="23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Company has from time to time entered into various research and development and other agreements with commercial firms, researchers, universities and others for provisions of goods and services. These agreements are generally cancelable, and the related costs are recorded as research and development expenses as incurred.</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Company records accruals for estimated ongoing research and development costs. When evaluating the adequacy of the accrued liabilities, the Company analyzes progress of the projects, studies or clinical trials, including the phase or completion of events, invoices received and contracted costs. Judgments and estimates are made in determining the accrued balances at the end of any reporting period. Actual results could differ materially from the Company’s estimates. The Company’s historical accrual estimates have not been materially different from the actual costs.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Loss Per Common Share</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Basic net loss per common share is computed by dividing the net loss per common share by the weighted average number of common shares outstanding for the period without consideration of common stock equivalents. Diluted net loss per common share is computed by adjusting net loss to reallocate undistributed earnings based on the potential impact of dilutive securities, and by dividing the diluted net loss by the weighted average number of common shares outstanding for the period, including potential dilutive common shares. For purpose of this calculation, outstanding stock options, unvested restricted stock awards, contingently issuable common stock related to the 2020 Employee Stock Purchase Plan (the “ESPP”), and convertible preferred stock are considered potential dilutive common shares. Since the Company was in a loss position for all periods presented, basic net loss per share is the same as diluted net loss per share for all periods as the inclusion of all potential common shares outstanding would have been anti-dilutive.</w:t>
      </w:r>
    </w:p>
    <w:p>
      <w:pPr>
        <w:spacing w:after="0" w:line="20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Company’s convertible preferred stock contractually entitled the holders of such shares to participate in dividends but did not contractually require the holders of such shares to participate in losses of the Company. Accordingly, in periods in which the Company reported a net loss, such losses were not allocated to such securities. In periods in which the Company reported a net loss, diluted net loss per common share is the same as basic net loss per common share, since dilutive common shares are not assumed to have been issued if their effect is anti-dilutive. The Company reported a net loss for the three- and six-month periods ended June 30, 2021 and 2020.</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 Accounting Pronouncements</w:t>
      </w:r>
    </w:p>
    <w:p>
      <w:pPr>
        <w:spacing w:after="0" w:line="230"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From time to time, new accounting pronouncements are issued by the FASB under its ASC or other standard setting bodies.</w:t>
      </w:r>
    </w:p>
    <w:p>
      <w:pPr>
        <w:spacing w:after="0" w:line="197" w:lineRule="exact"/>
        <w:rPr>
          <w:sz w:val="20"/>
          <w:szCs w:val="20"/>
          <w:color w:val="auto"/>
        </w:rPr>
      </w:pPr>
    </w:p>
    <w:p>
      <w:pPr>
        <w:jc w:val="both"/>
        <w:ind w:left="60" w:right="79"/>
        <w:spacing w:after="0" w:line="238"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as amended (the “JOBS Act”). Under the JOBS Act, companies have extended transition periods available for complying with new or revised accounting standards. The Company has elected to use this exemption to delay adopting new or revised accounting standards until such time as those standards apply to private companies. As a result, the Company’s financial statements may not be comparable to the financial statements of issuers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who are required to comply with the effective date for new or revised accounting standards that are applicable to public companies. The Company expects to lose its status as an emerging growth company on December 31, 2021, when it expects to qualify as a large accelerated filer based on its market capitalization as of June 30, 2021, according to Rule 12b-2 of the Securities Exchange Act of 1934, as amended. As a result, the Company intends to adopt all accounting pronouncements currently deferred under the extended transition period available for emerging growth companies according to public company standards at December 31, 2021. The adoption dates for the new accounting pronouncements disclosed below have been presented as such. Where allowable, the Company has early adopted certain standards as described below.</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November 2018, the FASB issued ASU 2018-18, Collaborative Arrangements (Topic 808): Clarifying the Interaction between Topic 808 and Topic 606. This standard provides guidance on the interaction between Revenue Recognition (Topic 606) and Collaborative Arrangements (Topic 808) by aligning the unit of account guidance between the two topics and clarifying whether certain transactions between collaborative participants should be accounted for as revenue under Topic 606. ASU 2018-18 is effective for fiscal years beginning after December 15, 2019, and interim periods within those fiscal years. Early adoption is permitted. The Company early adopted this guidance effective on January 1, 2021. The adoption did not have a material impact on the Company’s condensed consolidated financial statements and related disclosures.</w:t>
      </w:r>
    </w:p>
    <w:p>
      <w:pPr>
        <w:spacing w:after="0" w:line="20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August 2018, the FASB issued ASU No. 2018-15, Customer’s Accounting for Implementation Costs Incurred in a Cloud Computing Arrangement that is a Service Contract. ASU 2018-15 requires a customer in a cloud computing arrangement that is a service contract to follow the internal-use software guidance in ASC 350-40, Intangibles—Goodwill and Other—Internal Use Software (ASC 350-40), to determine which implementation costs to capitalize as assets or expense as incurred. The internal-use software guidance in ASC 350-40 requires that certain costs incurred during the application development stage be capitalized and other costs incurred during the preliminary project and post-implementation stages be expensed as they are incurred. A customer’s accounting for the hosting component of the arrangement is not affected by this guidance. The amendments in ASU 2018-15 are effective for fiscal years beginning after December 15, 2019 for public entities. For all other entities, the guidance is effective for annual reporting periods beginning after December 15, 2020 and interim periods within annual periods beginning after December 15, 2021. Early adoption permitted. The Company early adopted this guidance effective on January 1, 2021. The adoption did not have a material impact on the Company’s consolidated financial statements and related disclosures.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230"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In February 2016, the FASB issued ASU 2016-02, Leases (Topic 842)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may be accounted for similar to existing guidance for operating leases today. In July 2018, the FASB issued ASU No. 2018-11, Leases: Targeted Improvements, or ASU No. 2018-11. In issuing ASU No. 2018-11, the FASB is permitting another transition method for ASU 2016-02, which allows the transition to the new lease standard by recognizing a cumulative-effect adjustment to the opening balance of retained earnings in the period of adoption. For non-public entities, ASU 2016-02 is effective for annual reporting periods beginning after December 15, 2021, including interim periods within those fiscal years, and early adoption is permitted. The Company expects to adopt this new guidance under ASU 2016-02 as of January 1, 2021 at December 31, 2021 on the Company’s 2021 Form 10-K filing and is in the process of completing its review of its existing lease agreements under Topic 842. The Company anticipates recording a right-of-use asset and lease liability to account for its facility leases and will record a cumulative-effect adjustment in the period of adoption.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In June 2016, the FASB issued ASU No. 2016-13, Financial Instruments — Credit Losses (Topic 326): Measurement of Credit Losses on Financial Instruments. This standard requires financial assets measured at amortized cost basis to be presented at the net amount expected to be collected. This standard is effective for public companies who are SEC filers for fiscal years beginning after December 15, 2019, including interim periods within those years. In November 2019, the FASB issued ASU 2019-11, Codification Improvements to Topic 326, Financial Instruments - Credit Losses, which extends the effective date of the standard for smaller reporting companies to interim and annual periods beginning after December 15, 2022. ASU 2019-11 also expands the scope of the practical expedient that allows entities to exclude the accrued interest component of amortized cost from various disclosures required by ASC 326 to also include certain disclosures required by ASC 320. Entities that elect to apply the practical expedient must disclose the total amount of accrued interest that they exclude from their disclosures of amortized cost. The amendments have the same effective dates as ASU 2016-13 for entities that have not yet adopted that standard. These standards require using a modified retrospective approach with the cumulative effect recognized as an adjustment to retained earnings. A prospective transition approach is required for debt securities that have recognized an other-than-temporary impairment prior to the effective date. The Company expects to adopt the new guidance under ASU 2016-13 as of January 1, 2021 at December 31, 2021 on the Company’s 2021 Form 10-K filing. Though the Company is currently evaluating the effect of these standards it does not expect the impact of the adoption of these standards on the Company’s financial position or results of operations to be material.</w:t>
      </w:r>
    </w:p>
    <w:p>
      <w:pPr>
        <w:spacing w:after="0" w:line="213" w:lineRule="exact"/>
        <w:rPr>
          <w:sz w:val="20"/>
          <w:szCs w:val="20"/>
          <w:color w:val="auto"/>
        </w:rPr>
      </w:pPr>
    </w:p>
    <w:p>
      <w:pPr>
        <w:ind w:left="380" w:hanging="330"/>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Fair Value Measurement</w:t>
      </w:r>
    </w:p>
    <w:p>
      <w:pPr>
        <w:spacing w:after="0" w:line="21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Company assesses the fair value of financial instruments based on the provisions of ASC 820, Fair Value Measurements.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189" w:lineRule="exact"/>
        <w:rPr>
          <w:sz w:val="20"/>
          <w:szCs w:val="20"/>
          <w:color w:val="auto"/>
        </w:rPr>
      </w:pPr>
    </w:p>
    <w:p>
      <w:pPr>
        <w:ind w:left="380" w:right="79" w:hanging="330"/>
        <w:spacing w:after="0" w:line="277" w:lineRule="auto"/>
        <w:tabs>
          <w:tab w:leader="none" w:pos="38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Level 1 — Inputs are unadjusted quoted prices in active markets for identical assets or liabilities accessible to the reporting entity at the measurement date.</w:t>
      </w:r>
    </w:p>
    <w:p>
      <w:pPr>
        <w:spacing w:after="0" w:line="129" w:lineRule="exact"/>
        <w:rPr>
          <w:rFonts w:ascii="Arial" w:cs="Arial" w:eastAsia="Arial" w:hAnsi="Arial"/>
          <w:sz w:val="18"/>
          <w:szCs w:val="18"/>
          <w:color w:val="231F20"/>
        </w:rPr>
      </w:pPr>
    </w:p>
    <w:p>
      <w:pPr>
        <w:jc w:val="both"/>
        <w:ind w:left="380" w:right="79" w:hanging="330"/>
        <w:spacing w:after="0" w:line="249" w:lineRule="auto"/>
        <w:tabs>
          <w:tab w:leader="none" w:pos="38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Level 2 — Inputs other than quoted prices included in Level 1 that are observable for the asset or liability,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53" w:lineRule="exact"/>
        <w:rPr>
          <w:rFonts w:ascii="Arial" w:cs="Arial" w:eastAsia="Arial" w:hAnsi="Arial"/>
          <w:sz w:val="18"/>
          <w:szCs w:val="18"/>
          <w:color w:val="231F20"/>
        </w:rPr>
      </w:pPr>
    </w:p>
    <w:p>
      <w:pPr>
        <w:jc w:val="both"/>
        <w:ind w:left="380" w:right="79" w:hanging="330"/>
        <w:spacing w:after="0"/>
        <w:tabs>
          <w:tab w:leader="none" w:pos="38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111760</wp:posOffset>
            </wp:positionV>
            <wp:extent cx="56489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June 30, 2021</w:t>
            </w: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r>
      <w:tr>
        <w:trPr>
          <w:trHeight w:val="183"/>
        </w:trPr>
        <w:tc>
          <w:tcPr>
            <w:tcW w:w="402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132"/>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5"/>
                <w:szCs w:val="15"/>
                <w:color w:val="auto"/>
              </w:rPr>
            </w:pPr>
          </w:p>
        </w:tc>
        <w:tc>
          <w:tcPr>
            <w:tcW w:w="780" w:type="dxa"/>
            <w:vAlign w:val="bottom"/>
          </w:tcPr>
          <w:p>
            <w:pPr>
              <w:jc w:val="right"/>
              <w:ind w:right="154"/>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5"/>
                <w:szCs w:val="15"/>
                <w:color w:val="auto"/>
              </w:rPr>
            </w:pPr>
          </w:p>
        </w:tc>
        <w:tc>
          <w:tcPr>
            <w:tcW w:w="760" w:type="dxa"/>
            <w:vAlign w:val="bottom"/>
          </w:tcPr>
          <w:p>
            <w:pPr>
              <w:jc w:val="right"/>
              <w:ind w:right="212"/>
              <w:spacing w:after="0"/>
              <w:rPr>
                <w:sz w:val="20"/>
                <w:szCs w:val="20"/>
                <w:color w:val="auto"/>
              </w:rPr>
            </w:pPr>
            <w:r>
              <w:rPr>
                <w:rFonts w:ascii="Arial" w:cs="Arial" w:eastAsia="Arial" w:hAnsi="Arial"/>
                <w:sz w:val="14"/>
                <w:szCs w:val="14"/>
                <w:b w:val="1"/>
                <w:bCs w:val="1"/>
                <w:color w:val="auto"/>
              </w:rPr>
              <w:t>Total</w:t>
            </w:r>
          </w:p>
        </w:tc>
      </w:tr>
      <w:tr>
        <w:trPr>
          <w:trHeight w:val="196"/>
        </w:trPr>
        <w:tc>
          <w:tcPr>
            <w:tcW w:w="20" w:type="dxa"/>
            <w:vAlign w:val="bottom"/>
          </w:tcPr>
          <w:p>
            <w:pPr>
              <w:spacing w:after="0"/>
              <w:rPr>
                <w:sz w:val="17"/>
                <w:szCs w:val="17"/>
                <w:color w:val="auto"/>
              </w:rPr>
            </w:pPr>
          </w:p>
        </w:tc>
        <w:tc>
          <w:tcPr>
            <w:tcW w:w="4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9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00" w:type="dxa"/>
            <w:vAlign w:val="bottom"/>
          </w:tcPr>
          <w:p>
            <w:pPr>
              <w:ind w:left="100"/>
              <w:spacing w:after="0" w:line="202" w:lineRule="exact"/>
              <w:rPr>
                <w:sz w:val="20"/>
                <w:szCs w:val="20"/>
                <w:color w:val="auto"/>
              </w:rPr>
            </w:pPr>
            <w:r>
              <w:rPr>
                <w:rFonts w:ascii="Arial" w:cs="Arial" w:eastAsia="Arial" w:hAnsi="Arial"/>
                <w:sz w:val="18"/>
                <w:szCs w:val="18"/>
                <w:color w:val="auto"/>
              </w:rPr>
              <w:t>Cash</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13,176</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ind w:left="50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13,176</w:t>
            </w:r>
          </w:p>
        </w:tc>
      </w:tr>
      <w:tr>
        <w:trPr>
          <w:trHeight w:val="203"/>
        </w:trPr>
        <w:tc>
          <w:tcPr>
            <w:tcW w:w="20" w:type="dxa"/>
            <w:vAlign w:val="bottom"/>
          </w:tcPr>
          <w:p>
            <w:pPr>
              <w:spacing w:after="0"/>
              <w:rPr>
                <w:sz w:val="17"/>
                <w:szCs w:val="17"/>
                <w:color w:val="auto"/>
              </w:rPr>
            </w:pPr>
          </w:p>
        </w:tc>
        <w:tc>
          <w:tcPr>
            <w:tcW w:w="40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Money market funds</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8,249</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8,249</w:t>
            </w:r>
          </w:p>
        </w:tc>
      </w:tr>
      <w:tr>
        <w:trPr>
          <w:trHeight w:val="203"/>
        </w:trPr>
        <w:tc>
          <w:tcPr>
            <w:tcW w:w="20" w:type="dxa"/>
            <w:vAlign w:val="bottom"/>
          </w:tcPr>
          <w:p>
            <w:pPr>
              <w:spacing w:after="0"/>
              <w:rPr>
                <w:sz w:val="17"/>
                <w:szCs w:val="17"/>
                <w:color w:val="auto"/>
              </w:rPr>
            </w:pPr>
          </w:p>
        </w:tc>
        <w:tc>
          <w:tcPr>
            <w:tcW w:w="4000" w:type="dxa"/>
            <w:vAlign w:val="bottom"/>
          </w:tcPr>
          <w:p>
            <w:pPr>
              <w:ind w:left="100"/>
              <w:spacing w:after="0" w:line="202" w:lineRule="exact"/>
              <w:rPr>
                <w:sz w:val="20"/>
                <w:szCs w:val="20"/>
                <w:color w:val="auto"/>
              </w:rPr>
            </w:pPr>
            <w:r>
              <w:rPr>
                <w:rFonts w:ascii="Arial" w:cs="Arial" w:eastAsia="Arial" w:hAnsi="Arial"/>
                <w:sz w:val="18"/>
                <w:szCs w:val="18"/>
                <w:color w:val="auto"/>
              </w:rPr>
              <w:t>Corporate bonds</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6,271</w:t>
            </w:r>
          </w:p>
        </w:tc>
        <w:tc>
          <w:tcPr>
            <w:tcW w:w="240" w:type="dxa"/>
            <w:vAlign w:val="bottom"/>
          </w:tcPr>
          <w:p>
            <w:pPr>
              <w:spacing w:after="0"/>
              <w:rPr>
                <w:sz w:val="17"/>
                <w:szCs w:val="17"/>
                <w:color w:val="auto"/>
              </w:rPr>
            </w:pPr>
          </w:p>
        </w:tc>
        <w:tc>
          <w:tcPr>
            <w:tcW w:w="780" w:type="dxa"/>
            <w:vAlign w:val="bottom"/>
          </w:tcPr>
          <w:p>
            <w:pPr>
              <w:ind w:left="50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6,271</w:t>
            </w:r>
          </w:p>
        </w:tc>
      </w:tr>
      <w:tr>
        <w:trPr>
          <w:trHeight w:val="202"/>
        </w:trPr>
        <w:tc>
          <w:tcPr>
            <w:tcW w:w="20" w:type="dxa"/>
            <w:vAlign w:val="bottom"/>
          </w:tcPr>
          <w:p>
            <w:pPr>
              <w:spacing w:after="0"/>
              <w:rPr>
                <w:sz w:val="17"/>
                <w:szCs w:val="17"/>
                <w:color w:val="auto"/>
              </w:rPr>
            </w:pPr>
          </w:p>
        </w:tc>
        <w:tc>
          <w:tcPr>
            <w:tcW w:w="40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Commercial paper</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188,427</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188,427</w:t>
            </w:r>
          </w:p>
        </w:tc>
      </w:tr>
      <w:tr>
        <w:trPr>
          <w:trHeight w:val="203"/>
        </w:trPr>
        <w:tc>
          <w:tcPr>
            <w:tcW w:w="20" w:type="dxa"/>
            <w:vAlign w:val="bottom"/>
          </w:tcPr>
          <w:p>
            <w:pPr>
              <w:spacing w:after="0"/>
              <w:rPr>
                <w:sz w:val="17"/>
                <w:szCs w:val="17"/>
                <w:color w:val="auto"/>
              </w:rPr>
            </w:pPr>
          </w:p>
        </w:tc>
        <w:tc>
          <w:tcPr>
            <w:tcW w:w="4000" w:type="dxa"/>
            <w:vAlign w:val="bottom"/>
          </w:tcPr>
          <w:p>
            <w:pPr>
              <w:ind w:left="100"/>
              <w:spacing w:after="0" w:line="202" w:lineRule="exact"/>
              <w:rPr>
                <w:sz w:val="20"/>
                <w:szCs w:val="20"/>
                <w:color w:val="auto"/>
              </w:rPr>
            </w:pPr>
            <w:r>
              <w:rPr>
                <w:rFonts w:ascii="Arial" w:cs="Arial" w:eastAsia="Arial" w:hAnsi="Arial"/>
                <w:sz w:val="18"/>
                <w:szCs w:val="18"/>
                <w:color w:val="auto"/>
              </w:rPr>
              <w:t>U.S. government treasury bills</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16,992</w:t>
            </w:r>
          </w:p>
        </w:tc>
        <w:tc>
          <w:tcPr>
            <w:tcW w:w="24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80" w:type="dxa"/>
            <w:vAlign w:val="bottom"/>
          </w:tcPr>
          <w:p>
            <w:pPr>
              <w:ind w:left="50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16,992</w:t>
            </w:r>
          </w:p>
        </w:tc>
      </w:tr>
      <w:tr>
        <w:trPr>
          <w:trHeight w:val="203"/>
        </w:trPr>
        <w:tc>
          <w:tcPr>
            <w:tcW w:w="20" w:type="dxa"/>
            <w:vAlign w:val="bottom"/>
          </w:tcPr>
          <w:p>
            <w:pPr>
              <w:spacing w:after="0"/>
              <w:rPr>
                <w:sz w:val="17"/>
                <w:szCs w:val="17"/>
                <w:color w:val="auto"/>
              </w:rPr>
            </w:pPr>
          </w:p>
        </w:tc>
        <w:tc>
          <w:tcPr>
            <w:tcW w:w="40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Government-sponsored enterprise securities</w:t>
            </w:r>
          </w:p>
        </w:tc>
        <w:tc>
          <w:tcPr>
            <w:tcW w:w="9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85,029</w:t>
            </w: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ind w:left="500"/>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85,029</w:t>
            </w:r>
          </w:p>
        </w:tc>
      </w:tr>
      <w:tr>
        <w:trPr>
          <w:trHeight w:val="196"/>
        </w:trPr>
        <w:tc>
          <w:tcPr>
            <w:tcW w:w="20" w:type="dxa"/>
            <w:vAlign w:val="bottom"/>
          </w:tcPr>
          <w:p>
            <w:pPr>
              <w:spacing w:after="0"/>
              <w:rPr>
                <w:sz w:val="17"/>
                <w:szCs w:val="17"/>
                <w:color w:val="auto"/>
              </w:rPr>
            </w:pPr>
          </w:p>
        </w:tc>
        <w:tc>
          <w:tcPr>
            <w:tcW w:w="400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38,417</w:t>
            </w:r>
          </w:p>
        </w:tc>
        <w:tc>
          <w:tcPr>
            <w:tcW w:w="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279,727</w:t>
            </w:r>
          </w:p>
        </w:tc>
        <w:tc>
          <w:tcPr>
            <w:tcW w:w="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ind w:left="500"/>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318,144</w:t>
            </w:r>
          </w:p>
        </w:tc>
      </w:tr>
      <w:tr>
        <w:trPr>
          <w:trHeight w:val="20"/>
        </w:trPr>
        <w:tc>
          <w:tcPr>
            <w:tcW w:w="20" w:type="dxa"/>
            <w:vAlign w:val="bottom"/>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700405</wp:posOffset>
            </wp:positionV>
            <wp:extent cx="56489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9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June 30, 2021</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r>
      <w:tr>
        <w:trPr>
          <w:trHeight w:val="198"/>
        </w:trPr>
        <w:tc>
          <w:tcPr>
            <w:tcW w:w="4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center"/>
              <w:ind w:right="158"/>
              <w:spacing w:after="0"/>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7"/>
                <w:szCs w:val="17"/>
                <w:color w:val="auto"/>
              </w:rPr>
            </w:pPr>
          </w:p>
        </w:tc>
        <w:tc>
          <w:tcPr>
            <w:tcW w:w="800" w:type="dxa"/>
            <w:vAlign w:val="bottom"/>
          </w:tcPr>
          <w:p>
            <w:pPr>
              <w:jc w:val="center"/>
              <w:ind w:right="156"/>
              <w:spacing w:after="0"/>
              <w:rPr>
                <w:sz w:val="20"/>
                <w:szCs w:val="20"/>
                <w:color w:val="auto"/>
              </w:rPr>
            </w:pPr>
            <w:r>
              <w:rPr>
                <w:rFonts w:ascii="Arial" w:cs="Arial" w:eastAsia="Arial" w:hAnsi="Arial"/>
                <w:sz w:val="14"/>
                <w:szCs w:val="14"/>
                <w:b w:val="1"/>
                <w:bCs w:val="1"/>
                <w:color w:val="auto"/>
                <w:w w:val="98"/>
              </w:rPr>
              <w:t>Gross</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920" w:type="dxa"/>
            <w:vAlign w:val="bottom"/>
          </w:tcPr>
          <w:p>
            <w:pPr>
              <w:spacing w:after="0"/>
              <w:rPr>
                <w:sz w:val="17"/>
                <w:szCs w:val="17"/>
                <w:color w:val="auto"/>
              </w:rPr>
            </w:pPr>
          </w:p>
        </w:tc>
        <w:tc>
          <w:tcPr>
            <w:tcW w:w="920" w:type="dxa"/>
            <w:vAlign w:val="bottom"/>
            <w:gridSpan w:val="2"/>
          </w:tcPr>
          <w:p>
            <w:pPr>
              <w:jc w:val="right"/>
              <w:ind w:right="54"/>
              <w:spacing w:after="0"/>
              <w:rPr>
                <w:sz w:val="20"/>
                <w:szCs w:val="20"/>
                <w:color w:val="auto"/>
              </w:rPr>
            </w:pPr>
            <w:r>
              <w:rPr>
                <w:rFonts w:ascii="Arial" w:cs="Arial" w:eastAsia="Arial" w:hAnsi="Arial"/>
                <w:sz w:val="14"/>
                <w:szCs w:val="14"/>
                <w:b w:val="1"/>
                <w:bCs w:val="1"/>
                <w:color w:val="auto"/>
              </w:rPr>
              <w:t>Amortized</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Unrealized</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Unrealized</w:t>
            </w:r>
          </w:p>
        </w:tc>
        <w:tc>
          <w:tcPr>
            <w:tcW w:w="9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Estimated</w:t>
            </w:r>
          </w:p>
        </w:tc>
      </w:tr>
      <w:tr>
        <w:trPr>
          <w:trHeight w:val="188"/>
        </w:trPr>
        <w:tc>
          <w:tcPr>
            <w:tcW w:w="4920" w:type="dxa"/>
            <w:vAlign w:val="bottom"/>
          </w:tcPr>
          <w:p>
            <w:pPr>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Cost</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rPr>
              <w:t>Gains</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9"/>
              </w:rPr>
              <w:t>Losses</w:t>
            </w:r>
          </w:p>
        </w:tc>
        <w:tc>
          <w:tcPr>
            <w:tcW w:w="9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4920" w:type="dxa"/>
            <w:vAlign w:val="bottom"/>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9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50,422</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8"/>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6"/>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50,422</w:t>
            </w:r>
          </w:p>
        </w:tc>
      </w:tr>
      <w:tr>
        <w:trPr>
          <w:trHeight w:val="202"/>
        </w:trPr>
        <w:tc>
          <w:tcPr>
            <w:tcW w:w="4920" w:type="dxa"/>
            <w:vAlign w:val="bottom"/>
          </w:tcPr>
          <w:p>
            <w:pPr>
              <w:ind w:left="100"/>
              <w:spacing w:after="0" w:line="201" w:lineRule="exact"/>
              <w:rPr>
                <w:sz w:val="20"/>
                <w:szCs w:val="20"/>
                <w:color w:val="auto"/>
              </w:rPr>
            </w:pPr>
            <w:r>
              <w:rPr>
                <w:rFonts w:ascii="Arial" w:cs="Arial" w:eastAsia="Arial" w:hAnsi="Arial"/>
                <w:sz w:val="18"/>
                <w:szCs w:val="18"/>
                <w:color w:val="auto"/>
              </w:rPr>
              <w:t>Short-term marketable securities (&lt;12 months to</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920" w:type="dxa"/>
            <w:vAlign w:val="bottom"/>
          </w:tcPr>
          <w:p>
            <w:pPr>
              <w:ind w:left="100"/>
              <w:spacing w:after="0" w:line="203" w:lineRule="exact"/>
              <w:rPr>
                <w:sz w:val="20"/>
                <w:szCs w:val="20"/>
                <w:color w:val="auto"/>
              </w:rPr>
            </w:pPr>
            <w:r>
              <w:rPr>
                <w:rFonts w:ascii="Arial" w:cs="Arial" w:eastAsia="Arial" w:hAnsi="Arial"/>
                <w:sz w:val="18"/>
                <w:szCs w:val="18"/>
                <w:color w:val="auto"/>
              </w:rPr>
              <w:t>maturity)</w:t>
            </w:r>
          </w:p>
        </w:tc>
        <w:tc>
          <w:tcPr>
            <w:tcW w:w="120" w:type="dxa"/>
            <w:vAlign w:val="bottom"/>
          </w:tcPr>
          <w:p>
            <w:pPr>
              <w:spacing w:after="0"/>
              <w:rPr>
                <w:sz w:val="17"/>
                <w:szCs w:val="17"/>
                <w:color w:val="auto"/>
              </w:rPr>
            </w:pPr>
          </w:p>
        </w:tc>
        <w:tc>
          <w:tcPr>
            <w:tcW w:w="800" w:type="dxa"/>
            <w:vAlign w:val="bottom"/>
          </w:tcPr>
          <w:p>
            <w:pPr>
              <w:jc w:val="right"/>
              <w:ind w:right="34"/>
              <w:spacing w:after="0" w:line="203" w:lineRule="exact"/>
              <w:rPr>
                <w:sz w:val="20"/>
                <w:szCs w:val="20"/>
                <w:color w:val="auto"/>
              </w:rPr>
            </w:pPr>
            <w:r>
              <w:rPr>
                <w:rFonts w:ascii="Arial" w:cs="Arial" w:eastAsia="Arial" w:hAnsi="Arial"/>
                <w:sz w:val="18"/>
                <w:szCs w:val="18"/>
                <w:color w:val="auto"/>
              </w:rPr>
              <w:t>213,800</w:t>
            </w:r>
          </w:p>
        </w:tc>
        <w:tc>
          <w:tcPr>
            <w:tcW w:w="280" w:type="dxa"/>
            <w:vAlign w:val="bottom"/>
          </w:tcPr>
          <w:p>
            <w:pPr>
              <w:spacing w:after="0"/>
              <w:rPr>
                <w:sz w:val="17"/>
                <w:szCs w:val="17"/>
                <w:color w:val="auto"/>
              </w:rPr>
            </w:pPr>
          </w:p>
        </w:tc>
        <w:tc>
          <w:tcPr>
            <w:tcW w:w="740" w:type="dxa"/>
            <w:vAlign w:val="bottom"/>
          </w:tcPr>
          <w:p>
            <w:pPr>
              <w:jc w:val="right"/>
              <w:ind w:right="38"/>
              <w:spacing w:after="0" w:line="203" w:lineRule="exact"/>
              <w:rPr>
                <w:sz w:val="20"/>
                <w:szCs w:val="20"/>
                <w:color w:val="auto"/>
              </w:rPr>
            </w:pPr>
            <w:r>
              <w:rPr>
                <w:rFonts w:ascii="Arial" w:cs="Arial" w:eastAsia="Arial" w:hAnsi="Arial"/>
                <w:sz w:val="18"/>
                <w:szCs w:val="18"/>
                <w:color w:val="auto"/>
              </w:rPr>
              <w:t>26</w:t>
            </w:r>
          </w:p>
        </w:tc>
        <w:tc>
          <w:tcPr>
            <w:tcW w:w="2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(3)</w:t>
            </w:r>
          </w:p>
        </w:tc>
        <w:tc>
          <w:tcPr>
            <w:tcW w:w="22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213,823</w:t>
            </w:r>
          </w:p>
        </w:tc>
      </w:tr>
      <w:tr>
        <w:trPr>
          <w:trHeight w:val="202"/>
        </w:trPr>
        <w:tc>
          <w:tcPr>
            <w:tcW w:w="49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Long-term marketable securities (&gt;12 months to maturity)</w:t>
            </w: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53,936</w:t>
            </w:r>
          </w:p>
        </w:tc>
        <w:tc>
          <w:tcPr>
            <w:tcW w:w="2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38"/>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53,899</w:t>
            </w:r>
          </w:p>
        </w:tc>
      </w:tr>
      <w:tr>
        <w:trPr>
          <w:trHeight w:val="196"/>
        </w:trPr>
        <w:tc>
          <w:tcPr>
            <w:tcW w:w="492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318,158</w:t>
            </w:r>
          </w:p>
        </w:tc>
        <w:tc>
          <w:tcPr>
            <w:tcW w:w="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38"/>
              <w:spacing w:after="0" w:line="196" w:lineRule="exact"/>
              <w:rPr>
                <w:sz w:val="20"/>
                <w:szCs w:val="20"/>
                <w:color w:val="auto"/>
              </w:rPr>
            </w:pPr>
            <w:r>
              <w:rPr>
                <w:rFonts w:ascii="Arial" w:cs="Arial" w:eastAsia="Arial" w:hAnsi="Arial"/>
                <w:sz w:val="18"/>
                <w:szCs w:val="18"/>
                <w:color w:val="auto"/>
              </w:rPr>
              <w:t>26</w:t>
            </w:r>
          </w:p>
        </w:tc>
        <w:tc>
          <w:tcPr>
            <w:tcW w:w="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w:t>
            </w: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318,144</w:t>
            </w:r>
          </w:p>
        </w:tc>
      </w:tr>
      <w:tr>
        <w:trPr>
          <w:trHeight w:val="20"/>
        </w:trPr>
        <w:tc>
          <w:tcPr>
            <w:tcW w:w="4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Company considers its marketable securities with maturities beyond one year as current assets, based on their highly liquid nature and because such marketable securities represent the investment of cash that is available for current operations. The Company considers its investment portfolio of marketable securities to be available-for-sale.</w:t>
      </w:r>
    </w:p>
    <w:p>
      <w:pPr>
        <w:spacing w:after="0" w:line="205"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As of December 31, 2020, all of the Company’s cash and cash equivalents consisted of cash on deposit with U.S. banks denominated in U. S. dollars.</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4. Property and Equipment, net</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20" w:type="dxa"/>
            <w:vAlign w:val="bottom"/>
            <w:tcBorders>
              <w:top w:val="single" w:sz="8" w:color="auto"/>
            </w:tcBorders>
          </w:tcPr>
          <w:p>
            <w:pPr>
              <w:spacing w:after="0"/>
              <w:rPr>
                <w:sz w:val="15"/>
                <w:szCs w:val="15"/>
                <w:color w:val="auto"/>
              </w:rPr>
            </w:pPr>
          </w:p>
        </w:tc>
        <w:tc>
          <w:tcPr>
            <w:tcW w:w="6760" w:type="dxa"/>
            <w:vAlign w:val="bottom"/>
            <w:tcBorders>
              <w:top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99"/>
              </w:rPr>
              <w:t>June 30,</w:t>
            </w: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5"/>
                <w:szCs w:val="15"/>
                <w:color w:val="auto"/>
              </w:rPr>
            </w:pPr>
          </w:p>
        </w:tc>
      </w:tr>
      <w:tr>
        <w:trPr>
          <w:trHeight w:val="155"/>
        </w:trPr>
        <w:tc>
          <w:tcPr>
            <w:tcW w:w="20" w:type="dxa"/>
            <w:vAlign w:val="bottom"/>
            <w:tcBorders>
              <w:bottom w:val="single" w:sz="8" w:color="CCEEFF"/>
            </w:tcBorders>
          </w:tcPr>
          <w:p>
            <w:pPr>
              <w:spacing w:after="0"/>
              <w:rPr>
                <w:sz w:val="13"/>
                <w:szCs w:val="13"/>
                <w:color w:val="auto"/>
              </w:rPr>
            </w:pPr>
          </w:p>
        </w:tc>
        <w:tc>
          <w:tcPr>
            <w:tcW w:w="67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74"/>
              <w:spacing w:after="0" w:line="155" w:lineRule="exact"/>
              <w:rPr>
                <w:sz w:val="20"/>
                <w:szCs w:val="20"/>
                <w:color w:val="auto"/>
              </w:rPr>
            </w:pPr>
            <w:r>
              <w:rPr>
                <w:rFonts w:ascii="Arial" w:cs="Arial" w:eastAsia="Arial" w:hAnsi="Arial"/>
                <w:sz w:val="14"/>
                <w:szCs w:val="14"/>
                <w:b w:val="1"/>
                <w:bCs w:val="1"/>
                <w:color w:val="231F20"/>
              </w:rPr>
              <w:t>2021</w:t>
            </w: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231F20"/>
              </w:rPr>
              <w:t>2020</w:t>
            </w:r>
          </w:p>
        </w:tc>
        <w:tc>
          <w:tcPr>
            <w:tcW w:w="20" w:type="dxa"/>
            <w:vAlign w:val="bottom"/>
          </w:tcPr>
          <w:p>
            <w:pPr>
              <w:spacing w:after="0"/>
              <w:rPr>
                <w:sz w:val="13"/>
                <w:szCs w:val="13"/>
                <w:color w:val="auto"/>
              </w:rPr>
            </w:pPr>
          </w:p>
        </w:tc>
      </w:tr>
      <w:tr>
        <w:trPr>
          <w:trHeight w:val="196"/>
        </w:trPr>
        <w:tc>
          <w:tcPr>
            <w:tcW w:w="67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231F20"/>
              </w:rPr>
              <w:t>Lab equipment</w:t>
            </w:r>
          </w:p>
        </w:tc>
        <w:tc>
          <w:tcPr>
            <w:tcW w:w="1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231F20"/>
                <w:w w:val="99"/>
              </w:rPr>
              <w:t>$</w:t>
            </w:r>
          </w:p>
        </w:tc>
        <w:tc>
          <w:tcPr>
            <w:tcW w:w="900" w:type="dxa"/>
            <w:vAlign w:val="bottom"/>
            <w:shd w:val="clear" w:color="auto" w:fill="CCEEFF"/>
          </w:tcPr>
          <w:p>
            <w:pPr>
              <w:jc w:val="right"/>
              <w:ind w:right="94"/>
              <w:spacing w:after="0" w:line="196" w:lineRule="exact"/>
              <w:rPr>
                <w:sz w:val="20"/>
                <w:szCs w:val="20"/>
                <w:color w:val="auto"/>
              </w:rPr>
            </w:pPr>
            <w:r>
              <w:rPr>
                <w:rFonts w:ascii="Arial" w:cs="Arial" w:eastAsia="Arial" w:hAnsi="Arial"/>
                <w:sz w:val="18"/>
                <w:szCs w:val="18"/>
                <w:color w:val="231F20"/>
              </w:rPr>
              <w:t>909</w:t>
            </w:r>
          </w:p>
        </w:tc>
        <w:tc>
          <w:tcPr>
            <w:tcW w:w="32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231F20"/>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90</w:t>
            </w:r>
          </w:p>
        </w:tc>
        <w:tc>
          <w:tcPr>
            <w:tcW w:w="20" w:type="dxa"/>
            <w:vAlign w:val="bottom"/>
          </w:tcPr>
          <w:p>
            <w:pPr>
              <w:spacing w:after="0"/>
              <w:rPr>
                <w:sz w:val="17"/>
                <w:szCs w:val="17"/>
                <w:color w:val="auto"/>
              </w:rPr>
            </w:pPr>
          </w:p>
        </w:tc>
      </w:tr>
      <w:tr>
        <w:trPr>
          <w:trHeight w:val="203"/>
        </w:trPr>
        <w:tc>
          <w:tcPr>
            <w:tcW w:w="678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8"/>
                <w:szCs w:val="18"/>
                <w:color w:val="231F20"/>
              </w:rPr>
              <w:t>Computer equipment</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94"/>
              <w:spacing w:after="0" w:line="202" w:lineRule="exact"/>
              <w:rPr>
                <w:sz w:val="20"/>
                <w:szCs w:val="20"/>
                <w:color w:val="auto"/>
              </w:rPr>
            </w:pPr>
            <w:r>
              <w:rPr>
                <w:rFonts w:ascii="Arial" w:cs="Arial" w:eastAsia="Arial" w:hAnsi="Arial"/>
                <w:sz w:val="18"/>
                <w:szCs w:val="18"/>
                <w:color w:val="231F20"/>
              </w:rPr>
              <w:t>59</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231F20"/>
              </w:rPr>
              <w:t>47</w:t>
            </w:r>
          </w:p>
        </w:tc>
        <w:tc>
          <w:tcPr>
            <w:tcW w:w="20" w:type="dxa"/>
            <w:vAlign w:val="bottom"/>
          </w:tcPr>
          <w:p>
            <w:pPr>
              <w:spacing w:after="0"/>
              <w:rPr>
                <w:sz w:val="17"/>
                <w:szCs w:val="17"/>
                <w:color w:val="auto"/>
              </w:rPr>
            </w:pPr>
          </w:p>
        </w:tc>
      </w:tr>
      <w:tr>
        <w:trPr>
          <w:trHeight w:val="196"/>
        </w:trPr>
        <w:tc>
          <w:tcPr>
            <w:tcW w:w="20" w:type="dxa"/>
            <w:vAlign w:val="bottom"/>
            <w:shd w:val="clear" w:color="auto" w:fill="CCEEFF"/>
          </w:tcPr>
          <w:p>
            <w:pPr>
              <w:spacing w:after="0"/>
              <w:rPr>
                <w:sz w:val="17"/>
                <w:szCs w:val="17"/>
                <w:color w:val="auto"/>
              </w:rPr>
            </w:pPr>
          </w:p>
        </w:tc>
        <w:tc>
          <w:tcPr>
            <w:tcW w:w="676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231F20"/>
              </w:rPr>
              <w:t>Property and equipment, gross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94"/>
              <w:spacing w:after="0" w:line="196" w:lineRule="exact"/>
              <w:rPr>
                <w:sz w:val="20"/>
                <w:szCs w:val="20"/>
                <w:color w:val="auto"/>
              </w:rPr>
            </w:pPr>
            <w:r>
              <w:rPr>
                <w:rFonts w:ascii="Arial" w:cs="Arial" w:eastAsia="Arial" w:hAnsi="Arial"/>
                <w:sz w:val="18"/>
                <w:szCs w:val="18"/>
                <w:color w:val="231F20"/>
              </w:rPr>
              <w:t>968</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137</w:t>
            </w:r>
          </w:p>
        </w:tc>
        <w:tc>
          <w:tcPr>
            <w:tcW w:w="20" w:type="dxa"/>
            <w:vAlign w:val="bottom"/>
          </w:tcPr>
          <w:p>
            <w:pPr>
              <w:spacing w:after="0"/>
              <w:rPr>
                <w:sz w:val="17"/>
                <w:szCs w:val="17"/>
                <w:color w:val="auto"/>
              </w:rPr>
            </w:pPr>
          </w:p>
        </w:tc>
      </w:tr>
      <w:tr>
        <w:trPr>
          <w:trHeight w:val="203"/>
        </w:trPr>
        <w:tc>
          <w:tcPr>
            <w:tcW w:w="678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8"/>
                <w:szCs w:val="18"/>
                <w:color w:val="231F20"/>
              </w:rPr>
              <w:t>Less: Accumulated depreciation</w:t>
            </w:r>
          </w:p>
        </w:tc>
        <w:tc>
          <w:tcPr>
            <w:tcW w:w="2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900" w:type="dxa"/>
            <w:vAlign w:val="bottom"/>
            <w:tcBorders>
              <w:bottom w:val="single" w:sz="8" w:color="231F20"/>
            </w:tcBorders>
          </w:tcPr>
          <w:p>
            <w:pPr>
              <w:jc w:val="right"/>
              <w:ind w:right="34"/>
              <w:spacing w:after="0" w:line="202" w:lineRule="exact"/>
              <w:rPr>
                <w:sz w:val="20"/>
                <w:szCs w:val="20"/>
                <w:color w:val="auto"/>
              </w:rPr>
            </w:pPr>
            <w:r>
              <w:rPr>
                <w:rFonts w:ascii="Arial" w:cs="Arial" w:eastAsia="Arial" w:hAnsi="Arial"/>
                <w:sz w:val="18"/>
                <w:szCs w:val="18"/>
                <w:color w:val="231F20"/>
              </w:rPr>
              <w:t>(102)</w:t>
            </w:r>
          </w:p>
        </w:tc>
        <w:tc>
          <w:tcPr>
            <w:tcW w:w="320" w:type="dxa"/>
            <w:vAlign w:val="bottom"/>
            <w:tcBorders>
              <w:bottom w:val="single" w:sz="8" w:color="231F20"/>
            </w:tcBorders>
          </w:tcPr>
          <w:p>
            <w:pPr>
              <w:spacing w:after="0"/>
              <w:rPr>
                <w:sz w:val="17"/>
                <w:szCs w:val="17"/>
                <w:color w:val="auto"/>
              </w:rPr>
            </w:pPr>
          </w:p>
        </w:tc>
        <w:tc>
          <w:tcPr>
            <w:tcW w:w="760" w:type="dxa"/>
            <w:vAlign w:val="bottom"/>
            <w:tcBorders>
              <w:bottom w:val="single" w:sz="8" w:color="231F20"/>
            </w:tcBorders>
          </w:tcPr>
          <w:p>
            <w:pPr>
              <w:jc w:val="right"/>
              <w:spacing w:after="0" w:line="202" w:lineRule="exact"/>
              <w:rPr>
                <w:sz w:val="20"/>
                <w:szCs w:val="20"/>
                <w:color w:val="auto"/>
              </w:rPr>
            </w:pPr>
            <w:r>
              <w:rPr>
                <w:rFonts w:ascii="Arial" w:cs="Arial" w:eastAsia="Arial" w:hAnsi="Arial"/>
                <w:sz w:val="18"/>
                <w:szCs w:val="18"/>
                <w:color w:val="231F20"/>
              </w:rPr>
              <w:t>(62)</w:t>
            </w:r>
          </w:p>
        </w:tc>
        <w:tc>
          <w:tcPr>
            <w:tcW w:w="20" w:type="dxa"/>
            <w:vAlign w:val="bottom"/>
          </w:tcPr>
          <w:p>
            <w:pPr>
              <w:spacing w:after="0"/>
              <w:rPr>
                <w:sz w:val="17"/>
                <w:szCs w:val="17"/>
                <w:color w:val="auto"/>
              </w:rPr>
            </w:pPr>
          </w:p>
        </w:tc>
      </w:tr>
      <w:tr>
        <w:trPr>
          <w:trHeight w:val="196"/>
        </w:trPr>
        <w:tc>
          <w:tcPr>
            <w:tcW w:w="20" w:type="dxa"/>
            <w:vAlign w:val="bottom"/>
            <w:tcBorders>
              <w:bottom w:val="single" w:sz="8" w:color="auto"/>
            </w:tcBorders>
            <w:shd w:val="clear" w:color="auto" w:fill="CCEEFF"/>
          </w:tcPr>
          <w:p>
            <w:pPr>
              <w:spacing w:after="0"/>
              <w:rPr>
                <w:sz w:val="17"/>
                <w:szCs w:val="17"/>
                <w:color w:val="auto"/>
              </w:rPr>
            </w:pPr>
          </w:p>
        </w:tc>
        <w:tc>
          <w:tcPr>
            <w:tcW w:w="6760" w:type="dxa"/>
            <w:vAlign w:val="bottom"/>
            <w:tcBorders>
              <w:bottom w:val="single" w:sz="8" w:color="auto"/>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231F20"/>
                <w:w w:val="99"/>
              </w:rPr>
              <w:t>$</w:t>
            </w:r>
          </w:p>
        </w:tc>
        <w:tc>
          <w:tcPr>
            <w:tcW w:w="900" w:type="dxa"/>
            <w:vAlign w:val="bottom"/>
            <w:tcBorders>
              <w:bottom w:val="single" w:sz="8" w:color="auto"/>
            </w:tcBorders>
            <w:shd w:val="clear" w:color="auto" w:fill="CCEEFF"/>
          </w:tcPr>
          <w:p>
            <w:pPr>
              <w:jc w:val="right"/>
              <w:ind w:right="94"/>
              <w:spacing w:after="0" w:line="196" w:lineRule="exact"/>
              <w:rPr>
                <w:sz w:val="20"/>
                <w:szCs w:val="20"/>
                <w:color w:val="auto"/>
              </w:rPr>
            </w:pPr>
            <w:r>
              <w:rPr>
                <w:rFonts w:ascii="Arial" w:cs="Arial" w:eastAsia="Arial" w:hAnsi="Arial"/>
                <w:sz w:val="18"/>
                <w:szCs w:val="18"/>
                <w:color w:val="231F20"/>
              </w:rPr>
              <w:t>866</w:t>
            </w:r>
          </w:p>
        </w:tc>
        <w:tc>
          <w:tcPr>
            <w:tcW w:w="320" w:type="dxa"/>
            <w:vAlign w:val="bottom"/>
            <w:tcBorders>
              <w:bottom w:val="single" w:sz="8" w:color="auto"/>
            </w:tcBorders>
            <w:shd w:val="clear" w:color="auto" w:fill="CCEEFF"/>
          </w:tcPr>
          <w:p>
            <w:pPr>
              <w:ind w:left="120"/>
              <w:spacing w:after="0" w:line="196" w:lineRule="exact"/>
              <w:rPr>
                <w:sz w:val="20"/>
                <w:szCs w:val="20"/>
                <w:color w:val="auto"/>
              </w:rPr>
            </w:pPr>
            <w:r>
              <w:rPr>
                <w:rFonts w:ascii="Arial" w:cs="Arial" w:eastAsia="Arial" w:hAnsi="Arial"/>
                <w:sz w:val="18"/>
                <w:szCs w:val="18"/>
                <w:color w:val="231F20"/>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75</w:t>
            </w:r>
          </w:p>
        </w:tc>
        <w:tc>
          <w:tcPr>
            <w:tcW w:w="20" w:type="dxa"/>
            <w:vAlign w:val="bottom"/>
          </w:tcPr>
          <w:p>
            <w:pPr>
              <w:spacing w:after="0"/>
              <w:rPr>
                <w:sz w:val="17"/>
                <w:szCs w:val="17"/>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6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2"/>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5.  Prepaid Expenses and Other Current Assets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Prepaid expenses and other current assets consisted of the following (in thousands):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7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spacing w:after="0"/>
              <w:rPr>
                <w:sz w:val="18"/>
                <w:szCs w:val="18"/>
                <w:color w:val="auto"/>
              </w:rPr>
            </w:pPr>
          </w:p>
        </w:tc>
      </w:tr>
      <w:tr>
        <w:trPr>
          <w:trHeight w:val="155"/>
        </w:trPr>
        <w:tc>
          <w:tcPr>
            <w:tcW w:w="20" w:type="dxa"/>
            <w:vAlign w:val="bottom"/>
          </w:tcPr>
          <w:p>
            <w:pPr>
              <w:spacing w:after="0"/>
              <w:rPr>
                <w:sz w:val="13"/>
                <w:szCs w:val="13"/>
                <w:color w:val="auto"/>
              </w:rPr>
            </w:pPr>
          </w:p>
        </w:tc>
        <w:tc>
          <w:tcPr>
            <w:tcW w:w="6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94"/>
              <w:spacing w:after="0" w:line="155" w:lineRule="exact"/>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gridSpan w:val="3"/>
          </w:tcPr>
          <w:p>
            <w:pPr>
              <w:ind w:left="100"/>
              <w:spacing w:after="0" w:line="155" w:lineRule="exact"/>
              <w:rPr>
                <w:sz w:val="20"/>
                <w:szCs w:val="20"/>
                <w:color w:val="auto"/>
              </w:rPr>
            </w:pPr>
            <w:r>
              <w:rPr>
                <w:rFonts w:ascii="Arial" w:cs="Arial" w:eastAsia="Arial" w:hAnsi="Arial"/>
                <w:sz w:val="14"/>
                <w:szCs w:val="14"/>
                <w:b w:val="1"/>
                <w:bCs w:val="1"/>
                <w:color w:val="auto"/>
              </w:rPr>
              <w:t>December 31,</w:t>
            </w:r>
          </w:p>
        </w:tc>
      </w:tr>
      <w:tr>
        <w:trPr>
          <w:trHeight w:val="155"/>
        </w:trPr>
        <w:tc>
          <w:tcPr>
            <w:tcW w:w="20" w:type="dxa"/>
            <w:vAlign w:val="bottom"/>
          </w:tcPr>
          <w:p>
            <w:pPr>
              <w:spacing w:after="0"/>
              <w:rPr>
                <w:sz w:val="13"/>
                <w:szCs w:val="13"/>
                <w:color w:val="auto"/>
              </w:rPr>
            </w:pPr>
          </w:p>
        </w:tc>
        <w:tc>
          <w:tcPr>
            <w:tcW w:w="67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74"/>
              <w:spacing w:after="0" w:line="155" w:lineRule="exact"/>
              <w:rPr>
                <w:sz w:val="20"/>
                <w:szCs w:val="20"/>
                <w:color w:val="auto"/>
              </w:rPr>
            </w:pPr>
            <w:r>
              <w:rPr>
                <w:rFonts w:ascii="Arial" w:cs="Arial" w:eastAsia="Arial" w:hAnsi="Arial"/>
                <w:sz w:val="14"/>
                <w:szCs w:val="14"/>
                <w:b w:val="1"/>
                <w:bCs w:val="1"/>
                <w:color w:val="231F20"/>
              </w:rPr>
              <w:t>2021</w:t>
            </w: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231F20"/>
              </w:rPr>
              <w:t>2020</w:t>
            </w:r>
          </w:p>
        </w:tc>
        <w:tc>
          <w:tcPr>
            <w:tcW w:w="20" w:type="dxa"/>
            <w:vAlign w:val="bottom"/>
            <w:tcBorders>
              <w:bottom w:val="single" w:sz="8" w:color="auto"/>
            </w:tcBorders>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6760" w:type="dxa"/>
            <w:vAlign w:val="bottom"/>
            <w:shd w:val="clear" w:color="auto" w:fill="CCEEFF"/>
          </w:tcPr>
          <w:p>
            <w:pPr>
              <w:spacing w:after="0" w:line="196" w:lineRule="exact"/>
              <w:rPr>
                <w:sz w:val="20"/>
                <w:szCs w:val="20"/>
                <w:color w:val="auto"/>
              </w:rPr>
            </w:pPr>
            <w:r>
              <w:rPr>
                <w:rFonts w:ascii="Arial" w:cs="Arial" w:eastAsia="Arial" w:hAnsi="Arial"/>
                <w:sz w:val="18"/>
                <w:szCs w:val="18"/>
                <w:color w:val="231F20"/>
              </w:rPr>
              <w:t>Prepaid clinical trial costs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w w:val="79"/>
              </w:rPr>
              <w:t>$</w:t>
            </w:r>
          </w:p>
        </w:tc>
        <w:tc>
          <w:tcPr>
            <w:tcW w:w="900" w:type="dxa"/>
            <w:vAlign w:val="bottom"/>
            <w:shd w:val="clear" w:color="auto" w:fill="CCEEFF"/>
          </w:tcPr>
          <w:p>
            <w:pPr>
              <w:jc w:val="right"/>
              <w:ind w:right="94"/>
              <w:spacing w:after="0" w:line="196" w:lineRule="exact"/>
              <w:rPr>
                <w:sz w:val="20"/>
                <w:szCs w:val="20"/>
                <w:color w:val="auto"/>
              </w:rPr>
            </w:pPr>
            <w:r>
              <w:rPr>
                <w:rFonts w:ascii="Arial" w:cs="Arial" w:eastAsia="Arial" w:hAnsi="Arial"/>
                <w:sz w:val="18"/>
                <w:szCs w:val="18"/>
                <w:color w:val="231F20"/>
              </w:rPr>
              <w:t>975</w:t>
            </w:r>
          </w:p>
        </w:tc>
        <w:tc>
          <w:tcPr>
            <w:tcW w:w="32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231F20"/>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1,148</w:t>
            </w:r>
          </w:p>
        </w:tc>
        <w:tc>
          <w:tcPr>
            <w:tcW w:w="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60" w:type="dxa"/>
            <w:vAlign w:val="bottom"/>
          </w:tcPr>
          <w:p>
            <w:pPr>
              <w:spacing w:after="0" w:line="202" w:lineRule="exact"/>
              <w:rPr>
                <w:sz w:val="20"/>
                <w:szCs w:val="20"/>
                <w:color w:val="auto"/>
              </w:rPr>
            </w:pPr>
            <w:r>
              <w:rPr>
                <w:rFonts w:ascii="Arial" w:cs="Arial" w:eastAsia="Arial" w:hAnsi="Arial"/>
                <w:sz w:val="18"/>
                <w:szCs w:val="18"/>
                <w:color w:val="231F20"/>
              </w:rPr>
              <w:t>Prepaid insurance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94"/>
              <w:spacing w:after="0" w:line="202" w:lineRule="exact"/>
              <w:rPr>
                <w:sz w:val="20"/>
                <w:szCs w:val="20"/>
                <w:color w:val="auto"/>
              </w:rPr>
            </w:pPr>
            <w:r>
              <w:rPr>
                <w:rFonts w:ascii="Arial" w:cs="Arial" w:eastAsia="Arial" w:hAnsi="Arial"/>
                <w:sz w:val="18"/>
                <w:szCs w:val="18"/>
                <w:color w:val="231F20"/>
              </w:rPr>
              <w:t>785</w:t>
            </w:r>
          </w:p>
        </w:tc>
        <w:tc>
          <w:tcPr>
            <w:tcW w:w="3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231F20"/>
              </w:rPr>
              <w:t>1,663</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231F20"/>
              </w:rPr>
              <w:t>Prepaid subscriptions and licenses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231F20"/>
              </w:rPr>
              <w:t>318</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231F20"/>
              </w:rPr>
              <w:t>—</w:t>
            </w:r>
          </w:p>
        </w:tc>
      </w:tr>
      <w:tr>
        <w:trPr>
          <w:trHeight w:val="203"/>
        </w:trPr>
        <w:tc>
          <w:tcPr>
            <w:tcW w:w="20" w:type="dxa"/>
            <w:vAlign w:val="bottom"/>
          </w:tcPr>
          <w:p>
            <w:pPr>
              <w:spacing w:after="0"/>
              <w:rPr>
                <w:sz w:val="17"/>
                <w:szCs w:val="17"/>
                <w:color w:val="auto"/>
              </w:rPr>
            </w:pPr>
          </w:p>
        </w:tc>
        <w:tc>
          <w:tcPr>
            <w:tcW w:w="6760" w:type="dxa"/>
            <w:vAlign w:val="bottom"/>
          </w:tcPr>
          <w:p>
            <w:pPr>
              <w:spacing w:after="0" w:line="202" w:lineRule="exact"/>
              <w:rPr>
                <w:sz w:val="20"/>
                <w:szCs w:val="20"/>
                <w:color w:val="auto"/>
              </w:rPr>
            </w:pPr>
            <w:r>
              <w:rPr>
                <w:rFonts w:ascii="Arial" w:cs="Arial" w:eastAsia="Arial" w:hAnsi="Arial"/>
                <w:sz w:val="18"/>
                <w:szCs w:val="18"/>
                <w:color w:val="231F20"/>
              </w:rPr>
              <w:t>Prepaid research contracts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94"/>
              <w:spacing w:after="0" w:line="202" w:lineRule="exact"/>
              <w:rPr>
                <w:sz w:val="20"/>
                <w:szCs w:val="20"/>
                <w:color w:val="auto"/>
              </w:rPr>
            </w:pPr>
            <w:r>
              <w:rPr>
                <w:rFonts w:ascii="Arial" w:cs="Arial" w:eastAsia="Arial" w:hAnsi="Arial"/>
                <w:sz w:val="18"/>
                <w:szCs w:val="18"/>
                <w:color w:val="231F20"/>
              </w:rPr>
              <w:t>279</w:t>
            </w:r>
          </w:p>
        </w:tc>
        <w:tc>
          <w:tcPr>
            <w:tcW w:w="3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231F20"/>
              </w:rPr>
              <w:t>432</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spacing w:after="0" w:line="202" w:lineRule="exact"/>
              <w:rPr>
                <w:sz w:val="20"/>
                <w:szCs w:val="20"/>
                <w:color w:val="auto"/>
              </w:rPr>
            </w:pPr>
            <w:r>
              <w:rPr>
                <w:rFonts w:ascii="Arial" w:cs="Arial" w:eastAsia="Arial" w:hAnsi="Arial"/>
                <w:sz w:val="18"/>
                <w:szCs w:val="18"/>
                <w:color w:val="231F20"/>
              </w:rPr>
              <w:t>Prepaid professional services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231F20"/>
              </w:rPr>
              <w:t>124</w:t>
            </w:r>
          </w:p>
        </w:tc>
        <w:tc>
          <w:tcPr>
            <w:tcW w:w="3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231F20"/>
              </w:rPr>
              <w:t>—</w:t>
            </w:r>
          </w:p>
        </w:tc>
      </w:tr>
      <w:tr>
        <w:trPr>
          <w:trHeight w:val="203"/>
        </w:trPr>
        <w:tc>
          <w:tcPr>
            <w:tcW w:w="20" w:type="dxa"/>
            <w:vAlign w:val="bottom"/>
          </w:tcPr>
          <w:p>
            <w:pPr>
              <w:spacing w:after="0"/>
              <w:rPr>
                <w:sz w:val="17"/>
                <w:szCs w:val="17"/>
                <w:color w:val="auto"/>
              </w:rPr>
            </w:pPr>
          </w:p>
        </w:tc>
        <w:tc>
          <w:tcPr>
            <w:tcW w:w="6760" w:type="dxa"/>
            <w:vAlign w:val="bottom"/>
          </w:tcPr>
          <w:p>
            <w:pPr>
              <w:spacing w:after="0" w:line="202" w:lineRule="exact"/>
              <w:rPr>
                <w:sz w:val="20"/>
                <w:szCs w:val="20"/>
                <w:color w:val="auto"/>
              </w:rPr>
            </w:pPr>
            <w:r>
              <w:rPr>
                <w:rFonts w:ascii="Arial" w:cs="Arial" w:eastAsia="Arial" w:hAnsi="Arial"/>
                <w:sz w:val="18"/>
                <w:szCs w:val="18"/>
                <w:color w:val="231F20"/>
              </w:rPr>
              <w:t>Prepaid rent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94"/>
              <w:spacing w:after="0" w:line="202" w:lineRule="exact"/>
              <w:rPr>
                <w:sz w:val="20"/>
                <w:szCs w:val="20"/>
                <w:color w:val="auto"/>
              </w:rPr>
            </w:pPr>
            <w:r>
              <w:rPr>
                <w:rFonts w:ascii="Arial" w:cs="Arial" w:eastAsia="Arial" w:hAnsi="Arial"/>
                <w:sz w:val="18"/>
                <w:szCs w:val="18"/>
                <w:color w:val="231F20"/>
              </w:rPr>
              <w:t>45</w:t>
            </w:r>
          </w:p>
        </w:tc>
        <w:tc>
          <w:tcPr>
            <w:tcW w:w="3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231F20"/>
              </w:rPr>
              <w:t>196</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spacing w:after="0" w:line="202" w:lineRule="exact"/>
              <w:rPr>
                <w:sz w:val="20"/>
                <w:szCs w:val="20"/>
                <w:color w:val="auto"/>
              </w:rPr>
            </w:pPr>
            <w:r>
              <w:rPr>
                <w:rFonts w:ascii="Arial" w:cs="Arial" w:eastAsia="Arial" w:hAnsi="Arial"/>
                <w:sz w:val="18"/>
                <w:szCs w:val="18"/>
                <w:color w:val="231F20"/>
              </w:rPr>
              <w:t>Other</w:t>
            </w:r>
          </w:p>
        </w:tc>
        <w:tc>
          <w:tcPr>
            <w:tcW w:w="20" w:type="dxa"/>
            <w:vAlign w:val="bottom"/>
            <w:shd w:val="clear" w:color="auto" w:fill="CCEEFF"/>
          </w:tcPr>
          <w:p>
            <w:pPr>
              <w:spacing w:after="0"/>
              <w:rPr>
                <w:sz w:val="17"/>
                <w:szCs w:val="17"/>
                <w:color w:val="auto"/>
              </w:rPr>
            </w:pPr>
          </w:p>
        </w:tc>
        <w:tc>
          <w:tcPr>
            <w:tcW w:w="120" w:type="dxa"/>
            <w:vAlign w:val="bottom"/>
            <w:tcBorders>
              <w:bottom w:val="single" w:sz="8" w:color="231F20"/>
            </w:tcBorders>
            <w:shd w:val="clear" w:color="auto" w:fill="CCEEFF"/>
          </w:tcPr>
          <w:p>
            <w:pPr>
              <w:spacing w:after="0"/>
              <w:rPr>
                <w:sz w:val="17"/>
                <w:szCs w:val="17"/>
                <w:color w:val="auto"/>
              </w:rPr>
            </w:pPr>
          </w:p>
        </w:tc>
        <w:tc>
          <w:tcPr>
            <w:tcW w:w="900" w:type="dxa"/>
            <w:vAlign w:val="bottom"/>
            <w:tcBorders>
              <w:bottom w:val="single" w:sz="8" w:color="231F20"/>
            </w:tcBorders>
            <w:shd w:val="clear" w:color="auto" w:fill="CCEEFF"/>
          </w:tcPr>
          <w:p>
            <w:pPr>
              <w:jc w:val="right"/>
              <w:ind w:right="94"/>
              <w:spacing w:after="0" w:line="202" w:lineRule="exact"/>
              <w:rPr>
                <w:sz w:val="20"/>
                <w:szCs w:val="20"/>
                <w:color w:val="auto"/>
              </w:rPr>
            </w:pPr>
            <w:r>
              <w:rPr>
                <w:rFonts w:ascii="Arial" w:cs="Arial" w:eastAsia="Arial" w:hAnsi="Arial"/>
                <w:sz w:val="18"/>
                <w:szCs w:val="18"/>
                <w:color w:val="231F20"/>
              </w:rPr>
              <w:t>184</w:t>
            </w:r>
          </w:p>
        </w:tc>
        <w:tc>
          <w:tcPr>
            <w:tcW w:w="320" w:type="dxa"/>
            <w:vAlign w:val="bottom"/>
            <w:tcBorders>
              <w:bottom w:val="single" w:sz="8" w:color="231F20"/>
            </w:tcBorders>
            <w:shd w:val="clear" w:color="auto" w:fill="CCEEFF"/>
          </w:tcPr>
          <w:p>
            <w:pPr>
              <w:spacing w:after="0"/>
              <w:rPr>
                <w:sz w:val="17"/>
                <w:szCs w:val="17"/>
                <w:color w:val="auto"/>
              </w:rPr>
            </w:pPr>
          </w:p>
        </w:tc>
        <w:tc>
          <w:tcPr>
            <w:tcW w:w="760" w:type="dxa"/>
            <w:vAlign w:val="bottom"/>
            <w:tcBorders>
              <w:bottom w:val="single" w:sz="8" w:color="231F20"/>
            </w:tcBorders>
            <w:shd w:val="clear" w:color="auto" w:fill="CCEEFF"/>
          </w:tcPr>
          <w:p>
            <w:pPr>
              <w:jc w:val="right"/>
              <w:spacing w:after="0" w:line="202" w:lineRule="exact"/>
              <w:rPr>
                <w:sz w:val="20"/>
                <w:szCs w:val="20"/>
                <w:color w:val="auto"/>
              </w:rPr>
            </w:pPr>
            <w:r>
              <w:rPr>
                <w:rFonts w:ascii="Arial" w:cs="Arial" w:eastAsia="Arial" w:hAnsi="Arial"/>
                <w:sz w:val="18"/>
                <w:szCs w:val="18"/>
                <w:color w:val="231F20"/>
              </w:rPr>
              <w:t>149</w:t>
            </w:r>
          </w:p>
        </w:tc>
        <w:tc>
          <w:tcPr>
            <w:tcW w:w="20" w:type="dxa"/>
            <w:vAlign w:val="bottom"/>
            <w:tcBorders>
              <w:bottom w:val="single" w:sz="8" w:color="231F20"/>
            </w:tcBorders>
            <w:shd w:val="clear" w:color="auto" w:fill="CCEEFF"/>
          </w:tcPr>
          <w:p>
            <w:pPr>
              <w:spacing w:after="0"/>
              <w:rPr>
                <w:sz w:val="17"/>
                <w:szCs w:val="17"/>
                <w:color w:val="auto"/>
              </w:rPr>
            </w:pPr>
          </w:p>
        </w:tc>
      </w:tr>
      <w:tr>
        <w:trPr>
          <w:trHeight w:val="196"/>
        </w:trPr>
        <w:tc>
          <w:tcPr>
            <w:tcW w:w="67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w:t>
            </w:r>
          </w:p>
        </w:tc>
        <w:tc>
          <w:tcPr>
            <w:tcW w:w="2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231F20"/>
                <w:w w:val="79"/>
              </w:rPr>
              <w:t>$</w:t>
            </w:r>
          </w:p>
        </w:tc>
        <w:tc>
          <w:tcPr>
            <w:tcW w:w="900" w:type="dxa"/>
            <w:vAlign w:val="bottom"/>
          </w:tcPr>
          <w:p>
            <w:pPr>
              <w:jc w:val="right"/>
              <w:ind w:right="94"/>
              <w:spacing w:after="0" w:line="196" w:lineRule="exact"/>
              <w:rPr>
                <w:sz w:val="20"/>
                <w:szCs w:val="20"/>
                <w:color w:val="auto"/>
              </w:rPr>
            </w:pPr>
            <w:r>
              <w:rPr>
                <w:rFonts w:ascii="Arial" w:cs="Arial" w:eastAsia="Arial" w:hAnsi="Arial"/>
                <w:sz w:val="18"/>
                <w:szCs w:val="18"/>
                <w:color w:val="231F20"/>
              </w:rPr>
              <w:t>2,710</w:t>
            </w:r>
          </w:p>
        </w:tc>
        <w:tc>
          <w:tcPr>
            <w:tcW w:w="320" w:type="dxa"/>
            <w:vAlign w:val="bottom"/>
          </w:tcPr>
          <w:p>
            <w:pPr>
              <w:ind w:left="120"/>
              <w:spacing w:after="0" w:line="196" w:lineRule="exact"/>
              <w:rPr>
                <w:sz w:val="20"/>
                <w:szCs w:val="20"/>
                <w:color w:val="auto"/>
              </w:rPr>
            </w:pPr>
            <w:r>
              <w:rPr>
                <w:rFonts w:ascii="Arial" w:cs="Arial" w:eastAsia="Arial" w:hAnsi="Arial"/>
                <w:sz w:val="18"/>
                <w:szCs w:val="18"/>
                <w:color w:val="231F20"/>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231F20"/>
              </w:rPr>
              <w:t>3,588</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655"/>
        </w:trPr>
        <w:tc>
          <w:tcPr>
            <w:tcW w:w="6780" w:type="dxa"/>
            <w:vAlign w:val="bottom"/>
            <w:gridSpan w:val="2"/>
          </w:tcPr>
          <w:p>
            <w:pPr>
              <w:ind w:left="436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6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240" w:type="dxa"/>
            <w:vAlign w:val="bottom"/>
          </w:tcPr>
          <w:p>
            <w:pPr>
              <w:ind w:left="20"/>
              <w:spacing w:after="0"/>
              <w:rPr>
                <w:sz w:val="20"/>
                <w:szCs w:val="20"/>
                <w:color w:val="auto"/>
              </w:rPr>
            </w:pPr>
            <w:r>
              <w:rPr>
                <w:rFonts w:ascii="Arial" w:cs="Arial" w:eastAsia="Arial" w:hAnsi="Arial"/>
                <w:sz w:val="18"/>
                <w:szCs w:val="18"/>
                <w:color w:val="auto"/>
              </w:rPr>
              <w:t>6.</w:t>
            </w:r>
          </w:p>
        </w:tc>
        <w:tc>
          <w:tcPr>
            <w:tcW w:w="6540" w:type="dxa"/>
            <w:vAlign w:val="bottom"/>
          </w:tcPr>
          <w:p>
            <w:pPr>
              <w:ind w:left="100"/>
              <w:spacing w:after="0"/>
              <w:rPr>
                <w:sz w:val="20"/>
                <w:szCs w:val="20"/>
                <w:color w:val="auto"/>
              </w:rPr>
            </w:pPr>
            <w:r>
              <w:rPr>
                <w:rFonts w:ascii="Arial" w:cs="Arial" w:eastAsia="Arial" w:hAnsi="Arial"/>
                <w:sz w:val="18"/>
                <w:szCs w:val="18"/>
                <w:color w:val="auto"/>
              </w:rPr>
              <w:t>Other Current Liabilities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419"/>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 consisted of the following (in thousands):</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6"/>
        </w:trPr>
        <w:tc>
          <w:tcPr>
            <w:tcW w:w="240" w:type="dxa"/>
            <w:vAlign w:val="bottom"/>
            <w:tcBorders>
              <w:bottom w:val="single" w:sz="8" w:color="auto"/>
            </w:tcBorders>
          </w:tcPr>
          <w:p>
            <w:pPr>
              <w:spacing w:after="0"/>
              <w:rPr>
                <w:sz w:val="18"/>
                <w:szCs w:val="18"/>
                <w:color w:val="auto"/>
              </w:rPr>
            </w:pPr>
          </w:p>
        </w:tc>
        <w:tc>
          <w:tcPr>
            <w:tcW w:w="65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spacing w:after="0"/>
              <w:rPr>
                <w:sz w:val="18"/>
                <w:szCs w:val="18"/>
                <w:color w:val="auto"/>
              </w:rPr>
            </w:pPr>
          </w:p>
        </w:tc>
      </w:tr>
      <w:tr>
        <w:trPr>
          <w:trHeight w:val="155"/>
        </w:trPr>
        <w:tc>
          <w:tcPr>
            <w:tcW w:w="24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w w:val="99"/>
              </w:rPr>
              <w:t>June 30,</w:t>
            </w:r>
          </w:p>
        </w:tc>
        <w:tc>
          <w:tcPr>
            <w:tcW w:w="1120" w:type="dxa"/>
            <w:vAlign w:val="bottom"/>
            <w:tcBorders>
              <w:bottom w:val="single" w:sz="8" w:color="auto"/>
            </w:tcBorders>
            <w:gridSpan w:val="2"/>
          </w:tcPr>
          <w:p>
            <w:pPr>
              <w:ind w:left="140"/>
              <w:spacing w:after="0" w:line="155" w:lineRule="exact"/>
              <w:rPr>
                <w:sz w:val="20"/>
                <w:szCs w:val="20"/>
                <w:color w:val="auto"/>
              </w:rPr>
            </w:pPr>
            <w:r>
              <w:rPr>
                <w:rFonts w:ascii="Arial" w:cs="Arial" w:eastAsia="Arial" w:hAnsi="Arial"/>
                <w:sz w:val="14"/>
                <w:szCs w:val="14"/>
                <w:b w:val="1"/>
                <w:bCs w:val="1"/>
                <w:color w:val="auto"/>
              </w:rPr>
              <w:t>December 31,</w:t>
            </w:r>
          </w:p>
        </w:tc>
      </w:tr>
      <w:tr>
        <w:trPr>
          <w:trHeight w:val="156"/>
        </w:trPr>
        <w:tc>
          <w:tcPr>
            <w:tcW w:w="6780" w:type="dxa"/>
            <w:vAlign w:val="bottom"/>
            <w:tcBorders>
              <w:bottom w:val="single" w:sz="8" w:color="CCEEFF"/>
            </w:tcBorders>
            <w:gridSpan w:val="2"/>
          </w:tcPr>
          <w:p>
            <w:pPr>
              <w:ind w:left="20"/>
              <w:spacing w:after="0" w:line="155" w:lineRule="exact"/>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231F20"/>
              </w:rPr>
              <w:t>2021</w:t>
            </w: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231F20"/>
              </w:rPr>
              <w:t>2020</w:t>
            </w:r>
          </w:p>
        </w:tc>
      </w:tr>
      <w:tr>
        <w:trPr>
          <w:trHeight w:val="196"/>
        </w:trPr>
        <w:tc>
          <w:tcPr>
            <w:tcW w:w="67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231F20"/>
              </w:rPr>
              <w:t>Accrued R&amp;D related costs</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w w:val="99"/>
              </w:rPr>
              <w:t>$</w:t>
            </w:r>
          </w:p>
        </w:tc>
        <w:tc>
          <w:tcPr>
            <w:tcW w:w="860" w:type="dxa"/>
            <w:vAlign w:val="bottom"/>
            <w:shd w:val="clear" w:color="auto" w:fill="CCEEFF"/>
          </w:tcPr>
          <w:p>
            <w:pPr>
              <w:jc w:val="right"/>
              <w:ind w:right="54"/>
              <w:spacing w:after="0" w:line="196" w:lineRule="exact"/>
              <w:rPr>
                <w:sz w:val="20"/>
                <w:szCs w:val="20"/>
                <w:color w:val="auto"/>
              </w:rPr>
            </w:pPr>
            <w:r>
              <w:rPr>
                <w:rFonts w:ascii="Arial" w:cs="Arial" w:eastAsia="Arial" w:hAnsi="Arial"/>
                <w:sz w:val="18"/>
                <w:szCs w:val="18"/>
                <w:color w:val="231F20"/>
              </w:rPr>
              <w:t>4,026</w:t>
            </w:r>
          </w:p>
        </w:tc>
        <w:tc>
          <w:tcPr>
            <w:tcW w:w="36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231F20"/>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609</w:t>
            </w:r>
          </w:p>
        </w:tc>
      </w:tr>
      <w:tr>
        <w:trPr>
          <w:trHeight w:val="203"/>
        </w:trPr>
        <w:tc>
          <w:tcPr>
            <w:tcW w:w="6780" w:type="dxa"/>
            <w:vAlign w:val="bottom"/>
            <w:gridSpan w:val="2"/>
          </w:tcPr>
          <w:p>
            <w:pPr>
              <w:ind w:left="20"/>
              <w:spacing w:after="0" w:line="202" w:lineRule="exact"/>
              <w:rPr>
                <w:sz w:val="20"/>
                <w:szCs w:val="20"/>
                <w:color w:val="auto"/>
              </w:rPr>
            </w:pPr>
            <w:r>
              <w:rPr>
                <w:rFonts w:ascii="Arial" w:cs="Arial" w:eastAsia="Arial" w:hAnsi="Arial"/>
                <w:sz w:val="18"/>
                <w:szCs w:val="18"/>
                <w:color w:val="231F20"/>
              </w:rPr>
              <w:t>Accrued employee bonuses</w:t>
            </w:r>
          </w:p>
        </w:tc>
        <w:tc>
          <w:tcPr>
            <w:tcW w:w="140" w:type="dxa"/>
            <w:vAlign w:val="bottom"/>
          </w:tcPr>
          <w:p>
            <w:pPr>
              <w:spacing w:after="0"/>
              <w:rPr>
                <w:sz w:val="17"/>
                <w:szCs w:val="17"/>
                <w:color w:val="auto"/>
              </w:rPr>
            </w:pPr>
          </w:p>
        </w:tc>
        <w:tc>
          <w:tcPr>
            <w:tcW w:w="860" w:type="dxa"/>
            <w:vAlign w:val="bottom"/>
          </w:tcPr>
          <w:p>
            <w:pPr>
              <w:jc w:val="right"/>
              <w:ind w:right="54"/>
              <w:spacing w:after="0" w:line="202" w:lineRule="exact"/>
              <w:rPr>
                <w:sz w:val="20"/>
                <w:szCs w:val="20"/>
                <w:color w:val="auto"/>
              </w:rPr>
            </w:pPr>
            <w:r>
              <w:rPr>
                <w:rFonts w:ascii="Arial" w:cs="Arial" w:eastAsia="Arial" w:hAnsi="Arial"/>
                <w:sz w:val="18"/>
                <w:szCs w:val="18"/>
                <w:color w:val="231F20"/>
              </w:rPr>
              <w:t>1,330</w:t>
            </w:r>
          </w:p>
        </w:tc>
        <w:tc>
          <w:tcPr>
            <w:tcW w:w="3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231F20"/>
              </w:rPr>
              <w:t>1,222</w:t>
            </w:r>
          </w:p>
        </w:tc>
      </w:tr>
      <w:tr>
        <w:trPr>
          <w:trHeight w:val="203"/>
        </w:trPr>
        <w:tc>
          <w:tcPr>
            <w:tcW w:w="67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231F20"/>
              </w:rPr>
              <w:t>Accrued payroll related costs</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231F20"/>
              </w:rPr>
              <w:t>919</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444</w:t>
            </w:r>
          </w:p>
        </w:tc>
      </w:tr>
      <w:tr>
        <w:trPr>
          <w:trHeight w:val="203"/>
        </w:trPr>
        <w:tc>
          <w:tcPr>
            <w:tcW w:w="6780" w:type="dxa"/>
            <w:vAlign w:val="bottom"/>
            <w:gridSpan w:val="2"/>
          </w:tcPr>
          <w:p>
            <w:pPr>
              <w:ind w:left="20"/>
              <w:spacing w:after="0" w:line="202" w:lineRule="exact"/>
              <w:rPr>
                <w:sz w:val="20"/>
                <w:szCs w:val="20"/>
                <w:color w:val="auto"/>
              </w:rPr>
            </w:pPr>
            <w:r>
              <w:rPr>
                <w:rFonts w:ascii="Arial" w:cs="Arial" w:eastAsia="Arial" w:hAnsi="Arial"/>
                <w:sz w:val="18"/>
                <w:szCs w:val="18"/>
                <w:color w:val="231F20"/>
              </w:rPr>
              <w:t>Accrued professional fees</w:t>
            </w:r>
          </w:p>
        </w:tc>
        <w:tc>
          <w:tcPr>
            <w:tcW w:w="140" w:type="dxa"/>
            <w:vAlign w:val="bottom"/>
          </w:tcPr>
          <w:p>
            <w:pPr>
              <w:spacing w:after="0"/>
              <w:rPr>
                <w:sz w:val="17"/>
                <w:szCs w:val="17"/>
                <w:color w:val="auto"/>
              </w:rPr>
            </w:pPr>
          </w:p>
        </w:tc>
        <w:tc>
          <w:tcPr>
            <w:tcW w:w="860" w:type="dxa"/>
            <w:vAlign w:val="bottom"/>
          </w:tcPr>
          <w:p>
            <w:pPr>
              <w:jc w:val="right"/>
              <w:ind w:right="54"/>
              <w:spacing w:after="0" w:line="202" w:lineRule="exact"/>
              <w:rPr>
                <w:sz w:val="20"/>
                <w:szCs w:val="20"/>
                <w:color w:val="auto"/>
              </w:rPr>
            </w:pPr>
            <w:r>
              <w:rPr>
                <w:rFonts w:ascii="Arial" w:cs="Arial" w:eastAsia="Arial" w:hAnsi="Arial"/>
                <w:sz w:val="18"/>
                <w:szCs w:val="18"/>
                <w:color w:val="231F20"/>
              </w:rPr>
              <w:t>696</w:t>
            </w:r>
          </w:p>
        </w:tc>
        <w:tc>
          <w:tcPr>
            <w:tcW w:w="3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231F20"/>
              </w:rPr>
              <w:t>577</w:t>
            </w:r>
          </w:p>
        </w:tc>
      </w:tr>
      <w:tr>
        <w:trPr>
          <w:trHeight w:val="203"/>
        </w:trPr>
        <w:tc>
          <w:tcPr>
            <w:tcW w:w="67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231F20"/>
              </w:rPr>
              <w:t>Early exercise of unvested stock options</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231F20"/>
              </w:rPr>
              <w:t>516</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578</w:t>
            </w:r>
          </w:p>
        </w:tc>
      </w:tr>
      <w:tr>
        <w:trPr>
          <w:trHeight w:val="203"/>
        </w:trPr>
        <w:tc>
          <w:tcPr>
            <w:tcW w:w="6780" w:type="dxa"/>
            <w:vAlign w:val="bottom"/>
            <w:gridSpan w:val="2"/>
          </w:tcPr>
          <w:p>
            <w:pPr>
              <w:ind w:left="20"/>
              <w:spacing w:after="0" w:line="202" w:lineRule="exact"/>
              <w:rPr>
                <w:sz w:val="20"/>
                <w:szCs w:val="20"/>
                <w:color w:val="auto"/>
              </w:rPr>
            </w:pPr>
            <w:r>
              <w:rPr>
                <w:rFonts w:ascii="Arial" w:cs="Arial" w:eastAsia="Arial" w:hAnsi="Arial"/>
                <w:sz w:val="18"/>
                <w:szCs w:val="18"/>
                <w:color w:val="231F20"/>
              </w:rPr>
              <w:t>Accrued taxes</w:t>
            </w:r>
          </w:p>
        </w:tc>
        <w:tc>
          <w:tcPr>
            <w:tcW w:w="140" w:type="dxa"/>
            <w:vAlign w:val="bottom"/>
          </w:tcPr>
          <w:p>
            <w:pPr>
              <w:spacing w:after="0"/>
              <w:rPr>
                <w:sz w:val="17"/>
                <w:szCs w:val="17"/>
                <w:color w:val="auto"/>
              </w:rPr>
            </w:pPr>
          </w:p>
        </w:tc>
        <w:tc>
          <w:tcPr>
            <w:tcW w:w="860" w:type="dxa"/>
            <w:vAlign w:val="bottom"/>
          </w:tcPr>
          <w:p>
            <w:pPr>
              <w:jc w:val="right"/>
              <w:ind w:right="54"/>
              <w:spacing w:after="0" w:line="202" w:lineRule="exact"/>
              <w:rPr>
                <w:sz w:val="20"/>
                <w:szCs w:val="20"/>
                <w:color w:val="auto"/>
              </w:rPr>
            </w:pPr>
            <w:r>
              <w:rPr>
                <w:rFonts w:ascii="Arial" w:cs="Arial" w:eastAsia="Arial" w:hAnsi="Arial"/>
                <w:sz w:val="18"/>
                <w:szCs w:val="18"/>
                <w:color w:val="231F20"/>
              </w:rPr>
              <w:t>67</w:t>
            </w:r>
          </w:p>
        </w:tc>
        <w:tc>
          <w:tcPr>
            <w:tcW w:w="3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231F20"/>
              </w:rPr>
              <w:t>198</w:t>
            </w:r>
          </w:p>
        </w:tc>
      </w:tr>
      <w:tr>
        <w:trPr>
          <w:trHeight w:val="203"/>
        </w:trPr>
        <w:tc>
          <w:tcPr>
            <w:tcW w:w="67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231F20"/>
              </w:rPr>
              <w:t>Other</w:t>
            </w:r>
          </w:p>
        </w:tc>
        <w:tc>
          <w:tcPr>
            <w:tcW w:w="140" w:type="dxa"/>
            <w:vAlign w:val="bottom"/>
            <w:tcBorders>
              <w:bottom w:val="single" w:sz="8" w:color="231F20"/>
            </w:tcBorders>
            <w:shd w:val="clear" w:color="auto" w:fill="CCEEFF"/>
          </w:tcPr>
          <w:p>
            <w:pPr>
              <w:spacing w:after="0"/>
              <w:rPr>
                <w:sz w:val="17"/>
                <w:szCs w:val="17"/>
                <w:color w:val="auto"/>
              </w:rPr>
            </w:pPr>
          </w:p>
        </w:tc>
        <w:tc>
          <w:tcPr>
            <w:tcW w:w="860" w:type="dxa"/>
            <w:vAlign w:val="bottom"/>
            <w:tcBorders>
              <w:bottom w:val="single" w:sz="8" w:color="231F20"/>
            </w:tcBorders>
            <w:shd w:val="clear" w:color="auto" w:fill="CCEEFF"/>
          </w:tcPr>
          <w:p>
            <w:pPr>
              <w:jc w:val="right"/>
              <w:ind w:right="54"/>
              <w:spacing w:after="0" w:line="202" w:lineRule="exact"/>
              <w:rPr>
                <w:sz w:val="20"/>
                <w:szCs w:val="20"/>
                <w:color w:val="auto"/>
              </w:rPr>
            </w:pPr>
            <w:r>
              <w:rPr>
                <w:rFonts w:ascii="Arial" w:cs="Arial" w:eastAsia="Arial" w:hAnsi="Arial"/>
                <w:sz w:val="18"/>
                <w:szCs w:val="18"/>
                <w:color w:val="231F20"/>
              </w:rPr>
              <w:t>207</w:t>
            </w:r>
          </w:p>
        </w:tc>
        <w:tc>
          <w:tcPr>
            <w:tcW w:w="360" w:type="dxa"/>
            <w:vAlign w:val="bottom"/>
            <w:tcBorders>
              <w:bottom w:val="single" w:sz="8" w:color="231F20"/>
            </w:tcBorders>
            <w:shd w:val="clear" w:color="auto" w:fill="CCEEFF"/>
          </w:tcPr>
          <w:p>
            <w:pPr>
              <w:spacing w:after="0"/>
              <w:rPr>
                <w:sz w:val="17"/>
                <w:szCs w:val="17"/>
                <w:color w:val="auto"/>
              </w:rPr>
            </w:pPr>
          </w:p>
        </w:tc>
        <w:tc>
          <w:tcPr>
            <w:tcW w:w="760" w:type="dxa"/>
            <w:vAlign w:val="bottom"/>
            <w:tcBorders>
              <w:bottom w:val="single" w:sz="8" w:color="231F20"/>
            </w:tcBorders>
            <w:shd w:val="clear" w:color="auto" w:fill="CCEEFF"/>
          </w:tcPr>
          <w:p>
            <w:pPr>
              <w:jc w:val="right"/>
              <w:spacing w:after="0" w:line="202" w:lineRule="exact"/>
              <w:rPr>
                <w:sz w:val="20"/>
                <w:szCs w:val="20"/>
                <w:color w:val="auto"/>
              </w:rPr>
            </w:pPr>
            <w:r>
              <w:rPr>
                <w:rFonts w:ascii="Arial" w:cs="Arial" w:eastAsia="Arial" w:hAnsi="Arial"/>
                <w:sz w:val="18"/>
                <w:szCs w:val="18"/>
                <w:color w:val="231F20"/>
              </w:rPr>
              <w:t>238</w:t>
            </w:r>
          </w:p>
        </w:tc>
      </w:tr>
      <w:tr>
        <w:trPr>
          <w:trHeight w:val="196"/>
        </w:trPr>
        <w:tc>
          <w:tcPr>
            <w:tcW w:w="6780" w:type="dxa"/>
            <w:vAlign w:val="bottom"/>
            <w:tcBorders>
              <w:bottom w:val="single" w:sz="8" w:color="auto"/>
            </w:tcBorders>
            <w:gridSpan w:val="2"/>
          </w:tcPr>
          <w:p>
            <w:pPr>
              <w:ind w:left="20"/>
              <w:spacing w:after="0" w:line="196" w:lineRule="exact"/>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231F20"/>
                <w:w w:val="99"/>
              </w:rPr>
              <w:t>$</w:t>
            </w:r>
          </w:p>
        </w:tc>
        <w:tc>
          <w:tcPr>
            <w:tcW w:w="86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231F20"/>
              </w:rPr>
              <w:t>7,761</w:t>
            </w:r>
          </w:p>
        </w:tc>
        <w:tc>
          <w:tcPr>
            <w:tcW w:w="36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color w:val="231F20"/>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231F20"/>
              </w:rPr>
              <w:t>3,866</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6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332"/>
        </w:trPr>
        <w:tc>
          <w:tcPr>
            <w:tcW w:w="240" w:type="dxa"/>
            <w:vAlign w:val="bottom"/>
          </w:tcPr>
          <w:p>
            <w:pPr>
              <w:ind w:left="20"/>
              <w:spacing w:after="0"/>
              <w:rPr>
                <w:sz w:val="20"/>
                <w:szCs w:val="20"/>
                <w:color w:val="auto"/>
              </w:rPr>
            </w:pPr>
            <w:r>
              <w:rPr>
                <w:rFonts w:ascii="Arial" w:cs="Arial" w:eastAsia="Arial" w:hAnsi="Arial"/>
                <w:sz w:val="18"/>
                <w:szCs w:val="18"/>
                <w:color w:val="auto"/>
              </w:rPr>
              <w:t>7.</w:t>
            </w:r>
          </w:p>
        </w:tc>
        <w:tc>
          <w:tcPr>
            <w:tcW w:w="6540" w:type="dxa"/>
            <w:vAlign w:val="bottom"/>
          </w:tcPr>
          <w:p>
            <w:pPr>
              <w:ind w:left="100"/>
              <w:spacing w:after="0"/>
              <w:rPr>
                <w:sz w:val="20"/>
                <w:szCs w:val="20"/>
                <w:color w:val="auto"/>
              </w:rPr>
            </w:pPr>
            <w:r>
              <w:rPr>
                <w:rFonts w:ascii="Arial" w:cs="Arial" w:eastAsia="Arial" w:hAnsi="Arial"/>
                <w:sz w:val="18"/>
                <w:szCs w:val="18"/>
                <w:color w:val="auto"/>
              </w:rPr>
              <w:t>Convertible Notes</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2020 Convertible Notes</w:t>
      </w:r>
    </w:p>
    <w:p>
      <w:pPr>
        <w:spacing w:after="0" w:line="23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On January 3, 2020 (“issuance date”), the Company issued convertible promissory notes (the “2020 Notes”) in the aggregate principal amount of $3.0 million. The 2020 Notes bore interest at a rate of 1.21% per annum, were unsecured and were due and payable, including accrued interest, on May 2, 2020 (“maturity date”). The Company was not permitted to prepay the outstanding principal and interest without the consent of the note holders. In the event of a default, all unpaid principal and accrued interest would become immediately due.</w:t>
      </w:r>
    </w:p>
    <w:p>
      <w:pPr>
        <w:spacing w:after="0" w:line="20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On the issuance date the Company determined that the conversion option associated with the 2020 Notes met the definition of a beneficial conversion feature (“BCF”) as the fair value of the underlying instrument at the time of issuance exceeded the contractual conversion price. The BCF was recognized at its aggregate intrinsic value of $1.1 million as a debt discount with a corresponding credit to additional paid-in capital in the Company’s balance sheet. The debt discount was amortized over the term of the 2020 Notes through the recognition of interest expense via the effective interest method.</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On March 17, 2020 (the “settlement date”), the Company issued and sold 2,545,277 shares of Series B convertible preferred stock at $ 4.712 per share for gross proceeds of approximately $12.0 million (see Note 8, “Convertible Preferred Stock”). On the settlement date, the principal and accrued interest then outstanding under the 2020 Notes of $3.0 million were converted into 638,270 shares of Series B convertible preferred stock (“March 2020 conversion”).</w:t>
      </w:r>
    </w:p>
    <w:p>
      <w:pPr>
        <w:spacing w:after="0" w:line="20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On the settlement date, the unamortized debt discount on the 2020 Notes was $0.4 million and the intrinsic value of the BCF was $ 2.6 million representing an increase of $ 1.5 million from the issuance date of the 2020 Notes. The March 2020 conversion was accounted for as a debt extinguishment. However, as the note holders were previous investors of the Company, the increase in the intrinsic value of the BCF was deemed to be a capital contribution and therefore not income attributable to common stockholders, and accordingly, the Company recorded the $1.5 million gain on extinguishment of the debt within additional paid-in capital.</w:t>
      </w:r>
    </w:p>
    <w:p>
      <w:pPr>
        <w:spacing w:after="0" w:line="205" w:lineRule="exact"/>
        <w:rPr>
          <w:sz w:val="20"/>
          <w:szCs w:val="20"/>
          <w:color w:val="auto"/>
        </w:rPr>
      </w:pPr>
    </w:p>
    <w:p>
      <w:pPr>
        <w:ind w:left="380" w:hanging="330"/>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Convertible Preferred Stock</w:t>
      </w:r>
    </w:p>
    <w:p>
      <w:pPr>
        <w:spacing w:after="0" w:line="212"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As of June 30, 2020, there were 16,067,762 shares of convertible preferred stock outstanding. Upon the closing of the Company’s IPO, each then outstanding share of convertible preferred stock was converted into one share of common stock.</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June 30, 2021 and December 31, 2020, there was no convertible preferred stock outstanding.</w:t>
      </w:r>
    </w:p>
    <w:p>
      <w:pPr>
        <w:spacing w:after="0" w:line="212" w:lineRule="exact"/>
        <w:rPr>
          <w:sz w:val="20"/>
          <w:szCs w:val="20"/>
          <w:color w:val="auto"/>
        </w:rPr>
      </w:pPr>
    </w:p>
    <w:p>
      <w:pPr>
        <w:ind w:left="60" w:right="59"/>
        <w:spacing w:after="0" w:line="246" w:lineRule="auto"/>
        <w:rPr>
          <w:sz w:val="20"/>
          <w:szCs w:val="20"/>
          <w:color w:val="auto"/>
        </w:rPr>
      </w:pPr>
      <w:r>
        <w:rPr>
          <w:rFonts w:ascii="Arial" w:cs="Arial" w:eastAsia="Arial" w:hAnsi="Arial"/>
          <w:sz w:val="18"/>
          <w:szCs w:val="18"/>
          <w:color w:val="auto"/>
        </w:rPr>
        <w:t>Refer to Note 6 “Convertible Preferred Stock” included in the Annual Report on Form 10-K for the year ended December 31, 2020 filed on March 17, 2021 with the SEC.</w:t>
      </w:r>
    </w:p>
    <w:p>
      <w:pPr>
        <w:spacing w:after="0" w:line="372" w:lineRule="exact"/>
        <w:rPr>
          <w:sz w:val="20"/>
          <w:szCs w:val="20"/>
          <w:color w:val="auto"/>
        </w:rPr>
      </w:pPr>
    </w:p>
    <w:p>
      <w:pPr>
        <w:ind w:left="460" w:hanging="410"/>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19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2014, the Company’s Board of Directors and stockholders approved and adopted the 2014 Stock Plan (the “2014 Plan”). The 2014 Plan was intended to advance the interests of the Company and its stockholders by providing an incentive to attract, retain and reward persons performing services for the Company and by motivating such persons to contribute to the growth and profitability of the Company. The 2014 Plan permitted the grant of options and restricted stock awards (including restricted stock purchase rights and restricted stock bonus awards). The maximum aggregate number of shares that may be subject to awards and sold under the 2014 Plan as of December 31, 2019 was 717,360 shares, which was subsequently increased to 4,842,180 in September 2020.The 2014 Plan was terminated on the date the 2020 Equity Incentive Plan (the “2020 Plan”), which is described below, became effective, and no additional awards will be made pursuant to the 2014 Plan. However, any outstanding awards granted under the 2014 Plan will remain outstanding, subject to the terms of the 2014 Plan award agreements, until such outstanding options are exercised or until any awards terminate or expire by their terms.</w:t>
      </w:r>
    </w:p>
    <w:p>
      <w:pPr>
        <w:spacing w:after="0" w:line="204"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7"/>
          <w:szCs w:val="17"/>
          <w:color w:val="auto"/>
        </w:rPr>
        <w:t>In 2020, the Company’s Board of Directors and stockholders approved and adopted the 2020 Plan. The 2020 Plan is intended to advance the interests of the Company and its stockholders by providing an incentive to attract, retain and reward persons performing services for the Company and by motivating such persons to contribute to the growth and profitability of the Company. The maximum number of shares of common stock that may be issued under the 2020 Plan will not exceed 6,494,510 shares of the Company’s common stock, which is the sum of (i) 2,152,080 new shares, plus (ii) an additional number of shares not to exceed 4,342,430 shares, consisting of any shares of the Company’s common stock subject to outstanding stock options or other stock awards granted under the Company’s 2014 Plan that, on or after the 2020 Plan becomes effective, terminate or expire prior to exercise or settlement; are not issued because the award is settled in cash; are forfeited because of the failure to vest; or are reacquired or withheld (or not issued) to satisfy a tax withholding obligation or the purchase or exercise price. In addition, the number of shares of the Company’s common stock reserved for issuance under the 2020 Plan automatically increases on January 1 of each year for a period of ten years, beginning on January 1, 2021 and continuing through January 1, 2030, in an amount equal to the lesser of</w:t>
      </w:r>
    </w:p>
    <w:p>
      <w:pPr>
        <w:spacing w:after="0" w:line="7" w:lineRule="exact"/>
        <w:rPr>
          <w:sz w:val="20"/>
          <w:szCs w:val="20"/>
          <w:color w:val="auto"/>
        </w:rPr>
      </w:pPr>
    </w:p>
    <w:p>
      <w:pPr>
        <w:jc w:val="both"/>
        <w:ind w:left="60" w:right="59" w:hanging="10"/>
        <w:spacing w:after="0" w:line="237" w:lineRule="auto"/>
        <w:tabs>
          <w:tab w:leader="none" w:pos="358" w:val="left"/>
        </w:tabs>
        <w:numPr>
          <w:ilvl w:val="0"/>
          <w:numId w:val="8"/>
        </w:numPr>
        <w:rPr>
          <w:rFonts w:ascii="Arial" w:cs="Arial" w:eastAsia="Arial" w:hAnsi="Arial"/>
          <w:sz w:val="18"/>
          <w:szCs w:val="18"/>
          <w:color w:val="auto"/>
        </w:rPr>
      </w:pPr>
      <w:r>
        <w:rPr>
          <w:rFonts w:ascii="Arial" w:cs="Arial" w:eastAsia="Arial" w:hAnsi="Arial"/>
          <w:sz w:val="18"/>
          <w:szCs w:val="18"/>
          <w:color w:val="auto"/>
        </w:rPr>
        <w:t>5% of the total number of shares of the Company’s common stock outstanding on December 31 of the immediately preceding year, or (2) a lesser number of shares determined by the Company’s board of directors no later than December 31 of the immediately preceding year. The maximum number of shares of the common stock that may be issued on the exercise of incentive stock options under the 2020 Plan is 19,483,530 shares. The 2020 Plan permits the grant of options restricted stock awards, stock appreciation rights, restricted stock unit awards, performance awards, and other awards.</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exercise price for each option and stock appreciation right is established in the discretion of the Board, provided that the exercise price of a stock option will not be less than 100% of the fair market value of the Company’s common stock on the date of grant. Specific vesting for stock options and stock appreciation rights is service related and determined in each award agreement, where stock options and stock appreciation rights are fully vested at the grant date or follow a graded vesting schedule. Stock options and stock appreciation rights granted under the Plan generally expire ten years after the date of grant.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Option Valuation</w:t>
      </w:r>
    </w:p>
    <w:p>
      <w:pPr>
        <w:spacing w:after="0" w:line="23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fair value of stock option grants is estimated using the Black-Scholes option-pricing model. The Company lacks company-specific historical and implied volatility information. Therefore, it estimated its expected stock volatility based on the historical volatility of a publicly traded set of peer companies. For options with service-based vesting conditions, the expected term of the Company’s stock options has been determined utilizing the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“simplified” method for awards that qualify as “plain-vanilla” options.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0% since the Company has never paid cash dividends and does not expect to pay any cash dividends in the foreseeable future.</w:t>
      </w:r>
    </w:p>
    <w:p>
      <w:pPr>
        <w:spacing w:after="0" w:line="202"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The assumptions that the Company used to determine the estimated grant-date fair value of stock options granted to employees and directors under the 2020 Plan were as follows, presented as a weighted average:</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500" w:type="dxa"/>
            <w:vAlign w:val="bottom"/>
            <w:tcBorders>
              <w:top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231F20"/>
              </w:rPr>
              <w:t>June 30,</w:t>
            </w:r>
          </w:p>
        </w:tc>
        <w:tc>
          <w:tcPr>
            <w:tcW w:w="9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231F20"/>
              </w:rPr>
              <w:t>June 30,</w:t>
            </w:r>
          </w:p>
        </w:tc>
      </w:tr>
      <w:tr>
        <w:trPr>
          <w:trHeight w:val="156"/>
        </w:trPr>
        <w:tc>
          <w:tcPr>
            <w:tcW w:w="6500" w:type="dxa"/>
            <w:vAlign w:val="bottom"/>
            <w:tcBorders>
              <w:bottom w:val="single" w:sz="8" w:color="CCEEFF"/>
            </w:tcBorders>
          </w:tcPr>
          <w:p>
            <w:pPr>
              <w:spacing w:after="0"/>
              <w:rPr>
                <w:sz w:val="13"/>
                <w:szCs w:val="13"/>
                <w:color w:val="auto"/>
              </w:rPr>
            </w:pPr>
          </w:p>
        </w:tc>
        <w:tc>
          <w:tcPr>
            <w:tcW w:w="1460" w:type="dxa"/>
            <w:vAlign w:val="bottom"/>
            <w:tcBorders>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231F20"/>
              </w:rPr>
              <w:t>2021</w:t>
            </w:r>
          </w:p>
        </w:tc>
        <w:tc>
          <w:tcPr>
            <w:tcW w:w="940" w:type="dxa"/>
            <w:vAlign w:val="bottom"/>
            <w:tcBorders>
              <w:bottom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231F20"/>
              </w:rPr>
              <w:t>2020</w:t>
            </w:r>
          </w:p>
        </w:tc>
      </w:tr>
      <w:tr>
        <w:trPr>
          <w:trHeight w:val="196"/>
        </w:trPr>
        <w:tc>
          <w:tcPr>
            <w:tcW w:w="65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231F20"/>
              </w:rPr>
              <w:t>Risk-free interest rate</w:t>
            </w:r>
          </w:p>
        </w:tc>
        <w:tc>
          <w:tcPr>
            <w:tcW w:w="1460" w:type="dxa"/>
            <w:vAlign w:val="bottom"/>
            <w:shd w:val="clear" w:color="auto" w:fill="CCEEFF"/>
          </w:tcPr>
          <w:p>
            <w:pPr>
              <w:jc w:val="right"/>
              <w:ind w:right="116"/>
              <w:spacing w:after="0" w:line="196" w:lineRule="exact"/>
              <w:rPr>
                <w:sz w:val="20"/>
                <w:szCs w:val="20"/>
                <w:color w:val="auto"/>
              </w:rPr>
            </w:pPr>
            <w:r>
              <w:rPr>
                <w:rFonts w:ascii="Arial" w:cs="Arial" w:eastAsia="Arial" w:hAnsi="Arial"/>
                <w:sz w:val="18"/>
                <w:szCs w:val="18"/>
                <w:color w:val="231F20"/>
              </w:rPr>
              <w:t>0.62%</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w:t>
            </w:r>
          </w:p>
        </w:tc>
      </w:tr>
      <w:tr>
        <w:trPr>
          <w:trHeight w:val="203"/>
        </w:trPr>
        <w:tc>
          <w:tcPr>
            <w:tcW w:w="6500" w:type="dxa"/>
            <w:vAlign w:val="bottom"/>
          </w:tcPr>
          <w:p>
            <w:pPr>
              <w:ind w:left="20"/>
              <w:spacing w:after="0" w:line="202" w:lineRule="exact"/>
              <w:rPr>
                <w:sz w:val="20"/>
                <w:szCs w:val="20"/>
                <w:color w:val="auto"/>
              </w:rPr>
            </w:pPr>
            <w:r>
              <w:rPr>
                <w:rFonts w:ascii="Arial" w:cs="Arial" w:eastAsia="Arial" w:hAnsi="Arial"/>
                <w:sz w:val="18"/>
                <w:szCs w:val="18"/>
                <w:color w:val="231F20"/>
              </w:rPr>
              <w:t>Expected term (in years)</w:t>
            </w:r>
          </w:p>
        </w:tc>
        <w:tc>
          <w:tcPr>
            <w:tcW w:w="1460" w:type="dxa"/>
            <w:vAlign w:val="bottom"/>
          </w:tcPr>
          <w:p>
            <w:pPr>
              <w:jc w:val="right"/>
              <w:ind w:right="116"/>
              <w:spacing w:after="0" w:line="202" w:lineRule="exact"/>
              <w:rPr>
                <w:sz w:val="20"/>
                <w:szCs w:val="20"/>
                <w:color w:val="auto"/>
              </w:rPr>
            </w:pPr>
            <w:r>
              <w:rPr>
                <w:rFonts w:ascii="Arial" w:cs="Arial" w:eastAsia="Arial" w:hAnsi="Arial"/>
                <w:sz w:val="18"/>
                <w:szCs w:val="18"/>
                <w:color w:val="231F20"/>
              </w:rPr>
              <w:t>5.98</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231F20"/>
              </w:rPr>
              <w:t>*</w:t>
            </w:r>
          </w:p>
        </w:tc>
      </w:tr>
      <w:tr>
        <w:trPr>
          <w:trHeight w:val="203"/>
        </w:trPr>
        <w:tc>
          <w:tcPr>
            <w:tcW w:w="65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231F20"/>
              </w:rPr>
              <w:t>Expected volatility</w:t>
            </w:r>
          </w:p>
        </w:tc>
        <w:tc>
          <w:tcPr>
            <w:tcW w:w="1460" w:type="dxa"/>
            <w:vAlign w:val="bottom"/>
            <w:shd w:val="clear" w:color="auto" w:fill="CCEEFF"/>
          </w:tcPr>
          <w:p>
            <w:pPr>
              <w:jc w:val="right"/>
              <w:ind w:right="116"/>
              <w:spacing w:after="0" w:line="202" w:lineRule="exact"/>
              <w:rPr>
                <w:sz w:val="20"/>
                <w:szCs w:val="20"/>
                <w:color w:val="auto"/>
              </w:rPr>
            </w:pPr>
            <w:r>
              <w:rPr>
                <w:rFonts w:ascii="Arial" w:cs="Arial" w:eastAsia="Arial" w:hAnsi="Arial"/>
                <w:sz w:val="18"/>
                <w:szCs w:val="18"/>
                <w:color w:val="231F20"/>
              </w:rPr>
              <w:t>77.08%</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w:t>
            </w:r>
          </w:p>
        </w:tc>
      </w:tr>
      <w:tr>
        <w:trPr>
          <w:trHeight w:val="203"/>
        </w:trPr>
        <w:tc>
          <w:tcPr>
            <w:tcW w:w="650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231F20"/>
              </w:rPr>
              <w:t>Expected dividend yield</w:t>
            </w:r>
          </w:p>
        </w:tc>
        <w:tc>
          <w:tcPr>
            <w:tcW w:w="1460" w:type="dxa"/>
            <w:vAlign w:val="bottom"/>
            <w:tcBorders>
              <w:bottom w:val="single" w:sz="8" w:color="auto"/>
            </w:tcBorders>
          </w:tcPr>
          <w:p>
            <w:pPr>
              <w:jc w:val="right"/>
              <w:ind w:right="116"/>
              <w:spacing w:after="0" w:line="202" w:lineRule="exact"/>
              <w:rPr>
                <w:sz w:val="20"/>
                <w:szCs w:val="20"/>
                <w:color w:val="auto"/>
              </w:rPr>
            </w:pPr>
            <w:r>
              <w:rPr>
                <w:rFonts w:ascii="Arial" w:cs="Arial" w:eastAsia="Arial" w:hAnsi="Arial"/>
                <w:sz w:val="18"/>
                <w:szCs w:val="18"/>
                <w:color w:val="231F20"/>
              </w:rPr>
              <w:t>—</w:t>
            </w: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231F20"/>
              </w:rPr>
              <w:t>*</w:t>
            </w:r>
          </w:p>
        </w:tc>
      </w:tr>
      <w:tr>
        <w:trPr>
          <w:trHeight w:val="20"/>
        </w:trPr>
        <w:tc>
          <w:tcPr>
            <w:tcW w:w="65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hanging="330"/>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There were no stock options granted during the period.</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Option Activity</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the stock option activity under the 2014 Plan and the 2020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143510</wp:posOffset>
            </wp:positionV>
            <wp:extent cx="56578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3"/>
        </w:trPr>
        <w:tc>
          <w:tcPr>
            <w:tcW w:w="4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Weighted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Average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740" w:type="dxa"/>
            <w:vAlign w:val="bottom"/>
          </w:tcPr>
          <w:p>
            <w:pPr>
              <w:spacing w:after="0"/>
              <w:rPr>
                <w:sz w:val="17"/>
                <w:szCs w:val="17"/>
                <w:color w:val="auto"/>
              </w:rPr>
            </w:pPr>
          </w:p>
        </w:tc>
        <w:tc>
          <w:tcPr>
            <w:tcW w:w="1040" w:type="dxa"/>
            <w:vAlign w:val="bottom"/>
          </w:tcPr>
          <w:p>
            <w:pPr>
              <w:jc w:val="right"/>
              <w:ind w:right="134"/>
              <w:spacing w:after="0"/>
              <w:rPr>
                <w:sz w:val="20"/>
                <w:szCs w:val="20"/>
                <w:color w:val="auto"/>
              </w:rPr>
            </w:pPr>
            <w:r>
              <w:rPr>
                <w:rFonts w:ascii="Arial" w:cs="Arial" w:eastAsia="Arial" w:hAnsi="Arial"/>
                <w:sz w:val="14"/>
                <w:szCs w:val="14"/>
                <w:b w:val="1"/>
                <w:bCs w:val="1"/>
                <w:color w:val="auto"/>
              </w:rPr>
              <w:t>Number of</w:t>
            </w: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Exercise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80" w:type="dxa"/>
            <w:vAlign w:val="bottom"/>
          </w:tcPr>
          <w:p>
            <w:pPr>
              <w:spacing w:after="0"/>
              <w:rPr>
                <w:sz w:val="17"/>
                <w:szCs w:val="17"/>
                <w:color w:val="auto"/>
              </w:rPr>
            </w:pPr>
          </w:p>
        </w:tc>
        <w:tc>
          <w:tcPr>
            <w:tcW w:w="980" w:type="dxa"/>
            <w:vAlign w:val="bottom"/>
          </w:tcPr>
          <w:p>
            <w:pPr>
              <w:jc w:val="right"/>
              <w:ind w:right="132"/>
              <w:spacing w:after="0"/>
              <w:rPr>
                <w:sz w:val="20"/>
                <w:szCs w:val="20"/>
                <w:color w:val="auto"/>
              </w:rPr>
            </w:pPr>
            <w:r>
              <w:rPr>
                <w:rFonts w:ascii="Arial" w:cs="Arial" w:eastAsia="Arial" w:hAnsi="Arial"/>
                <w:sz w:val="14"/>
                <w:szCs w:val="14"/>
                <w:b w:val="1"/>
                <w:bCs w:val="1"/>
                <w:color w:val="auto"/>
              </w:rPr>
              <w:t>Aggregate</w:t>
            </w:r>
          </w:p>
        </w:tc>
      </w:tr>
      <w:tr>
        <w:trPr>
          <w:trHeight w:val="188"/>
        </w:trPr>
        <w:tc>
          <w:tcPr>
            <w:tcW w:w="4740" w:type="dxa"/>
            <w:vAlign w:val="bottom"/>
          </w:tcPr>
          <w:p>
            <w:pPr>
              <w:spacing w:after="0"/>
              <w:rPr>
                <w:sz w:val="16"/>
                <w:szCs w:val="16"/>
                <w:color w:val="auto"/>
              </w:rPr>
            </w:pPr>
          </w:p>
        </w:tc>
        <w:tc>
          <w:tcPr>
            <w:tcW w:w="10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9"/>
              </w:rPr>
              <w:t>Price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12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Intrinsic Value</w:t>
            </w:r>
          </w:p>
        </w:tc>
      </w:tr>
      <w:tr>
        <w:trPr>
          <w:trHeight w:val="196"/>
        </w:trPr>
        <w:tc>
          <w:tcPr>
            <w:tcW w:w="4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8"/>
              </w:rPr>
              <w:t>(in years)</w:t>
            </w:r>
          </w:p>
        </w:tc>
        <w:tc>
          <w:tcPr>
            <w:tcW w:w="1260" w:type="dxa"/>
            <w:vAlign w:val="bottom"/>
            <w:gridSpan w:val="2"/>
          </w:tcPr>
          <w:p>
            <w:pPr>
              <w:ind w:left="100"/>
              <w:spacing w:after="0" w:line="196" w:lineRule="exact"/>
              <w:rPr>
                <w:sz w:val="20"/>
                <w:szCs w:val="20"/>
                <w:color w:val="auto"/>
              </w:rPr>
            </w:pPr>
            <w:r>
              <w:rPr>
                <w:rFonts w:ascii="Arial" w:cs="Arial" w:eastAsia="Arial" w:hAnsi="Arial"/>
                <w:sz w:val="18"/>
                <w:szCs w:val="18"/>
                <w:color w:val="auto"/>
                <w:w w:val="99"/>
              </w:rPr>
              <w:t>(in thousands)</w:t>
            </w:r>
          </w:p>
        </w:tc>
      </w:tr>
      <w:tr>
        <w:trPr>
          <w:trHeight w:val="203"/>
        </w:trPr>
        <w:tc>
          <w:tcPr>
            <w:tcW w:w="4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Outstanding as of December 31, 2020</w:t>
            </w:r>
          </w:p>
        </w:tc>
        <w:tc>
          <w:tcPr>
            <w:tcW w:w="104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4,776,908</w:t>
            </w:r>
          </w:p>
        </w:tc>
        <w:tc>
          <w:tcPr>
            <w:tcW w:w="2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10.83</w:t>
            </w:r>
          </w:p>
        </w:tc>
        <w:tc>
          <w:tcPr>
            <w:tcW w:w="1020" w:type="dxa"/>
            <w:vAlign w:val="bottom"/>
            <w:shd w:val="clear" w:color="auto" w:fill="CCEEFF"/>
          </w:tcPr>
          <w:p>
            <w:pPr>
              <w:jc w:val="right"/>
              <w:ind w:right="77"/>
              <w:spacing w:after="0" w:line="202" w:lineRule="exact"/>
              <w:rPr>
                <w:sz w:val="20"/>
                <w:szCs w:val="20"/>
                <w:color w:val="auto"/>
              </w:rPr>
            </w:pPr>
            <w:r>
              <w:rPr>
                <w:rFonts w:ascii="Arial" w:cs="Arial" w:eastAsia="Arial" w:hAnsi="Arial"/>
                <w:sz w:val="18"/>
                <w:szCs w:val="18"/>
                <w:color w:val="auto"/>
              </w:rPr>
              <w:t>9.67</w:t>
            </w:r>
          </w:p>
        </w:tc>
        <w:tc>
          <w:tcPr>
            <w:tcW w:w="2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177,962</w:t>
            </w:r>
          </w:p>
        </w:tc>
      </w:tr>
      <w:tr>
        <w:trPr>
          <w:trHeight w:val="203"/>
        </w:trPr>
        <w:tc>
          <w:tcPr>
            <w:tcW w:w="4740" w:type="dxa"/>
            <w:vAlign w:val="bottom"/>
          </w:tcPr>
          <w:p>
            <w:pPr>
              <w:ind w:left="120"/>
              <w:spacing w:after="0" w:line="202" w:lineRule="exact"/>
              <w:rPr>
                <w:sz w:val="20"/>
                <w:szCs w:val="20"/>
                <w:color w:val="auto"/>
              </w:rPr>
            </w:pPr>
            <w:r>
              <w:rPr>
                <w:rFonts w:ascii="Arial" w:cs="Arial" w:eastAsia="Arial" w:hAnsi="Arial"/>
                <w:sz w:val="18"/>
                <w:szCs w:val="18"/>
                <w:color w:val="auto"/>
              </w:rPr>
              <w:t>Granted</w:t>
            </w:r>
          </w:p>
        </w:tc>
        <w:tc>
          <w:tcPr>
            <w:tcW w:w="1040" w:type="dxa"/>
            <w:vAlign w:val="bottom"/>
          </w:tcPr>
          <w:p>
            <w:pPr>
              <w:jc w:val="right"/>
              <w:ind w:right="94"/>
              <w:spacing w:after="0" w:line="202" w:lineRule="exact"/>
              <w:rPr>
                <w:sz w:val="20"/>
                <w:szCs w:val="20"/>
                <w:color w:val="auto"/>
              </w:rPr>
            </w:pPr>
            <w:r>
              <w:rPr>
                <w:rFonts w:ascii="Arial" w:cs="Arial" w:eastAsia="Arial" w:hAnsi="Arial"/>
                <w:sz w:val="18"/>
                <w:szCs w:val="18"/>
                <w:color w:val="auto"/>
              </w:rPr>
              <w:t>882,233</w:t>
            </w:r>
          </w:p>
        </w:tc>
        <w:tc>
          <w:tcPr>
            <w:tcW w:w="220" w:type="dxa"/>
            <w:vAlign w:val="bottom"/>
          </w:tcPr>
          <w:p>
            <w:pPr>
              <w:spacing w:after="0"/>
              <w:rPr>
                <w:sz w:val="17"/>
                <w:szCs w:val="17"/>
                <w:color w:val="auto"/>
              </w:rPr>
            </w:pPr>
          </w:p>
        </w:tc>
        <w:tc>
          <w:tcPr>
            <w:tcW w:w="6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37.12</w:t>
            </w:r>
          </w:p>
        </w:tc>
        <w:tc>
          <w:tcPr>
            <w:tcW w:w="1020" w:type="dxa"/>
            <w:vAlign w:val="bottom"/>
          </w:tcPr>
          <w:p>
            <w:pPr>
              <w:jc w:val="right"/>
              <w:ind w:right="77"/>
              <w:spacing w:after="0" w:line="202" w:lineRule="exact"/>
              <w:rPr>
                <w:sz w:val="20"/>
                <w:szCs w:val="20"/>
                <w:color w:val="auto"/>
              </w:rPr>
            </w:pPr>
            <w:r>
              <w:rPr>
                <w:rFonts w:ascii="Arial" w:cs="Arial" w:eastAsia="Arial" w:hAnsi="Arial"/>
                <w:sz w:val="18"/>
                <w:szCs w:val="18"/>
                <w:color w:val="auto"/>
              </w:rPr>
              <w:t>9.69</w:t>
            </w:r>
          </w:p>
        </w:tc>
        <w:tc>
          <w:tcPr>
            <w:tcW w:w="2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7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Exercised(1)</w:t>
            </w:r>
          </w:p>
        </w:tc>
        <w:tc>
          <w:tcPr>
            <w:tcW w:w="104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(76,993)</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2.49</w:t>
            </w:r>
          </w:p>
        </w:tc>
        <w:tc>
          <w:tcPr>
            <w:tcW w:w="1020" w:type="dxa"/>
            <w:vAlign w:val="bottom"/>
            <w:shd w:val="clear" w:color="auto" w:fill="CCEEFF"/>
          </w:tcPr>
          <w:p>
            <w:pPr>
              <w:jc w:val="right"/>
              <w:ind w:right="77"/>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74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Forfeited</w:t>
            </w:r>
          </w:p>
        </w:tc>
        <w:tc>
          <w:tcPr>
            <w:tcW w:w="104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(6,693)</w:t>
            </w: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72"/>
              <w:spacing w:after="0" w:line="202" w:lineRule="exact"/>
              <w:rPr>
                <w:sz w:val="20"/>
                <w:szCs w:val="20"/>
                <w:color w:val="auto"/>
              </w:rPr>
            </w:pPr>
            <w:r>
              <w:rPr>
                <w:rFonts w:ascii="Arial" w:cs="Arial" w:eastAsia="Arial" w:hAnsi="Arial"/>
                <w:sz w:val="18"/>
                <w:szCs w:val="18"/>
                <w:color w:val="auto"/>
              </w:rPr>
              <w:t>39.03</w:t>
            </w:r>
          </w:p>
        </w:tc>
        <w:tc>
          <w:tcPr>
            <w:tcW w:w="1020" w:type="dxa"/>
            <w:vAlign w:val="bottom"/>
            <w:tcBorders>
              <w:bottom w:val="single" w:sz="8" w:color="auto"/>
            </w:tcBorders>
          </w:tcPr>
          <w:p>
            <w:pPr>
              <w:jc w:val="right"/>
              <w:ind w:right="77"/>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47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Outstanding as of June 30, 2021(2)</w:t>
            </w:r>
          </w:p>
        </w:tc>
        <w:tc>
          <w:tcPr>
            <w:tcW w:w="1040" w:type="dxa"/>
            <w:vAlign w:val="bottom"/>
            <w:tcBorders>
              <w:bottom w:val="single" w:sz="8" w:color="auto"/>
            </w:tcBorders>
            <w:shd w:val="clear" w:color="auto" w:fill="CCEEFF"/>
          </w:tcPr>
          <w:p>
            <w:pPr>
              <w:jc w:val="right"/>
              <w:ind w:right="94"/>
              <w:spacing w:after="0" w:line="196" w:lineRule="exact"/>
              <w:rPr>
                <w:sz w:val="20"/>
                <w:szCs w:val="20"/>
                <w:color w:val="auto"/>
              </w:rPr>
            </w:pPr>
            <w:r>
              <w:rPr>
                <w:rFonts w:ascii="Arial" w:cs="Arial" w:eastAsia="Arial" w:hAnsi="Arial"/>
                <w:sz w:val="18"/>
                <w:szCs w:val="18"/>
                <w:color w:val="auto"/>
              </w:rPr>
              <w:t>5,575,455</w:t>
            </w:r>
          </w:p>
        </w:tc>
        <w:tc>
          <w:tcPr>
            <w:tcW w:w="220" w:type="dxa"/>
            <w:vAlign w:val="bottom"/>
            <w:tcBorders>
              <w:bottom w:val="single" w:sz="8" w:color="auto"/>
            </w:tcBorders>
            <w:shd w:val="clear" w:color="auto" w:fill="CCEEFF"/>
          </w:tcPr>
          <w:p>
            <w:pPr>
              <w:ind w:left="100"/>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rPr>
              <w:t>15.07</w:t>
            </w:r>
          </w:p>
        </w:tc>
        <w:tc>
          <w:tcPr>
            <w:tcW w:w="1020" w:type="dxa"/>
            <w:vAlign w:val="bottom"/>
            <w:tcBorders>
              <w:bottom w:val="single" w:sz="8" w:color="auto"/>
            </w:tcBorders>
            <w:shd w:val="clear" w:color="auto" w:fill="CCEEFF"/>
          </w:tcPr>
          <w:p>
            <w:pPr>
              <w:jc w:val="right"/>
              <w:ind w:right="77"/>
              <w:spacing w:after="0" w:line="196" w:lineRule="exact"/>
              <w:rPr>
                <w:sz w:val="20"/>
                <w:szCs w:val="20"/>
                <w:color w:val="auto"/>
              </w:rPr>
            </w:pPr>
            <w:r>
              <w:rPr>
                <w:rFonts w:ascii="Arial" w:cs="Arial" w:eastAsia="Arial" w:hAnsi="Arial"/>
                <w:sz w:val="18"/>
                <w:szCs w:val="18"/>
                <w:color w:val="auto"/>
              </w:rPr>
              <w:t>9.26</w:t>
            </w:r>
          </w:p>
        </w:tc>
        <w:tc>
          <w:tcPr>
            <w:tcW w:w="280" w:type="dxa"/>
            <w:vAlign w:val="bottom"/>
            <w:tcBorders>
              <w:bottom w:val="single" w:sz="8" w:color="auto"/>
            </w:tcBorders>
            <w:shd w:val="clear" w:color="auto" w:fill="CCEEFF"/>
          </w:tcPr>
          <w:p>
            <w:pPr>
              <w:ind w:left="140"/>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80,761</w:t>
            </w:r>
          </w:p>
        </w:tc>
      </w:tr>
      <w:tr>
        <w:trPr>
          <w:trHeight w:val="20"/>
        </w:trPr>
        <w:tc>
          <w:tcPr>
            <w:tcW w:w="4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4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3"/>
        </w:trPr>
        <w:tc>
          <w:tcPr>
            <w:tcW w:w="4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Options vested and exercisable as of June 30, 2021</w:t>
            </w:r>
          </w:p>
        </w:tc>
        <w:tc>
          <w:tcPr>
            <w:tcW w:w="104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661,821</w:t>
            </w:r>
          </w:p>
        </w:tc>
        <w:tc>
          <w:tcPr>
            <w:tcW w:w="2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7.24</w:t>
            </w:r>
          </w:p>
        </w:tc>
        <w:tc>
          <w:tcPr>
            <w:tcW w:w="1020" w:type="dxa"/>
            <w:vAlign w:val="bottom"/>
            <w:shd w:val="clear" w:color="auto" w:fill="CCEEFF"/>
          </w:tcPr>
          <w:p>
            <w:pPr>
              <w:jc w:val="right"/>
              <w:ind w:right="77"/>
              <w:spacing w:after="0" w:line="202" w:lineRule="exact"/>
              <w:rPr>
                <w:sz w:val="20"/>
                <w:szCs w:val="20"/>
                <w:color w:val="auto"/>
              </w:rPr>
            </w:pPr>
            <w:r>
              <w:rPr>
                <w:rFonts w:ascii="Arial" w:cs="Arial" w:eastAsia="Arial" w:hAnsi="Arial"/>
                <w:sz w:val="18"/>
                <w:szCs w:val="18"/>
                <w:color w:val="auto"/>
              </w:rPr>
              <w:t>8.55</w:t>
            </w:r>
          </w:p>
        </w:tc>
        <w:tc>
          <w:tcPr>
            <w:tcW w:w="2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13,760</w:t>
            </w:r>
          </w:p>
        </w:tc>
      </w:tr>
      <w:tr>
        <w:trPr>
          <w:trHeight w:val="203"/>
        </w:trPr>
        <w:tc>
          <w:tcPr>
            <w:tcW w:w="47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Options expected to vest as of June 30, 2021</w:t>
            </w:r>
          </w:p>
        </w:tc>
        <w:tc>
          <w:tcPr>
            <w:tcW w:w="1040" w:type="dxa"/>
            <w:vAlign w:val="bottom"/>
            <w:tcBorders>
              <w:bottom w:val="single" w:sz="8" w:color="auto"/>
            </w:tcBorders>
          </w:tcPr>
          <w:p>
            <w:pPr>
              <w:jc w:val="right"/>
              <w:ind w:right="94"/>
              <w:spacing w:after="0" w:line="202" w:lineRule="exact"/>
              <w:rPr>
                <w:sz w:val="20"/>
                <w:szCs w:val="20"/>
                <w:color w:val="auto"/>
              </w:rPr>
            </w:pPr>
            <w:r>
              <w:rPr>
                <w:rFonts w:ascii="Arial" w:cs="Arial" w:eastAsia="Arial" w:hAnsi="Arial"/>
                <w:sz w:val="18"/>
                <w:szCs w:val="18"/>
                <w:color w:val="auto"/>
              </w:rPr>
              <w:t>4,913,634</w:t>
            </w:r>
          </w:p>
        </w:tc>
        <w:tc>
          <w:tcPr>
            <w:tcW w:w="220" w:type="dxa"/>
            <w:vAlign w:val="bottom"/>
            <w:tcBorders>
              <w:bottom w:val="single" w:sz="8" w:color="auto"/>
            </w:tcBorders>
          </w:tcPr>
          <w:p>
            <w:pPr>
              <w:ind w:left="100"/>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72"/>
              <w:spacing w:after="0" w:line="202" w:lineRule="exact"/>
              <w:rPr>
                <w:sz w:val="20"/>
                <w:szCs w:val="20"/>
                <w:color w:val="auto"/>
              </w:rPr>
            </w:pPr>
            <w:r>
              <w:rPr>
                <w:rFonts w:ascii="Arial" w:cs="Arial" w:eastAsia="Arial" w:hAnsi="Arial"/>
                <w:sz w:val="18"/>
                <w:szCs w:val="18"/>
                <w:color w:val="auto"/>
              </w:rPr>
              <w:t>16.12</w:t>
            </w:r>
          </w:p>
        </w:tc>
        <w:tc>
          <w:tcPr>
            <w:tcW w:w="1020" w:type="dxa"/>
            <w:vAlign w:val="bottom"/>
            <w:tcBorders>
              <w:bottom w:val="single" w:sz="8" w:color="auto"/>
            </w:tcBorders>
          </w:tcPr>
          <w:p>
            <w:pPr>
              <w:jc w:val="right"/>
              <w:ind w:right="77"/>
              <w:spacing w:after="0" w:line="202" w:lineRule="exact"/>
              <w:rPr>
                <w:sz w:val="20"/>
                <w:szCs w:val="20"/>
                <w:color w:val="auto"/>
              </w:rPr>
            </w:pPr>
            <w:r>
              <w:rPr>
                <w:rFonts w:ascii="Arial" w:cs="Arial" w:eastAsia="Arial" w:hAnsi="Arial"/>
                <w:sz w:val="18"/>
                <w:szCs w:val="18"/>
                <w:color w:val="auto"/>
              </w:rPr>
              <w:t>9.36</w:t>
            </w:r>
          </w:p>
        </w:tc>
        <w:tc>
          <w:tcPr>
            <w:tcW w:w="280" w:type="dxa"/>
            <w:vAlign w:val="bottom"/>
            <w:tcBorders>
              <w:bottom w:val="single" w:sz="8" w:color="auto"/>
            </w:tcBorders>
          </w:tcPr>
          <w:p>
            <w:pPr>
              <w:ind w:left="140"/>
              <w:spacing w:after="0" w:line="202"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67,001</w:t>
            </w: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380" w:hanging="330"/>
        <w:spacing w:after="0"/>
        <w:tabs>
          <w:tab w:leader="none" w:pos="380" w:val="left"/>
        </w:tabs>
        <w:numPr>
          <w:ilvl w:val="0"/>
          <w:numId w:val="10"/>
        </w:numPr>
        <w:rPr>
          <w:rFonts w:ascii="Arial" w:cs="Arial" w:eastAsia="Arial" w:hAnsi="Arial"/>
          <w:sz w:val="14"/>
          <w:szCs w:val="14"/>
          <w:color w:val="231F20"/>
        </w:rPr>
      </w:pPr>
      <w:r>
        <w:rPr>
          <w:rFonts w:ascii="Arial" w:cs="Arial" w:eastAsia="Arial" w:hAnsi="Arial"/>
          <w:sz w:val="14"/>
          <w:szCs w:val="14"/>
          <w:color w:val="231F20"/>
        </w:rPr>
        <w:t>Exercised amount includes vesting of early exercised options.</w:t>
      </w:r>
    </w:p>
    <w:p>
      <w:pPr>
        <w:spacing w:after="0" w:line="217" w:lineRule="exact"/>
        <w:rPr>
          <w:rFonts w:ascii="Arial" w:cs="Arial" w:eastAsia="Arial" w:hAnsi="Arial"/>
          <w:sz w:val="14"/>
          <w:szCs w:val="14"/>
          <w:color w:val="231F20"/>
        </w:rPr>
      </w:pPr>
    </w:p>
    <w:p>
      <w:pPr>
        <w:ind w:left="380" w:hanging="330"/>
        <w:spacing w:after="0"/>
        <w:tabs>
          <w:tab w:leader="none" w:pos="380" w:val="left"/>
        </w:tabs>
        <w:numPr>
          <w:ilvl w:val="0"/>
          <w:numId w:val="10"/>
        </w:numPr>
        <w:rPr>
          <w:rFonts w:ascii="Arial" w:cs="Arial" w:eastAsia="Arial" w:hAnsi="Arial"/>
          <w:sz w:val="14"/>
          <w:szCs w:val="14"/>
          <w:color w:val="231F20"/>
        </w:rPr>
      </w:pPr>
      <w:r>
        <w:rPr>
          <w:rFonts w:ascii="Arial" w:cs="Arial" w:eastAsia="Arial" w:hAnsi="Arial"/>
          <w:sz w:val="14"/>
          <w:szCs w:val="14"/>
          <w:color w:val="231F20"/>
        </w:rPr>
        <w:t>Balance as of June 30, 2021 includes 112,227 unvested early exercised stock options.</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Early Exercise of Stock Options</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September 2020, one employee and one non-employee paid $ 0.6 million to early exercise 135,525 options with exercise prices ranging from $4.406 per share to $4.824 per share. As of June 30, 2021, 23,298 of such shares had vested with the remaining shares vesting over their respective terms. The terms of the 2014 Plan permit certain option holders to exercise options before their options are vested, subject to certain limitations. The early exercised options are subject to the same vesting provisions in the original stock option awards. Shares issued as a result of early exercise that have not vested are subject to repurchase by the Company upon termination of the purchaser’s employment, at the price paid by the purchaser. Such shares are not deemed to be outstanding for accounting purposes until they vest and are therefore excluded from shares outstanding and from basic and diluted net loss per share until the repurchase right lapses and the shares are no longer subject to the repurchase feature. A liability is recognized related to the cash proceeds of the unvested options and is reclassified into common stock and additional paid-in capital as the shares vest and the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repurchase right lapses. Accordingly, the Company has recorded the unvested portion of the exercise proceeds of $0.5 million in other current liabilities as of June 30, 2021.</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 Awards</w:t>
      </w:r>
    </w:p>
    <w:p>
      <w:pPr>
        <w:spacing w:after="0" w:line="23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June 2020, the Company granted to certain employees 789,095 shares of restricted common stock (the “RSAs”) under the 2014 Plan as consideration for services with a deemed value of $2.40 per share, or $1.9 million. The following table summarizes the restricted stock activity under the Plan during the six months ended June 30, 2021:</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980" w:type="dxa"/>
            <w:vAlign w:val="bottom"/>
            <w:tcBorders>
              <w:top w:val="single" w:sz="8" w:color="auto"/>
              <w:bottom w:val="single" w:sz="8" w:color="CCEEFF"/>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231F20"/>
              </w:rPr>
              <w:t>Number of Shares</w:t>
            </w:r>
          </w:p>
        </w:tc>
        <w:tc>
          <w:tcPr>
            <w:tcW w:w="1600" w:type="dxa"/>
            <w:vAlign w:val="bottom"/>
            <w:tcBorders>
              <w:top w:val="single" w:sz="8" w:color="auto"/>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231F20"/>
              </w:rPr>
              <w:t>Grant Date Fair Value</w:t>
            </w:r>
          </w:p>
        </w:tc>
      </w:tr>
      <w:tr>
        <w:trPr>
          <w:trHeight w:val="196"/>
        </w:trPr>
        <w:tc>
          <w:tcPr>
            <w:tcW w:w="5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231F20"/>
              </w:rPr>
              <w:t>Unvested restricted stock as of December 31, 2020</w:t>
            </w:r>
          </w:p>
        </w:tc>
        <w:tc>
          <w:tcPr>
            <w:tcW w:w="1380" w:type="dxa"/>
            <w:vAlign w:val="bottom"/>
            <w:shd w:val="clear" w:color="auto" w:fill="CCEEFF"/>
          </w:tcPr>
          <w:p>
            <w:pPr>
              <w:jc w:val="right"/>
              <w:ind w:right="93"/>
              <w:spacing w:after="0" w:line="196" w:lineRule="exact"/>
              <w:rPr>
                <w:sz w:val="20"/>
                <w:szCs w:val="20"/>
                <w:color w:val="auto"/>
              </w:rPr>
            </w:pPr>
            <w:r>
              <w:rPr>
                <w:rFonts w:ascii="Arial" w:cs="Arial" w:eastAsia="Arial" w:hAnsi="Arial"/>
                <w:sz w:val="18"/>
                <w:szCs w:val="18"/>
                <w:color w:val="231F20"/>
              </w:rPr>
              <w:t>735,294</w:t>
            </w:r>
          </w:p>
        </w:tc>
        <w:tc>
          <w:tcPr>
            <w:tcW w:w="700" w:type="dxa"/>
            <w:vAlign w:val="bottom"/>
            <w:gridSpan w:val="2"/>
            <w:shd w:val="clear" w:color="auto" w:fill="CCEEFF"/>
          </w:tcPr>
          <w:p>
            <w:pPr>
              <w:ind w:left="120"/>
              <w:spacing w:after="0" w:line="196" w:lineRule="exact"/>
              <w:rPr>
                <w:sz w:val="20"/>
                <w:szCs w:val="20"/>
                <w:color w:val="auto"/>
              </w:rPr>
            </w:pPr>
            <w:r>
              <w:rPr>
                <w:rFonts w:ascii="Arial" w:cs="Arial" w:eastAsia="Arial" w:hAnsi="Arial"/>
                <w:sz w:val="18"/>
                <w:szCs w:val="18"/>
                <w:color w:val="231F20"/>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2.40</w:t>
            </w:r>
          </w:p>
        </w:tc>
      </w:tr>
      <w:tr>
        <w:trPr>
          <w:trHeight w:val="203"/>
        </w:trPr>
        <w:tc>
          <w:tcPr>
            <w:tcW w:w="5980" w:type="dxa"/>
            <w:vAlign w:val="bottom"/>
          </w:tcPr>
          <w:p>
            <w:pPr>
              <w:ind w:left="120"/>
              <w:spacing w:after="0" w:line="202" w:lineRule="exact"/>
              <w:rPr>
                <w:sz w:val="20"/>
                <w:szCs w:val="20"/>
                <w:color w:val="auto"/>
              </w:rPr>
            </w:pPr>
            <w:r>
              <w:rPr>
                <w:rFonts w:ascii="Arial" w:cs="Arial" w:eastAsia="Arial" w:hAnsi="Arial"/>
                <w:sz w:val="18"/>
                <w:szCs w:val="18"/>
                <w:color w:val="231F20"/>
              </w:rPr>
              <w:t>Granted</w:t>
            </w:r>
          </w:p>
        </w:tc>
        <w:tc>
          <w:tcPr>
            <w:tcW w:w="1380" w:type="dxa"/>
            <w:vAlign w:val="bottom"/>
          </w:tcPr>
          <w:p>
            <w:pPr>
              <w:jc w:val="right"/>
              <w:ind w:right="93"/>
              <w:spacing w:after="0" w:line="202" w:lineRule="exact"/>
              <w:rPr>
                <w:sz w:val="20"/>
                <w:szCs w:val="20"/>
                <w:color w:val="auto"/>
              </w:rPr>
            </w:pPr>
            <w:r>
              <w:rPr>
                <w:rFonts w:ascii="Arial" w:cs="Arial" w:eastAsia="Arial" w:hAnsi="Arial"/>
                <w:sz w:val="18"/>
                <w:szCs w:val="18"/>
                <w:color w:val="231F20"/>
              </w:rPr>
              <w:t>—</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231F20"/>
              </w:rPr>
              <w:t>—</w:t>
            </w:r>
          </w:p>
        </w:tc>
      </w:tr>
      <w:tr>
        <w:trPr>
          <w:trHeight w:val="203"/>
        </w:trPr>
        <w:tc>
          <w:tcPr>
            <w:tcW w:w="59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231F20"/>
              </w:rPr>
              <w:t>Vested</w:t>
            </w:r>
          </w:p>
        </w:tc>
        <w:tc>
          <w:tcPr>
            <w:tcW w:w="138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231F20"/>
              </w:rPr>
              <w:t>(143,472)</w:t>
            </w: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2.40</w:t>
            </w:r>
          </w:p>
        </w:tc>
      </w:tr>
      <w:tr>
        <w:trPr>
          <w:trHeight w:val="203"/>
        </w:trPr>
        <w:tc>
          <w:tcPr>
            <w:tcW w:w="598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231F20"/>
              </w:rPr>
              <w:t>Forfeited</w:t>
            </w:r>
          </w:p>
        </w:tc>
        <w:tc>
          <w:tcPr>
            <w:tcW w:w="1380" w:type="dxa"/>
            <w:vAlign w:val="bottom"/>
            <w:tcBorders>
              <w:bottom w:val="single" w:sz="8" w:color="231F20"/>
            </w:tcBorders>
          </w:tcPr>
          <w:p>
            <w:pPr>
              <w:jc w:val="right"/>
              <w:ind w:right="93"/>
              <w:spacing w:after="0" w:line="202" w:lineRule="exact"/>
              <w:rPr>
                <w:sz w:val="20"/>
                <w:szCs w:val="20"/>
                <w:color w:val="auto"/>
              </w:rPr>
            </w:pPr>
            <w:r>
              <w:rPr>
                <w:rFonts w:ascii="Arial" w:cs="Arial" w:eastAsia="Arial" w:hAnsi="Arial"/>
                <w:sz w:val="18"/>
                <w:szCs w:val="18"/>
                <w:color w:val="231F20"/>
              </w:rPr>
              <w:t>—</w:t>
            </w:r>
          </w:p>
        </w:tc>
        <w:tc>
          <w:tcPr>
            <w:tcW w:w="220" w:type="dxa"/>
            <w:vAlign w:val="bottom"/>
            <w:tcBorders>
              <w:bottom w:val="single" w:sz="8" w:color="231F20"/>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231F20"/>
              </w:rPr>
              <w:t>—</w:t>
            </w:r>
          </w:p>
        </w:tc>
      </w:tr>
      <w:tr>
        <w:trPr>
          <w:trHeight w:val="196"/>
        </w:trPr>
        <w:tc>
          <w:tcPr>
            <w:tcW w:w="598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231F20"/>
              </w:rPr>
              <w:t>Unvested restricted stock as of June 30, 2021</w:t>
            </w:r>
          </w:p>
        </w:tc>
        <w:tc>
          <w:tcPr>
            <w:tcW w:w="1380" w:type="dxa"/>
            <w:vAlign w:val="bottom"/>
            <w:tcBorders>
              <w:bottom w:val="single" w:sz="8" w:color="auto"/>
            </w:tcBorders>
            <w:shd w:val="clear" w:color="auto" w:fill="CCEEFF"/>
          </w:tcPr>
          <w:p>
            <w:pPr>
              <w:jc w:val="right"/>
              <w:ind w:right="93"/>
              <w:spacing w:after="0" w:line="196" w:lineRule="exact"/>
              <w:rPr>
                <w:sz w:val="20"/>
                <w:szCs w:val="20"/>
                <w:color w:val="auto"/>
              </w:rPr>
            </w:pPr>
            <w:r>
              <w:rPr>
                <w:rFonts w:ascii="Arial" w:cs="Arial" w:eastAsia="Arial" w:hAnsi="Arial"/>
                <w:sz w:val="18"/>
                <w:szCs w:val="18"/>
                <w:color w:val="231F20"/>
              </w:rPr>
              <w:t>591,822</w:t>
            </w:r>
          </w:p>
        </w:tc>
        <w:tc>
          <w:tcPr>
            <w:tcW w:w="220" w:type="dxa"/>
            <w:vAlign w:val="bottom"/>
            <w:tcBorders>
              <w:bottom w:val="single" w:sz="8" w:color="auto"/>
            </w:tcBorders>
            <w:shd w:val="clear" w:color="auto" w:fill="CCEEFF"/>
          </w:tcPr>
          <w:p>
            <w:pPr>
              <w:ind w:left="120"/>
              <w:spacing w:after="0" w:line="196" w:lineRule="exact"/>
              <w:rPr>
                <w:sz w:val="20"/>
                <w:szCs w:val="20"/>
                <w:color w:val="auto"/>
              </w:rPr>
            </w:pPr>
            <w:r>
              <w:rPr>
                <w:rFonts w:ascii="Arial" w:cs="Arial" w:eastAsia="Arial" w:hAnsi="Arial"/>
                <w:sz w:val="18"/>
                <w:szCs w:val="18"/>
                <w:color w:val="231F20"/>
                <w:w w:val="79"/>
              </w:rPr>
              <w:t>$</w:t>
            </w:r>
          </w:p>
        </w:tc>
        <w:tc>
          <w:tcPr>
            <w:tcW w:w="4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2.40</w:t>
            </w:r>
          </w:p>
        </w:tc>
      </w:tr>
      <w:tr>
        <w:trPr>
          <w:trHeight w:val="20"/>
        </w:trPr>
        <w:tc>
          <w:tcPr>
            <w:tcW w:w="59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Stock-Based Compensation Expense</w:t>
      </w:r>
    </w:p>
    <w:p>
      <w:pPr>
        <w:spacing w:after="0" w:line="23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Stock-based compensation expense related to awards granted under the 2014 Plan, including the RSAs, the 2020 Plan and the 2020 ESPP was classified in the statements of operations and comprehensive loss as follows (in thousands):</w:t>
      </w:r>
    </w:p>
    <w:p>
      <w:pPr>
        <w:spacing w:after="0" w:line="19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52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920" w:type="dxa"/>
            <w:vAlign w:val="bottom"/>
            <w:tcBorders>
              <w:top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600" w:type="dxa"/>
            <w:vAlign w:val="bottom"/>
            <w:tcBorders>
              <w:top w:val="single" w:sz="8" w:color="auto"/>
            </w:tcBorders>
            <w:gridSpan w:val="3"/>
          </w:tcPr>
          <w:p>
            <w:pPr>
              <w:jc w:val="right"/>
              <w:ind w:right="95"/>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5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5"/>
                <w:szCs w:val="15"/>
                <w:color w:val="auto"/>
              </w:rPr>
            </w:pPr>
          </w:p>
        </w:tc>
      </w:tr>
      <w:tr>
        <w:trPr>
          <w:trHeight w:val="156"/>
        </w:trPr>
        <w:tc>
          <w:tcPr>
            <w:tcW w:w="52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231F20"/>
              </w:rPr>
              <w:t>2021</w:t>
            </w:r>
          </w:p>
        </w:tc>
        <w:tc>
          <w:tcPr>
            <w:tcW w:w="3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231F20"/>
              </w:rPr>
              <w:t>2020</w:t>
            </w:r>
          </w:p>
        </w:tc>
        <w:tc>
          <w:tcPr>
            <w:tcW w:w="20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231F20"/>
              </w:rPr>
              <w:t>2021</w:t>
            </w:r>
          </w:p>
        </w:tc>
        <w:tc>
          <w:tcPr>
            <w:tcW w:w="3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231F20"/>
                <w:w w:val="96"/>
              </w:rPr>
              <w:t>2020</w:t>
            </w: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231F20"/>
              </w:rPr>
              <w:t>Research and development</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w w:val="79"/>
              </w:rPr>
              <w:t>$</w:t>
            </w:r>
          </w:p>
        </w:tc>
        <w:tc>
          <w:tcPr>
            <w:tcW w:w="720" w:type="dxa"/>
            <w:vAlign w:val="bottom"/>
            <w:shd w:val="clear" w:color="auto" w:fill="CCEEFF"/>
          </w:tcPr>
          <w:p>
            <w:pPr>
              <w:jc w:val="right"/>
              <w:ind w:right="59"/>
              <w:spacing w:after="0" w:line="196" w:lineRule="exact"/>
              <w:rPr>
                <w:sz w:val="20"/>
                <w:szCs w:val="20"/>
                <w:color w:val="auto"/>
              </w:rPr>
            </w:pPr>
            <w:r>
              <w:rPr>
                <w:rFonts w:ascii="Arial" w:cs="Arial" w:eastAsia="Arial" w:hAnsi="Arial"/>
                <w:sz w:val="18"/>
                <w:szCs w:val="18"/>
                <w:color w:val="231F20"/>
              </w:rPr>
              <w:t>2,288</w:t>
            </w:r>
          </w:p>
        </w:tc>
        <w:tc>
          <w:tcPr>
            <w:tcW w:w="36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231F20"/>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103</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9"/>
              <w:spacing w:after="0" w:line="196" w:lineRule="exact"/>
              <w:rPr>
                <w:sz w:val="20"/>
                <w:szCs w:val="20"/>
                <w:color w:val="auto"/>
              </w:rPr>
            </w:pPr>
            <w:r>
              <w:rPr>
                <w:rFonts w:ascii="Arial" w:cs="Arial" w:eastAsia="Arial" w:hAnsi="Arial"/>
                <w:sz w:val="18"/>
                <w:szCs w:val="18"/>
                <w:color w:val="231F20"/>
              </w:rPr>
              <w:t>$ 4,022</w:t>
            </w:r>
          </w:p>
        </w:tc>
        <w:tc>
          <w:tcPr>
            <w:tcW w:w="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103</w:t>
            </w:r>
          </w:p>
        </w:tc>
      </w:tr>
      <w:tr>
        <w:trPr>
          <w:trHeight w:val="203"/>
        </w:trPr>
        <w:tc>
          <w:tcPr>
            <w:tcW w:w="52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231F20"/>
              </w:rPr>
              <w:t>General and administrative</w:t>
            </w:r>
          </w:p>
        </w:tc>
        <w:tc>
          <w:tcPr>
            <w:tcW w:w="160" w:type="dxa"/>
            <w:vAlign w:val="bottom"/>
            <w:tcBorders>
              <w:bottom w:val="single" w:sz="8" w:color="231F20"/>
            </w:tcBorders>
          </w:tcPr>
          <w:p>
            <w:pPr>
              <w:spacing w:after="0"/>
              <w:rPr>
                <w:sz w:val="17"/>
                <w:szCs w:val="17"/>
                <w:color w:val="auto"/>
              </w:rPr>
            </w:pPr>
          </w:p>
        </w:tc>
        <w:tc>
          <w:tcPr>
            <w:tcW w:w="720" w:type="dxa"/>
            <w:vAlign w:val="bottom"/>
            <w:tcBorders>
              <w:bottom w:val="single" w:sz="8" w:color="231F20"/>
            </w:tcBorders>
          </w:tcPr>
          <w:p>
            <w:pPr>
              <w:jc w:val="right"/>
              <w:ind w:right="59"/>
              <w:spacing w:after="0" w:line="202" w:lineRule="exact"/>
              <w:rPr>
                <w:sz w:val="20"/>
                <w:szCs w:val="20"/>
                <w:color w:val="auto"/>
              </w:rPr>
            </w:pPr>
            <w:r>
              <w:rPr>
                <w:rFonts w:ascii="Arial" w:cs="Arial" w:eastAsia="Arial" w:hAnsi="Arial"/>
                <w:sz w:val="18"/>
                <w:szCs w:val="18"/>
                <w:color w:val="231F20"/>
              </w:rPr>
              <w:t>1,633</w:t>
            </w:r>
          </w:p>
        </w:tc>
        <w:tc>
          <w:tcPr>
            <w:tcW w:w="360" w:type="dxa"/>
            <w:vAlign w:val="bottom"/>
            <w:tcBorders>
              <w:bottom w:val="single" w:sz="8" w:color="231F20"/>
            </w:tcBorders>
          </w:tcPr>
          <w:p>
            <w:pPr>
              <w:spacing w:after="0"/>
              <w:rPr>
                <w:sz w:val="17"/>
                <w:szCs w:val="17"/>
                <w:color w:val="auto"/>
              </w:rPr>
            </w:pPr>
          </w:p>
        </w:tc>
        <w:tc>
          <w:tcPr>
            <w:tcW w:w="640" w:type="dxa"/>
            <w:vAlign w:val="bottom"/>
            <w:tcBorders>
              <w:bottom w:val="single" w:sz="8" w:color="231F20"/>
            </w:tcBorders>
          </w:tcPr>
          <w:p>
            <w:pPr>
              <w:jc w:val="right"/>
              <w:spacing w:after="0" w:line="202" w:lineRule="exact"/>
              <w:rPr>
                <w:sz w:val="20"/>
                <w:szCs w:val="20"/>
                <w:color w:val="auto"/>
              </w:rPr>
            </w:pPr>
            <w:r>
              <w:rPr>
                <w:rFonts w:ascii="Arial" w:cs="Arial" w:eastAsia="Arial" w:hAnsi="Arial"/>
                <w:sz w:val="18"/>
                <w:szCs w:val="18"/>
                <w:color w:val="231F20"/>
              </w:rPr>
              <w:t>51</w:t>
            </w:r>
          </w:p>
        </w:tc>
        <w:tc>
          <w:tcPr>
            <w:tcW w:w="200" w:type="dxa"/>
            <w:vAlign w:val="bottom"/>
            <w:tcBorders>
              <w:bottom w:val="single" w:sz="8" w:color="CCEEFF"/>
            </w:tcBorders>
          </w:tcPr>
          <w:p>
            <w:pPr>
              <w:spacing w:after="0"/>
              <w:rPr>
                <w:sz w:val="17"/>
                <w:szCs w:val="17"/>
                <w:color w:val="auto"/>
              </w:rPr>
            </w:pPr>
          </w:p>
        </w:tc>
        <w:tc>
          <w:tcPr>
            <w:tcW w:w="780" w:type="dxa"/>
            <w:vAlign w:val="bottom"/>
            <w:tcBorders>
              <w:bottom w:val="single" w:sz="8" w:color="231F20"/>
            </w:tcBorders>
          </w:tcPr>
          <w:p>
            <w:pPr>
              <w:jc w:val="right"/>
              <w:ind w:right="59"/>
              <w:spacing w:after="0" w:line="202" w:lineRule="exact"/>
              <w:rPr>
                <w:sz w:val="20"/>
                <w:szCs w:val="20"/>
                <w:color w:val="auto"/>
              </w:rPr>
            </w:pPr>
            <w:r>
              <w:rPr>
                <w:rFonts w:ascii="Arial" w:cs="Arial" w:eastAsia="Arial" w:hAnsi="Arial"/>
                <w:sz w:val="18"/>
                <w:szCs w:val="18"/>
                <w:color w:val="231F20"/>
              </w:rPr>
              <w:t>3,107</w:t>
            </w:r>
          </w:p>
        </w:tc>
        <w:tc>
          <w:tcPr>
            <w:tcW w:w="300" w:type="dxa"/>
            <w:vAlign w:val="bottom"/>
            <w:tcBorders>
              <w:bottom w:val="single" w:sz="8" w:color="231F20"/>
            </w:tcBorders>
          </w:tcPr>
          <w:p>
            <w:pPr>
              <w:spacing w:after="0"/>
              <w:rPr>
                <w:sz w:val="17"/>
                <w:szCs w:val="17"/>
                <w:color w:val="auto"/>
              </w:rPr>
            </w:pPr>
          </w:p>
        </w:tc>
        <w:tc>
          <w:tcPr>
            <w:tcW w:w="520" w:type="dxa"/>
            <w:vAlign w:val="bottom"/>
            <w:tcBorders>
              <w:bottom w:val="single" w:sz="8" w:color="231F20"/>
            </w:tcBorders>
          </w:tcPr>
          <w:p>
            <w:pPr>
              <w:jc w:val="right"/>
              <w:spacing w:after="0" w:line="202" w:lineRule="exact"/>
              <w:rPr>
                <w:sz w:val="20"/>
                <w:szCs w:val="20"/>
                <w:color w:val="auto"/>
              </w:rPr>
            </w:pPr>
            <w:r>
              <w:rPr>
                <w:rFonts w:ascii="Arial" w:cs="Arial" w:eastAsia="Arial" w:hAnsi="Arial"/>
                <w:sz w:val="18"/>
                <w:szCs w:val="18"/>
                <w:color w:val="231F20"/>
              </w:rPr>
              <w:t>51</w:t>
            </w:r>
          </w:p>
        </w:tc>
      </w:tr>
      <w:tr>
        <w:trPr>
          <w:trHeight w:val="196"/>
        </w:trPr>
        <w:tc>
          <w:tcPr>
            <w:tcW w:w="52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w w:val="79"/>
              </w:rPr>
              <w:t>$</w:t>
            </w:r>
          </w:p>
        </w:tc>
        <w:tc>
          <w:tcPr>
            <w:tcW w:w="720" w:type="dxa"/>
            <w:vAlign w:val="bottom"/>
            <w:tcBorders>
              <w:bottom w:val="single" w:sz="8" w:color="auto"/>
            </w:tcBorders>
            <w:shd w:val="clear" w:color="auto" w:fill="CCEEFF"/>
          </w:tcPr>
          <w:p>
            <w:pPr>
              <w:jc w:val="right"/>
              <w:ind w:right="59"/>
              <w:spacing w:after="0" w:line="196" w:lineRule="exact"/>
              <w:rPr>
                <w:sz w:val="20"/>
                <w:szCs w:val="20"/>
                <w:color w:val="auto"/>
              </w:rPr>
            </w:pPr>
            <w:r>
              <w:rPr>
                <w:rFonts w:ascii="Arial" w:cs="Arial" w:eastAsia="Arial" w:hAnsi="Arial"/>
                <w:sz w:val="18"/>
                <w:szCs w:val="18"/>
                <w:color w:val="231F20"/>
              </w:rPr>
              <w:t>3,921</w:t>
            </w:r>
          </w:p>
        </w:tc>
        <w:tc>
          <w:tcPr>
            <w:tcW w:w="3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231F20"/>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154</w:t>
            </w: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59"/>
              <w:spacing w:after="0" w:line="196" w:lineRule="exact"/>
              <w:rPr>
                <w:sz w:val="20"/>
                <w:szCs w:val="20"/>
                <w:color w:val="auto"/>
              </w:rPr>
            </w:pPr>
            <w:r>
              <w:rPr>
                <w:rFonts w:ascii="Arial" w:cs="Arial" w:eastAsia="Arial" w:hAnsi="Arial"/>
                <w:sz w:val="18"/>
                <w:szCs w:val="18"/>
                <w:color w:val="231F20"/>
              </w:rPr>
              <w:t>$ 7,129</w:t>
            </w:r>
          </w:p>
        </w:tc>
        <w:tc>
          <w:tcPr>
            <w:tcW w:w="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w:t>
            </w: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154</w:t>
            </w: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2020 Employee Stock Purchase Plan</w:t>
      </w:r>
    </w:p>
    <w:p>
      <w:pPr>
        <w:spacing w:after="0" w:line="230"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In 2020, the Company’s board of directors and stockholders approved and adopted the 2020 ESPP. The ESPP became effective immediately prior to the date of the underwriting agreement related to the IPO. The ESPP permits eligible employees who elect to participate in an offering under the ESPP to have up to 15% of their eligible earnings withheld, subject to certain limitations, to purchase shares of common stock pursuant to the ESPP. The price of the common stock purchased under the ESPP is equal to the lesser of (i) 85% of the fair market value of a share of the Company’s common stock on the first day of an offering; or (ii) 85% of the fair market value of a share of the Company’s common stock on the date of purchase. Each offering period is not to exceed 27 months and includes one or more purchase periods (each a “Purchase Period”) as approved by the Company’s board of directors in the offering. The current offering period consists of two (2) six-month purchase periods (each a “Purchase Period”) during which payroll deductions of the participants are accumulated under the ESPP. The last business day of each Purchase Period is referred to as the “Purchase Date.” The first Purchase Period commenced on November 18, 2020 with a purchase date of May 15, 2021. The second Purchase Period commenced on May 16, 2021 with a purchase date of November 15, 2021. A total of 430,416 shares of common stock were initially reserved for issuance pursuant to the ESPP.</w:t>
      </w:r>
    </w:p>
    <w:p>
      <w:pPr>
        <w:spacing w:after="0" w:line="21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ESPP is a compensatory plan as defined by the authoritative guidance for stock-based compensation. The Company uses the Black-Scholes option-pricing model to estimate the fair value of stock offered under the ESPP. Stock-based compensation expense related to the ESPP was $0.1 million for the three and six months ended June 30, 2021.</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 Net Loss Per Share</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Loss Per Share</w:t>
      </w:r>
    </w:p>
    <w:p>
      <w:pPr>
        <w:spacing w:after="0" w:line="230" w:lineRule="exact"/>
        <w:rPr>
          <w:sz w:val="20"/>
          <w:szCs w:val="20"/>
          <w:color w:val="auto"/>
        </w:rPr>
      </w:pPr>
    </w:p>
    <w:p>
      <w:pPr>
        <w:ind w:left="60" w:right="79"/>
        <w:spacing w:after="0" w:line="246" w:lineRule="auto"/>
        <w:rPr>
          <w:sz w:val="20"/>
          <w:szCs w:val="20"/>
          <w:color w:val="auto"/>
        </w:rPr>
      </w:pPr>
      <w:r>
        <w:rPr>
          <w:rFonts w:ascii="Arial" w:cs="Arial" w:eastAsia="Arial" w:hAnsi="Arial"/>
          <w:sz w:val="18"/>
          <w:szCs w:val="18"/>
          <w:color w:val="auto"/>
        </w:rPr>
        <w:t>Basic and diluted net loss per share was calculated as follows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133985</wp:posOffset>
            </wp:positionV>
            <wp:extent cx="56489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211" w:lineRule="exact"/>
        <w:rPr>
          <w:sz w:val="20"/>
          <w:szCs w:val="20"/>
          <w:color w:val="auto"/>
        </w:rPr>
      </w:pPr>
    </w:p>
    <w:p>
      <w:pPr>
        <w:ind w:left="4300"/>
        <w:spacing w:after="0"/>
        <w:rPr>
          <w:sz w:val="20"/>
          <w:szCs w:val="20"/>
          <w:color w:val="auto"/>
        </w:rPr>
      </w:pPr>
      <w:r>
        <w:rPr>
          <w:rFonts w:ascii="Arial" w:cs="Arial" w:eastAsia="Arial" w:hAnsi="Arial"/>
          <w:sz w:val="14"/>
          <w:szCs w:val="14"/>
          <w:b w:val="1"/>
          <w:bCs w:val="1"/>
          <w:color w:val="231F20"/>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8890</wp:posOffset>
            </wp:positionV>
            <wp:extent cx="1465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65580" cy="8890"/>
                    </a:xfrm>
                    <a:prstGeom prst="rect">
                      <a:avLst/>
                    </a:prstGeom>
                    <a:noFill/>
                  </pic:spPr>
                </pic:pic>
              </a:graphicData>
            </a:graphic>
          </wp:anchor>
        </w:drawing>
      </w:r>
    </w:p>
    <w:p>
      <w:pPr>
        <w:spacing w:after="0" w:line="9" w:lineRule="exact"/>
        <w:rPr>
          <w:sz w:val="20"/>
          <w:szCs w:val="20"/>
          <w:color w:val="auto"/>
        </w:rPr>
      </w:pPr>
    </w:p>
    <w:p>
      <w:pPr>
        <w:ind w:left="4600"/>
        <w:spacing w:after="0"/>
        <w:tabs>
          <w:tab w:leader="none" w:pos="5800" w:val="left"/>
        </w:tabs>
        <w:rPr>
          <w:sz w:val="20"/>
          <w:szCs w:val="20"/>
          <w:color w:val="auto"/>
        </w:rPr>
      </w:pPr>
      <w:r>
        <w:rPr>
          <w:rFonts w:ascii="Arial" w:cs="Arial" w:eastAsia="Arial" w:hAnsi="Arial"/>
          <w:sz w:val="14"/>
          <w:szCs w:val="14"/>
          <w:b w:val="1"/>
          <w:bCs w:val="1"/>
          <w:color w:val="231F20"/>
        </w:rPr>
        <w:t>2021</w:t>
      </w:r>
      <w:r>
        <w:rPr>
          <w:sz w:val="20"/>
          <w:szCs w:val="20"/>
          <w:color w:val="auto"/>
        </w:rPr>
        <w:tab/>
      </w:r>
      <w:r>
        <w:rPr>
          <w:rFonts w:ascii="Arial" w:cs="Arial" w:eastAsia="Arial" w:hAnsi="Arial"/>
          <w:sz w:val="14"/>
          <w:szCs w:val="14"/>
          <w:b w:val="1"/>
          <w:bCs w:val="1"/>
          <w:color w:val="231F20"/>
        </w:rPr>
        <w:t>2020</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8890</wp:posOffset>
            </wp:positionV>
            <wp:extent cx="1465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65580" cy="8890"/>
                    </a:xfrm>
                    <a:prstGeom prst="rect">
                      <a:avLst/>
                    </a:prstGeom>
                    <a:noFill/>
                  </pic:spPr>
                </pic:pic>
              </a:graphicData>
            </a:graphic>
          </wp:anchor>
        </w:drawing>
      </w:r>
    </w:p>
    <w:p>
      <w:pPr>
        <w:spacing w:after="0" w:line="9" w:lineRule="exact"/>
        <w:rPr>
          <w:sz w:val="20"/>
          <w:szCs w:val="20"/>
          <w:color w:val="auto"/>
        </w:rPr>
      </w:pPr>
    </w:p>
    <w:p>
      <w:pPr>
        <w:ind w:left="220"/>
        <w:spacing w:after="0"/>
        <w:tabs>
          <w:tab w:leader="none" w:pos="1420" w:val="left"/>
        </w:tabs>
        <w:rPr>
          <w:sz w:val="20"/>
          <w:szCs w:val="20"/>
          <w:color w:val="auto"/>
        </w:rPr>
      </w:pPr>
      <w:r>
        <w:rPr>
          <w:rFonts w:ascii="Arial" w:cs="Arial" w:eastAsia="Arial" w:hAnsi="Arial"/>
          <w:sz w:val="14"/>
          <w:szCs w:val="14"/>
          <w:b w:val="1"/>
          <w:bCs w:val="1"/>
          <w:color w:val="231F20"/>
        </w:rPr>
        <w:t>2021</w:t>
      </w:r>
      <w:r>
        <w:rPr>
          <w:sz w:val="20"/>
          <w:szCs w:val="20"/>
          <w:color w:val="auto"/>
        </w:rPr>
        <w:tab/>
      </w:r>
      <w:r>
        <w:rPr>
          <w:rFonts w:ascii="Arial" w:cs="Arial" w:eastAsia="Arial" w:hAnsi="Arial"/>
          <w:sz w:val="14"/>
          <w:szCs w:val="14"/>
          <w:b w:val="1"/>
          <w:bCs w:val="1"/>
          <w:color w:val="231F20"/>
        </w:rPr>
        <w:t>2020</w:t>
      </w:r>
    </w:p>
    <w:p>
      <w:pPr>
        <w:spacing w:after="0" w:line="1" w:lineRule="exact"/>
        <w:rPr>
          <w:sz w:val="20"/>
          <w:szCs w:val="20"/>
          <w:color w:val="auto"/>
        </w:rPr>
      </w:pPr>
    </w:p>
    <w:p>
      <w:pPr>
        <w:sectPr>
          <w:pgSz w:w="11900" w:h="16838" w:orient="portrait"/>
          <w:cols w:equalWidth="0" w:num="2">
            <w:col w:w="6340" w:space="500"/>
            <w:col w:w="2179"/>
          </w:cols>
          <w:pgMar w:left="1440" w:top="517" w:right="1440" w:bottom="1440" w:gutter="0" w:footer="0" w:header="0"/>
          <w:type w:val="continuous"/>
        </w:sectPr>
      </w:pPr>
    </w:p>
    <w:tbl>
      <w:tblPr>
        <w:tblLayout w:type="fixed"/>
        <w:tblInd w:w="60" w:type="dxa"/>
        <w:tblCellMar>
          <w:top w:w="0" w:type="dxa"/>
          <w:left w:w="0" w:type="dxa"/>
          <w:bottom w:w="0" w:type="dxa"/>
          <w:right w:w="0" w:type="dxa"/>
        </w:tblCellMar>
      </w:tblPr>
      <w:tr>
        <w:trPr>
          <w:trHeight w:val="196"/>
        </w:trPr>
        <w:tc>
          <w:tcPr>
            <w:tcW w:w="4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231F20"/>
              </w:rPr>
              <w:t>Numerator:</w:t>
            </w: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231F20"/>
              </w:rPr>
              <w:t>Net loss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231F20"/>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231F20"/>
              </w:rPr>
              <w:t>(16,406)</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231F20"/>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231F20"/>
              </w:rPr>
              <w:t>(2,453)</w:t>
            </w:r>
          </w:p>
        </w:tc>
        <w:tc>
          <w:tcPr>
            <w:tcW w:w="1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231F20"/>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231F20"/>
              </w:rPr>
              <w:t>(31,745)</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231F20"/>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231F20"/>
              </w:rPr>
              <w:t>(4,146)</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231F20"/>
              </w:rPr>
              <w:t>Denominator:</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2"/>
        </w:trPr>
        <w:tc>
          <w:tcPr>
            <w:tcW w:w="4140" w:type="dxa"/>
            <w:vAlign w:val="bottom"/>
          </w:tcPr>
          <w:p>
            <w:pPr>
              <w:ind w:left="100"/>
              <w:spacing w:after="0" w:line="201" w:lineRule="exact"/>
              <w:rPr>
                <w:sz w:val="20"/>
                <w:szCs w:val="20"/>
                <w:color w:val="auto"/>
              </w:rPr>
            </w:pPr>
            <w:r>
              <w:rPr>
                <w:rFonts w:ascii="Arial" w:cs="Arial" w:eastAsia="Arial" w:hAnsi="Arial"/>
                <w:sz w:val="18"/>
                <w:szCs w:val="18"/>
                <w:color w:val="231F20"/>
              </w:rPr>
              <w:t>Weighted average shares used to compute net</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140" w:type="dxa"/>
            <w:vAlign w:val="bottom"/>
            <w:tcBorders>
              <w:bottom w:val="single" w:sz="8" w:color="CCEEFF"/>
            </w:tcBorders>
          </w:tcPr>
          <w:p>
            <w:pPr>
              <w:ind w:left="100"/>
              <w:spacing w:after="0" w:line="203" w:lineRule="exact"/>
              <w:rPr>
                <w:sz w:val="20"/>
                <w:szCs w:val="20"/>
                <w:color w:val="auto"/>
              </w:rPr>
            </w:pPr>
            <w:r>
              <w:rPr>
                <w:rFonts w:ascii="Arial" w:cs="Arial" w:eastAsia="Arial" w:hAnsi="Arial"/>
                <w:sz w:val="18"/>
                <w:szCs w:val="18"/>
                <w:color w:val="231F20"/>
              </w:rPr>
              <w:t>loss per share, basic and diluted</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231F20"/>
              </w:rPr>
              <w:t>39,415,330</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231F20"/>
              </w:rPr>
              <w:t>2,593,316</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231F20"/>
              </w:rPr>
              <w:t>39,370,809</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231F20"/>
                <w:w w:val="99"/>
              </w:rPr>
              <w:t>2,593,316</w:t>
            </w:r>
          </w:p>
        </w:tc>
      </w:tr>
      <w:tr>
        <w:trPr>
          <w:trHeight w:val="196"/>
        </w:trPr>
        <w:tc>
          <w:tcPr>
            <w:tcW w:w="41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231F20"/>
              </w:rPr>
              <w:t>Net loss per share, basic and diluted</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(0.42)</w:t>
            </w:r>
          </w:p>
        </w:tc>
        <w:tc>
          <w:tcPr>
            <w:tcW w:w="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(0.95)</w:t>
            </w: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(0.81)</w:t>
            </w:r>
          </w:p>
        </w:tc>
        <w:tc>
          <w:tcPr>
            <w:tcW w:w="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(1.60)</w:t>
            </w:r>
          </w:p>
        </w:tc>
      </w:tr>
      <w:tr>
        <w:trPr>
          <w:trHeight w:val="20"/>
        </w:trPr>
        <w:tc>
          <w:tcPr>
            <w:tcW w:w="4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The potentially dilutive shares that were excluded from the calculation of diluted net loss per share because their effect would have been anti-dilutive for the periods presented are as follows:</w:t>
      </w:r>
    </w:p>
    <w:tbl>
      <w:tblPr>
        <w:tblLayout w:type="fixed"/>
        <w:tblInd w:w="60" w:type="dxa"/>
        <w:tblCellMar>
          <w:top w:w="0" w:type="dxa"/>
          <w:left w:w="0" w:type="dxa"/>
          <w:bottom w:w="0" w:type="dxa"/>
          <w:right w:w="0" w:type="dxa"/>
        </w:tblCellMar>
      </w:tblPr>
      <w:tr>
        <w:trPr>
          <w:trHeight w:val="151"/>
        </w:trPr>
        <w:tc>
          <w:tcPr>
            <w:tcW w:w="6680" w:type="dxa"/>
            <w:vAlign w:val="bottom"/>
            <w:tcBorders>
              <w:top w:val="single" w:sz="8" w:color="auto"/>
            </w:tcBorders>
          </w:tcPr>
          <w:p>
            <w:pPr>
              <w:spacing w:after="0"/>
              <w:rPr>
                <w:sz w:val="13"/>
                <w:szCs w:val="13"/>
                <w:color w:val="auto"/>
              </w:rPr>
            </w:pPr>
          </w:p>
        </w:tc>
        <w:tc>
          <w:tcPr>
            <w:tcW w:w="2220" w:type="dxa"/>
            <w:vAlign w:val="bottom"/>
            <w:tcBorders>
              <w:top w:val="single" w:sz="8" w:color="auto"/>
              <w:bottom w:val="single" w:sz="8" w:color="auto"/>
            </w:tcBorders>
            <w:gridSpan w:val="2"/>
          </w:tcPr>
          <w:p>
            <w:pPr>
              <w:jc w:val="right"/>
              <w:ind w:right="753"/>
              <w:spacing w:after="0" w:line="151" w:lineRule="exact"/>
              <w:rPr>
                <w:sz w:val="20"/>
                <w:szCs w:val="20"/>
                <w:color w:val="auto"/>
              </w:rPr>
            </w:pPr>
            <w:r>
              <w:rPr>
                <w:rFonts w:ascii="Arial" w:cs="Arial" w:eastAsia="Arial" w:hAnsi="Arial"/>
                <w:sz w:val="14"/>
                <w:szCs w:val="14"/>
                <w:b w:val="1"/>
                <w:bCs w:val="1"/>
                <w:color w:val="231F20"/>
              </w:rPr>
              <w:t>June 30</w:t>
            </w:r>
          </w:p>
        </w:tc>
      </w:tr>
      <w:tr>
        <w:trPr>
          <w:trHeight w:val="183"/>
        </w:trPr>
        <w:tc>
          <w:tcPr>
            <w:tcW w:w="668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231F20"/>
              </w:rPr>
              <w:t>2021</w:t>
            </w:r>
          </w:p>
        </w:tc>
        <w:tc>
          <w:tcPr>
            <w:tcW w:w="11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231F20"/>
              </w:rPr>
              <w:t>2020</w:t>
            </w:r>
          </w:p>
        </w:tc>
      </w:tr>
      <w:tr>
        <w:trPr>
          <w:trHeight w:val="196"/>
        </w:trPr>
        <w:tc>
          <w:tcPr>
            <w:tcW w:w="6680" w:type="dxa"/>
            <w:vAlign w:val="bottom"/>
            <w:shd w:val="clear" w:color="auto" w:fill="CCEEFF"/>
          </w:tcPr>
          <w:p>
            <w:pPr>
              <w:spacing w:after="0" w:line="196" w:lineRule="exact"/>
              <w:rPr>
                <w:sz w:val="20"/>
                <w:szCs w:val="20"/>
                <w:color w:val="auto"/>
              </w:rPr>
            </w:pPr>
            <w:r>
              <w:rPr>
                <w:rFonts w:ascii="Arial" w:cs="Arial" w:eastAsia="Arial" w:hAnsi="Arial"/>
                <w:sz w:val="18"/>
                <w:szCs w:val="18"/>
                <w:color w:val="231F20"/>
              </w:rPr>
              <w:t>Unvested restricted common stock</w:t>
            </w:r>
          </w:p>
        </w:tc>
        <w:tc>
          <w:tcPr>
            <w:tcW w:w="1060" w:type="dxa"/>
            <w:vAlign w:val="bottom"/>
            <w:shd w:val="clear" w:color="auto" w:fill="CCEEFF"/>
          </w:tcPr>
          <w:p>
            <w:pPr>
              <w:jc w:val="right"/>
              <w:ind w:right="115"/>
              <w:spacing w:after="0" w:line="196" w:lineRule="exact"/>
              <w:rPr>
                <w:sz w:val="20"/>
                <w:szCs w:val="20"/>
                <w:color w:val="auto"/>
              </w:rPr>
            </w:pPr>
            <w:r>
              <w:rPr>
                <w:rFonts w:ascii="Arial" w:cs="Arial" w:eastAsia="Arial" w:hAnsi="Arial"/>
                <w:sz w:val="18"/>
                <w:szCs w:val="18"/>
                <w:color w:val="231F20"/>
              </w:rPr>
              <w:t>591,822</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w:t>
            </w: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231F20"/>
              </w:rPr>
              <w:t>Options to purchase common stock</w:t>
            </w:r>
          </w:p>
        </w:tc>
        <w:tc>
          <w:tcPr>
            <w:tcW w:w="1060" w:type="dxa"/>
            <w:vAlign w:val="bottom"/>
          </w:tcPr>
          <w:p>
            <w:pPr>
              <w:jc w:val="right"/>
              <w:ind w:right="115"/>
              <w:spacing w:after="0" w:line="202" w:lineRule="exact"/>
              <w:rPr>
                <w:sz w:val="20"/>
                <w:szCs w:val="20"/>
                <w:color w:val="auto"/>
              </w:rPr>
            </w:pPr>
            <w:r>
              <w:rPr>
                <w:rFonts w:ascii="Arial" w:cs="Arial" w:eastAsia="Arial" w:hAnsi="Arial"/>
                <w:sz w:val="18"/>
                <w:szCs w:val="18"/>
                <w:color w:val="231F20"/>
              </w:rPr>
              <w:t>5,575,455</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231F20"/>
              </w:rPr>
              <w:t>322,811</w:t>
            </w: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231F20"/>
              </w:rPr>
              <w:t>Employee stock purchase plan contingently issuable</w:t>
            </w:r>
          </w:p>
        </w:tc>
        <w:tc>
          <w:tcPr>
            <w:tcW w:w="1060" w:type="dxa"/>
            <w:vAlign w:val="bottom"/>
            <w:shd w:val="clear" w:color="auto" w:fill="CCEEFF"/>
          </w:tcPr>
          <w:p>
            <w:pPr>
              <w:jc w:val="right"/>
              <w:ind w:right="115"/>
              <w:spacing w:after="0" w:line="202" w:lineRule="exact"/>
              <w:rPr>
                <w:sz w:val="20"/>
                <w:szCs w:val="20"/>
                <w:color w:val="auto"/>
              </w:rPr>
            </w:pPr>
            <w:r>
              <w:rPr>
                <w:rFonts w:ascii="Arial" w:cs="Arial" w:eastAsia="Arial" w:hAnsi="Arial"/>
                <w:sz w:val="18"/>
                <w:szCs w:val="18"/>
                <w:color w:val="auto"/>
              </w:rPr>
              <w:t>5,919</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6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231F20"/>
              </w:rPr>
              <w:t>Convertible preferred stock (as converted to common shares)</w:t>
            </w:r>
          </w:p>
        </w:tc>
        <w:tc>
          <w:tcPr>
            <w:tcW w:w="1060" w:type="dxa"/>
            <w:vAlign w:val="bottom"/>
            <w:tcBorders>
              <w:bottom w:val="single" w:sz="8" w:color="auto"/>
            </w:tcBorders>
          </w:tcPr>
          <w:p>
            <w:pPr>
              <w:jc w:val="right"/>
              <w:ind w:right="115"/>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16,067,762</w:t>
            </w:r>
          </w:p>
        </w:tc>
      </w:tr>
      <w:tr>
        <w:trPr>
          <w:trHeight w:val="196"/>
        </w:trPr>
        <w:tc>
          <w:tcPr>
            <w:tcW w:w="66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15"/>
              <w:spacing w:after="0" w:line="196" w:lineRule="exact"/>
              <w:rPr>
                <w:sz w:val="20"/>
                <w:szCs w:val="20"/>
                <w:color w:val="auto"/>
              </w:rPr>
            </w:pPr>
            <w:r>
              <w:rPr>
                <w:rFonts w:ascii="Arial" w:cs="Arial" w:eastAsia="Arial" w:hAnsi="Arial"/>
                <w:sz w:val="18"/>
                <w:szCs w:val="18"/>
                <w:color w:val="231F20"/>
              </w:rPr>
              <w:t>6,173,196</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16,390,573</w:t>
            </w:r>
          </w:p>
        </w:tc>
      </w:tr>
      <w:tr>
        <w:trPr>
          <w:trHeight w:val="20"/>
        </w:trPr>
        <w:tc>
          <w:tcPr>
            <w:tcW w:w="6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Included in the potentially dilutive options to purchase common stock noted above are 211,621 shares issued upon exercise of options under non-recourse notes receivable during 2015 (see Note 9, “Stock-Based Compensation”). The Company determined the purchase of the stock to be non-substantive, and as such, the shares subject to the promissory notes will not be deemed outstanding until such time as the promissory notes have been repaid. Accordingly, the Company has excluded these shares from the calculation of basic and diluted net loss per share for the three and six months ended June 30, 2020. As of December 31, 2020, all outstanding principal and accrued interest relating to the Non-Recourse Notes were settled in full by the two noteholders, and as a result, the Company issued 211,621 shares of common stock to the noteholders and included these shares in the basic and diluted net loss per share for three and six months ended June 30, 2021. Also included in the potentially dilutive options to purchase common stock are 112,227 unvested stock options that were early exercised by an employee and a non-employee in September 2020 (see Note 9, “Stock-Based Compensation”). The Company determined the early exercises to be non-substantive as the shares were subject to repurchase rights. Accordingly, the Company has excluded these shares from the calculation of basic and diluted net loss per share for the three and six months ended June 30, 2021.</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11. Commitments and Contingencies</w:t>
      </w:r>
    </w:p>
    <w:p>
      <w:pPr>
        <w:spacing w:after="0" w:line="212" w:lineRule="exact"/>
        <w:rPr>
          <w:sz w:val="20"/>
          <w:szCs w:val="20"/>
          <w:color w:val="auto"/>
        </w:rPr>
      </w:pPr>
    </w:p>
    <w:p>
      <w:pPr>
        <w:jc w:val="both"/>
        <w:ind w:left="60" w:right="59"/>
        <w:spacing w:after="0" w:line="251" w:lineRule="auto"/>
        <w:rPr>
          <w:sz w:val="20"/>
          <w:szCs w:val="20"/>
          <w:color w:val="auto"/>
        </w:rPr>
      </w:pPr>
      <w:r>
        <w:rPr>
          <w:rFonts w:ascii="Arial" w:cs="Arial" w:eastAsia="Arial" w:hAnsi="Arial"/>
          <w:sz w:val="17"/>
          <w:szCs w:val="17"/>
          <w:color w:val="auto"/>
        </w:rPr>
        <w:t>On June 1, 2013, the Company entered into a management services agreement with MandalMed, Inc. (“MandalMed”) (the “MandalMed Services Agreement”) to lease approximately 5,762 square feet of space for the use laboratory benches, lab equipment, office space, and administrative and facilities services at a monthly fee of $6,500. The Company subsequently entered into several amendments to extend the lease term to November 2020. On November 3, 2020, the Company entered into the sixth amendment to the Mandalmed Services Agreement to extend the term to December 31, 2021 with a monthly fee of $5,600. As part of the sixth amendment, the Company leased additional space of approximately 2,130 square feet (the “Additional Space”) for a three-year period commencing on December 1, 2020 and ending on November 30, 2023. Rent for the Additional Space is $ 9,000 for the first year and $ 18,000 for the second and third years. The Company recorded rent expense of $0.1 million during the three and six months ended June 30, 2021. The rent expense under the MandalMed Services Agreement during the three and six months ended June 30, 2020 was immaterial.</w:t>
      </w:r>
    </w:p>
    <w:p>
      <w:pPr>
        <w:sectPr>
          <w:pgSz w:w="11900" w:h="16838" w:orient="portrait"/>
          <w:cols w:equalWidth="0" w:num="1">
            <w:col w:w="9019"/>
          </w:cols>
          <w:pgMar w:left="1440" w:top="517" w:right="1440"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On August 27, 2020, the Company entered into a lease agreement with 512 2nd Street LLC to lease approximately 3,500 square feet of office space in San Francisco, California (the “Office Space Lease Agreement”). The Office Space Lease Agreement is for a period of two years commencing on September 1, 2020 and ending August 31, 2022. According to the terms of the Office Space Lease Agreement, the Company paid a $0.1 million security deposit and is required to pay monthly rent and common area charges. Monthly rent is $23,330 and $24,030 for the first and second years of the lease term, respectively. The Company recorded rent expense under the Office Space Lease Agreement of $0.1 million during the three and six months ended June 30, 2021.</w:t>
      </w:r>
    </w:p>
    <w:p>
      <w:pPr>
        <w:spacing w:after="0" w:line="20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On December 15, 2020, the Company entered into a lease agreement with Tennieh LLC to lease approximately 9,800 square feet of office space in San Francisco, California (the “Laboratory Lease Agreement”). The Laboratory Lease Agreement is for a period of five years commencing February 1, 2021 and ending January 31, 2026. According to the terms of the Office Space Lease Agreement, the Company paid a $0.4 million security deposit and is required to pay monthly rent and common area charges. Monthly rent is $61,056 for the first year of the lease terms and increases to $68,676 by the fifth year of the lease term. The Company recorded $0.2 million and $0.3 million rent expense for under the Laboratory Lease Agreement during the three and six months ended June 30, 2021.</w:t>
      </w:r>
    </w:p>
    <w:p>
      <w:pPr>
        <w:spacing w:after="0" w:line="20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Company conducts research and development programs internally and through third parties that include, among others, arrangements with vendors, consultants, CMOs, and CROs. The Company has contractual arrangements in the normal course of business with these parties, however, the contracts with these parties are cancelable generally on reasonable notice within one year and the Company’s obligations under these contracts are primarily based on services performed through termination dates plus certain cancelation charges, if any, as defined in each of the respective agreements. In addition, these agreements may, from time to time, be subjected to amendments as a result of any change orders executed by the parties. As of June 30, 2021, the Company did not have material contractual commitments with respect to these arrangements.</w:t>
      </w:r>
    </w:p>
    <w:p>
      <w:pPr>
        <w:spacing w:after="0" w:line="208"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 following table summarizes the Company’s future contractual obligations and commitments related to the facility lease agreements discussed above as of June 30, 2021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133985</wp:posOffset>
            </wp:positionV>
            <wp:extent cx="56489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231F20"/>
        </w:rPr>
        <w:t>Year Ending December 31,</w:t>
      </w:r>
    </w:p>
    <w:p>
      <w:pPr>
        <w:spacing w:after="0" w:line="14"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78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2021 (from July, 2021)</w:t>
            </w:r>
          </w:p>
        </w:tc>
        <w:tc>
          <w:tcPr>
            <w:tcW w:w="360" w:type="dxa"/>
            <w:vAlign w:val="bottom"/>
            <w:tcBorders>
              <w:top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561</w:t>
            </w:r>
          </w:p>
        </w:tc>
      </w:tr>
      <w:tr>
        <w:trPr>
          <w:trHeight w:val="203"/>
        </w:trPr>
        <w:tc>
          <w:tcPr>
            <w:tcW w:w="780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3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1,161</w:t>
            </w: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973</w:t>
            </w:r>
          </w:p>
        </w:tc>
      </w:tr>
      <w:tr>
        <w:trPr>
          <w:trHeight w:val="203"/>
        </w:trPr>
        <w:tc>
          <w:tcPr>
            <w:tcW w:w="780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3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799</w:t>
            </w: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2025</w:t>
            </w: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822</w:t>
            </w:r>
          </w:p>
        </w:tc>
      </w:tr>
      <w:tr>
        <w:trPr>
          <w:trHeight w:val="203"/>
        </w:trPr>
        <w:tc>
          <w:tcPr>
            <w:tcW w:w="78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69</w:t>
            </w:r>
          </w:p>
        </w:tc>
      </w:tr>
      <w:tr>
        <w:trPr>
          <w:trHeight w:val="196"/>
        </w:trPr>
        <w:tc>
          <w:tcPr>
            <w:tcW w:w="780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4,385</w:t>
            </w:r>
          </w:p>
        </w:tc>
      </w:tr>
      <w:tr>
        <w:trPr>
          <w:trHeight w:val="20"/>
        </w:trPr>
        <w:tc>
          <w:tcPr>
            <w:tcW w:w="7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Clinical Collaboration and Supply Agreement</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On July 22, 2020, the Company entered into a non-exclusive clinical collaboration and supply agreement with Novartis Institutes for BioMedical Research, Inc. (“Novartis”) (the “Novartis Agreement”). The collaboration is focused on the evaluation of the safety, tolerability and efficacy of OP-1250 in combination with Novartis’ proprietary CDK4/6 inhibitor KISQALI® (ribociclib) and/or Novartis’ proprietary phosphatidylinositol 3-kinase inhibitor PIQRAY® (alpelisib) (collectively the “Novartis Study Drugs”) as part of the Company’s planned Phase 1b clinical trial of OP-1250 in patients with metastatic estrogen receptor-positive breast cancer. The Company will be responsible for the conduct of the clinical trials for the combined therapies in accordance with a mutually agreed development plan. As part of the collaboration, the parties granted to each other a non-exclusive, royalty- free license under certain of the parties’ respective background patent rights and other technology to use the parties’ respective study drugs in research and development, solely to the extent reasonably needed for the other party’s activities in the collaboration. All inventions and data developed in the performance of the clinical trials for the combined therapies (other than those specific to each component study drug), will be jointly owned by the parties.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Company is responsible for manufacturing, packaging and labeling OP-1250, and for packaging and labeling all drugs used in the clinical trials for the combined therapies (other than the Novartis Study Drugs). Novartis is responsible for manufacturing and delivering to the Company the Novartis Study Drugs in such quantities as reasonably needed for the clinical trials for the combined therapies. In accordance with an agreed budget, subject to certain thresholds, Novartis will reimburse the Company for a majority of the direct outside costs that the Company incurs related to conducting the activities under the agreed development plan in conducting the clinical trials for the combined therapies.</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Novartis Agreement will terminate upon completion of all activities outlined in the development plan and the relevant protocols. Either party may terminate the Novartis Agreement for the uncured material breach or insolvency of the other party, if it reasonably deems it necessary in order to protect the safety, health or welfare of subjects enrolled in the clinical trials for the combined therapies due to the existence of a material safety issue, or in certain circumstances for an unresolved clinical hold with respect to either the Novartis Study Drugs or OP-1250. In addition, Novartis may terminate the Novartis Agreement if certain disputes between the parties are not resolved after following the applicable dispute resolution procedures, and the Company may terminate the Novartis Agreement in the event the Company terminates all clinical trials of the combined therapies other than due to a material safety issue or upon a clinical hold.</w:t>
      </w:r>
    </w:p>
    <w:p>
      <w:pPr>
        <w:spacing w:after="0" w:line="207"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For the six months ended June 30, 2021, costs incurred reimbursable by Novartis were not material to the condensed consolidated financial statements.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Clinical Trial Agreement</w:t>
      </w:r>
    </w:p>
    <w:p>
      <w:pPr>
        <w:spacing w:after="0" w:line="23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November 2020, the Company entered into a non-exclusive clinical trial agreement with Pfizer Inc. (“Pfizer”) (the “Pfizer Agreement”), to evaluate the safety and tolerability of OP-1250 in combination with Pfizer’s proprietary CDK4/6 inhibitor IBRANCE® (palbociclib) in patients with recurrent, locally advanced or metastatic ER+, HER2- breast cancer in a clinical trial. Under the terms of the non-exclusive agreement, the Company will be responsible for conducting the clinical trial for the combined therapies and Pfizer is responsible for supplying IBRANCE® to the Company at no cost to the Company.</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Company is responsible for manufacturing, packaging and labeling OP-1250, and for packaging and labeling all drugs used in the clinical trials for the combined therapies (other than IBRANCE® (palbociclib)). Pfizer is responsible for manufacturing and delivering to us IBRANCE® (palbociclib) in such quantities as reasonably needed for the clinical trials for the combined therapies.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Pfizer Agreement will terminate upon completion of all activities outlined in the study plan and the relevant protocols. Either party may terminate the Pfizer Agreement for the uncured material breach or insolvency of the other party, if it reasonably deems it necessary in order to protect the safety, health or welfare of subjects enrolled in the clinical trials for the combined therapies due to the existence of a material safety issue, or in certain circumstances for an unresolved clinical hold with respect to either the IBRANCE® (palbociclib) or OP-1250. In addition, either party may terminate the Pfizer Agreement if certain disputes between the parties are not resolved after following the applicable dispute resolution procedures or if either party determines to discontinue clinical development for medical, scientific, legal or other reasons.</w:t>
      </w:r>
    </w:p>
    <w:p>
      <w:pPr>
        <w:spacing w:after="0" w:line="208"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The Pfizer Agreement does not grant any right of first negotiation to participate in future clinical trials, and each of the parties retains all rights and ability to evaluate their respective compounds.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Contingencies</w:t>
      </w:r>
    </w:p>
    <w:p>
      <w:pPr>
        <w:spacing w:after="0" w:line="23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business. The Company accrues a liability for such matters when it is probable that future expenditures will be made, and such expenditures can be reasonably estimated. For all periods presented, the Company was not a party to any pending material litigation or other material legal proceedings.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Indemnification Agreements</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As of June 30, 2021 and December 31, 2020, the Company had not incurred any material costs as a result of such indemnifications.</w:t>
      </w:r>
    </w:p>
    <w:p>
      <w:pPr>
        <w:spacing w:after="0" w:line="207"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Costs incurred in connection to the Pfizer Agreement are included in the Research and Development expense in the condensed consolidated statements of operations for the three and six months ended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1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unaudited condensed consolidated financial statements and related notes that are included elsewhere in this Quarterly Report on Form 10-Q and the audited financial statements and related notes that are included in our Annual Report on Form 10-K for the fiscal year ended December 31, 2020 filed with the U.S. Securities and Exchange Commission, or the SEC, on March 17, 2021, or our Annual Report on Form 10-K.</w:t>
      </w:r>
    </w:p>
    <w:p>
      <w:pPr>
        <w:spacing w:after="0" w:line="18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i w:val="1"/>
          <w:iCs w:val="1"/>
          <w:color w:val="auto"/>
        </w:rPr>
        <w:t>This Quarterly Report on Form 10-Q contains forward-looking statements within the meaning of Section 27A of the Securities Act of 1933, as amended, or the Securities Act, and Section 21E of the Securities Exchange Act of 1934, as amended, or the Exchange Act. Forward-looking statements are identified by words such as “believe,” “will,” “may,” “estimate,” “continue,” “anticipate,” “intend,” “should,” “plan,” “expect,” “predict,” “could,” “potentially” or the negative of these terms or similar expressions.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 “Risk Factors,” and elsewhere in this report.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We caution investors that our business and financial performance are subject to substantial risks and uncertainties. In addition, statements that “we believe” and similar statements reflect our beliefs and opinions on the relevant subject. These statements are based on information available to us as of the date of this Quarterly Report on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are a clinical-stage biopharmaceutical company focused on the discovery, development and commercialization of next-generation targeted therapies for women’s cancers. Our team has spent the past decade characterizing the structure and function of the ER, a key driver of breast cancer in approximately 75% of patients, in order to develop more potent, oral therapies that completely inactivate this signaling pathway. Our wholly owned lead product candidate, OP-1250, is a novel oral therapy with combined activity as both a CERAN and a SERD, which we believe will drive deeper, more durable responses than existing therapies. OP-1250, both as a monotherapy and in combination with inhibitors of CDK4/6 demonstrated robust tumor shrinkage in several xenograft models, including a breast cancer brain metastasis model. In August 2020, we initiated an ongoing Phase 1/2 dose escalation and expansion trial evaluating OP-1250 for the treatment of recurrent, locally advanced or metastatic ER+, HER2- breast cancer, and expect to report initial data from the dose-escalation portion of trial in the fourth quarter of 2021. We own worldwide development and commercialization rights to OP-1250. As summarized in the figure below, our plan is to develop OP-1250 in a number of ER+ breast cancer indications, both as a monotherapy and in combination with approved targeted therapies that have shown improved outcomes with other endocrine therapies. We believe OP-1250’s oral formulation and dual mechanism of action directly address the limitations of current endocrine therapies, such as fulvestrant and tamoxifen, and position OP-1250 as a potential endocrine therapy of choice for the treatment of ER+ breast cancers. Our goal is to transform the standard of care for women living with cancers by developing more effective therapies that apply our deep understanding and collective expertise in endocrine-driven cancers, nuclear receptor activities and mechanisms of acquired resistance.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Since our inception, we have devoted substantially all of our resources to organizing and staffing our company, research and development activities, business planning, raising capital, establishing and maintaining our intellectual property portfolio, conducting nonclinical studies and clinical trials and providing general and administrative support for these operations.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do not have any product candidates approved for commercial sale, and we have not generated any revenue from product sales. Our ability to generate product revenue sufficient to achieve profitability, if ever, will depend on the successful development and eventual commercialization of one or more of our product candidates which we expect, if it ever occurs, will take a number of years. We also do not own or operate, and currently have no plans to establish, any manufacturing facilities. We rely, and expect to continue to rely, on third parties for the manufacture of our product candidates for nonclinical and clinical testing, as well as for commercial manufacturing if any of our product candidates obtain marketing approval. We believe that this strategy allows us to maintain a more efficient infrastructure by eliminating the need for us to invest in our own manufacturing facilities, equipment and personnel while also enabling us to focus our expertise and resources on the development of our product candidates.</w:t>
      </w:r>
    </w:p>
    <w:p>
      <w:pPr>
        <w:spacing w:after="0" w:line="20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As of June 30, 2021, we had cash, cash equivalents, and marketable securities of $318.1 million. Based on our current operating plan, we believe that our existing cash and cash equivalents will be sufficient to fund our planned operating expenses and capital expenditure requirements through the end of 2023.</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have incurred significant operating losses since the commencement of our operations. Our net losses were $16.4 million and $2.5 million for the three months ended June 30, 2021 and 2020, respectively, and $31.7 million and $4.1 million for the six months ended June 30, 2021 and 2020, respectively, and we expect to incur significant and increasing losses for the foreseeable future as we continue to advance our product candidate, and as we transition to operating as a public company. Our net losses may fluctuate significantly from period to period, depending on the timing of expenditures on our research and development activities. As of June 30, 2021, we had an accumulated deficit of $64.8 million. Our primary use of cash is to fund operating expenses, which consist primarily of research and development expenditures and general and administrative expenditures. Cash used to fund operating expenses is impacted by the timing of when we pay these expenses, as reflected in the change in our outstanding accounts payable and other current liabilities.</w:t>
      </w:r>
    </w:p>
    <w:p>
      <w:pPr>
        <w:spacing w:after="0" w:line="20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expect to continue to incur net operating losses for at least the next several years, and we expect our research and development expenses, general and administrative expenses, and capital expenditures will continue to increase. We expect our expenses and capital requirements will increase significantly in connection with our ongoing activities as we:</w:t>
      </w:r>
    </w:p>
    <w:p>
      <w:pPr>
        <w:spacing w:after="0" w:line="205" w:lineRule="exact"/>
        <w:rPr>
          <w:sz w:val="20"/>
          <w:szCs w:val="20"/>
          <w:color w:val="auto"/>
        </w:rPr>
      </w:pPr>
    </w:p>
    <w:p>
      <w:pPr>
        <w:ind w:left="720" w:right="79" w:hanging="319"/>
        <w:spacing w:after="0" w:line="246" w:lineRule="auto"/>
        <w:tabs>
          <w:tab w:leader="none" w:pos="72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continue our ongoing and planned research and development of our lead product candidate OP-1250 for the treatment of ER+ positive breast cancer;</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initiate nonclinical studies and clinical trials for any additional product candidates that we may pursue in the future;</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seek to discover and develop additional product candidates and further expand our clinical product pipeline;</w:t>
      </w:r>
    </w:p>
    <w:p>
      <w:pPr>
        <w:spacing w:after="0" w:line="196" w:lineRule="exact"/>
        <w:rPr>
          <w:rFonts w:ascii="Arial" w:cs="Arial" w:eastAsia="Arial" w:hAnsi="Arial"/>
          <w:sz w:val="18"/>
          <w:szCs w:val="18"/>
          <w:color w:val="231F20"/>
        </w:rPr>
      </w:pPr>
    </w:p>
    <w:p>
      <w:pPr>
        <w:ind w:left="720" w:hanging="319"/>
        <w:spacing w:after="0"/>
        <w:tabs>
          <w:tab w:leader="none" w:pos="72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seek regulatory approvals for any product candidates that successfully complete clinical trials;</w:t>
      </w:r>
    </w:p>
    <w:p>
      <w:pPr>
        <w:spacing w:after="0" w:line="225"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continue to scale up external manufacturing capacity with the aim of securing sufficient quantities to meet our capacity requirements for clinical trials and potential commercialization;</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establish a sales, marketing and distribution infrastructure to commercialize any approved product candidates and related additional commercial manufacturing costs;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79" w:hanging="319"/>
        <w:spacing w:after="0" w:line="246" w:lineRule="auto"/>
        <w:tabs>
          <w:tab w:leader="none" w:pos="7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develop, maintain, expand, protect and enforce our intellectual property portfolio, including patents, trade secrets and know how;</w:t>
      </w:r>
    </w:p>
    <w:p>
      <w:pPr>
        <w:spacing w:after="0" w:line="196" w:lineRule="exact"/>
        <w:rPr>
          <w:rFonts w:ascii="Arial" w:cs="Arial" w:eastAsia="Arial" w:hAnsi="Arial"/>
          <w:sz w:val="18"/>
          <w:szCs w:val="18"/>
          <w:color w:val="231F20"/>
        </w:rPr>
      </w:pPr>
    </w:p>
    <w:p>
      <w:pPr>
        <w:ind w:left="720" w:hanging="319"/>
        <w:spacing w:after="0"/>
        <w:tabs>
          <w:tab w:leader="none" w:pos="7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acquire or in-license other product candidates and technologies;</w:t>
      </w:r>
    </w:p>
    <w:p>
      <w:pPr>
        <w:spacing w:after="0" w:line="225"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attract, hire and retain additional clinical, scientific, quality control, and manufacturing management and administrative personnel;</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add clinical, operational, financial and management information systems and personnel, including personnel to support our product development and planned future commercialization efforts;</w:t>
      </w:r>
    </w:p>
    <w:p>
      <w:pPr>
        <w:spacing w:after="0" w:line="196" w:lineRule="exact"/>
        <w:rPr>
          <w:rFonts w:ascii="Arial" w:cs="Arial" w:eastAsia="Arial" w:hAnsi="Arial"/>
          <w:sz w:val="18"/>
          <w:szCs w:val="18"/>
          <w:color w:val="231F20"/>
        </w:rPr>
      </w:pPr>
    </w:p>
    <w:p>
      <w:pPr>
        <w:ind w:left="720" w:hanging="319"/>
        <w:spacing w:after="0"/>
        <w:tabs>
          <w:tab w:leader="none" w:pos="7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expand our operations in the United States and to other geographies; and</w:t>
      </w:r>
    </w:p>
    <w:p>
      <w:pPr>
        <w:spacing w:after="0" w:line="225"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incur additional legal, accounting, investor relations and other expenses associated with operating as a public company.</w:t>
      </w:r>
    </w:p>
    <w:p>
      <w:pPr>
        <w:spacing w:after="0" w:line="197"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also expect to increase the size of our administrative function to support the growth of our business. Our net losses may fluctuate significantly from quarter-to-quarter and year-to-year, depending on the timing of our clinical trials and our expenditures on other research and development activities.</w:t>
      </w:r>
    </w:p>
    <w:p>
      <w:pPr>
        <w:spacing w:after="0" w:line="20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will require substantial additional funding to develop our product candidates and support our continuing operations. Until such time that we can generate significant revenue from product sales or other sources, if ever, we expect to finance our operations through the sale of equity, debt financings or other capital sources, which could include income from collaborations, strategic partnerships or marketing, distribution, licensing or other strategic arrangements with third parties, or from grants. 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ongoing COVID-19 pandemic and otherwise. Our failure to obtain sufficient funds on acceptable terms when needed could have a material adverse effect on our business, results of operations or financial condition, including requiring us to have to delay, reduce or eliminate our product development or future commercialization efforts. Insufficient liquidity may also require us to relinquish rights to product candidates at an earlier stage of development or on less favorable terms than we would otherwise choose. The amount and timing of our future funding requirements will depend on many factors, including the pace and results of our development efforts. We cannot provide assurance that we will ever be profitable or generate positive cash flow from operating activities.</w:t>
      </w:r>
    </w:p>
    <w:p>
      <w:pPr>
        <w:spacing w:after="0" w:line="21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The COVID-19 pandemic continues to rapidly evolve. As a result of the COVID-19 pandemic, we experienced some delays in setting up our current Phase 1/2 clinical trial and in clinical site initiation, including delays in recruiting clinical site investigators and clinical site staff, which we may experience again in the future. The extent of the impact of the COVID-19 pandemic on our business, operations and development timelines and plans remains uncertain, and will depend on certain developments, including the duration of the outbreak and its impact on our development activities, planned clinical trial enrollment, future trial sites, CROs, third-party manufacturers, and other third parties with whom we do business, as well as its impact on regulatory authorities and our key scientific and management personnel. The ultimate impact of the COVID-19 pandemic or a similar health epidemic is highly uncertain and subject to change. To the extent possible, we are conducting business as usual, with necessary or advisable modifications to employee travel and with many of our employees working remotely. We continue to actively monitor the rapidly evolving situation related to the COVID-19 pandemic and may take further actions that alter our operations, including those that may be required by federal, state or local authorities, or that we determine are in the best interests of our employees and other third parties with whom we do business. Through June 30, 2021, although we modified our operations and practices due to the COVID-19 pandemic and to comply with federal, state and local requirements, our business, operations and development timelines were not material adversely affected. However, the extent to which the COVID-19</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pandemic may affect our business, operations and development timelines and plans in the future, including the resulting impact on our expenditures and capital needs, remains uncertain.</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4"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There have been no significant changes in our critical accounting policies and estimates disclosed in our Annual Report on Form 10-K.</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34"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To date, we have not generated any revenue from product sales and do not expect to generate any revenue from the sale of products for the foreseeable future.</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w:t>
      </w:r>
    </w:p>
    <w:p>
      <w:pPr>
        <w:spacing w:after="0" w:line="23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Research and development expenses account for a significant portion of our operating expenses and consist primarily of external and internal expenses incurred in connection with the discovery and development of our product candidates. To date, our research and development expenses have related primarily to discovery efforts and nonclinical and clinical development of our product candidate OP-1250. Research and development expenses are recognized as incurred and payments made prior to the receipt of goods or services to be used in research and development are capitalized until the goods or services are received.</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External expenses include:</w:t>
      </w:r>
    </w:p>
    <w:p>
      <w:pPr>
        <w:spacing w:after="0" w:line="212" w:lineRule="exact"/>
        <w:rPr>
          <w:sz w:val="20"/>
          <w:szCs w:val="20"/>
          <w:color w:val="auto"/>
        </w:rPr>
      </w:pPr>
    </w:p>
    <w:p>
      <w:pPr>
        <w:ind w:left="720" w:right="79" w:hanging="319"/>
        <w:spacing w:after="0" w:line="246" w:lineRule="auto"/>
        <w:tabs>
          <w:tab w:leader="none" w:pos="72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expenses incurred in connection with the discovery and nonclinical development of our product candidates, including under agreements with third parties, such as consultants and CROs;</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costs of manufacturing products for use in our nonclinical studies and clinical trials, including payments to CMOs and consultants;</w:t>
      </w:r>
    </w:p>
    <w:p>
      <w:pPr>
        <w:spacing w:after="0" w:line="196" w:lineRule="exact"/>
        <w:rPr>
          <w:rFonts w:ascii="Arial" w:cs="Arial" w:eastAsia="Arial" w:hAnsi="Arial"/>
          <w:sz w:val="18"/>
          <w:szCs w:val="18"/>
          <w:color w:val="231F20"/>
        </w:rPr>
      </w:pPr>
    </w:p>
    <w:p>
      <w:pPr>
        <w:ind w:left="720" w:hanging="319"/>
        <w:spacing w:after="0"/>
        <w:tabs>
          <w:tab w:leader="none" w:pos="72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costs of funding research performed by third parties;</w:t>
      </w:r>
    </w:p>
    <w:p>
      <w:pPr>
        <w:spacing w:after="0" w:line="225"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costs of purchasing lab supplies and non-capital equipment used in designing, developing and manufacturing nonclinical study and clinical trial materials;</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costs associated with consultants for chemistry, manufacturing and controls development, regulatory, statistics and other services;</w:t>
      </w:r>
    </w:p>
    <w:p>
      <w:pPr>
        <w:spacing w:after="0" w:line="196" w:lineRule="exact"/>
        <w:rPr>
          <w:rFonts w:ascii="Arial" w:cs="Arial" w:eastAsia="Arial" w:hAnsi="Arial"/>
          <w:sz w:val="18"/>
          <w:szCs w:val="18"/>
          <w:color w:val="231F20"/>
        </w:rPr>
      </w:pPr>
    </w:p>
    <w:p>
      <w:pPr>
        <w:ind w:left="720" w:hanging="319"/>
        <w:spacing w:after="0"/>
        <w:tabs>
          <w:tab w:leader="none" w:pos="72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expenses related to regulatory activities, including filing fees paid to regulatory agencies; and</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facility costs including rent, depreciation and maintenance expenses.</w:t>
      </w:r>
    </w:p>
    <w:p>
      <w:pPr>
        <w:spacing w:after="0" w:line="22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Internal expenses include employee and personnel-related costs and expenses, including salaries, benefits and stock-based compensation expense for employees and personnel engaged in research and development functions.</w:t>
      </w:r>
    </w:p>
    <w:p>
      <w:pPr>
        <w:spacing w:after="0" w:line="203"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We expense research and development expenses in the periods in which they are incurred. Costs for certain activities, such as manufacturing and nonclinical studies and clinical trials, are generally recognized based 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an evaluation of the progress to completion of specific tasks using information and data provided to us by our vendors and collaborators.</w:t>
      </w:r>
    </w:p>
    <w:p>
      <w:pPr>
        <w:spacing w:after="0" w:line="197"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typically use our employee, consultant and infrastructure resources across our development programs. We track outsourced development costs by product candidate or nonclinical program, but we do not allocate personnel costs, other internal costs or external consultant costs to specific product candidates or nonclinical programs.</w:t>
      </w:r>
    </w:p>
    <w:p>
      <w:pPr>
        <w:spacing w:after="0" w:line="20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Research and development expenses to advance the development of our lead product candidate and nonclinical program were $11.9 million and $1.9 million for the three months ended June 30, 2021 and 2020, respectively, and $22.6 million and $2.7 million for the six months ended June 30, 2021 and 2020, respectively.</w:t>
      </w:r>
    </w:p>
    <w:p>
      <w:pPr>
        <w:spacing w:after="0" w:line="203" w:lineRule="exact"/>
        <w:rPr>
          <w:sz w:val="20"/>
          <w:szCs w:val="20"/>
          <w:color w:val="auto"/>
        </w:rPr>
      </w:pPr>
    </w:p>
    <w:p>
      <w:pPr>
        <w:jc w:val="both"/>
        <w:ind w:left="60" w:right="59"/>
        <w:spacing w:after="0" w:line="249" w:lineRule="auto"/>
        <w:rPr>
          <w:sz w:val="20"/>
          <w:szCs w:val="20"/>
          <w:color w:val="auto"/>
        </w:rPr>
      </w:pPr>
      <w:r>
        <w:rPr>
          <w:rFonts w:ascii="Arial" w:cs="Arial" w:eastAsia="Arial" w:hAnsi="Arial"/>
          <w:sz w:val="17"/>
          <w:szCs w:val="17"/>
          <w:color w:val="auto"/>
        </w:rPr>
        <w:t>We expect our research and development expenses to increase substantially in absolute dollars for the foreseeable future as we advance OP-1250 or any other future product candidates we may develop into and through nonclinical studies and clinical trials and pursue regulatory approval of our product candidates. The process of conducting the necessary clinical research to obtain regulatory approval is costly and time-consuming. The actual probability of success for OP-1250 or any other future product candidates we may develop may be affected by a variety of factors including but not limited to: the safety and efficacy of our product candidates, early clinical data, investment in our clinical program, the ability of collaborators to successfully develop our licensed product candidates, competition, manufacturing capability and commercial viability. We may never succeed in achieving regulatory approval for our product candidates. As a result of the uncertainties discussed above, we are unable to determine the duration and completion costs of our research and development projects or when and to what extent we will generate revenue from the commercialization and sale of our OP-1250 or any other future product candidates we may develop. Clinical and nonclinical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nonclinical studies and clinical trials, regulatory developments and our ongoing assessments as to each product candidate’s commercial potential. In addition, we cannot forecast whether OP-1250 or any other future product candidates we may develop may be subject to future collaborations, when such arrangements will be secured, if at all, and to what degree such arrangements would affect our development plans and capital requirements. We are also unable to predict when, if ever, we will generate revenue from our product candidates to offset these expenses. Our expenditures on current and future nonclinical and clinical development programs are subject to numerous uncertainties in timing and cost to completion. The duration, costs and timing of nonclinical studies and clinical trials and development of our product candidates will depend on a variety of factors, including:</w:t>
      </w:r>
    </w:p>
    <w:p>
      <w:pPr>
        <w:spacing w:after="0" w:line="200" w:lineRule="exact"/>
        <w:rPr>
          <w:sz w:val="20"/>
          <w:szCs w:val="20"/>
          <w:color w:val="auto"/>
        </w:rPr>
      </w:pPr>
    </w:p>
    <w:p>
      <w:pPr>
        <w:spacing w:after="0" w:line="212" w:lineRule="exact"/>
        <w:rPr>
          <w:sz w:val="20"/>
          <w:szCs w:val="20"/>
          <w:color w:val="auto"/>
        </w:rPr>
      </w:pPr>
    </w:p>
    <w:p>
      <w:pPr>
        <w:ind w:left="720" w:hanging="319"/>
        <w:spacing w:after="0"/>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the timing and progress of nonclinical and clinical development activities;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the number and scope of nonclinical and clinical programs we decide to pursue;</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our ability to maintain our current research and development programs and to establish new ones;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establishing an appropriate safety profile with investigational new drug-enabling toxicology studies;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successful patient enrollment in, and the initiation and completion of, clinical trials;</w:t>
      </w:r>
    </w:p>
    <w:p>
      <w:pPr>
        <w:spacing w:after="0" w:line="225"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the successful completion of clinical trials with safety, tolerability and efficacy profiles that are satisfactory to the FDA or any comparable foreign regulatory authority;</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establishing commercial manufacturing capabilities or making arrangements with third-party manufacturers;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hanging="319"/>
        <w:spacing w:after="0"/>
        <w:tabs>
          <w:tab w:leader="none" w:pos="7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receipt of regulatory approvals from applicable regulatory authorities;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the timing, receipt and terms of any marketing approvals from applicable regulatory authorities;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our ability to establish licensing or collaboration arrangements;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the performance of our future collaborators, if any;</w:t>
      </w:r>
    </w:p>
    <w:p>
      <w:pPr>
        <w:spacing w:after="0" w:line="225"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development and timely delivery of commercial-grade product formulations that can be used in our planned clinical trials and for commercial launch;</w:t>
      </w:r>
    </w:p>
    <w:p>
      <w:pPr>
        <w:spacing w:after="0" w:line="196" w:lineRule="exact"/>
        <w:rPr>
          <w:rFonts w:ascii="Arial" w:cs="Arial" w:eastAsia="Arial" w:hAnsi="Arial"/>
          <w:sz w:val="18"/>
          <w:szCs w:val="18"/>
          <w:color w:val="231F20"/>
        </w:rPr>
      </w:pPr>
    </w:p>
    <w:p>
      <w:pPr>
        <w:ind w:left="720" w:hanging="319"/>
        <w:spacing w:after="0"/>
        <w:tabs>
          <w:tab w:leader="none" w:pos="7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commercializing the product candidate, if approved, whether alone or in collaboration with others;</w:t>
      </w:r>
    </w:p>
    <w:p>
      <w:pPr>
        <w:spacing w:after="0" w:line="225"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obtaining and maintaining patent and trade secret protection and regulatory exclusivity for our product candidates;</w:t>
      </w:r>
    </w:p>
    <w:p>
      <w:pPr>
        <w:spacing w:after="0" w:line="196" w:lineRule="exact"/>
        <w:rPr>
          <w:rFonts w:ascii="Arial" w:cs="Arial" w:eastAsia="Arial" w:hAnsi="Arial"/>
          <w:sz w:val="18"/>
          <w:szCs w:val="18"/>
          <w:color w:val="231F20"/>
        </w:rPr>
      </w:pPr>
    </w:p>
    <w:p>
      <w:pPr>
        <w:ind w:left="720" w:hanging="319"/>
        <w:spacing w:after="0"/>
        <w:tabs>
          <w:tab w:leader="none" w:pos="7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obtaining, maintaining, defending and enforcing patent claims and other intellectual property rights;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maintaining a continued acceptable safety profiles of our products following approval; and</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obtaining and retaining key research and development personnel.</w:t>
      </w:r>
    </w:p>
    <w:p>
      <w:pPr>
        <w:spacing w:after="0" w:line="225"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Any changes in the outcome of any of these factors could significantly impact the costs, timing and viability associated with the development of our product candidates.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23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General and administrative expenses consist primarily of personnel expenses, including salaries, benefits and stock-based compensation expense, for personnel in executive, finance, accounting, business development, legal, human resources, information technology, and administrative functions. General and administrative expenses also include costs not otherwise included in research and development expenses, including corporate facility costs, depreciation and other expenses, which include direct or allocated expenses for rent and maintenance of facilities and insurance, and professional fees for legal, patent and consulting services.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expect that our general and administrative expenses will increase substantially in the foreseeable future as we increase our headcount to support the continued research and development of our programs and the growth of our business. We also anticipate incurring additional expenses associated with operating as a public company, including increased expenses related to ongoing financial statement audit and interim-period quarterly reviews, internal control over financial reporting compliance and audit, legal, other regulatory and compliance, director and officer insurance, investor and public relations, IT infrastructure, and tax-related services associated with maintaining compliance with the rules and regulations of the SEC and standards applicable to companies listed on a national securities exchange, additional insurance expenses, and other administrative and professional services.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Total other income (expense), net</w:t>
      </w:r>
    </w:p>
    <w:p>
      <w:pPr>
        <w:spacing w:after="0" w:line="216"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color w:val="auto"/>
        </w:rPr>
        <w:t>Total other income (expense), net consists of interest income, interest expense, and other income and expense</w:t>
      </w:r>
      <w:r>
        <w:rPr>
          <w:rFonts w:ascii="Arial" w:cs="Arial" w:eastAsia="Arial" w:hAnsi="Arial"/>
          <w:sz w:val="18"/>
          <w:szCs w:val="18"/>
          <w:i w:val="1"/>
          <w:iCs w:val="1"/>
          <w:color w:val="auto"/>
        </w:rPr>
        <w:t>.</w:t>
      </w:r>
      <w:r>
        <w:rPr>
          <w:rFonts w:ascii="Arial" w:cs="Arial" w:eastAsia="Arial" w:hAnsi="Arial"/>
          <w:sz w:val="18"/>
          <w:szCs w:val="18"/>
          <w:color w:val="auto"/>
        </w:rPr>
        <w:t xml:space="preserve"> Interest income primarily consists of interest income on our cash, cash equivalents, and marketable securities. Interest expense during the six months ended primarily consisted of interest on our convertible promissory notes, and a non-cash interest charge related to a beneficial conversion feature on a convertible note that was issued in January 2020. Other income and expense consists of miscellaneous income and expenses not related to operating activities.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Comparison of the three months ended June 30, 2021 and 2020</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results of operations for the three months ended June 30, 2021 and 2020:</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780" w:type="dxa"/>
            <w:vAlign w:val="bottom"/>
            <w:tcBorders>
              <w:top w:val="single" w:sz="8" w:color="auto"/>
            </w:tcBorders>
          </w:tcPr>
          <w:p>
            <w:pPr>
              <w:spacing w:after="0"/>
              <w:rPr>
                <w:sz w:val="14"/>
                <w:szCs w:val="14"/>
                <w:color w:val="auto"/>
              </w:rPr>
            </w:pPr>
          </w:p>
        </w:tc>
        <w:tc>
          <w:tcPr>
            <w:tcW w:w="2280" w:type="dxa"/>
            <w:vAlign w:val="bottom"/>
            <w:tcBorders>
              <w:top w:val="single" w:sz="8" w:color="auto"/>
            </w:tcBorders>
            <w:gridSpan w:val="5"/>
          </w:tcPr>
          <w:p>
            <w:pPr>
              <w:jc w:val="right"/>
              <w:ind w:right="73"/>
              <w:spacing w:after="0"/>
              <w:rPr>
                <w:sz w:val="20"/>
                <w:szCs w:val="20"/>
                <w:color w:val="auto"/>
              </w:rPr>
            </w:pPr>
            <w:r>
              <w:rPr>
                <w:rFonts w:ascii="Arial" w:cs="Arial" w:eastAsia="Arial" w:hAnsi="Arial"/>
                <w:sz w:val="14"/>
                <w:szCs w:val="14"/>
                <w:b w:val="1"/>
                <w:bCs w:val="1"/>
                <w:color w:val="auto"/>
              </w:rPr>
              <w:t>Three Months Ended June 30,</w:t>
            </w:r>
          </w:p>
        </w:tc>
        <w:tc>
          <w:tcPr>
            <w:tcW w:w="860" w:type="dxa"/>
            <w:vAlign w:val="bottom"/>
            <w:tcBorders>
              <w:top w:val="single" w:sz="8" w:color="auto"/>
            </w:tcBorders>
          </w:tcPr>
          <w:p>
            <w:pPr>
              <w:spacing w:after="0"/>
              <w:rPr>
                <w:sz w:val="14"/>
                <w:szCs w:val="14"/>
                <w:color w:val="auto"/>
              </w:rPr>
            </w:pPr>
          </w:p>
        </w:tc>
      </w:tr>
      <w:tr>
        <w:trPr>
          <w:trHeight w:val="175"/>
        </w:trPr>
        <w:tc>
          <w:tcPr>
            <w:tcW w:w="57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156"/>
        </w:trPr>
        <w:tc>
          <w:tcPr>
            <w:tcW w:w="5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right"/>
              <w:ind w:right="93"/>
              <w:spacing w:after="0" w:line="155" w:lineRule="exact"/>
              <w:rPr>
                <w:sz w:val="20"/>
                <w:szCs w:val="20"/>
                <w:color w:val="auto"/>
              </w:rPr>
            </w:pPr>
            <w:r>
              <w:rPr>
                <w:rFonts w:ascii="Arial" w:cs="Arial" w:eastAsia="Arial" w:hAnsi="Arial"/>
                <w:sz w:val="14"/>
                <w:szCs w:val="14"/>
                <w:color w:val="auto"/>
              </w:rPr>
              <w:t>(in thousands)</w:t>
            </w:r>
          </w:p>
        </w:tc>
        <w:tc>
          <w:tcPr>
            <w:tcW w:w="860" w:type="dxa"/>
            <w:vAlign w:val="bottom"/>
          </w:tcPr>
          <w:p>
            <w:pPr>
              <w:spacing w:after="0"/>
              <w:rPr>
                <w:sz w:val="13"/>
                <w:szCs w:val="13"/>
                <w:color w:val="auto"/>
              </w:rPr>
            </w:pPr>
          </w:p>
        </w:tc>
      </w:tr>
      <w:tr>
        <w:trPr>
          <w:trHeight w:val="203"/>
        </w:trPr>
        <w:tc>
          <w:tcPr>
            <w:tcW w:w="5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3"/>
        </w:trPr>
        <w:tc>
          <w:tcPr>
            <w:tcW w:w="5780" w:type="dxa"/>
            <w:vAlign w:val="bottom"/>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1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11,910</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1,947</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  9,963</w:t>
            </w:r>
          </w:p>
        </w:tc>
      </w:tr>
      <w:tr>
        <w:trPr>
          <w:trHeight w:val="203"/>
        </w:trPr>
        <w:tc>
          <w:tcPr>
            <w:tcW w:w="57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4,612</w:t>
            </w: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539</w:t>
            </w: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4,073</w:t>
            </w:r>
          </w:p>
        </w:tc>
      </w:tr>
      <w:tr>
        <w:trPr>
          <w:trHeight w:val="196"/>
        </w:trPr>
        <w:tc>
          <w:tcPr>
            <w:tcW w:w="578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72"/>
              <w:spacing w:after="0" w:line="196" w:lineRule="exact"/>
              <w:rPr>
                <w:sz w:val="20"/>
                <w:szCs w:val="20"/>
                <w:color w:val="auto"/>
              </w:rPr>
            </w:pPr>
            <w:r>
              <w:rPr>
                <w:rFonts w:ascii="Arial" w:cs="Arial" w:eastAsia="Arial" w:hAnsi="Arial"/>
                <w:sz w:val="18"/>
                <w:szCs w:val="18"/>
                <w:color w:val="auto"/>
              </w:rPr>
              <w:t>16,522</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2,486</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14,036</w:t>
            </w:r>
          </w:p>
        </w:tc>
      </w:tr>
      <w:tr>
        <w:trPr>
          <w:trHeight w:val="196"/>
        </w:trPr>
        <w:tc>
          <w:tcPr>
            <w:tcW w:w="57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(16,522)</w:t>
            </w: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(2,486)</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(14,036)</w:t>
            </w:r>
          </w:p>
        </w:tc>
      </w:tr>
      <w:tr>
        <w:trPr>
          <w:trHeight w:val="196"/>
        </w:trPr>
        <w:tc>
          <w:tcPr>
            <w:tcW w:w="5780" w:type="dxa"/>
            <w:vAlign w:val="bottom"/>
          </w:tcPr>
          <w:p>
            <w:pPr>
              <w:ind w:left="20"/>
              <w:spacing w:after="0" w:line="196" w:lineRule="exact"/>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7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117</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33</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w:t>
            </w:r>
          </w:p>
        </w:tc>
      </w:tr>
      <w:tr>
        <w:trPr>
          <w:trHeight w:val="203"/>
        </w:trPr>
        <w:tc>
          <w:tcPr>
            <w:tcW w:w="5780" w:type="dxa"/>
            <w:vAlign w:val="bottom"/>
          </w:tcPr>
          <w:p>
            <w:pPr>
              <w:ind w:left="120"/>
              <w:spacing w:after="0" w:line="202" w:lineRule="exact"/>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1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7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w:t>
            </w: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r>
      <w:tr>
        <w:trPr>
          <w:trHeight w:val="196"/>
        </w:trPr>
        <w:tc>
          <w:tcPr>
            <w:tcW w:w="5780" w:type="dxa"/>
            <w:vAlign w:val="bottom"/>
            <w:tcBorders>
              <w:bottom w:val="single" w:sz="8" w:color="CCEEFF"/>
            </w:tcBorders>
          </w:tcPr>
          <w:p>
            <w:pPr>
              <w:ind w:left="120"/>
              <w:spacing w:after="0" w:line="196" w:lineRule="exact"/>
              <w:rPr>
                <w:sz w:val="20"/>
                <w:szCs w:val="20"/>
                <w:color w:val="auto"/>
              </w:rPr>
            </w:pPr>
            <w:r>
              <w:rPr>
                <w:rFonts w:ascii="Arial" w:cs="Arial" w:eastAsia="Arial" w:hAnsi="Arial"/>
                <w:sz w:val="18"/>
                <w:szCs w:val="18"/>
                <w:color w:val="auto"/>
              </w:rPr>
              <w:t>Total other income (expense), net</w:t>
            </w:r>
          </w:p>
        </w:tc>
        <w:tc>
          <w:tcPr>
            <w:tcW w:w="1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72"/>
              <w:spacing w:after="0" w:line="196" w:lineRule="exact"/>
              <w:rPr>
                <w:sz w:val="20"/>
                <w:szCs w:val="20"/>
                <w:color w:val="auto"/>
              </w:rPr>
            </w:pPr>
            <w:r>
              <w:rPr>
                <w:rFonts w:ascii="Arial" w:cs="Arial" w:eastAsia="Arial" w:hAnsi="Arial"/>
                <w:sz w:val="18"/>
                <w:szCs w:val="18"/>
                <w:color w:val="auto"/>
              </w:rPr>
              <w:t>116</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33</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w:t>
            </w:r>
          </w:p>
        </w:tc>
      </w:tr>
      <w:tr>
        <w:trPr>
          <w:trHeight w:val="196"/>
        </w:trPr>
        <w:tc>
          <w:tcPr>
            <w:tcW w:w="578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(16,406)</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(2,453)</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(13,953)</w:t>
            </w:r>
          </w:p>
        </w:tc>
      </w:tr>
      <w:tr>
        <w:trPr>
          <w:trHeight w:val="20"/>
        </w:trPr>
        <w:tc>
          <w:tcPr>
            <w:tcW w:w="5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3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Research and development expenses for the three months ended June 30, 2021 were $11.9 million, compared to $1.9 million for the three months ended June 30, 2020. The increase of $10.0 million was primarily due to increased spending in (i) advancing our lead product candidate OP-1250 clinical study and the associated contract manufacturing costs, (ii) other nonclinical research and discovery program costs, and (iii) personnel-related costs due to increased headcount, and an increase in the non-cash stock-based compensation of $2.2 million recognized during the three months ended June 30, 2021.</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3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General and administrative expenses for the three months ended June 30, 2021 were $4.6 million compared to $0.5 million for the three months ended June 30, 2020. The increase of $4.1 million was primarily due to increased (i) personnel-related costs due to increased headcount, including expanded executive team (ii) expenses associated with external consultants for accounting and regulatory compliance as a result of operating as a public company, and (iii) the non-cash stock-based compensation of $1.6 million recognized during the three months ended June 30, 2021.</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(expense), net</w:t>
      </w:r>
    </w:p>
    <w:p>
      <w:pPr>
        <w:spacing w:after="0" w:line="230"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Other income (expense), net for the three months ended June 30, 2021 was $0.1 million, which primarily consisted of interest income from our marketable securities.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Comparison of the six months ended June 30, 2021 and 2020</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results of operations for the six months ended June 30, 2021 and 2020:</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860" w:type="dxa"/>
            <w:vAlign w:val="bottom"/>
            <w:tcBorders>
              <w:top w:val="single" w:sz="8" w:color="auto"/>
            </w:tcBorders>
          </w:tcPr>
          <w:p>
            <w:pPr>
              <w:spacing w:after="0"/>
              <w:rPr>
                <w:sz w:val="14"/>
                <w:szCs w:val="14"/>
                <w:color w:val="auto"/>
              </w:rPr>
            </w:pPr>
          </w:p>
        </w:tc>
        <w:tc>
          <w:tcPr>
            <w:tcW w:w="2060" w:type="dxa"/>
            <w:vAlign w:val="bottom"/>
            <w:tcBorders>
              <w:top w:val="single" w:sz="8" w:color="auto"/>
            </w:tcBorders>
            <w:gridSpan w:val="4"/>
          </w:tcPr>
          <w:p>
            <w:pPr>
              <w:jc w:val="right"/>
              <w:ind w:right="52"/>
              <w:spacing w:after="0"/>
              <w:rPr>
                <w:sz w:val="20"/>
                <w:szCs w:val="20"/>
                <w:color w:val="auto"/>
              </w:rPr>
            </w:pPr>
            <w:r>
              <w:rPr>
                <w:rFonts w:ascii="Arial" w:cs="Arial" w:eastAsia="Arial" w:hAnsi="Arial"/>
                <w:sz w:val="14"/>
                <w:szCs w:val="14"/>
                <w:b w:val="1"/>
                <w:bCs w:val="1"/>
                <w:color w:val="auto"/>
              </w:rPr>
              <w:t>Six Months Ended June 30,</w:t>
            </w: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r>
      <w:tr>
        <w:trPr>
          <w:trHeight w:val="175"/>
        </w:trPr>
        <w:tc>
          <w:tcPr>
            <w:tcW w:w="58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 Change</w:t>
            </w:r>
          </w:p>
        </w:tc>
      </w:tr>
      <w:tr>
        <w:trPr>
          <w:trHeight w:val="156"/>
        </w:trPr>
        <w:tc>
          <w:tcPr>
            <w:tcW w:w="5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03"/>
        </w:trPr>
        <w:tc>
          <w:tcPr>
            <w:tcW w:w="58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5860" w:type="dxa"/>
            <w:vAlign w:val="bottom"/>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22,602</w:t>
            </w:r>
          </w:p>
        </w:tc>
        <w:tc>
          <w:tcPr>
            <w:tcW w:w="28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2,742</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19,860</w:t>
            </w:r>
          </w:p>
        </w:tc>
      </w:tr>
      <w:tr>
        <w:trPr>
          <w:trHeight w:val="203"/>
        </w:trPr>
        <w:tc>
          <w:tcPr>
            <w:tcW w:w="58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9,370</w:t>
            </w: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787</w:t>
            </w: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8,583</w:t>
            </w:r>
          </w:p>
        </w:tc>
      </w:tr>
      <w:tr>
        <w:trPr>
          <w:trHeight w:val="196"/>
        </w:trPr>
        <w:tc>
          <w:tcPr>
            <w:tcW w:w="586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72"/>
              <w:spacing w:after="0" w:line="196" w:lineRule="exact"/>
              <w:rPr>
                <w:sz w:val="20"/>
                <w:szCs w:val="20"/>
                <w:color w:val="auto"/>
              </w:rPr>
            </w:pPr>
            <w:r>
              <w:rPr>
                <w:rFonts w:ascii="Arial" w:cs="Arial" w:eastAsia="Arial" w:hAnsi="Arial"/>
                <w:sz w:val="18"/>
                <w:szCs w:val="18"/>
                <w:color w:val="auto"/>
              </w:rPr>
              <w:t>31,972</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3,529</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28,443</w:t>
            </w:r>
          </w:p>
        </w:tc>
      </w:tr>
      <w:tr>
        <w:trPr>
          <w:trHeight w:val="196"/>
        </w:trPr>
        <w:tc>
          <w:tcPr>
            <w:tcW w:w="58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(31,972)</w:t>
            </w: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(3,529)</w:t>
            </w: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(28,443)</w:t>
            </w:r>
          </w:p>
        </w:tc>
      </w:tr>
      <w:tr>
        <w:trPr>
          <w:trHeight w:val="196"/>
        </w:trPr>
        <w:tc>
          <w:tcPr>
            <w:tcW w:w="5860" w:type="dxa"/>
            <w:vAlign w:val="bottom"/>
          </w:tcPr>
          <w:p>
            <w:pPr>
              <w:ind w:left="20"/>
              <w:spacing w:after="0" w:line="196" w:lineRule="exact"/>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58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228</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192</w:t>
            </w:r>
          </w:p>
        </w:tc>
      </w:tr>
      <w:tr>
        <w:trPr>
          <w:trHeight w:val="203"/>
        </w:trPr>
        <w:tc>
          <w:tcPr>
            <w:tcW w:w="5860" w:type="dxa"/>
            <w:vAlign w:val="bottom"/>
          </w:tcPr>
          <w:p>
            <w:pPr>
              <w:ind w:left="120"/>
              <w:spacing w:after="0" w:line="202" w:lineRule="exact"/>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7"/>
                <w:szCs w:val="17"/>
                <w:color w:val="auto"/>
              </w:rPr>
            </w:pPr>
          </w:p>
        </w:tc>
        <w:tc>
          <w:tcPr>
            <w:tcW w:w="8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(653)</w:t>
            </w: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653</w:t>
            </w:r>
          </w:p>
        </w:tc>
      </w:tr>
      <w:tr>
        <w:trPr>
          <w:trHeight w:val="203"/>
        </w:trPr>
        <w:tc>
          <w:tcPr>
            <w:tcW w:w="58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Other income (expense)</w:t>
            </w: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r>
      <w:tr>
        <w:trPr>
          <w:trHeight w:val="196"/>
        </w:trPr>
        <w:tc>
          <w:tcPr>
            <w:tcW w:w="5860" w:type="dxa"/>
            <w:vAlign w:val="bottom"/>
            <w:tcBorders>
              <w:bottom w:val="single" w:sz="8" w:color="CCEEFF"/>
            </w:tcBorders>
          </w:tcPr>
          <w:p>
            <w:pPr>
              <w:ind w:left="120"/>
              <w:spacing w:after="0" w:line="196" w:lineRule="exact"/>
              <w:rPr>
                <w:sz w:val="20"/>
                <w:szCs w:val="20"/>
                <w:color w:val="auto"/>
              </w:rPr>
            </w:pPr>
            <w:r>
              <w:rPr>
                <w:rFonts w:ascii="Arial" w:cs="Arial" w:eastAsia="Arial" w:hAnsi="Arial"/>
                <w:sz w:val="18"/>
                <w:szCs w:val="18"/>
                <w:color w:val="auto"/>
              </w:rPr>
              <w:t>Total other income (expense), net</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72"/>
              <w:spacing w:after="0" w:line="196" w:lineRule="exact"/>
              <w:rPr>
                <w:sz w:val="20"/>
                <w:szCs w:val="20"/>
                <w:color w:val="auto"/>
              </w:rPr>
            </w:pPr>
            <w:r>
              <w:rPr>
                <w:rFonts w:ascii="Arial" w:cs="Arial" w:eastAsia="Arial" w:hAnsi="Arial"/>
                <w:sz w:val="18"/>
                <w:szCs w:val="18"/>
                <w:color w:val="auto"/>
              </w:rPr>
              <w:t>227</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(617)</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844</w:t>
            </w:r>
          </w:p>
        </w:tc>
      </w:tr>
      <w:tr>
        <w:trPr>
          <w:trHeight w:val="196"/>
        </w:trPr>
        <w:tc>
          <w:tcPr>
            <w:tcW w:w="586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(31,745)</w:t>
            </w:r>
          </w:p>
        </w:tc>
        <w:tc>
          <w:tcPr>
            <w:tcW w:w="280" w:type="dxa"/>
            <w:vAlign w:val="bottom"/>
            <w:tcBorders>
              <w:bottom w:val="single" w:sz="8" w:color="auto"/>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(4,146)</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(27,599)</w:t>
            </w:r>
          </w:p>
        </w:tc>
      </w:tr>
      <w:tr>
        <w:trPr>
          <w:trHeight w:val="20"/>
        </w:trPr>
        <w:tc>
          <w:tcPr>
            <w:tcW w:w="5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3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Research and development expenses for the six months ended June 30, 2021 were $22.6 million, compared to $2.7 million for the six months ended June 30, 2020. The increase of $ 19.9 million was primarily due to increased spending in (i) advancing our lead product candidate OP-1250 clinical study and the associated contract manufacturing costs, (ii) other nonclinical research and discovery program costs, and (iii) personnel-related costs due to increased headcount and an increase in the non-cash stock-based compensation of $3.9 million recognized during the six months ended June 30, 2021.</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30"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7"/>
          <w:szCs w:val="17"/>
          <w:color w:val="auto"/>
        </w:rPr>
        <w:t>General and administrative expenses for the six months ended June 30, 2021 were $9.4 million compared to $0.8 million for the six months ended June 30, 2020. The increase of $8.6 million was primarily due to increased</w:t>
      </w:r>
    </w:p>
    <w:p>
      <w:pPr>
        <w:spacing w:after="0" w:line="1" w:lineRule="exact"/>
        <w:rPr>
          <w:sz w:val="20"/>
          <w:szCs w:val="20"/>
          <w:color w:val="auto"/>
        </w:rPr>
      </w:pPr>
    </w:p>
    <w:p>
      <w:pPr>
        <w:jc w:val="both"/>
        <w:ind w:left="60" w:right="59" w:hanging="10"/>
        <w:spacing w:after="0" w:line="238" w:lineRule="auto"/>
        <w:tabs>
          <w:tab w:leader="none" w:pos="317"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personnel-related costs due to increased headcount, including expanded executive team (ii) expenses associated with external consultants for accounting and regulatory compliance as a result of operating as a public company, and (iii) the non-cash stock-based compensation of $3.1 million recognized during the six months ended June 30, 2021.</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(expense), net</w:t>
      </w:r>
    </w:p>
    <w:p>
      <w:pPr>
        <w:spacing w:after="0" w:line="23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Other income (expense), net for the six months ended June 30, 2021 was $0.2 million, which primarily consisted of interest income from our marketable securities, compared to $0.6 million expense for the six months ended June 30, 2020. The increase of $0.8 million was primarily due to the non-cash interest charge related to a beneficial conversion feature on a convertible note that was issued in January 2020.</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Sources of liquidity</w:t>
      </w:r>
    </w:p>
    <w:p>
      <w:pPr>
        <w:spacing w:after="0" w:line="23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Since our inception, we have not generated any revenue from product sales and have incurred significant operating losses and negative cash flows from our operations. Our net losses were $31.7 million and $4.1 million for the six months ended June 30, 2021 and 2020, respectively. Through June 30, 2021, we had received aggregate gross proceeds of $391.8 million from sales of our common stock from the initial public offering in November 2020, issuances of convertible preferred stock and convertible promissory notes since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our inception, stock option exercises, and the sale of stock through the ESPP. As of June 30, 2021, we had $318.1 million in cash, cash equivalents and marketable securities. As of June 30, 2021, we had accumulated deficit of $64.8 million. We had no debt outstanding as of June 30, 2021.</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expect to incur significant expenses and operating losses for the foreseeable future as we advance the nonclinical and clinical development of OP-1250. We expect that our research and development and general and administrative costs will increase in connection with conducting additional nonclinical studies and clinical trials for our current and future research programs and product candidates, contracting with CMOs to support nonclinical studies and clinical trials, expanding our intellectual property portfolio, and providing general and administrative support for our operations. As a result, we will need additional capital to fund our operations, which we may obtain from additional equity or debt financings, collaborations, licensing arrangements or other sources.</w:t>
      </w:r>
    </w:p>
    <w:p>
      <w:pPr>
        <w:spacing w:after="0" w:line="208"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Our primary uses of cash are to fund our research and development activities, including with respect to OP-1250 and other nonclinical programs, business planning, establishing and maintaining our intellectual property portfolio, hiring personnel, raising capital and providing general and administrative support for these operations.</w:t>
      </w:r>
    </w:p>
    <w:p>
      <w:pPr>
        <w:spacing w:after="0" w:line="203"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We currently have no financing commitments, such as lines of credit or guarantees, that are expected to affect our liquidity over the next five years.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Future funding requirements</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To date, we have not generated any revenue from product sales. We do not expect to generate any meaningful revenue unless and until we obtain regulatory approval of and commercialize any of our product candidates, and we do not know when, or if at all, that will occur. We expect our expenses to increase in connection with our ongoing activities, particularly as we continue the research and development of, continue or initiate clinical trials of, and seek marketing approval for, our product candidates. In addition, if we obtain marketing approval for our product candidates, we expect to incur significant commercialization expenses related to program sales, marketing, manufacturing and distribution to the extent that such sales, marketing and distribution are not the responsibility of potential collaborators. Furthermore, we have incurred and expect to continue to incur additional costs associated with operating as a public company. The amount and timing of our future funding requirements will depend on many factors, including the pace and results of our development efforts.</w:t>
      </w:r>
    </w:p>
    <w:p>
      <w:pPr>
        <w:spacing w:after="0" w:line="20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expect our existing cash, cash equivalents, and marketable securities will enable us to fund our operating expenses and capital expenditure requirements through the end of 2023 at which point we would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 Our future capital requirements will depend on many factors, including:</w:t>
      </w:r>
    </w:p>
    <w:p>
      <w:pPr>
        <w:spacing w:after="0" w:line="205" w:lineRule="exact"/>
        <w:rPr>
          <w:sz w:val="20"/>
          <w:szCs w:val="20"/>
          <w:color w:val="auto"/>
        </w:rPr>
      </w:pPr>
    </w:p>
    <w:p>
      <w:pPr>
        <w:ind w:left="720" w:hanging="319"/>
        <w:spacing w:after="0"/>
        <w:tabs>
          <w:tab w:leader="none" w:pos="7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the scope, progress, results and costs of product discovery, nonclinical studies and clinical trials;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the scope, prioritization and number of our research and development programs;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the costs, timing and outcome of regulatory review of our product candidate;</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our ability to establish and maintain collaborations on favorable terms, if at all;</w:t>
      </w:r>
    </w:p>
    <w:p>
      <w:pPr>
        <w:spacing w:after="0" w:line="225"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the achievement of milestones or occurrence of other developments that trigger payments under any collaboration agreements we enter into;</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the extent to which we are obligated to reimburse, or entitled to reimbursement of, clinical trial costs under collaboration agreements, if any;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79" w:hanging="319"/>
        <w:spacing w:after="0" w:line="246" w:lineRule="auto"/>
        <w:tabs>
          <w:tab w:leader="none" w:pos="72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the costs of preparing, filing and prosecuting patent applications, maintaining and enforcing our intellectual property rights and defending intellectual property-related claims;</w:t>
      </w:r>
    </w:p>
    <w:p>
      <w:pPr>
        <w:spacing w:after="0" w:line="196" w:lineRule="exact"/>
        <w:rPr>
          <w:rFonts w:ascii="Arial" w:cs="Arial" w:eastAsia="Arial" w:hAnsi="Arial"/>
          <w:sz w:val="18"/>
          <w:szCs w:val="18"/>
          <w:color w:val="231F20"/>
        </w:rPr>
      </w:pPr>
    </w:p>
    <w:p>
      <w:pPr>
        <w:ind w:left="720" w:hanging="319"/>
        <w:spacing w:after="0"/>
        <w:tabs>
          <w:tab w:leader="none" w:pos="72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the extent to which we acquire or in-license other product candidates and technologies;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the costs of securing manufacturing arrangements for commercial production; and</w:t>
      </w:r>
    </w:p>
    <w:p>
      <w:pPr>
        <w:spacing w:after="0" w:line="225"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the costs of establishing or contracting for sales and marketing capabilities if we obtain regulatory approvals to market our product candidates.</w:t>
      </w:r>
    </w:p>
    <w:p>
      <w:pPr>
        <w:spacing w:after="0" w:line="19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Identifying potential product candidates and conducting nonclinical studies and clinical trials is a time-consuming, expensive and uncertain process that takes many years to complete, and we may never generate the necessary data or results required to obtain marketing approval and achieve product sales. In addition, our product candidate, if approved, may not achieve commercial success. Our commercial revenues, if any, will be derived from sales of a product candidate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shareholder. Debt financing, if available, may involve agreements that include covenants limiting or restricting our ability to take specific actions, such as incurring additional debt, making capital expenditures or declaring dividends.</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If we raise funds through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shows a summary of our cash flows for each of the periods presented:</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42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2260" w:type="dxa"/>
            <w:vAlign w:val="bottom"/>
            <w:tcBorders>
              <w:top w:val="single" w:sz="8" w:color="auto"/>
              <w:bottom w:val="single" w:sz="8" w:color="auto"/>
            </w:tcBorders>
            <w:gridSpan w:val="3"/>
          </w:tcPr>
          <w:p>
            <w:pPr>
              <w:jc w:val="right"/>
              <w:ind w:right="234"/>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642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76"/>
              <w:spacing w:after="0" w:line="155" w:lineRule="exact"/>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2020</w:t>
            </w:r>
          </w:p>
        </w:tc>
      </w:tr>
      <w:tr>
        <w:trPr>
          <w:trHeight w:val="196"/>
        </w:trPr>
        <w:tc>
          <w:tcPr>
            <w:tcW w:w="64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cash used in operating activities</w:t>
            </w:r>
          </w:p>
        </w:tc>
        <w:tc>
          <w:tcPr>
            <w:tcW w:w="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rPr>
              <w:t>(19,989)</w:t>
            </w:r>
          </w:p>
        </w:tc>
        <w:tc>
          <w:tcPr>
            <w:tcW w:w="38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(3,317)</w:t>
            </w:r>
          </w:p>
        </w:tc>
      </w:tr>
      <w:tr>
        <w:trPr>
          <w:trHeight w:val="203"/>
        </w:trPr>
        <w:tc>
          <w:tcPr>
            <w:tcW w:w="6420" w:type="dxa"/>
            <w:vAlign w:val="bottom"/>
          </w:tcPr>
          <w:p>
            <w:pPr>
              <w:ind w:left="20"/>
              <w:spacing w:after="0" w:line="202" w:lineRule="exact"/>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7"/>
                <w:szCs w:val="17"/>
                <w:color w:val="auto"/>
              </w:rPr>
            </w:pPr>
          </w:p>
        </w:tc>
        <w:tc>
          <w:tcPr>
            <w:tcW w:w="1060" w:type="dxa"/>
            <w:vAlign w:val="bottom"/>
          </w:tcPr>
          <w:p>
            <w:pPr>
              <w:jc w:val="right"/>
              <w:ind w:right="76"/>
              <w:spacing w:after="0" w:line="202" w:lineRule="exact"/>
              <w:rPr>
                <w:sz w:val="20"/>
                <w:szCs w:val="20"/>
                <w:color w:val="auto"/>
              </w:rPr>
            </w:pPr>
            <w:r>
              <w:rPr>
                <w:rFonts w:ascii="Arial" w:cs="Arial" w:eastAsia="Arial" w:hAnsi="Arial"/>
                <w:sz w:val="18"/>
                <w:szCs w:val="18"/>
                <w:color w:val="auto"/>
              </w:rPr>
              <w:t>(268,654)</w:t>
            </w:r>
          </w:p>
        </w:tc>
        <w:tc>
          <w:tcPr>
            <w:tcW w:w="3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r>
      <w:tr>
        <w:trPr>
          <w:trHeight w:val="203"/>
        </w:trPr>
        <w:tc>
          <w:tcPr>
            <w:tcW w:w="64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36"/>
              <w:spacing w:after="0" w:line="202" w:lineRule="exact"/>
              <w:rPr>
                <w:sz w:val="20"/>
                <w:szCs w:val="20"/>
                <w:color w:val="auto"/>
              </w:rPr>
            </w:pPr>
            <w:r>
              <w:rPr>
                <w:rFonts w:ascii="Arial" w:cs="Arial" w:eastAsia="Arial" w:hAnsi="Arial"/>
                <w:sz w:val="18"/>
                <w:szCs w:val="18"/>
                <w:color w:val="auto"/>
              </w:rPr>
              <w:t>516</w:t>
            </w: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53,740</w:t>
            </w:r>
          </w:p>
        </w:tc>
      </w:tr>
      <w:tr>
        <w:trPr>
          <w:trHeight w:val="196"/>
        </w:trPr>
        <w:tc>
          <w:tcPr>
            <w:tcW w:w="642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76"/>
              <w:spacing w:after="0" w:line="196" w:lineRule="exact"/>
              <w:rPr>
                <w:sz w:val="20"/>
                <w:szCs w:val="20"/>
                <w:color w:val="auto"/>
              </w:rPr>
            </w:pPr>
            <w:r>
              <w:rPr>
                <w:rFonts w:ascii="Arial" w:cs="Arial" w:eastAsia="Arial" w:hAnsi="Arial"/>
                <w:sz w:val="18"/>
                <w:szCs w:val="18"/>
                <w:color w:val="auto"/>
              </w:rPr>
              <w:t>(288,127)</w:t>
            </w:r>
          </w:p>
        </w:tc>
        <w:tc>
          <w:tcPr>
            <w:tcW w:w="3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50,408</w:t>
            </w:r>
          </w:p>
        </w:tc>
      </w:tr>
      <w:tr>
        <w:trPr>
          <w:trHeight w:val="20"/>
        </w:trPr>
        <w:tc>
          <w:tcPr>
            <w:tcW w:w="6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Operating activities</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Net cash used in operating activities in the six months ended June 30, 2021 consisted primarily of our net loss of $31.7 million, partially offset by non-cash charges of $7.3 million and a net change of $4.4 million in net operating assets and liabilities. The net loss consisted primarily of $22.6 million in research and development expenses and $9.4 million in general and administrative expenses. The non-cash charges consisted primarily of stock-based compensation of $7.1 million and depreciation and amortization expenses of $0.2 million, primarily related to premium amortization on our marketable securities. The change in operating assets and liabilities was primarily due to an increase of $ 3.9 million in other current liabilities, primarily related to the increased spending in (i) research and development related costs, including contract manufacturing and clinical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research organization expenses as a result of our continued advancement of our lead product program, and (ii) personnel related expenses, including employee bonuses, due to increased headcount, and a decrease in prepaid expenses and other current assets of $0.9 million.</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Net cash used in operating activities in the six months ended June 30, 2020 consisted primarily of our net loss of $4.1 million, partially offset by non-cash interest expense of $0.6 million related to a beneficial conversion feature on a convertible note issued in January 2020 and $0.2 million related to stock-based compensation expense. The net loss primarily consisted of $2.7 million in research and development expenses, $ 0.8 million in general and administrative expenses, and $0.7 million in non-cash interest charge related to a beneficial conversion feature on a convertible note that was issued in January 2020.</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Investing Activities</w:t>
      </w:r>
    </w:p>
    <w:p>
      <w:pPr>
        <w:spacing w:after="0" w:line="23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Net cash used in investing activities in the six months ended June 30, 2021 was predominately due to purchases of marketable securities which was financed through the proceeds from the IPO and convertible preferred stock sale, and purchases of equipment, partially offset by the maturities of marketable securities.</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Net cash used in investing activities in the six months ended June 30, 2020 was for purchases of equipment.</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Financing activities</w:t>
      </w:r>
    </w:p>
    <w:p>
      <w:pPr>
        <w:spacing w:after="0" w:line="23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Net cash provided by financing activities in the six months ended June 30, 2021 consisted of $0.4 million and $0.1 million in net proceeds from the sale of our common stock under the 2020 ESPP and the exercise of stock options, respectively.</w:t>
      </w:r>
    </w:p>
    <w:p>
      <w:pPr>
        <w:spacing w:after="0" w:line="203"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Net cash provided by financing activities in the six months ended June 30, 2020 consisted primarily of $ 50.7 million and $ 3.0 million in net proceeds from sale and issuance of our Series B convertible preferred stock, and the issuance of our convertible promissory notes, respectively.</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34"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Refer to Note 11 of our notes to the Company’s condensed consolidated financial statements contained in this Quarterly Report on Form 10-Q for further information. There have been no significant changes outside the ordinary course of business during the six months ended June 30, 2021 to our commitments and contingencies disclosed in “Management’s Discussion and Analysis of Financial Condition and Results of Operations” included in our Annual Report on Form 10-K for the year ended December 31, 2020 filed on March 17, 2021 with the SEC.</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34"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significant judgements and estimates</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management’s discussion and analysis of our financial condition and results of operations are based on our condensed consolidated financial statements, which have been prepared in accordance with U.S. generally accepted accounting principles, or GAAP. The preparation of our condensed consolidated financial statements and related disclosures requires us to make estimates and judgments that affect the reported amounts of assets, liabilities, expenses and the disclosure of our contingent liabilities in our condensed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sources. We evaluate our estimates and assumptions on an ongoing basis. Our actual results may differ from these estimates under different assumptions or conditions.</w:t>
      </w:r>
    </w:p>
    <w:p>
      <w:pPr>
        <w:spacing w:after="0" w:line="197"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During the six months ended June 30, 2021, there were no material changes to our critical accounting policies as reported in our Annual Report on Form 10-K.</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4"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During the six months ended June 30, 2021, there were no material changes to our market risk disclosures reported in our Annual Report on Form 10-K.</w:t>
      </w:r>
    </w:p>
    <w:p>
      <w:pPr>
        <w:spacing w:after="0" w:line="175"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As of June 30, 2021, management, with the participation of our Chief Executive Officer and Chief Financial Officer,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Chief Financial Officer, to allow timely decisions regarding required disclosures.</w:t>
      </w:r>
    </w:p>
    <w:p>
      <w:pPr>
        <w:spacing w:after="0" w:line="20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June 30, 2021, the design and operation of our disclosure controls and procedures were effective at a reasonable assurance level.</w:t>
      </w:r>
    </w:p>
    <w:p>
      <w:pPr>
        <w:spacing w:after="0" w:line="20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Because we now expect to lose our status as an emerging growth company on December 31, 2021, we believe that management will be required to conduct an ICFR assessment for the current fiscal year, and the company to include management’s report in our Annual Report on Form 10-K for the fiscal year ending December 31, 2021. Should this occur, our independent public registered accounting firm will be required to attest to and report on management’s assessment of the effectiveness of the Company’s internal control over financial reporting in connection with its audit of our annual consolidated financial statements to be included in such Form 10-K.</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Rules 13a-15(d) and 15d-15(d) of the Exchange Act that occurred during the six months ended June 30, 2021 that has materially affected, or is reasonably likely to materially affect, our internal control over financial reporting. We have not experienced any material impact to our internal controls over financial reporting despite the fact that most of our employees are working remotely due to the COVID-19 pandemic. We are continually monitoring and assessing the COVID-19 situation to minimize the impact to the design and operating effectiveness of our internal controls.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are not currently a party to any material litigation or other material legal proceedings.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16"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i w:val="1"/>
          <w:iCs w:val="1"/>
          <w:color w:val="auto"/>
        </w:rPr>
        <w:t>Our business involves significant risks, some of which are described below. You should carefully consider the following risks, as well as the other information in this Quarterly Report on Form 10-Q, including our condensed consolidated financial statements and the related notes and “Management’s Discussion and Analysis of Financial Condition and Results of Operations.” The occurrence of any of the events or developments described below could have a material adverse effect on our business, results of operations, financial condition, prospects and stock price. In such an event, the market price of our common stock could decline, and you may lose all or part of your investment. Additional risks and uncertainties not presently known to us or that we currently deem immaterial may also impair our business operations and the market price of our common stock.</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 SUMMARY</w:t>
      </w:r>
    </w:p>
    <w:p>
      <w:pPr>
        <w:spacing w:after="0" w:line="220"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Investing in our common stock involves numerous risks, including the risks described in “Part II, Item 1A. Risk Factors” of this Quarterly Report on Form 10-Q. Below are some of these risks, any one of which could materially adversely affect our business, financial condition, results of operations, and prospects.</w:t>
      </w:r>
    </w:p>
    <w:p>
      <w:pPr>
        <w:spacing w:after="0" w:line="189" w:lineRule="exact"/>
        <w:rPr>
          <w:sz w:val="20"/>
          <w:szCs w:val="20"/>
          <w:color w:val="auto"/>
        </w:rPr>
      </w:pPr>
    </w:p>
    <w:p>
      <w:pPr>
        <w:jc w:val="both"/>
        <w:ind w:left="720" w:right="79" w:hanging="319"/>
        <w:spacing w:after="0" w:line="234"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not completed any clinical trials and have no products approved for commercial sale, which may make it difficult for you to evaluate our current business and predict our future success and viability.</w:t>
      </w:r>
    </w:p>
    <w:p>
      <w:pPr>
        <w:spacing w:after="0" w:line="2" w:lineRule="exact"/>
        <w:rPr>
          <w:rFonts w:ascii="Arial" w:cs="Arial" w:eastAsia="Arial" w:hAnsi="Arial"/>
          <w:sz w:val="18"/>
          <w:szCs w:val="18"/>
          <w:color w:val="auto"/>
        </w:rPr>
      </w:pPr>
    </w:p>
    <w:p>
      <w:pPr>
        <w:jc w:val="both"/>
        <w:ind w:left="720" w:right="79" w:hanging="319"/>
        <w:spacing w:after="0" w:line="234"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will require substantial additional capital to finance our operations. If we are unable to raise such capital when needed, or on acceptable terms, we may be forced to delay, reduce and/or eliminate one or more of our research and drug development programs of our only product or future commercialization efforts.</w:t>
      </w:r>
    </w:p>
    <w:p>
      <w:pPr>
        <w:spacing w:after="0" w:line="2" w:lineRule="exact"/>
        <w:rPr>
          <w:rFonts w:ascii="Arial" w:cs="Arial" w:eastAsia="Arial" w:hAnsi="Arial"/>
          <w:sz w:val="18"/>
          <w:szCs w:val="18"/>
          <w:color w:val="auto"/>
        </w:rPr>
      </w:pPr>
    </w:p>
    <w:p>
      <w:pPr>
        <w:jc w:val="both"/>
        <w:ind w:left="720" w:right="79" w:hanging="319"/>
        <w:spacing w:after="0" w:line="234"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incurred net losses since inception, and we expect to continue to incur net losses for the foreseeable future. We expect to continue to incur increased expenses and operating losses for the foreseeable future as we continue our research and development efforts and seek to obtain regulatory approval for OP-1250. In addition, we may be unable to continue as a going concern over the long term.</w:t>
      </w:r>
    </w:p>
    <w:p>
      <w:pPr>
        <w:spacing w:after="0" w:line="3" w:lineRule="exact"/>
        <w:rPr>
          <w:rFonts w:ascii="Arial" w:cs="Arial" w:eastAsia="Arial" w:hAnsi="Arial"/>
          <w:sz w:val="18"/>
          <w:szCs w:val="18"/>
          <w:color w:val="auto"/>
        </w:rPr>
      </w:pPr>
    </w:p>
    <w:p>
      <w:pPr>
        <w:jc w:val="both"/>
        <w:ind w:left="720" w:right="79" w:hanging="319"/>
        <w:spacing w:after="0" w:line="234"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substantially dependent on the success of our only product candidate, OP-1250, which is currently in the early stages of clinical development. We cannot assure you that our planned clinical development programs for OP-1250 will be completed in a timely manner, or at all, or that we will be able to obtain approval for OP-1250 from the FDA, or any comparable foreign regulatory authority. If we are unable to complete development of, obtain regulatory approval for and commercialize OP-1250 in one or more indications and in a timely manner, our business, financial condition, results of operations and prospects will be significantly harmed.</w:t>
      </w:r>
    </w:p>
    <w:p>
      <w:pPr>
        <w:spacing w:after="0" w:line="4" w:lineRule="exact"/>
        <w:rPr>
          <w:rFonts w:ascii="Arial" w:cs="Arial" w:eastAsia="Arial" w:hAnsi="Arial"/>
          <w:sz w:val="18"/>
          <w:szCs w:val="18"/>
          <w:color w:val="auto"/>
        </w:rPr>
      </w:pPr>
    </w:p>
    <w:p>
      <w:pPr>
        <w:jc w:val="both"/>
        <w:ind w:left="720" w:right="79" w:hanging="319"/>
        <w:spacing w:after="0" w:line="234"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Clinical development is a lengthy and expensive process with an uncertain outcome, and results of earlier studies and trials may not be predictive of future trial results. Failure can occur at any stage of clinical development. We have never completed a pivotal clinical trial or submitted a New Drug Application, or NDA, to the FDA or similar drug approval filings to comparable foreign authorities. If we are ultimately unable to obtain regulatory approval for OP-1250, we will be unable to generate product revenue and our business, financial condition, results of operations and prospects will be significantly harmed.</w:t>
      </w:r>
    </w:p>
    <w:p>
      <w:pPr>
        <w:spacing w:after="0" w:line="4" w:lineRule="exact"/>
        <w:rPr>
          <w:rFonts w:ascii="Arial" w:cs="Arial" w:eastAsia="Arial" w:hAnsi="Arial"/>
          <w:sz w:val="18"/>
          <w:szCs w:val="18"/>
          <w:color w:val="auto"/>
        </w:rPr>
      </w:pPr>
    </w:p>
    <w:p>
      <w:pPr>
        <w:jc w:val="both"/>
        <w:ind w:left="720" w:right="79" w:hanging="319"/>
        <w:spacing w:after="0" w:line="234"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Even if approved, OP-1250 may not achieve adequate market acceptance among physicians, patients, healthcare payors and others in the medical community necessary for commercial success. The degree of market acceptance would depend on a number of factors. If OP-1250 is approved but does not achieve an adequate level of acceptance by physicians, hospitals, healthcare payors and patients, we may not generate or derive sufficient revenue and could significantly harm our business, financial condition, results of operations and prospects.</w:t>
      </w:r>
    </w:p>
    <w:p>
      <w:pPr>
        <w:spacing w:after="0" w:line="4" w:lineRule="exact"/>
        <w:rPr>
          <w:rFonts w:ascii="Arial" w:cs="Arial" w:eastAsia="Arial" w:hAnsi="Arial"/>
          <w:sz w:val="18"/>
          <w:szCs w:val="18"/>
          <w:color w:val="auto"/>
        </w:rPr>
      </w:pPr>
    </w:p>
    <w:p>
      <w:pPr>
        <w:jc w:val="both"/>
        <w:ind w:left="720" w:right="79" w:hanging="319"/>
        <w:spacing w:after="0" w:line="234"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and market technologies or products more rapidly than we do or that are more effective, safer or less expensive than OP-1250, or product candidates we may develop in the future, our commercial opportunities will be negatively impacted.</w:t>
      </w:r>
    </w:p>
    <w:p>
      <w:pPr>
        <w:spacing w:after="0" w:line="2"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unable to obtain U.S. or foreign regulatory approvals and, as a result, may be unable to commercialize OP-1250 or any future product candidate we may develop.</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79" w:hanging="319"/>
        <w:spacing w:after="0" w:line="234"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outbreak of the novel coronavirus disease, COVID-19, could adversely impact our business, including our nonclinical studies and clinical trials.</w:t>
      </w:r>
    </w:p>
    <w:p>
      <w:pPr>
        <w:spacing w:after="0" w:line="1" w:lineRule="exact"/>
        <w:rPr>
          <w:rFonts w:ascii="Arial" w:cs="Arial" w:eastAsia="Arial" w:hAnsi="Arial"/>
          <w:sz w:val="18"/>
          <w:szCs w:val="18"/>
          <w:color w:val="auto"/>
        </w:rPr>
      </w:pPr>
    </w:p>
    <w:p>
      <w:pPr>
        <w:jc w:val="both"/>
        <w:ind w:left="720" w:right="79" w:hanging="319"/>
        <w:spacing w:after="0" w:line="234"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order to successfully implement our plans and strategies, we will need to grow the size of our organization, and we may experience difficulties in managing this growth. Given the small size of our organization, we may encounter difficulties managing multiple clinical trials at the same time, which could negatively affect our ability to manage the growth of our organization, particularly as we take on additional responsibility associated with being a public company. If we are not able to effectively expand our organization by hiring new employees and/or engaging additional third-party service providers, we may not be able to successfully implement the tasks necessary to further develop and commercialize OP-1250 and any other future product candidates we may develop and, accordingly, may not achieve our research, development and commercialization goals.</w:t>
      </w:r>
    </w:p>
    <w:p>
      <w:pPr>
        <w:spacing w:after="0" w:line="6" w:lineRule="exact"/>
        <w:rPr>
          <w:rFonts w:ascii="Arial" w:cs="Arial" w:eastAsia="Arial" w:hAnsi="Arial"/>
          <w:sz w:val="18"/>
          <w:szCs w:val="18"/>
          <w:color w:val="auto"/>
        </w:rPr>
      </w:pPr>
    </w:p>
    <w:p>
      <w:pPr>
        <w:jc w:val="both"/>
        <w:ind w:left="720" w:right="79" w:hanging="319"/>
        <w:spacing w:after="0" w:line="234"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success depends on our ability to protect our intellectual property and our proprietary technologies. Even issued patents may later be found invalid or unenforceable or may be modified or revoked in proceedings instituted by third parties before various patent offices or in courts. Thus, the degree of future protection for our proprietary rights is uncertain.</w:t>
      </w:r>
    </w:p>
    <w:p>
      <w:pPr>
        <w:spacing w:after="0" w:line="2" w:lineRule="exact"/>
        <w:rPr>
          <w:rFonts w:ascii="Arial" w:cs="Arial" w:eastAsia="Arial" w:hAnsi="Arial"/>
          <w:sz w:val="18"/>
          <w:szCs w:val="18"/>
          <w:color w:val="auto"/>
        </w:rPr>
      </w:pPr>
    </w:p>
    <w:p>
      <w:pPr>
        <w:jc w:val="both"/>
        <w:ind w:left="720" w:right="79" w:hanging="319"/>
        <w:spacing w:after="0" w:line="237"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rely, and expect to continue to rely, on third parties, including independent clinical investigators and contract research organizations, or CROs, to conduct certain aspects of our nonclinical studies and clinical trials. If these third parties do not successfully carry out their contractual duties, comply with applicable regulatory requirements or meet expected deadlines, we may not be able to obtain regulatory approval for or commercialize OP-1250 or future product candidates we may develop and our business, financial condition, results of operations and prospects could be significantly harmed.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financial position and the need for additional capital</w:t>
      </w:r>
    </w:p>
    <w:p>
      <w:pPr>
        <w:spacing w:after="0" w:line="21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We have not completed any clinical trials and have no products approved for commercial sale, which may make it difficult for you to evaluate our current business and predict our future success and viability.</w:t>
      </w:r>
    </w:p>
    <w:p>
      <w:pPr>
        <w:spacing w:after="0" w:line="19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are a clinical-stage biopharmaceutical company and we have no products approved for commercial sale, have not generated any revenue from product sales and have incurred losses since inception. To date, we have devoted substantially all of our resources and efforts to organizing and staffing our company, business planning, executing partnerships, raising capital, discovering, identifying and developing our product candidate, OP-1250, securing related intellectual property rights and conducting nonclinical studies and initiating a Phase 1/2 clinical trial of OP-1250. We have not yet demonstrated our ability to successfully complete any clinical trials,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future success or viability than it could be if we had a longer operating history.</w:t>
      </w:r>
    </w:p>
    <w:p>
      <w:pPr>
        <w:spacing w:after="0" w:line="20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addition, we may encounter unforeseen expenses, difficulties, complications, delays and other known and unknown factors and risks frequently experienced by clinical-stage biopharmaceutical companies in rapidly evolving fields. We also may need to transition from a company with a research focus to a company capable of successfully executing drug development activities and supporting commercial operations. If we do not adequately address these risks and difficulties or successfully make such a transition, our business, financial condition, results of operations and prospects will be significantly harmed.</w:t>
      </w:r>
    </w:p>
    <w:p>
      <w:pPr>
        <w:spacing w:after="0" w:line="183"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We require substantial additional capital to finance our operations. If we are unable to raise such capital when needed, or on acceptable terms, we may be forced to delay, reduce and/or eliminate one or more of our research and drug development programs of our only product or future commercialization efforts.</w:t>
      </w:r>
    </w:p>
    <w:p>
      <w:pPr>
        <w:spacing w:after="0" w:line="19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Developing pharmaceutical products, including conducting nonclinical studies and clinical trials, is a very time-consuming, expensive and uncertain process that takes years to complete. Our operations have consumed substantial amounts of cash since inception, and we expect our expenses will increase in connection with our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ongoing activities, particularly as we initiate and conduct clinical trials of, and seek marketing approval for, OP-1250. With only one product candidate in development, we anticipate incurring significant costs associated with the development of OP-1250. Our expenses could increase beyond expectations if we are required by the U.S. Food and Drug Administration, or the FDA, the European Medicines Agency, or the EMA, or other regulatory agencies to perform clinical trials or nonclinical studies in addition to those that we currently anticipate. Other unanticipated costs may also arise. In addition, if we obtain marketing approval for OP-1250, we expect to incur significant commercialization expenses related to drug sales, marketing, manufacturing and distribution. Because the design and outcome of our planned and anticipated clinical trials are highly uncertain, we cannot reasonably estimate the actual amounts necessary to successfully complete the development and commercialization of any product candidate we develop. We also incur additional costs associated with operating as a public company. Accordingly, we will need to obtain substantial additional funding in order to maintain our continuing operations.</w:t>
      </w:r>
    </w:p>
    <w:p>
      <w:pPr>
        <w:spacing w:after="0" w:line="204"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As of June 30, 2021, we had $318.1 million in cash, cash equivalents, and marketable securities. Based on our current operating plans, we believe that our existing cash and cash equivalents, will be sufficient to fund our operating expenses and capital expenditures requirements through the end of 2023. Our estimate as to how long we expect our existing cash and cash equivalents, to be able to continue to fund our operating expenses and capital expenditures requirements is based on assumptions that may prove to be wrong, and we could use our available capital resources sooner than we currently expect. Changing circumstances, some of which may be beyond our control, including a default in one or several of the financial institutions in which we hold, or a negative return on, our cash and cash equivalents, could cause us to consume capital significantly faster than we currently anticipate, and we may need to seek additional funds sooner than planned. Moreover, it is particularly difficult to estimate with certainty our future expenses given the dynamic nature of our business, the COVID-19 pandemic and the macro-economic environment generally. Advancing the development of OP-1250 and any future product candidates we may develop will require a significant amount of capital, and our existing cash and cash equivalents will not be sufficient to fund all of the activities that are necessary to complete the development of OP-1250.</w:t>
      </w:r>
    </w:p>
    <w:p>
      <w:pPr>
        <w:spacing w:after="0" w:line="21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will be required to obtain additional funding through public or private equity offerings, debt financings, collaborations and licensing arrangements or other sources, which may dilute our stockholders or restrict our operating activities. Adequate additional financing may not be available to us on acceptable terms, or at all. Market volatility, including as a result of the COVID-19 pandemic, could also adversely impact our ability to access capital as and when needed. 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186"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We have incurred net losses since inception, and we expect to continue to incur net losses for the foreseeable future. In addition, we may be unable to continue as a going concern over the long-term.</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have incurred net losses in each reporting period since our inception, have not generated any revenue from product sales to date and have financed our operations principally through our initial public offering and private financings. We have incurred net losses of $31.7 million for the six months ended June 30, 2021. We had an accumulated deficit of $64.8 million as of June 30, 2021. Our losses have resulted principally from expenses incurred in research and development of OP-1250 and from management and administrative costs and other expenses that we have incurred while building our business infrastructure. Our only product candidate, OP-1250, is in early-stage clinical trials. As a result, we expect that it will be several years, if ever, before we have a commercialized product and generate revenue from product sales. Even if we succeed in receiving marketing approval for and commercializing OP-1250 in one of our lead indications, we expect that we will continue to incur substantial research and development and other expenses as we continue the clinical development programs for OP-1250 in other indications.</w:t>
      </w:r>
    </w:p>
    <w:p>
      <w:pPr>
        <w:spacing w:after="0" w:line="205"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We expect to continue to incur increased expenses and operating losses for the foreseeable future as we continue our research and development efforts and seek to obtain regulatory approval for OP-1250. The net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In any particular period, our operating results could be below the expectations of securities analysts or investors, which could cause our stock price to decline.</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addition, our condensed consolidated financial statements for the six months ended June 30, 2021 and 2020 included elsewhere in this report have been prepared assuming we will continue as a going concern. However, we have incurred losses and negative cash flows from operations. As a development stage company, we expect to incur significant and increasing losses until regulatory approval is granted for OP-1250. Regulatory approval is not guaranteed and may never be obtained. As a result, these conditions raise substantial doubt about our ability to continue as a going concern over the long-term.</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be profitable.</w:t>
      </w:r>
    </w:p>
    <w:p>
      <w:pPr>
        <w:spacing w:after="0" w:line="23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7"/>
          <w:szCs w:val="17"/>
          <w:color w:val="auto"/>
        </w:rPr>
        <w:t>Our ability to generate revenue from product sales and achieve profitability depends on our ability, alone or with our collaboration partners, to successfully complete the development of, and obtain the regulatory approvals necessary to commercialize, OP-1250 and any future product candidates we may develop. We do not anticipate generating revenue from product sales for the next several years, if ever. Our ability to generate revenue from product sales depends heavily on our and our current and potential future collaborators’ success in:</w:t>
      </w:r>
    </w:p>
    <w:p>
      <w:pPr>
        <w:spacing w:after="0" w:line="190" w:lineRule="exact"/>
        <w:rPr>
          <w:sz w:val="20"/>
          <w:szCs w:val="20"/>
          <w:color w:val="auto"/>
        </w:rPr>
      </w:pPr>
    </w:p>
    <w:p>
      <w:pPr>
        <w:ind w:left="720" w:right="79" w:hanging="319"/>
        <w:spacing w:after="0" w:line="246"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completing clinical and nonclinical development of product candidates and programs and identifying and developing new product candidates;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seeking and obtaining marketing approvals for any product candidates that we develop;</w:t>
      </w:r>
    </w:p>
    <w:p>
      <w:pPr>
        <w:spacing w:after="0" w:line="225" w:lineRule="exact"/>
        <w:rPr>
          <w:rFonts w:ascii="Arial" w:cs="Arial" w:eastAsia="Arial" w:hAnsi="Arial"/>
          <w:sz w:val="18"/>
          <w:szCs w:val="18"/>
          <w:color w:val="auto"/>
        </w:rPr>
      </w:pPr>
    </w:p>
    <w:p>
      <w:pPr>
        <w:jc w:val="both"/>
        <w:ind w:left="720" w:right="79"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launching and commercializing product candidates for which we obtain marketing approval by establishing a sales force, marketing, medical affairs and distribution infrastructure or, alternatively, collaborating with a commercialization partner;</w:t>
      </w:r>
    </w:p>
    <w:p>
      <w:pPr>
        <w:spacing w:after="0" w:line="202"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achieving adequate access and reimbursement by government and third-party payors for product candidates that we develop;</w:t>
      </w:r>
    </w:p>
    <w:p>
      <w:pPr>
        <w:spacing w:after="0" w:line="196" w:lineRule="exact"/>
        <w:rPr>
          <w:rFonts w:ascii="Arial" w:cs="Arial" w:eastAsia="Arial" w:hAnsi="Arial"/>
          <w:sz w:val="18"/>
          <w:szCs w:val="18"/>
          <w:color w:val="auto"/>
        </w:rPr>
      </w:pPr>
    </w:p>
    <w:p>
      <w:pPr>
        <w:jc w:val="both"/>
        <w:ind w:left="720" w:right="79"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establishing and maintaining supply and manufacturing relationships with third parties that can provide adequate, in both amount and quality, products and services to support clinical development and the market demand for product candidates that we develop, if approved;</w:t>
      </w:r>
    </w:p>
    <w:p>
      <w:pPr>
        <w:spacing w:after="0" w:line="202"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obtaining market acceptance of product candidates that we develop as viable treatment options;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addressing any competing technological and market developments;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negotiating favorable terms in any collaboration, licensing or other arrangements into which we may enter and performing our obligations in such collaborations;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maintaining, protecting, enforcing and expanding our portfolio of intellectual property rights, including patents, trade secrets and know-how;</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defending against third-party interference, infringement or other intellectual property-related claims, if any; and</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attracting, hiring and retaining qualified personnel.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Even if OP-1250 or any future product candidate that we may develop is approved for commercial sale, we anticipate incurring significant costs associated with commercializing any approved product candidate. Our expenses could increase beyond expectations if we are required by the FDA, the EMA or other comparable regulatory agencies to perform clinical trials or nonclinical studies in addition to those that we currently anticipate. Even if we are able to generate revenue from the sale of any approved products, we may not become profitable and may need to obtain additional funding to continue operations.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w:t>
      </w:r>
    </w:p>
    <w:p>
      <w:pPr>
        <w:spacing w:after="0" w:line="212"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We are substantially dependent on the success of our only product candidate, OP-1250, which is currently in the early stages of clinical development. If we are unable to complete development of, obtain regulatory approval for and commercialize OP-1250 in one or more indications and in a timely manner, our business, financial condition, results of operations and prospects will be significantly harmed.</w:t>
      </w:r>
    </w:p>
    <w:p>
      <w:pPr>
        <w:spacing w:after="0" w:line="19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future success is heavily dependent on our ability to timely complete clinical trials, obtain marketing approval for and successfully commercialize OP-1250, our only product candidate. We expect that a substantial portion of our efforts and expenses over the next several years will be devoted to the development of OP-1250 in our ongoing clinical trials in multiple indications. We are investing significant efforts and financial resources in the research and development of OP-1250. OP-1250 will require additional clinical development, evaluation of clinical, nonclinical and manufacturing activities, marketing approval from government regulators, and significant marketing efforts before we can generate any revenues from product sales. We are not permitted to market or promote OP-1250 before we receive marketing approval from the FDA and comparable foreign regulatory authorities, and we may never receive such marketing approvals. Should our planned clinical development of OP-1250 in our lead indications fail to be completed in a timely manner or at all, we will need to rely on our ongoing and planned clinical development of OP-1250 in additional indications, which will require more time and resources to obtain regulatory approval and proceed with commercialization, and may ultimately be unsuccessful.</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cannot assure you that our planned clinical development programs for OP-1250 will be completed in a timely manner, or at all, or that we will be able to obtain approval for OP-1250 from the FDA, EMA, or any comparable foreign regulatory authority. If we are unable to complete development of, obtain regulatory approval for and commercialize OP-1250 in one or more indications and in a timely manner, our business, financial condition, results of operations and prospects will be significantly harmed.</w:t>
      </w:r>
    </w:p>
    <w:p>
      <w:pPr>
        <w:spacing w:after="0" w:line="18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b w:val="1"/>
          <w:bCs w:val="1"/>
          <w:i w:val="1"/>
          <w:iCs w:val="1"/>
          <w:color w:val="auto"/>
        </w:rPr>
        <w:t>Clinical development is a lengthy and expensive process with an uncertain outcome, and results of earlier studies and trials may not be predictive of future trial results. Failure can occur at any stage of clinical development. We have never completed a clinical trial or submitted a New Drug Application, or NDA, to the FDA or similar drug approval filings to comparable foreign authorities. If we are ultimately unable to obtain regulatory approval for OP-1250, we will be unable to generate product revenue and our business, financial condition, results of operations and prospects will be significantly harmed.</w:t>
      </w:r>
    </w:p>
    <w:p>
      <w:pPr>
        <w:spacing w:after="0" w:line="201"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Clinical testing is expensive and can take many years to complete, and its outcome is inherently uncertain. Failure can occur at any time during the clinical trial process. The results of nonclinical studies and early clinical trials of OP-1250 and any future product candidates we may develop may not be predictive of the results of subsequent clinical trials. We have a limited operating history and to date have not demonstrated our ability to complete large scale clinical trials.</w:t>
      </w:r>
    </w:p>
    <w:p>
      <w:pPr>
        <w:spacing w:after="0" w:line="20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Product candidates in later stages of clinical trials may fail to show the desired safety and efficacy traits despite having progressed through nonclinical studies and initial clinical trials. In addition to the safety and efficacy traits of any product candidate, clinical trial failures may result from a multitude of factors including flaws in trial design, dose selection, placebo effect and patient enrollment criteria. A number of companies in the biopharmaceutical industry have suffered significant setbacks in advanced clinical trials due to lack of efficacy or adverse safety profiles, notwithstanding promising results in earlier trials. Based upon negative or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inconclusive results, we or any potential future collaborator may decide, or regulators may require us, to conduct additional clinical trials or nonclinical studies. In addition, data obtained from trials and studies are susceptible to varying interpretations, and regulators may not interpret our data as favorably as we do, which may delay, limit or prevent regulatory approval.</w:t>
      </w:r>
    </w:p>
    <w:p>
      <w:pPr>
        <w:spacing w:after="0" w:line="20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Our future clinical trials may not be successful. If any product candidate is found to be unsafe or lack efficacy, we will not be able to obtain regulatory approval for it and our business, financial condition, results of operations and prospects may be significantly harmed. In some instances, there can be significant variability in safety and/or efficacy results between different trials of the same product candidate due to numerous factors, including changes in trial protocols, differences in composition of the patient populations, adherence to the dosing regimen and other trial protocols and the dropout rate among clinical trial participants. Patients treated with OP-1250 or product candidates we may develop in the future may also be undergoing surgical, radiation and chemotherapy treatments and may be using other approved products or investigational new drugs, which can cause side effects or adverse events that are unrelated to OP-1250 or product candidates we may develop. As a result, assessments of efficacy can vary widely for a particular patient, and from patient to patient and site to site within a clinical trial. This subjectivity can increase the uncertainty of, and adversely impact, our clinical trial outcomes. We do not know whether any clinical trials we may conduct will demonstrate consistent or adequate efficacy and safety sufficient to obtain marketing approval to market OP-1250 or any future product candidates we may develop.</w:t>
      </w:r>
    </w:p>
    <w:p>
      <w:pPr>
        <w:spacing w:after="0" w:line="21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do not know whether our current clinical trial of OP-1250 or any future clinical trials we may conduct will demonstrate consistent or adequate efficacy and safety to obtain regulatory approval to market OP-1250 or any future product candidates we may develop. Most product candidates that begin clinical trials are never approved by regulatory authorities for commercialization. If we are unable to bring OP-1250 or any future product candidates to market, our ability to create long-term shareholder value will be limited.</w:t>
      </w:r>
    </w:p>
    <w:p>
      <w:pPr>
        <w:spacing w:after="0" w:line="20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addition, we may rely in part on nonclinical, clinical and quality data generated by contract research organizations, or CROs, and other third parties for regulatory submissions for OP-1250. While we have or will have agreements governing these third parties’ services, we have limited influence over their actual performance. If these third parties do not make data available to us, or, if applicable, make regulatory submissions in a timely manner, our development programs may be significantly delayed, and we may need to conduct additional studies or collect additional data independently. In either case, our development costs would increase.</w:t>
      </w:r>
    </w:p>
    <w:p>
      <w:pPr>
        <w:spacing w:after="0" w:line="20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Moreover, nonclinical and clinical data are often susceptible to varying interpretations and analyses and many companies that believed their product candidates performed satisfactorily in nonclinical studies and clinical trials nonetheless failed to obtain FDA, EMA or comparable foreign regulatory authority approval. We cannot guarantee that the FDA or foreign regulatory authorities will interpret trial results as we do, and more trials could be required before we are able to submit an application seeking approval of OP-1250 or any future product candidates we may develop.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OP-1250 or any future product candidates we may develop. Even if regulatory approval is secured for OP-1250, the terms of such approval may limit the scope and use of OP-1250, which may also limit its commercial potential. Furthermore, the approval policies or regulations of the FDA, EMA or comparable foreign regulatory authorities may significantly change in a manner rendering our clinical data insufficient for approval, which may lead to the FDA, EMA or comparable foreign regulatory authorities delaying, limiting or denying approval of OP-1250, including and any other indication we are seeking for approval under OP-1250.</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The regulatory approval processes of the FDA, EMA and comparable foreign authorities are lengthy, time consuming and inherently unpredictable, and if we are ultimately unable to obtain regulatory approval for OP-1250 or any future product candidates we may develop, our business, financial condition, results of operations and prospects will be significantly harmed.</w:t>
      </w:r>
    </w:p>
    <w:p>
      <w:pPr>
        <w:spacing w:after="0" w:line="19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time required to obtain approval by the FDA, EMA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Applications for OP-1250 could fail to receive regulatory approval for many reasons, including the following:</w:t>
      </w:r>
    </w:p>
    <w:p>
      <w:pPr>
        <w:spacing w:after="0" w:line="212" w:lineRule="exact"/>
        <w:rPr>
          <w:sz w:val="20"/>
          <w:szCs w:val="20"/>
          <w:color w:val="auto"/>
        </w:rPr>
      </w:pPr>
    </w:p>
    <w:p>
      <w:pPr>
        <w:ind w:left="720" w:right="79" w:hanging="319"/>
        <w:spacing w:after="0" w:line="246"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the FDA, EMA or other comparable foreign regulatory authorities may disagree with the design, implementation or results of our clinical trials;</w:t>
      </w:r>
    </w:p>
    <w:p>
      <w:pPr>
        <w:spacing w:after="0" w:line="196"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the FDA, EMA or other comparable foreign regulatory authorities may determine that OP-1250 is not safe and effective, only moderately effective or have undesirable or unintended side effects, toxicities or other characteristics that preclude our obtaining marketing approval or prevent or limit commercial use;</w:t>
      </w:r>
    </w:p>
    <w:p>
      <w:pPr>
        <w:spacing w:after="0" w:line="204"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the population studied in the clinical trial may not be sufficiently broad or representative to assure efficacy and safety in the full population for which we seek approval;</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the FDA, EMA or other comparable foreign regulatory authorities may disagree with our interpretation of data from nonclinical studies or clinical trials;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the data collected from clinical trials of OP-1250 may not be sufficient to support the submission of a NDA, or other submission or to obtain regulatory approval in the United States or elsewhere;</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we may be unable to demonstrate to the FDA, EMA or other comparable foreign regulatory authorities that OP- 1250’s risk-benefit ratio for its proposed indication is acceptable;</w:t>
      </w:r>
    </w:p>
    <w:p>
      <w:pPr>
        <w:spacing w:after="0" w:line="196" w:lineRule="exact"/>
        <w:rPr>
          <w:rFonts w:ascii="Arial" w:cs="Arial" w:eastAsia="Arial" w:hAnsi="Arial"/>
          <w:sz w:val="18"/>
          <w:szCs w:val="18"/>
          <w:color w:val="auto"/>
        </w:rPr>
      </w:pPr>
    </w:p>
    <w:p>
      <w:pPr>
        <w:jc w:val="both"/>
        <w:ind w:left="720" w:right="79"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the FDA, EMA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202"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the approval policies or regulations of the FDA, EMA or other comparable foreign regulatory authorities may significantly change in a manner rendering our clinical data insufficient for approval.</w:t>
      </w:r>
    </w:p>
    <w:p>
      <w:pPr>
        <w:spacing w:after="0" w:line="197"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OP-1250, which would significantly harm our business, financial condition, results of operations and prospects.</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even if we obtain approval of OP-1250 for a lead indication, regulatory authorities may not approve OP-1250 for other indications, may impose significant limitations in the form of narrow indications, warnings, or a Risk Evaluation and Mitigation Strategy, or REMS. Certain regulatory authorities may grant approval contingent on the performance of costly post-marketing clinical trials or may approve OP-1250 with a label that does not include the labeling claims necessary or desirable for successful. In addition, regulatory authorities in certain countries may not approve the price we intend to charge for the product we develop. If we are unable to obtain regulatory approval of OP-1250, or if regulatory approval is limited, our business, financial condition, results of operation and prospects will be significantly harmed.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Delays in clinical trials are common and have many causes, and any delay could result in increased costs to us and jeopardize or delay our ability to obtain regulatory approval and commence product sales.</w:t>
      </w:r>
    </w:p>
    <w:p>
      <w:pPr>
        <w:spacing w:after="0" w:line="191"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may experience delays in clinical trials of OP-1250 or any future product candidate we may develop. Our planned clinical trials may not begin on time, have an effective design, enroll a sufficient number of patients, or be completed on schedule, if at all. Our clinical trials can be delayed for a variety of reasons, including delays related to:</w:t>
      </w:r>
    </w:p>
    <w:p>
      <w:pPr>
        <w:spacing w:after="0" w:line="205" w:lineRule="exact"/>
        <w:rPr>
          <w:sz w:val="20"/>
          <w:szCs w:val="20"/>
          <w:color w:val="auto"/>
        </w:rPr>
      </w:pPr>
    </w:p>
    <w:p>
      <w:pPr>
        <w:ind w:left="720" w:right="79" w:hanging="319"/>
        <w:spacing w:after="0" w:line="246"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the FDA, EMA or comparable foreign regulatory authorities disagreeing as to the design or implementation of our clinical trials;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obtaining regulatory authorizations to commence a trial or reaching a consensus with regulatory authorities on trial design;</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any failure or delay in reaching an agreement with CROs and clinical trial sites, the terms of which can be subject to extensive negotiation and may vary significantly among different CROs and trial sites;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obtaining approval from one or more institutional review boards, or IRBs;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IRBs refusing to approve, suspending or terminating the trial at an investigational site, precluding enrollment of additional subjects, or withdrawing their approval of the trial;</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changes to clinical trial protocol;</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clinical sites deviating from trial protocol or dropping out of a trial;</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manufacturing sufficient quantities of product candidate or obtaining sufficient quantities of combination therapies for use in clinical trials;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subjects failing to enroll or remain in our trial at the rate we expect, or failing to return for post-treatment follow- up;</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delays in enrollment by subjects, or completion of the trial by subjects, due to the COVID-19 pandemic;</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subjects choosing an alternative treatment for the indication for which we are developing OP-1250, or participating in competing clinical trials;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lack of adequate funding to continue the clinical trial;</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subjects experiencing severe or unexpected drug-related adverse effects;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regulatory authorities imposing a clinical hold;</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occurrence of serious adverse events in trials of the same class of agents conducted by other companies;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selection of clinical end points that require prolonged periods of clinical observation or analysis of the resulting data;</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shutdowns, either temporarily or permanently, of any facility manufacturing OP-1250 or any future product candidate we may develop or any of their components, including by order from the FDA, EMA</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720" w:right="79"/>
        <w:spacing w:after="0"/>
        <w:rPr>
          <w:sz w:val="20"/>
          <w:szCs w:val="20"/>
          <w:color w:val="auto"/>
        </w:rPr>
      </w:pPr>
      <w:r>
        <w:rPr>
          <w:rFonts w:ascii="Arial" w:cs="Arial" w:eastAsia="Arial" w:hAnsi="Arial"/>
          <w:sz w:val="18"/>
          <w:szCs w:val="18"/>
          <w:color w:val="231F20"/>
        </w:rPr>
        <w:t>or comparable foreign regulatory authorities due to violations of current good manufacturing practice, or cGMP, regulations or other applicable requirements, or infections or cross-contaminations of OP-1250 or any future product candidate we may develop in the manufacturing process;</w:t>
      </w:r>
    </w:p>
    <w:p>
      <w:pPr>
        <w:spacing w:after="0" w:line="203" w:lineRule="exact"/>
        <w:rPr>
          <w:sz w:val="20"/>
          <w:szCs w:val="20"/>
          <w:color w:val="auto"/>
        </w:rPr>
      </w:pPr>
    </w:p>
    <w:p>
      <w:pPr>
        <w:ind w:left="720"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any changes to our manufacturing process that may be necessary or desired;</w:t>
      </w:r>
    </w:p>
    <w:p>
      <w:pPr>
        <w:spacing w:after="0" w:line="225" w:lineRule="exact"/>
        <w:rPr>
          <w:rFonts w:ascii="Arial" w:cs="Arial" w:eastAsia="Arial" w:hAnsi="Arial"/>
          <w:sz w:val="18"/>
          <w:szCs w:val="18"/>
          <w:color w:val="auto"/>
        </w:rPr>
      </w:pPr>
    </w:p>
    <w:p>
      <w:pPr>
        <w:jc w:val="both"/>
        <w:ind w:left="720" w:right="79"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third-party clinical investigators losing the licenses or permits necessary to perform our clinical trials, not performing our clinical trials on our anticipated schedule or consistent with the clinical trial protocol, good clinical practices, or GCP, or other regulatory requirements;</w:t>
      </w:r>
    </w:p>
    <w:p>
      <w:pPr>
        <w:spacing w:after="0" w:line="202" w:lineRule="exact"/>
        <w:rPr>
          <w:rFonts w:ascii="Arial" w:cs="Arial" w:eastAsia="Arial" w:hAnsi="Arial"/>
          <w:sz w:val="18"/>
          <w:szCs w:val="18"/>
          <w:color w:val="auto"/>
        </w:rPr>
      </w:pPr>
    </w:p>
    <w:p>
      <w:pPr>
        <w:ind w:left="720"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third-party contractors not performing data collection or analysis in a timely or accurate manner; or</w:t>
      </w:r>
    </w:p>
    <w:p>
      <w:pPr>
        <w:spacing w:after="0" w:line="225"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disruptions caused by the COVID-19 pandemic may increase the likelihood that we encounter such difficulties or delays in initiating, enrolling, conducting or completing our planned and ongoing clinical trials. We could also encounter delays if a clinical trial is suspended or terminated by us, by the IRBs of the institutions in which such trials are being conducted, by a Data Safety Monitoring Board for such trial or by the FDA, EMA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EMA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Further, conducting clinical trials in foreign countries, as we may do for OP-1250 or product candidates we may develop in the future,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20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If we experience delays in the completion of, or termination of, any clinical trial of OP-1250 or any product candidates we may develop in the future, the commercial prospects of OP-1250 or any product candidates we may develop in the future will be harmed, and our ability to generate product revenues from OP-1250 or any product candidates we may develop in the future will be delayed. Moreover, any delays in completing our clinical trials will increase our costs, slow down OP-1250’s or any product candidates we may develop in the future’s development and approval process and jeopardize our ability to commence product sales and generate revenues.</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many of the factors that cause, or lead to, termination or suspension of, or a delay in the commencement or completion of, clinical trials may also ultimately lead to the denial of regulatory approval of OP-1250 or any product candidates we may develop in the future. Any delays in our clinical trials that occur as a result could shorten any period during which we may have the exclusive right to commercialize OP-1250 or any product candidates we may develop in the future and our competitors may be able to bring products to market before we do, and the commercial viability of OP-1250 or any product candidates we may develop in the future could be significantly reduced. Any of these occurrences may significantly harm our business, financial condition, results of operations and prospects.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Because we are pursuing a variety of target indications for OP-1250, we may expend our limited resources to pursue a particular indication and fail to capitalize on indications or additional product candidates that may be more profitable or for which there is a greater likelihood of success.</w:t>
      </w:r>
    </w:p>
    <w:p>
      <w:pPr>
        <w:spacing w:after="0" w:line="191"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are currently focused on pursuing a variety of target indications for OP-1250, and we have expended, and plan to continue to expend, significant resources to pursue these and other indications for OP-1250. In addition, we may in the future spend our resources on other research programs and product candidates for specific indications that ultimately do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Because we have limited financial and managerial resources, we must focus our research and development efforts on those product candidates and specific indications that we believe are the most promising. As a result, we may forego or delay pursuit of opportunities with other product candidates or other indications that later prove to have greater commercial potential. Our resource allocation decisions may cause us to fail to capitalize on viable commercial products or profitable market opportunities, which will significantly harm our business, financial condition, results of operations and prospects.</w:t>
      </w:r>
    </w:p>
    <w:p>
      <w:pPr>
        <w:spacing w:after="0" w:line="183"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Even if approved, OP-1250 may not achieve adequate market acceptance among physicians, patients, healthcare payors and others in the medical community necessary for commercial success.</w:t>
      </w:r>
    </w:p>
    <w:p>
      <w:pPr>
        <w:spacing w:after="0" w:line="1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Even if OP-1250 receives regulatory approval, it may not gain adequate market acceptance among physicians, patients, healthcare payors and others in the medical community. The degree of market acceptance would depend on a number of factors, including:</w:t>
      </w:r>
    </w:p>
    <w:p>
      <w:pPr>
        <w:spacing w:after="0" w:line="203" w:lineRule="exact"/>
        <w:rPr>
          <w:sz w:val="20"/>
          <w:szCs w:val="20"/>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the efficacy and safety profile as demonstrated in clinical trials compared to alternative treatments;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the timing of market introduction of the product candidate as well as competitive products;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the clinical indications for which the product candidate is approved;</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restrictions on the use of OP-1250, such as boxed warnings or contraindications in labeling, or a REMS, if any, which may not be required of alternative treatments and competitor products;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the potential and perceived advantages of product candidates over alternative treatments;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the cost of treatment in relation to alternative treatments;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our pricing and the availability of coverage and adequate reimbursement by third-party payors, including government authorities;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the availability of OP-1250 for use as a combination therapy;</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relative convenience and ease of administration;</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the willingness of the target patient population to try new therapies and of physicians to prescribe these therapies;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the effectiveness of sales and marketing efforts;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unfavorable publicity relating to OP-1250 or similar approved products or product candidates in development by third parties; and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the approval of other new therapies for the same indications.</w:t>
      </w:r>
    </w:p>
    <w:p>
      <w:pPr>
        <w:spacing w:after="0" w:line="225"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If OP-1250 is approved but does not achieve an adequate level of acceptance by physicians, hospitals, healthcare payors and patients, we may not generate or derive sufficient revenue and could significantly harm our business, financial condition, results of operations and prospects.</w:t>
      </w:r>
    </w:p>
    <w:p>
      <w:pPr>
        <w:spacing w:after="0" w:line="181"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If we experience delays or difficulties in the enrollment and/or maintenance of patients in clinical trials, our clinical development activities could be delayed or otherwise adversely affected.</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Patient enrollment is a significant factor in the timing of clinical trials, and the timing of our clinical trials depends, in part, on the speed at which we can recruit patients to participate in our trials, as well as completion of required follow-up periods. We may not be able to initiate or continue clinical trials for OP-1250, or any future product candidate we may develop, if we are unable to locate and enroll a sufficient number of eligible patients to participate in these trials to such trial’s conclusion as required by the FDA, EMA or other comparable foreign regulatory authorities. Additionally, certain clinical trials for future product candidates may be focused on indications with relatively small patient populations, which may further limit enrollment of eligible patients or may result in slower enrollment than we anticipate. The eligibility criteria of our clinical trials, once established, may further limit the pool of available trial participants.</w:t>
      </w:r>
    </w:p>
    <w:p>
      <w:pPr>
        <w:spacing w:after="0" w:line="20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Enrollment of patients in our clinical trials and maintaining patients in our ongoing clinical trials may be delayed or limited as our clinical trial sites limit their onsite staff or temporarily close as a result of the COVID-19 pandemic. In addition, patients may not be able to visit clinical trial sites for dosing or data collection purposes due to limitations on travel and physical distancing imposed or recommended by federal or state governments or patients’ reluctance to visit the clinical trial sites during the pandemic. These factors resulting from the COVID-19 pandemic could delay the anticipated readouts from our clinical trials and ultimately delay future regulatory submissions.</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Patient enrollment may also be affected if our competitors have ongoing clinical trials for product candidates that are under development for the same indications as OP-1250, or any future product candidate we may develop, and patients who would otherwise be eligible for our clinical trials instead enroll in clinical trials of our competitors’ product candidates. Patient enrollment for any of our clinical trials may be affected by other factors, including:</w:t>
      </w:r>
    </w:p>
    <w:p>
      <w:pPr>
        <w:spacing w:after="0" w:line="202" w:lineRule="exact"/>
        <w:rPr>
          <w:sz w:val="20"/>
          <w:szCs w:val="20"/>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size and nature of the patient population;</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severity of the disease under investigation;</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availability and efficacy of approved drugs for the disease under investigation;</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patient eligibility criteria for the trial in question as defined in the protocol;</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perceived risks and benefits of the product candidate under study;</w:t>
      </w:r>
    </w:p>
    <w:p>
      <w:pPr>
        <w:spacing w:after="0" w:line="225" w:lineRule="exact"/>
        <w:rPr>
          <w:rFonts w:ascii="Arial" w:cs="Arial" w:eastAsia="Arial" w:hAnsi="Arial"/>
          <w:sz w:val="18"/>
          <w:szCs w:val="18"/>
          <w:color w:val="auto"/>
        </w:rPr>
      </w:pPr>
    </w:p>
    <w:p>
      <w:pPr>
        <w:jc w:val="both"/>
        <w:ind w:left="720" w:right="79"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clinicians’ and patients’ perceptions as to the potential advantages of the product candidate being studied in relation to other available therapies, including any new products that may be approved for the indications we are investigating;</w:t>
      </w:r>
    </w:p>
    <w:p>
      <w:pPr>
        <w:spacing w:after="0" w:line="202"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efforts to facilitate timely enrollment in clinical trials;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patient referral practices of physicians;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the ability to monitor patients adequately during and after treatment;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proximity and availability of clinical trial sites for prospective patients;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continued enrollment of prospective patients by clinical trial sites; and</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the risk that patients enrolled in clinical trials will drop out of the trials before completion or, because they may be late-stage cancer patients, will not survive the full terms of the clinical trials.</w:t>
      </w:r>
    </w:p>
    <w:p>
      <w:pPr>
        <w:spacing w:after="0" w:line="19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Our inability to enroll and maintain a sufficient number of patients for our clinical trials would result in significant delays or may require us to abandon one or more clinical trials altogether. Enrollment delays in our clinical trials may result in increased development costs for OP-1250 or any future product candidate we may develop and jeopardize our ability to obtain marketing approval for the sale of OP-1250 or any product candidate we may develop in the future. Furthermore, even if we are able to enroll a sufficient number of patients for our clinical trials, we may have difficulty maintaining enrollment of such patients in our clinical trials.</w:t>
      </w:r>
    </w:p>
    <w:p>
      <w:pPr>
        <w:spacing w:after="0" w:line="183"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We intend to develop OP-1250, and may develop future product candidates, in combination with other therapies, which exposes us to additional risks.</w:t>
      </w:r>
    </w:p>
    <w:p>
      <w:pPr>
        <w:spacing w:after="0" w:line="17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intend to develop OP-1250, and may develop other future product candidates, in combination with one or more other approved or unapproved therapies to treat cancer or other diseases. For example, we plan to initiate a Phase 1b clinical trial of OP-1250 as part of combination therapy with independent arms investigating its potential with a cyclin-dependent kinase 4 and 6 inhibitor and with a phosphatidylinositol 3-kinase alpha inhibitor.</w:t>
      </w:r>
    </w:p>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Even if OP-1250, or any future product candidate we develop, were to receive marketing approval or be commercialized for use in combination with other existing therapies, we would continue to be subject to the risks that the FDA, EMA or comparable foreign regulatory authorities could revoke approval of the therapy used in combination with our product or that safety, efficacy, manufacturing or supply issues could arise with any of those existing therapies. If the therapies we use in combination with OP-1250, or any future product candidate we may develop, are replaced as the standard of care for the indications we choose for OP-1250 or any future product candidate we may develop, the FDA, EMA or comparable foreign regulatory authorities may require us to conduct additional clinical trials. The occurrence of any of these risks could result in our own product, if approved, being removed from the market or being less successful commercially.</w:t>
      </w:r>
    </w:p>
    <w:p>
      <w:pPr>
        <w:spacing w:after="0" w:line="20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also may choose to evaluate OP-1250 or future product candidates in combination with one or more cancer therapies that have not yet been approved for marketing by the FDA, EMA or comparable foreign regulatory authorities. We will not be able to market and sell OP-1250, or any future product candidate we may develop, in combination with an unapproved cancer therapy for a combination indication if that unapproved therapy does not ultimately obtain marketing approval either alone or in combination with our product. In addition, unapproved cancer therapies face the same risks described with respect to OP-1250 currently in development and clinical trials, including the potential for serious adverse effects, delay in their clinical trials and lack of FDA, EMA or comparable foreign regulatory approval.</w:t>
      </w:r>
    </w:p>
    <w:p>
      <w:pPr>
        <w:spacing w:after="0" w:line="20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If the FDA, EMA or comparable foreign regulatory authorities do not approve these other drugs or revoke their approval of, or if safety, efficacy, quality, manufacturing or supply issues arise with, the drugs we choose to evaluate in combination with OP-1250 or future product candidates we may develop, we may be unable to obtain approval of or market such combination therapy.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The incidence and prevalence for target patient populations of OP-1250 are based on estimates and third-party sources. If the market opportunities for OP-1250, or any future product candidate we may develop, if and when approved, are smaller than we estimate or if any approval that we obtain is based on a narrower definition of the patient population, our revenue and ability to achieve profitability might be materially and adversely affected.</w:t>
      </w:r>
    </w:p>
    <w:p>
      <w:pPr>
        <w:spacing w:after="0" w:line="19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Periodically, we make estimates regarding the incidence and prevalence of target patient populations for particular diseases based on various third-party sources and internally generated analysis and use such estimates in making decisions regarding our drug development strategy, including acquiring or in-licensing product candidates and determining indications on which to focus in nonclinical or clinical trials.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incidence and prevalence for target patient populations of OP-1250 are based on estimates and third-party sources. These estimates may be inaccurate or based on imprecise data. For example, the total addressable market opportunity will depend on, among other things, acceptance of our drugs by the medical community and patient access, drug pricing and reimbursement. The number of patients in the addressable markets may turn out to be lower than expected, patients may not be otherwise amenable to treatment with our drugs, or new patients may become increasingly difficult to identify or gain access to. If the market opportunities for OP-1250, or any future product candidate we may develop, if and when approved, are smaller than we estimate or if any approval that we obtain is based on a narrower definition of the patient population, our revenue and ability to achieve profitability might be materially and adversely affected.</w:t>
      </w:r>
    </w:p>
    <w:p>
      <w:pPr>
        <w:spacing w:after="0" w:line="18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9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 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20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From time to time, we may also disclose interim data from our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common stock.</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our particular program, the approvability or commercialization of our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203"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If the interim, top-line, or preliminary data that we report differ from actual results, or if others, including regulatory authorities, disagree with the conclusions reached, our ability to obtain approval for, and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commercialize, OP-1250 or any future product candidates we may develop may be harmed, which could significantly harm our business, financial condition, results of operations and prospects.</w:t>
      </w:r>
    </w:p>
    <w:p>
      <w:pPr>
        <w:spacing w:after="0" w:line="17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technologies or products more rapidly than we do or that are more effective, safer or less expensive than OP-1250, or product candidates we may develop in the future, our commercial opportunities will be negatively impacted.</w:t>
      </w:r>
    </w:p>
    <w:p>
      <w:pPr>
        <w:spacing w:after="0" w:line="19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biotechnology and 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OP- 1250. Any product candidate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are attempting to develop OP-1250. Products we may develop in the future are also likely to face competition from other products and therapies, some of which we may not currently be aware. In addition, OP-1250 and any product candidate that we may develop in the future may need to compete with off- label drugs used by physicians to treat the indications for which we seek approval. This may make it difficult for us to replace existing therapies with OP-1250 and any product candidate that we may develop in the future.</w:t>
      </w:r>
    </w:p>
    <w:p>
      <w:pPr>
        <w:spacing w:after="0" w:line="20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particular, there is intense competition in the fields of women’s cancer which we are pursuing. We have competitors both in the United States and internationally, including major multinational pharmaceutical companies, established biotechnology companies, specialty pharmaceutical companies, emerging and start-up companies, universities and other research institutions.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spacing w:after="0" w:line="203"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8"/>
          <w:szCs w:val="18"/>
          <w:color w:val="auto"/>
        </w:rPr>
        <w:t>If we are successful in developing OP-1250, it may compete against existing products and product candidates in development, to the extent any such product candidates are approved, for the treatment of estrogen receptor-positive, or ER+, breast cancer, including fulvestrant, marketed as FASLODEX® by AstraZeneca PLC and generic equivalents of FASLODEX® that are marketed or in development, giredestrant (GDC-9545) being developed by Roche Holding AG/Genentech, Inc., or Genentech, camizestrant (AZD9833) being developed by AstraZeneca PLC, amcenestrant (SAR439859) being developed by Sanofi S.A., LY3484356 being developed by Eli Lilly and Co., ZN-c5 being developed by Zentalis Pharmaceuticals, Inc., elacestrant being developed by Radius Health, Inc., ARV-471 being developed by Arvinas, Inc., rintodestrant (G1T48) being developed by G1 Therapeutics, Inc., H3B-6545 being developed by H3 Biomedicines, a subsidiary of Eisai Co., Ltd., D-0502 being developed by InventisBio Co., Ltd., and lasofoxifene being developed by Sermonix Pharmaceuticals.</w:t>
      </w:r>
    </w:p>
    <w:p>
      <w:pPr>
        <w:spacing w:after="0" w:line="7"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have chosen to initially address well -validated biochemical targets, and therefore expect to face competition from existing products and products in development. There are a large number of companies developing or marketing treatments for cancer, including many major pharmaceutical and biotechnology companies. 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other comparable foreign regulatory authorities or in discovering, developing and commercializing products in our field before we do.</w:t>
      </w:r>
    </w:p>
    <w:p>
      <w:pPr>
        <w:spacing w:after="0" w:line="19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side effects, are more convenient, have a broader label, are marketed more effectively, receive greater levels of reimbursement than products we may develop receive or are less expensive than any products that we may develop. Our competitors also may obtain marketing approval from the FDA, EMA or other comparable foreign regulatory authorities for their products more rapidly than we may obtain approval for ours, which could result in our competitors establishing a strong market position before we are able to enter the market. Even if OP-1250 or other product candidates we may develop in the future achieve marketing approval, they may be priced at a significant premium over competitive products if any have been approved by then, resulting in reduced competitiveness. Technological advances or products developed by our competitors may render our technologies or OP-1250 or product candidates we may develop in the future obsolete, less competitive or not economical. If we are unable to compete effectively, our opportunity to generate revenue from the sale of our product we may develop, if approved, would be adversely affected.</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methods of OP-1250 manufacturing or formulation may result in additional costs or delay.</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As OP-1250 progresses through nonclinical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OP-1250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OP-1250 and jeopardize our ability to commercialize OP-1250, if approved, and generate revenue.</w:t>
      </w:r>
    </w:p>
    <w:p>
      <w:pPr>
        <w:spacing w:after="0" w:line="18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Any product candidate we develop may become subject to unfavorable third-party coverage and reimbursement practices, as well as pricing regulations.</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If we obtain marketing approval of OP-1250, or any future product candidate we may develop, sales of such product will depend substantially, both in the United States and internationally, on the extent to which the costs of the product will be covered and reimbursed by third-party payors. If reimbursement is not available, or is available only at inadequate levels, we may not be able to successfully commercialize OP-1250 or any future product candidates we may develop.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or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Moreover, eligibility for reimbursement does not imply that any drug will be paid for in all cases or at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As a result, the coverage determination process is often time-consuming and costly. This process will require us to provide scientific and clinical support for the use of our product to each third-party payor separately, with no assurance that coverage and adequate reimbursement will be applied consistently or obtained in the first instance.</w:t>
      </w:r>
    </w:p>
    <w:p>
      <w:pPr>
        <w:spacing w:after="0" w:line="20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third-party payors have attempted to control costs by limiting coverage and the amount of reimbursement for particular products and requiring substitutions of generic products and/or biosimilars. Increasingly, third-party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 approved drugs for a particular indication. We may need to conduct expensive pharmaco-economic studies to demonstrate the medical necessity and cost effectiveness of our product. Nonetheless, OP-1250 or any future product candidates we may develop may not be considered medically necessary or cost effective. We cannot be sure that coverage and reimbursement will be available for any product that we commercialize and, if reimbursement is available, what the level of reimbursement will be.</w:t>
      </w:r>
    </w:p>
    <w:p>
      <w:pPr>
        <w:spacing w:after="0" w:line="20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OP-1250 or any future product candidates we may develop.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OP-1250 or any future product candidates we may develop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OP-1250 or any future product candidates we may develop. Accordingly, in markets outside the United States, the reimbursement for any product that we commercialize may be reduced compared with the United States and may be insufficient to generate commercially reasonable revenue and profits.</w:t>
      </w:r>
    </w:p>
    <w:p>
      <w:pPr>
        <w:spacing w:after="0" w:line="21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If we are unable to establish or sustain coverage and adequate reimbursement for any product candidates that we commercialize from third-party payors, the adoption of those products and potential sales revenue would be adversely affected, which, in turn, could adversely affect the ability to market or sell those product candidates, if approved. Coverage policies and third-party payor reimbursement rates may change at any time. Even if favorable coverage and reimbursement status is attained for a product for which we receive regulatory approval, less favorable coverage policies and reimbursement rates may be implemented in the future.</w:t>
      </w:r>
    </w:p>
    <w:p>
      <w:pPr>
        <w:spacing w:after="0" w:line="183"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Guidelines and recommendations published by various organizations can reduce the use of OP-1250 or any future product candidates we may develop.</w:t>
      </w:r>
    </w:p>
    <w:p>
      <w:pPr>
        <w:spacing w:after="0" w:line="17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Government agencies promulgate regulations and guidelines directly applicable to us and to OP-1250 or any future product candidates we may develop. In addition, professional societies, such as practice management groups, private health and science foundations and organizations involved in various diseases from time to time may also publish guidelines or recommendations to the healthcare and patient communities. Recommendations of government agencies or these other groups or organizations may relate to such matters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as usage, dosage, route of administration and use of concomitant therapies. Recommendations or guidelines suggesting the reduced use of OP-1250 or any future product candidates we may develop or the use of competitive or alternative products as the standard of care to be followed by patients and healthcare providers could result in decreased use of OP-1250 or any future product candidates we may develop.</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212"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We may be unable to obtain U.S. or foreign regulatory approvals and, as a result, may be unable to commercialize OP-1250 or any future product candidate we may develop.</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OP-1250 is, and any product candidate we develop in the future will be, subject to extensive governmental regulations relating to, among other things, research, testing, development, manufacturing, safety, efficacy, approval, recordkeeping, reporting, labeling, storage, packaging, advertising and promotion, pricing, marketing and distribution of drugs. Rigorous nonclinical testing and clinical trials and an extensive regulatory approval process must be successfully completed in the United States and in many foreign jurisdictions before a new drug can be marketed. Satisfaction of these and other regulatory requirements is costly, time consuming, uncertain and subject to unanticipated delays. We cannot provide any assurance that OP-1250 or any product candidate we may develop will progress through required clinical testing and obtain the regulatory approvals necessary for us to begin selling them.</w:t>
      </w:r>
    </w:p>
    <w:p>
      <w:pPr>
        <w:spacing w:after="0" w:line="20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have not conducted, managed or completed large-scale or pivotal clinical trials nor managed the regulatory approval process with the FDA or any other regulatory authority. The time required to obtain approvals from the FDA and other regulatory authorities is unpredictable, and requires successful completion of extensive clinical trials which typically takes many years, depending upon the type, complexity and novelty of the product candidate. The standards that the FDA, EMA or other comparable foreign regulatory authorities use when evaluating clinical trial data can, and often does, change during drug development, which makes it difficult to predict with any certainty how they will be applied. We may also encounter unexpected delays or increased costs due to new government regulations, including future legislation or administrative action, or changes in FDA, EMA or other comparable foreign regulatory authorities’ policies during the period of drug development, clinical trials and FDA, EMA or other comparable foreign regulatory authorities’ regulatory review.</w:t>
      </w:r>
    </w:p>
    <w:p>
      <w:pPr>
        <w:spacing w:after="0" w:line="20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Any delay or failure in seeking or obtaining required approvals would have a material and adverse effect on our ability to generate revenue from the particular product candidate for which we developing and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20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may also become subject to numerous foreign regulatory requirements governing, among other things, the conduct of clinical trials and manufacturing of OP-1250.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The withdrawal of the United Kingdom from the European Union may adversely impact our ability to obtain regulatory approvals of our product candidates in the United Kingdom, result in restrictions in the importation of our product candidates between the United Kingdom and the European Union, and may require us to incur additional expenses to commercialize our product candidates in the United Kingdom and the European Union.</w:t>
      </w:r>
    </w:p>
    <w:p>
      <w:pPr>
        <w:spacing w:after="0" w:line="198"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Following the result of a referendum in 2016, the United Kingdom left the European Union on January 31, 2020, commonly referred to as Brexit. Pursuant to the formal withdrawal arrangements agreed between the United Kingdom and the European Union, the United Kingdom was subject to a transition period until December 31, 2020, or the Transition Period, during which European Union rules continued to apply. A trade and cooperation agreement, or the Trade and Cooperation Agreement, that outlines the future trading relationship between the United Kingdom and the European Union was provisionally agreed in December 2020 and has since been formally approved.</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Since a significant proportion of the regulatory framework in the United Kingdom applicable to our business and our product candidates is derived from European Union directives and regulations, Brexit has had, and will continue to have, a material impact upon the regulatory regime with respect to the development, manufacture, importation, approval and commercialization of our product candidates in the United Kingdom or the European Union, should any development or manufacturing of our product candidates take place in the United Kingdom.</w:t>
      </w:r>
    </w:p>
    <w:p>
      <w:pPr>
        <w:spacing w:after="0" w:line="20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Great Britain (made up of England, Scotland, and Wales) is no longer covered by the EEA’s procedures for the grant of marketing authorizations (Northern Ireland will be covered by such procedures). A separate marketing authorization will be required to market drugs in Great Britain. Any delay in obtaining, or an inability to obtain, any marketing approvals in Great Britain, would delay or prevent us from commercializing our product candidates in Great Britain and restrict our ability to generate revenue and achieve and sustain profitability.</w:t>
      </w:r>
    </w:p>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While the Trade and Cooperation Agreement provides for the tariff-free trade of medicinal products between the United Kingdom and the European Union there may be additional non-tariff costs to such trade which did not exist prior to the end of the Transition Period. Further, should the United Kingdom diverge from the European Union from a regulatory perspective in relation to medicinal products, tariffs could be put into place in the future. We could therefore, both now and in the future, face significant additional expenses (when compared to the position prior to the end of the Transition Period)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United Kingdom It is also possible that Brexit may negatively affect our ability to attract and retain employees, particularly those from the European Union.</w:t>
      </w:r>
    </w:p>
    <w:p>
      <w:pPr>
        <w:spacing w:after="0" w:line="20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Orphan designation in Great Britain following Brexit is, unlike in the European Union, not available pre-marketing authorization. Applications for orphan designation are made at the same time as an application for a marketing authorization. The criteria to be granted an orphan drug designation or essentially identical to those in the European Union but based on the prevalence of the condition in Great Britain. It is therefore possible that conditions that were or would have been designated as orphan conditions in Great Britain prior to the end of the Transition Period are or would no longer be and that conditions that were not currently designated as orphan conditions in the European Union will be designated as such in Great Britain.</w:t>
      </w:r>
    </w:p>
    <w:p>
      <w:pPr>
        <w:spacing w:after="0" w:line="181"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if we are unable to obtain sufficient insurance coverage, such inability could significantly harm our business, financial condition, results of operations and prospects.</w:t>
      </w:r>
    </w:p>
    <w:p>
      <w:pPr>
        <w:spacing w:after="0" w:line="191"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EMA or other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regulatory authority investigation of the safety and effectiveness of our product, our manufacturing processes and facilities or our marketing programs. FDA, EMA or other regulatory authority investigations could potentially lead to a recall of our product or more serious enforcement action, limitations on the approved indications for which it may be used or suspension or withdrawal of approvals. Regardless of the merits or eventual outcome, liability claims may also result in decreased demand for our product,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marketing OP-1250,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significantly harm our business, financial condition, results of operations and prospects.</w:t>
      </w:r>
    </w:p>
    <w:p>
      <w:pPr>
        <w:spacing w:after="0" w:line="182"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OP-1250 and any future product candidates we develop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19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As is the case with pharmaceuticals generally, it is likely that there may be side effects and adverse events associated with the use of OP-1250 or any future product candidates we may develop. Results of our clinical trials could reveal a high and unacceptable severity and prevalence of side effects or unexpected characteristics. Undesirable side effects caused by OP-1250 or any future product candidates we may develop could cause us or regulatory authorities to interrupt, delay or halt clinical trials and could result in a more restrictive label or the delay or denial of regulatory approval by the FDA, EMA or other comparable foreign regulatory authorities. The drug-related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spacing w:after="0" w:line="20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If OP-1250 or any future product candidates we may develop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a trial, or result in potential product liability claims. Any of these occurrences may prevent us from achieving or maintaining market acceptance of the affected product candidate and may significantly harm our business, financial condition, results of operations and prospects.</w:t>
      </w:r>
    </w:p>
    <w:p>
      <w:pPr>
        <w:spacing w:after="0" w:line="20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Patients in our ongoing and planned clinical trials may in the future suffer significant adverse events or other side effects not observed in our nonclinical studies or previous clinical trials. OP-1250 or any future product candidates we may develop, may be used as chronic therapies or be used in pediatric populations, for which safety concerns may be particularly scrutinized by regulatory agencies. In addition, if OP-1250 or any future product candidates we may develop, are used in combination with other therapies, OP-1250 or any future product candidates we may develop may exacerbate adverse events associated with the therapy and it may not be possible to determine whether it was caused by our product or the one with which it was combined. Patients treated with OP-1250 or any future candidates we may develop, may also be undergoing surgical, radiation and chemotherapy treatments, which can cause side effects or adverse events that are unrelated to OP-1250 or any future product candidates we may develop,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If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EMA,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significantly harm our business, financial condition, results of operations and prospects. Further, if OP-1250 obtains marketing approval, toxicities associated with OP-1250 and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OP-1250 will cause toxicities in humans that would preclude or lead to the revocation of regulatory approval based on nonclinical studies or early-stage clinical trials.</w:t>
      </w:r>
    </w:p>
    <w:p>
      <w:pPr>
        <w:spacing w:after="0" w:line="191"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The FDA, EMA and other comparable foreign regulatory authorities may not accept data from trials conducted in locations outside of their jurisdiction.</w:t>
      </w:r>
    </w:p>
    <w:p>
      <w:pPr>
        <w:spacing w:after="0" w:line="17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may choose to conduct international clinical trials in the future. The acceptance of study data by the FDA, EMA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United States population and United States medical practice; (2) the trials are performed by clinical investigators of recognized competence and pursuant to current GCP requirements; and (3) the FDA is able to validate the data through an on-site inspection or other appropriate means. Additionally, the FDA’s clinical trial requirements, including the adequacy of the patient population studied and statistical powering, must be met. In addition, such foreign trials would be subject to the applicable local laws of the foreign jurisdictions where the trials are conducted. There can be no assurance that the FDA, EMA or any applicable foreign regulatory authority will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OP-1250 or any future product candidates we may develop not receiving approval for commercialization in the applicable jurisdiction.</w:t>
      </w:r>
    </w:p>
    <w:p>
      <w:pPr>
        <w:spacing w:after="0" w:line="191"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b w:val="1"/>
          <w:bCs w:val="1"/>
          <w:i w:val="1"/>
          <w:iCs w:val="1"/>
          <w:color w:val="auto"/>
        </w:rPr>
        <w:t>Obtaining and maintaining regulatory approval of OP-1250, or any product candidate we develop in the future, in one jurisdiction does not mean that we will be successful in obtaining regulatory approval of OP-1250, or any product candidate we develop in the future, in other jurisdictions.</w:t>
      </w:r>
    </w:p>
    <w:p>
      <w:pPr>
        <w:spacing w:after="0" w:line="19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Obtaining and maintaining regulatory approval of OP-1250, or any product candidate we develop in the future, in one jurisdiction does not guarantee that we will be able to obtain or maintain regulatory approval in any other jurisdiction. For example, even if the FDA, EMA or other foreign regulatory authority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 is also subject to approval.</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Obtaining foreign regulatory approvals and establishing and maintaining compliance with foreign regulatory requirements could result in significant delays, difficulties and costs for us and could delay or prevent the introduction of our product in certain countries. If we or any future collaborator fail to comply with the regulatory requirements in international markets or fail to receive applicable marketing approvals, our target market will be reduced and our ability to realize the full market potential of OP-1250, or any product candidate we develop in the future, will be harmed.</w:t>
      </w:r>
    </w:p>
    <w:p>
      <w:pPr>
        <w:spacing w:after="0" w:line="183"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Even if OP-1250, or any product candidate we develop in the future, receives regulatory approval, it will be subject to significant post-marketing regulatory requirements and oversight.</w:t>
      </w:r>
    </w:p>
    <w:p>
      <w:pPr>
        <w:spacing w:after="0" w:line="17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Any regulatory approvals that we may receive for OP-1250, or any product candidate we develop in the future,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REMS in order to approve OP-1250, which could entail requirements for a medication guide, physician training and communication plans or additional elements to ensure safe use, such as restricted distribution methods, patient registries and other risk minimization tools. In addition, if the FDA, EMA or applicable foreign regulatory authorities approve OP-1250 or any product candidate we develop in the future, the manufacturing processes, labeling, packaging, distribution, adverse event reporting, storage, advertising, promotion, import, export and recordkeeping for OP-1250 will be subject to extensive and ongoing regulatory requirements. These requirements include submissions of safety and other post-marketing information and reports, registration, as well as on-going compliance with cGMPs and GCP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including:</w:t>
      </w:r>
    </w:p>
    <w:p>
      <w:pPr>
        <w:spacing w:after="0" w:line="212" w:lineRule="exact"/>
        <w:rPr>
          <w:sz w:val="20"/>
          <w:szCs w:val="20"/>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delays in or the rejection of product approvals;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restrictions on our ability to conduct clinical trials, including full or partial clinical holds on ongoing or planned trials;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restrictions on the products, manufacturers or manufacturing process;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warning letters;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civil and criminal penalties;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injunctions;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suspension or withdrawal of regulatory approvals;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product seizures, detentions or import bans;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voluntary or mandatory product recalls and publicity requirements;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total or partial suspension of production;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imposition of restrictions on operations, including costly new manufacturing requirements.</w:t>
      </w:r>
    </w:p>
    <w:p>
      <w:pPr>
        <w:spacing w:after="0" w:line="225"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The occurrence of any event or penalty described above may inhibit our ability to commercialize OP-1250, or any product candidate we may develop in the future, and generate revenue and could require us to expend significant time and resources in response and could generate negative publicity.</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OP-1250 or any product candidate we may develop in the future.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also cannot predict the likelihood, nature or extent of government regulation that may arise from future legislation or administrative or executive action, either in the United States or abroad. For example, certain policies of the current U.S. administration may impact our business and industry. Namely, the current U.S.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executive actions, including the Executive Orders, will be implemented, and the extent to which they will impact the FDA’s ability to exercise its regulatory authority. If these executive actions impose constraints on FDA’s ability to engage in oversight and implementation activities in the normal course, it may significantly harm our business, financial condition, results of operations and prospects.</w:t>
      </w:r>
    </w:p>
    <w:p>
      <w:pPr>
        <w:spacing w:after="0" w:line="183"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7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If OP-1250 or any future product candidate we may develop is approved for marketing, and we are found to have improperly promoted off-label uses of those products, we may become subject to significant liability. The FDA and other regulatory agencies strictly regulate the promotional claims that may be made about prescription products, such as OP-1250 or any future product candidates we may develop, if approved. In particular, a product may not be promoted for uses that are not approved by the FDA or such other regulatory agencies as reflected in the product’s approved labeling. If we receive marketing approval for OP-1250 or any future product candidates we may develop, physicians may nevertheless prescribe it to their patients in a manner that is inconsistent with the approved label based on the physician’s independent medical judgment.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OP-1250 or any future product candidates we may develop, if approved, we could become subject to significant liability, which would significantly harm our business, financial condition, results of operations and prospects.</w:t>
      </w:r>
    </w:p>
    <w:p>
      <w:pPr>
        <w:spacing w:after="0" w:line="191" w:lineRule="exact"/>
        <w:rPr>
          <w:sz w:val="20"/>
          <w:szCs w:val="20"/>
          <w:color w:val="auto"/>
        </w:rPr>
      </w:pPr>
    </w:p>
    <w:p>
      <w:pPr>
        <w:jc w:val="both"/>
        <w:ind w:left="60" w:right="59"/>
        <w:spacing w:after="0"/>
        <w:rPr>
          <w:sz w:val="20"/>
          <w:szCs w:val="20"/>
          <w:color w:val="auto"/>
        </w:rPr>
      </w:pPr>
      <w:r>
        <w:rPr>
          <w:rFonts w:ascii="Arial" w:cs="Arial" w:eastAsia="Arial" w:hAnsi="Arial"/>
          <w:sz w:val="18"/>
          <w:szCs w:val="18"/>
          <w:b w:val="1"/>
          <w:bCs w:val="1"/>
          <w:i w:val="1"/>
          <w:iCs w:val="1"/>
          <w:color w:val="auto"/>
        </w:rPr>
        <w:t>Disruptions at the FDA, EMA, applicable foreign regulatory authorities, the U.S. Securities and Exchange Commission, or the SEC,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significantly harm our business, financial condition, results of operations and prospects.</w:t>
      </w:r>
    </w:p>
    <w:p>
      <w:pPr>
        <w:spacing w:after="0" w:line="207"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The ability of the FDA, EMA or any applicable foreign regulatory authority to review and approve new products can be affected by a variety of factors, including government budget and funding levels, ability to hire and retain key personnel and accept the payment of user fees, and statutory, regulatory, and policy changes, and other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line="238" w:lineRule="auto"/>
        <w:rPr>
          <w:sz w:val="20"/>
          <w:szCs w:val="20"/>
          <w:color w:val="auto"/>
        </w:rPr>
      </w:pPr>
      <w:r>
        <w:rPr>
          <w:rFonts w:ascii="Arial" w:cs="Arial" w:eastAsia="Arial" w:hAnsi="Arial"/>
          <w:sz w:val="18"/>
          <w:szCs w:val="18"/>
          <w:color w:val="auto"/>
        </w:rPr>
        <w:t>events that may otherwise affect the FDA, EMA or any applicable foreign regulatory authority’s ability to perform routine functions. Average review times at the agencies have fluctuated in recent years as a result and could be delated by the COVID-19 pandemic or other factors.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202"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Separately, in response to the COVID-19 pandemic, in March 2020, the FDA announced its intention to postpone most inspections of foreign and domestic manufacturing facilities and products through in July 2020 only restarted domestic inspections on a risk-based basis. Regulatory authorities outside the United States have adopted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Future government shutdowns or delays could impact our ability to access the public markets and obtain necessary capital in order to properly capitalize and continue our operations.</w:t>
      </w:r>
    </w:p>
    <w:p>
      <w:pPr>
        <w:spacing w:after="0" w:line="192" w:lineRule="exact"/>
        <w:rPr>
          <w:sz w:val="20"/>
          <w:szCs w:val="20"/>
          <w:color w:val="auto"/>
        </w:rPr>
      </w:pPr>
    </w:p>
    <w:p>
      <w:pPr>
        <w:jc w:val="both"/>
        <w:ind w:left="60" w:right="59"/>
        <w:spacing w:after="0"/>
        <w:rPr>
          <w:sz w:val="20"/>
          <w:szCs w:val="20"/>
          <w:color w:val="auto"/>
        </w:rPr>
      </w:pPr>
      <w:r>
        <w:rPr>
          <w:rFonts w:ascii="Arial" w:cs="Arial" w:eastAsia="Arial" w:hAnsi="Arial"/>
          <w:sz w:val="18"/>
          <w:szCs w:val="18"/>
          <w:b w:val="1"/>
          <w:bCs w:val="1"/>
          <w:i w:val="1"/>
          <w:iCs w:val="1"/>
          <w:color w:val="auto"/>
        </w:rPr>
        <w:t>We may attempt to secure approval from the FDA, EMA or comparable foreign regulatory authorities through the use of accelerated approval pathways. If we are unable to obtain such approval, we may be required to conduct additional nonclinical studies or clinical trials beyond those that we contemplate, which could increase the expense of obtaining, and delay the receipt of, necessary marketing approvals. Even if we receive accelerated approval from the FDA, EMA or comparable foreign regulatory authorities, if our confirmatory trials do not verify clinical benefit, or if we do not comply with rigorous post-marketing requirements, the FDA, EMA or comparable foreign regulatory authorities may seek to withdraw any accelerated approval.</w:t>
      </w:r>
    </w:p>
    <w:p>
      <w:pPr>
        <w:spacing w:after="0" w:line="202"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may in the future seek an accelerated approval for OP-1250 or future product candidates we may develop.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verity and describe the drug’s clinical benefit. Third-party payors may refuse to provide coverage or reimbursement for the drug until the confirmatory studies are complete. Additionally, if such post-approval studies fail to confirm the drug’s clinical benefit, the FDA may withdraw its approval of the drug.</w:t>
      </w:r>
    </w:p>
    <w:p>
      <w:pPr>
        <w:spacing w:after="0" w:line="21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Prior to seeking accelerated approval for OP-1250,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expedited development, review or approval, even if we initially decide to do so. Furthermore, if we decide to submit an application for accelerated approval or receive an expedited regulatory designation (e.g., breakthrough therapy designation) for OP-1250,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OP-1250 would result in a longer time period to commercialization of such product candidate, could increase the cost of development of OP-1250 and could harm our competitive position in the marketplace.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face difficulties from changes to current regulations and future legislation.</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OP-1250 or any future product candidates we may develop.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0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For example, in March 2010, the Patient Protection and Affordable Care Act of 2010, as amended by the Health Care and Education Reconciliation Act of 2010, or collectively the ACA, was passed, which substantially changes the way healthcare is financed by both the government and private insurers, and continues to significantly impact the U.S. pharmaceutical industry. There have been executive, judicial and Congressional challenges to certain aspects of the ACA. While Congress has not passed comprehensive repeal legislation, several bills affecting the implementation of certain taxes under the ACA have passed. On December 22, 2017, President Trump signed into law federal tax legislation commonly referred to as the Tax Cuts and Jobs Act, or the Tax Act, which included a provision repealing, effective January 1, 2019, the tax-based shared responsibility payment imposed by the ACA on certain individuals who fail to maintain qualifying health coverage for all or part of a year that is commonly referred to as the “individual mandate.” In addition, the 2020 federal spending package permanently eliminated, effective January 1, 2020, the ACA-mandated “Cadillac” tax on high-cost employer-sponsored health coverage and medical device tax and, effective January 1, 2021, also eliminated the health insurer tax. The Bipartisan Budget Act of 2018 among other things, amended the ACA, effective January 1, 2019, to close the coverage gap in most Medicare Part D drug plans.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on January 28, 2021, President Biden issued an executive order that initiated a special enrollment period for purposes of obtaining health insurance coverage through the ACA marketplace, which began on February 15, 2021 and will remain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unclear how any such challenges and the healthcare reform measures of the Biden administration will impact the ACA and our business.</w:t>
      </w:r>
    </w:p>
    <w:p>
      <w:pPr>
        <w:spacing w:after="0" w:line="21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These changes included aggregate reductions to Medicare payments to providers of 2% per fiscal year, effective April 1, 2013, which, due to subsequent legislative amendments, will stay in effect through 2030, except for a temporary suspension from May 1, 2020 through December 31, 2021 due to the COVID-19 pandemic, unless additional congressional action is taken.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laws may result in additional reductions in Medicare and other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healthcare funding, which could have a material adverse effect on potential customers for our drugs, if approved, and accordingly, our business.</w:t>
      </w:r>
    </w:p>
    <w:p>
      <w:pPr>
        <w:spacing w:after="0" w:line="197"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w:t>
      </w:r>
    </w:p>
    <w:p>
      <w:pPr>
        <w:spacing w:after="0" w:line="202"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For example,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attempted to implement several of the administration’s proposals. The FDA also released a final rule on September 24, 2020, effective November 30, 2020, implementing a portion of the importation executive order providing guidance for states to build and submit importation plans for drugs from Canada. Further, on November 20, 2020,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by the Biden administration until January 1, 2023. On November 20, 2020, CMS issued an interim final rule implementing President Trump’s Most Favored Nation executive order, which would tie Medicare Part B payments for certain physician-administered drugs to the lowest price paid in other economically advanced countries. The Most Favored Nation regulations mandate participation by identified Medicare Part B providers and will apply in all U.S. states and territories for a seven-year period beginning January 1, 2021, and ending December 31, 2027. On December 28, 2020, the United States District Court in Northern California issued a nationwide preliminary injunction against implementation of the interim final rule. On January 13, 2021, in a separate lawsuit brought by industry groups in the U.S. District of Maryland, the government defendants entered a joint motion to stay litigation on the condition that the government would not appeal the preliminary injunction granted in the U.S. District Court for the Northern District of California and that performance for any final regulation stemming from the Most Favored Nation Model interim final rule shall not commence earlier than sixty (60) days after publication of that regulation in the Federal Register. Based on a recent executive order, the Biden administration expressed its intent to pursue certain policy initiatives to reduce drug prices.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11"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OP-1250 or any future product candidates we may develop. It is possible that additional governmental action is taken in response to the COVID-19 pandemic.</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OP-1250 or any future product candidates we may develop, if any, may be.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rPr>
          <w:sz w:val="20"/>
          <w:szCs w:val="20"/>
          <w:color w:val="auto"/>
        </w:rPr>
      </w:pPr>
      <w:r>
        <w:rPr>
          <w:rFonts w:ascii="Arial" w:cs="Arial" w:eastAsia="Arial" w:hAnsi="Arial"/>
          <w:sz w:val="18"/>
          <w:szCs w:val="18"/>
          <w:b w:val="1"/>
          <w:bCs w:val="1"/>
          <w:i w:val="1"/>
          <w:iCs w:val="1"/>
          <w:color w:val="auto"/>
        </w:rPr>
        <w:t>Our relationships with healthcare professionals, clinical investigators, CROs and third party payors in connection with our current and future business activities may be subject to federal and state healthcare fraud and abuse laws, false claims laws, transparency laws, government price reporting, and privacy and security laws (including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spacing w:after="0" w:line="20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our product candidate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 for which we obtain marketing approval. Restrictions under applicable federal and state healthcare laws and regulations include the following:</w:t>
      </w:r>
    </w:p>
    <w:p>
      <w:pPr>
        <w:spacing w:after="0" w:line="203" w:lineRule="exact"/>
        <w:rPr>
          <w:sz w:val="20"/>
          <w:szCs w:val="20"/>
          <w:color w:val="auto"/>
        </w:rPr>
      </w:pPr>
    </w:p>
    <w:p>
      <w:pPr>
        <w:jc w:val="both"/>
        <w:ind w:left="720" w:right="79" w:hanging="319"/>
        <w:spacing w:after="0" w:line="236"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Anti-Kickback Statute or specific intent to violate it in order to have committed a violation. In addition, the government may assert that a claim including items or services resulting from a violation of the U.S. federal Anti-Kickback Statute constitutes a false or fraudulent claim for purposes of the civil False Claims Act;</w:t>
      </w:r>
    </w:p>
    <w:p>
      <w:pPr>
        <w:spacing w:after="0" w:line="206"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the federal false claims and civil monetary penalties laws, including the civil False Claims Act, which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202"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the federal Health Insurance Portability and Accountability Act of 1996, or HIPAA, prohibits, among other things,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202" w:lineRule="exact"/>
        <w:rPr>
          <w:rFonts w:ascii="Arial" w:cs="Arial" w:eastAsia="Arial" w:hAnsi="Arial"/>
          <w:sz w:val="18"/>
          <w:szCs w:val="18"/>
          <w:color w:val="auto"/>
        </w:rPr>
      </w:pPr>
    </w:p>
    <w:p>
      <w:pPr>
        <w:jc w:val="both"/>
        <w:ind w:left="720" w:right="79" w:hanging="319"/>
        <w:spacing w:after="0" w:line="237"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HIPAA, as amended by the Health Information Technology for Economic and Clinical Health Act, or HITECH, and their implementing regulations, also imposes obligations, including mandatory contractual terms, on covered entities including certain covered healthcare providers, health plans, and healthcare clearinghouses and their respective business associates and covered subcontractors that perform services for them that involve the use, or disclosure of, individually identifiable health information with respect to safeguarding the privacy, security and transmission of individually identifiable health information;</w:t>
      </w:r>
    </w:p>
    <w:p>
      <w:pPr>
        <w:spacing w:after="0" w:line="202" w:lineRule="exact"/>
        <w:rPr>
          <w:rFonts w:ascii="Arial" w:cs="Arial" w:eastAsia="Arial" w:hAnsi="Arial"/>
          <w:sz w:val="18"/>
          <w:szCs w:val="18"/>
          <w:color w:val="auto"/>
        </w:rPr>
      </w:pPr>
    </w:p>
    <w:p>
      <w:pPr>
        <w:jc w:val="both"/>
        <w:ind w:left="720" w:right="79" w:hanging="319"/>
        <w:spacing w:after="0" w:line="236"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 xml:space="preserve">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w:t>
      </w:r>
      <w:r>
        <w:rPr>
          <w:rFonts w:ascii="Arial" w:cs="Arial" w:eastAsia="Arial" w:hAnsi="Arial"/>
          <w:sz w:val="18"/>
          <w:szCs w:val="18"/>
          <w:color w:val="000000"/>
        </w:rPr>
        <w:t>doctors, dentists,</w:t>
      </w:r>
      <w:r>
        <w:rPr>
          <w:rFonts w:ascii="Arial" w:cs="Arial" w:eastAsia="Arial" w:hAnsi="Arial"/>
          <w:sz w:val="18"/>
          <w:szCs w:val="18"/>
          <w:color w:val="231F20"/>
        </w:rPr>
        <w:t xml:space="preserve"> </w:t>
      </w:r>
      <w:r>
        <w:rPr>
          <w:rFonts w:ascii="Arial" w:cs="Arial" w:eastAsia="Arial" w:hAnsi="Arial"/>
          <w:sz w:val="18"/>
          <w:szCs w:val="18"/>
          <w:color w:val="000000"/>
        </w:rPr>
        <w:t xml:space="preserve">optometrists, podiatrists and chiropractors) </w:t>
      </w:r>
      <w:r>
        <w:rPr>
          <w:rFonts w:ascii="Arial" w:cs="Arial" w:eastAsia="Arial" w:hAnsi="Arial"/>
          <w:sz w:val="18"/>
          <w:szCs w:val="18"/>
          <w:color w:val="231F20"/>
        </w:rPr>
        <w:t>and teaching hospitals, as well as information regarding</w:t>
      </w:r>
      <w:r>
        <w:rPr>
          <w:rFonts w:ascii="Arial" w:cs="Arial" w:eastAsia="Arial" w:hAnsi="Arial"/>
          <w:sz w:val="18"/>
          <w:szCs w:val="18"/>
          <w:color w:val="000000"/>
        </w:rPr>
        <w:t xml:space="preserve"> </w:t>
      </w:r>
      <w:r>
        <w:rPr>
          <w:rFonts w:ascii="Arial" w:cs="Arial" w:eastAsia="Arial" w:hAnsi="Arial"/>
          <w:sz w:val="18"/>
          <w:szCs w:val="18"/>
          <w:color w:val="231F20"/>
        </w:rPr>
        <w:t>ownership and investment interests held by physicians and their immediate family members. Beginning in 2022, applicable manufacturers also will be required to report such information regarding payments and transfers of value provided during the previous year to physician assistants, nurse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720" w:right="79"/>
        <w:spacing w:after="0"/>
        <w:rPr>
          <w:sz w:val="20"/>
          <w:szCs w:val="20"/>
          <w:color w:val="auto"/>
        </w:rPr>
      </w:pPr>
      <w:r>
        <w:rPr>
          <w:rFonts w:ascii="Arial" w:cs="Arial" w:eastAsia="Arial" w:hAnsi="Arial"/>
          <w:sz w:val="18"/>
          <w:szCs w:val="18"/>
          <w:color w:val="231F20"/>
        </w:rPr>
        <w:t>practitioners, clinical nurse specialists, anesthesiologist assistants, certified nurse anesthetists and certified nurse-midwives. The information reported is publicly available on a searchable website, with disclosure required annually; and</w:t>
      </w:r>
    </w:p>
    <w:p>
      <w:pPr>
        <w:spacing w:after="0" w:line="203" w:lineRule="exact"/>
        <w:rPr>
          <w:sz w:val="20"/>
          <w:szCs w:val="20"/>
          <w:color w:val="auto"/>
        </w:rPr>
      </w:pPr>
    </w:p>
    <w:p>
      <w:pPr>
        <w:jc w:val="both"/>
        <w:ind w:left="720" w:right="79"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analogous state and foreign laws and regulations, such as state anti-kickback and false claims laws, may apply to sales or marketing arrangements and claims involving healthcare items or services reimbursed by non- governmental third-party payors, including private insurers.</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Some state laws require biotechnology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Some state laws require biotechnology companies to report information on the pricing of certain drug products. Some state and local laws require the registration of pharmaceutical sales representatives.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State and international laws also govern the privacy and security of health information in some circumstances, many of which differ from each other in significant ways and often are not preempted by HIPAA, thus complicating compliance efforts. For instance, the collection and use of health data in the European Union is governed by the General Data Protection Regulation, or the GDPR, which extends the enforcement of European Union data protection law to non-European Union entities under certain conditions, tightens existing European Union data protection principles, creates new obligations for companies and new rights for individuals. In particular, the GDPR includes obligations and restrictions concerning the consent and rights of individuals to whom the personal data relates, the transfer of personal data out of the European Economic Area, or EEA, or the United Kingdom, security breach notifications and the security and confidentiality of personal data. Further, the UK has implemented legislation similar to the GDPR, including the UK Data Protection Act and legislation similar to the GDPR referred to as the UK GDPR, which provides for fines of up to the greater of 17.5 million British Pounds or 4% of a company’s worldwide turnover, whichever is higher.</w:t>
      </w:r>
    </w:p>
    <w:p>
      <w:pPr>
        <w:spacing w:after="0" w:line="20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to introducing new data protection requirements in the EEA, the GDPR also established potential fines for noncompliant companies. Failure to comply with the GDPR may result in substantial fines up to the greater of €20 million or 4% of annual global revenue and other administrative penalties. Such fines are in addition to any civil litigation claims by data subjects. EEA data protection authorities may interpret the GDPR and national laws differently and impose additional requirements, which contributes to the complexity of processing personal data in or from the EEA or United Kingdom. Guidance on implementation and compliance practices is often updated or otherwise revised. The GDPR may increase our responsibility and liability in relation to personal data that we process and we may be required to put in place additional mechanisms ensuring compliance with the GDPR. This may be onerous and if our efforts to comply with the GDPR or other applicable European Union laws and regulations are not successful, it could adversely affect our business in the European Union.</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European data protection laws also generally prohibit the transfer of personal data from Europe, including the EEA, United Kingdom and Switzerland, to the United States and most other countries unless the parties to the transfer have implemented specific safeguards to protect the transferred personal data. One of the primary safeguards used for transfers of personal data from the European Union to the United States, namely, the Privacy Shield framework administered by the U.S. Department of Commerce, was recently invalidated by a decision of the European Union’s highest court. The same decision also cast doubt on the ability to use one of the primary alternatives to the Privacy Shield, namely, the European Commission’s Standard Contractual Clauses, to lawfully transfer personal data from Europe to the United States and most other countries. At present, there are few if any viable alternatives to the Privacy Shield and the Standard Contractual Clauses. To the extent that we were to rely on the EU-U.S. Privacy Shield Framework or the Standard Contractual Clauses, we will not be able to do so in the future, which could increase our costs and limit our ability to process personal data from the European Union.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Further, the vote in the United Kingdom in favor of exiting the European Union, referred to as Brexit, has complicated data protection regulation in the United Kingdom. In particular, as of January 1, 2021, the GDPR has been converted into United Kingdom law and the United Kingdom is now a “third country” under the GDPR. Pursuant to the Trade and Cooperation Agreement, which went into effect on January 1, 2021, the United Kingdom and European Union agreed to a specified period during which the United Kingdom will be treated like a European Union member state in relation to transfers of personal data to the United Kingdom. Following the expiration of that period, the relationship between the UK and the EU in relation to certain aspects of data protection law remains unclear. On June 28, 2021, the European Commission announced a decision of “adequacy” concluding that the UK ensures an equivalent level of data protection to the GDPR, which provides some relief regarding the legality of continued personal data flows from the EEA to the UK. Some uncertainty remains, however, as this adequacy determination must be renewed after four years and may be modified or revoked in the interim. We cannot fully predict how the Data Protection Act, the UK GDPR, and other UK data protection laws or regulations may develop in the medium to longer term nor the effects of divergent laws and guidance regarding how data transfers to and from the UK will be regulated. In addition, as of January 1, 2021, the United Kingdom Information Commissioner’s Office is not able to be our ‘lead supervisory authority’ in respect of any ‘cross border processing’ for the purposes of the GDPR. In the event that we are unable to, or do not, designate a lead supervisory authority in an EEA member state, we would not be able to benefit from the GDPR’s ‘one stop shop’ mechanism. Amongst other things, this would mean that, in the event of a violation of the GDPR affecting data subjects across the United Kingdom and the EEA, we could be investigated by, and ultimately fined by the United Kingdom Information Commissioner’s Office and the supervisory authority in each and every EEA member state where data subjects have been affected by such violation.</w:t>
      </w:r>
    </w:p>
    <w:p>
      <w:pPr>
        <w:spacing w:after="0" w:line="212"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In addition, on June 28, 2018, the State of California enacted the California Consumer Privacy Act, or CCPA, which went into effect on January 1, 2020. The CCPA creates individual privacy rights for California consumers and increases the privacy and security obligations of entities handling certain personal information of consumers or households.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While there is currently an exception for protected health information that is subject to HIPAA and clinical trial regulations, as currently written, the CCPA may impact certain of our business activities and may increase our compliance costs and potential liability. Additionally, California voters approved a new privacy law, the California Privacy Rights Act, or CPRA, in the November 3, 2020 election. Effective starting on January 1, 2023, the CPRA will significantly modify the CCPA, including by expanding consumers’ rights with respect to certain sensitive personal information. The CPRA also creates a new state agency that will be vested with authority to implement and enforce the CCPA and the CPRA. Further, on March 2, 2021, Virginia enacted the Virginia Consumer Data Protection Act, or CDPA, which becomes effective on January 1, 2023, and on June 8, 2021, Colorado enacted the Colorado Privacy Act, or CPA, which takes effect on July 1, 2023. The CPA and CDPA are similar to the CCPA and CPRA but aspects of these state privacy statutes remain unclear, resulting in further legal uncertainty and potentially requiring us to modify our data practices and policies and to incur substantial additional costs and expenses in an effort to comply.</w:t>
      </w:r>
    </w:p>
    <w:p>
      <w:pPr>
        <w:spacing w:after="0" w:line="21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addition to the foregoing, any breach of privacy laws or data security laws, particularly resulting in a significant security incident or breach involving the misappropriation, loss or other unauthorized use or disclosure of sensitive or confidential patient or consumer information, could have a material adverse effect on our business, reputation and financial condition. As a data controller, we will be accountable for any third-party service providers we engage to process personal data on our behalf, including our CROs. We attempt to mitigate the associated risks but there is no assurance that privacy and security-related safeguards will protect us from all risks associated with the third-party processing, storage and transmission of such information.</w:t>
      </w:r>
    </w:p>
    <w:p>
      <w:pPr>
        <w:spacing w:after="0" w:line="203"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7"/>
          <w:szCs w:val="17"/>
          <w:color w:val="auto"/>
        </w:rPr>
        <w:t>New legislation proposed or enacted in Illinois, Massachusetts, Nevada, New Jersey, New York, Rhode Island, Washington and other states, and a proposed right to privacy amendment to the Vermont Constitution, imposes, or has the potential to impose, additional obligations on companies that collect, store, use, retain, disclose, transfer and otherwise process confidential, sensitive and personal information, and will continue to shape the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data privacy environment nationally. State laws are changing rapidly and there is discussion in Congress of a new federal data protection and privacy law to which we would become subject if it is enacted. All of these evolving compliance and operational requirements, including the requirement to comply with GDPR, CCPA, CPRA, CDPA, CPA, or other laws, regulations, amendments to or re-interpretations of existing laws and regulations, and contractual or other obligations relating to privacy, data protection, data transfers, data localization, or information security may impose significant costs that are likely to increase over time, may require us to modify our data processing practices and policies, divert resources from other initiatives and projects, modify our data practices and policies, restrict our business operations, and could restrict the way products and services involving data are offered, all of which could significantly harm our business, financial condition, results of operations and prospects. Further, certain state laws may be more stringent or broader in scope, or offer greater individual rights, with respect to confidential, sensitive and personal information than federal, international or other state laws, and such laws may differ from each other, which may complicate compliance efforts. Any actual or perceived failure by us to comply with these laws, regulations, or other obligations may lead to significant fines, penalties, regulatory investigations, lawsuits, significant costs for remediation, damage to our reputation, or other liabilities.</w:t>
      </w:r>
    </w:p>
    <w:p>
      <w:pPr>
        <w:spacing w:after="0" w:line="21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Many statutory requirements, both in the United States and abroad, include obligations for companies to notify individuals of security breaches involving certain personal information, which could result from breaches experienced by us or our third-party service providers. For example, laws in all 50 U.S. states and the District of Columbia require businesses to provide notice to consumers whose personal information has been disclosed as a result of a data breach. These laws are not consistent, and compliance in the event of a widespread data breach is difficult and may be costly. Moreover, states have been frequently amending existing laws, requiring attention to changing regulatory requirements. We also may be contractually required to notify customers or other counterparties of a security breach. Although we may have contractual protections with our third-party service providers, contractors and consultants, any actual or perceived security breach could harm our reputation and brand, expose us to potential liability or require us to expend significant resources on data security and in responding to any such actual or perceived breach. Any contractual protections we may have from our third-party service providers, contractors or consultants may not be sufficient to adequately protect us from any such liabilities and losses, and we may be unable to enforce any such contractual protections.</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expect that there will continue to be new proposed laws and regulations concerning data privacy and security, and we cannot yet determine the impact such future laws, regulations and standards may have on our business. New laws, amendments to or re-interpretations of existing laws, regulations, standards and other obligations may require us to incur additional costs and restrict our business operations. Because the interpretation and application of health-related and data protection laws, regulations, standards and other obligations are still uncertain, and often contradictory and in flux, it is possible that the scope and requirements of these laws may be interpreted and applied in a manner that is inconsistent with our practices and our efforts to comply with the evolving data protection rules may be unsuccessful. If so, this could result in government-imposed fines or orders requiring that we change our practices, which could adversely affect our business. In addition, these privacy regulations may differ from country to country, and may vary based on whether testing is performed in the United States or in the local country and our operations or business practices may not comply with these regulations in each country.</w:t>
      </w:r>
    </w:p>
    <w:p>
      <w:pPr>
        <w:spacing w:after="0" w:line="20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Complying with these various laws could cause us to incur substantial costs or require us to change our business practices and compliance procedures in a manner adverse to our business. Any inability to adequately address data privacy or security-related concerns, even if unfounded, or to comply with applicable laws, regulations, standards and other obligations relating to data privacy and security, could result in additional cost and liability to us, harm our reputation and brand, damage our relationships with customers and have a material adverse effect on our business.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9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191"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191"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significantly harm our business, financial condition, results of operations or prospects.</w:t>
      </w:r>
    </w:p>
    <w:p>
      <w:pPr>
        <w:spacing w:after="0" w:line="19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20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83"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Certain laws and regulations require us to test our product candidate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183"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Our business activities may be subject to the U.S. Foreign Corrupt Practices Act, or the FCPA, and similar anti- 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198"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If we expand our operations outside of the United States, we must dedicate additional resources to comply with numerous laws and regulations in each jurisdiction in which we plan to operate. Our business activities may be subject to the FCPA and similar anti-bribery or anti-corruption laws, regulations or rules of other countries in which we operate. The FCPA generally prohibits companies and their employees and third party intermediaries from offering, promising, giving or authorizing the provision of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owned and operated by the government, and doctors and other hospital employees would be considered foreign officials under the FCPA. Recently the SEC and Department of Justice have increased their FCPA enforcement activities with respect to biotechnology and pharmaceutical companies. There is no certainty that all of our employees, agents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and prohibitions on the conduct of our business. Any such violations could include prohibitions on our ability to offer our product in one or more countries and could materially damage our reputation, our brand, our international activities, our ability to attract and retain employees and our business.</w:t>
      </w:r>
    </w:p>
    <w:p>
      <w:pPr>
        <w:spacing w:after="0" w:line="21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addition, our product and activities may be subject to U.S. and foreign export controls, trade sanctions and import laws and regulations. Governmental regulation of the import or export of our product, or our failure to obtain any required import or export authorization for our product, when applicable, could harm our international sales and adversely affect our revenue. Compliance with applicable regulatory requirements regarding the export of our product may create delays in the introduction of our product in international markets or, in some cases, prevent the export of our product to some countries altogether. Furthermore, U.S. export control laws and economic sanctions prohibit the shipment of certain products and services to countries, governments, and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 targeted by such regulations, could result in decreased use of our product by, or in our decreased ability to export our product to existing or potential customers with international operations. Any decreased use of our product or limitation on our ability to export or sell access to our product would likely significantly harm our business, financial condition, results of operations and prospects.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employee matters, managing our growth and other risks related to our business</w:t>
      </w:r>
    </w:p>
    <w:p>
      <w:pPr>
        <w:spacing w:after="0" w:line="212"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The outbreak of the novel coronavirus disease, COVID-19, could adversely impact our business, including our nonclinical studies and clinical trials.</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December 2019, a novel strain of the coronavirus disease, COVID-19, was identified in Wuhan, China, and since then has spread globally, including throughout the United States. The outbreak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have closed our executive offices with our administrative employees continuing their work outside of our offices and limited the number of staff in any given research and development laboratory. As a result of the COVID-19 pandemic, we experienced some delays in setting up our current Phase 1/2 clinical trial and in clinical site initiation, including delays in recruiting clinical site investigators and clinical site staff, which we may experience again in the future. Additionally, we may experience further disruptions that could severely impact our business, nonclinical studies and clinical trials, including:</w:t>
      </w:r>
    </w:p>
    <w:p>
      <w:pPr>
        <w:spacing w:after="0" w:line="204" w:lineRule="exact"/>
        <w:rPr>
          <w:sz w:val="20"/>
          <w:szCs w:val="20"/>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delays or difficulties in enrolling and retaining patients in our clinical trials;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difficulties in clinical site initiation, including difficulties in recruiting clinical site investigators and clinical site staff;</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diversion of healthcare resources away from the conduct of clinical trials, including the diversion of hospitals serving as our clinical trial sites and hospital staff supporting the conduct of our clinical trials;</w:t>
      </w:r>
    </w:p>
    <w:p>
      <w:pPr>
        <w:spacing w:after="0" w:line="196"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interruption of key clinical trial activities, such as clinical trial site data monitoring, due to limitations on travel imposed or recommended by federal or state governments, employers and others or interruption of clinical trial subject visits and study procedures, which may impact the integrity of subject data and clinical study endpoints;</w:t>
      </w:r>
    </w:p>
    <w:p>
      <w:pPr>
        <w:spacing w:after="0" w:line="204"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interruption or delays in the operations of the FDA or other regulatory authorities, which may impact review and approval timelines;</w:t>
      </w:r>
    </w:p>
    <w:p>
      <w:pPr>
        <w:spacing w:after="0" w:line="196" w:lineRule="exact"/>
        <w:rPr>
          <w:rFonts w:ascii="Arial" w:cs="Arial" w:eastAsia="Arial" w:hAnsi="Arial"/>
          <w:sz w:val="18"/>
          <w:szCs w:val="18"/>
          <w:color w:val="auto"/>
        </w:rPr>
      </w:pPr>
    </w:p>
    <w:p>
      <w:pPr>
        <w:jc w:val="both"/>
        <w:ind w:left="720" w:right="79"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interruption of, or delays in receiving, supplies of OP-1250 from our contract manufacturing organizations, or CMO, due to staffing shortages, production slowdowns or stoppages and disruptions in delivery systems;</w:t>
      </w:r>
    </w:p>
    <w:p>
      <w:pPr>
        <w:spacing w:after="0" w:line="202"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interruptions in nonclinical studies due to restricted or limited operations at our laboratory facility;</w:t>
      </w:r>
    </w:p>
    <w:p>
      <w:pPr>
        <w:spacing w:after="0" w:line="225" w:lineRule="exact"/>
        <w:rPr>
          <w:rFonts w:ascii="Arial" w:cs="Arial" w:eastAsia="Arial" w:hAnsi="Arial"/>
          <w:sz w:val="18"/>
          <w:szCs w:val="18"/>
          <w:color w:val="auto"/>
        </w:rPr>
      </w:pPr>
    </w:p>
    <w:p>
      <w:pPr>
        <w:jc w:val="both"/>
        <w:ind w:left="720" w:right="79"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limitations on employee resources that would otherwise be focused on the conduct of our nonclinical studies and clinical trials, including because of sickness of employees or their families or the desire of employees to avoid contact with large groups of people; and</w:t>
      </w:r>
    </w:p>
    <w:p>
      <w:pPr>
        <w:spacing w:after="0" w:line="202"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interruption or delays to our sourced discovery and clinical activities.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231F20"/>
        </w:rPr>
        <w:t>The COVID-19 pandemic continues to rapidly evolve. The extent to which the outbreak impacts our business, nonclinical studies and clinical trials will depend on future developments, which are highly uncertain and cannot be predicted with confidence, such as the ultimate geographic spread of the disease, the duration of the pandemic, travel restrictions and social distancing in the United States and other countries, business closures or business disruptions and the effectiveness of actions taken in the United States and other countries to contain and treat the disease.</w:t>
      </w:r>
    </w:p>
    <w:p>
      <w:pPr>
        <w:spacing w:after="0" w:line="183"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Our success is highly dependent on our ability to attract and retain highly skilled executive officers and employees and key consultants.</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We are highly dependent on the management, research and development, clinical, financial and business development expertise of our executive officers, as well as the other members of our scientific and clinical teams, including certain key consultants. For example, Dr. Pamela Klein, our Chief Medical Officer, is a consultant and not an employee. As a result, Dr. Klein may choose to reduce the amount of time she allocates to us, or to terminate her relationship with us, at any time and for any reason, which could impede the achievement of our research, development and commercialization objectives and significantly harm our business, financial condition, results of operations and prospects.</w:t>
      </w:r>
    </w:p>
    <w:p>
      <w:pPr>
        <w:spacing w:after="0" w:line="20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Furthermore, although we have employment offer letters with each of our executive officers, each of them may terminate their employment with us at any time. We do not maintain “key person” insurance for any of our executives or employees.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for the future success of our business. We could in the future have difficulty attracting experienced personnel to our company and may be required to expend significant financial resources in our employee recruitment and retention efforts.</w:t>
      </w:r>
    </w:p>
    <w:p>
      <w:pPr>
        <w:spacing w:after="0" w:line="20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OP-1250 or any other product candidate will be limited and the potential for successfully growing our business will be harmed.</w:t>
      </w:r>
    </w:p>
    <w:p>
      <w:pPr>
        <w:spacing w:after="0" w:line="181"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If we are unable to establish sales or marketing capabilities or enter into agreements with third parties to sell or market OP-1250 or any product candidate we may develop in the future, we may not be able to successfully sell or market OP-1250 or any future product candidate we may develop that obtain regulatory approval.</w:t>
      </w:r>
    </w:p>
    <w:p>
      <w:pPr>
        <w:spacing w:after="0" w:line="196" w:lineRule="exact"/>
        <w:rPr>
          <w:sz w:val="20"/>
          <w:szCs w:val="20"/>
          <w:color w:val="auto"/>
        </w:rPr>
      </w:pPr>
    </w:p>
    <w:p>
      <w:pPr>
        <w:jc w:val="both"/>
        <w:ind w:left="60" w:right="79"/>
        <w:spacing w:after="0" w:line="238" w:lineRule="auto"/>
        <w:rPr>
          <w:sz w:val="20"/>
          <w:szCs w:val="20"/>
          <w:color w:val="auto"/>
        </w:rPr>
      </w:pPr>
      <w:r>
        <w:rPr>
          <w:rFonts w:ascii="Arial" w:cs="Arial" w:eastAsia="Arial" w:hAnsi="Arial"/>
          <w:sz w:val="18"/>
          <w:szCs w:val="18"/>
          <w:color w:val="auto"/>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OP-1250 or any future product candidate we may develop. We may not be successful in accomplishing these required tasks.</w:t>
      </w:r>
    </w:p>
    <w:p>
      <w:pPr>
        <w:spacing w:after="0" w:line="20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Establishing an internal sales or marketing team with technical expertise and supporting distribution capabilities to commercialize OP-1250 or any product candidate we may develop in the future will be expensive and time-consuming, and will require significant attention of our executive officers to manage. Any failure or delay in the development of our internal sales, marketing and distribution capabilities could adversely impact the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commercialization of OP-1250 or any product candidate we may develop in the future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OP-1250 or any product candidate we may develop in the future which may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spacing w:after="0" w:line="183"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191"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have never commercialized a product candidate, and we currently have no sales force, marketing or distribution capabilities. To achieve commercial success for a product candidate, which we may license to others, we will rely on the assistance and guidance of those collaborators. For any product candidates for which we retain commercialization rights, we will have to develop our own sales, marketing and supply organization or outsource these activities to a third party.</w:t>
      </w:r>
    </w:p>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Factors that may affect our ability to commercialize OP-1250, or any future product candidate we may develop, on our own include recruiting and retaining adequate numbers of effective sales and marketing personnel, obtaining access to or persuading adequate numbers of physicians to prescribe OP-1250 or any future product candidates we may develop and other unforeseen costs associated with creating an independent sales and marketing organization. Developing a sales and marketing organization will be expensive and time-consuming and could delay the launch of OP-1250 or any future product candidate we may develop. We may not be able to build an effective sales and marketing organization. If we are unable to build our own distribution and marketing capabilities or to find suitable partners for the commercialization of OP-1250 or any future product candidate we may develop, we may not generate revenues from such product candidate or be able to reach or sustain profitability.</w:t>
      </w:r>
    </w:p>
    <w:p>
      <w:pPr>
        <w:spacing w:after="0" w:line="18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17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As of August 6, 2021, we had 51 employees, 50 of whom were full-time, including 24 employees engaged in research and development. In order to successfully implement our development and commercialization plans and strategies, and as we transition into operating as a public company, we expect to need additional managerial, operational, sales, marketing, financial and other personnel. Future growth would impose significant added responsibilities on members of management, including:</w:t>
      </w:r>
    </w:p>
    <w:p>
      <w:pPr>
        <w:spacing w:after="0" w:line="202" w:lineRule="exact"/>
        <w:rPr>
          <w:sz w:val="20"/>
          <w:szCs w:val="20"/>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identifying, recruiting, integrating, maintaining and motivating additional employees;</w:t>
      </w:r>
    </w:p>
    <w:p>
      <w:pPr>
        <w:spacing w:after="0" w:line="225"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managing our internal development efforts effectively, including the clinical, FDA, EMA and other comparable foreign regulatory agencies’ review process for OP-1250 and any other future product candidates we may develop, while complying with any contractual obligations to contractors and other third parties we may have; and</w:t>
      </w:r>
    </w:p>
    <w:p>
      <w:pPr>
        <w:spacing w:after="0" w:line="204" w:lineRule="exact"/>
        <w:rPr>
          <w:rFonts w:ascii="Arial" w:cs="Arial" w:eastAsia="Arial" w:hAnsi="Arial"/>
          <w:sz w:val="18"/>
          <w:szCs w:val="18"/>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improving our operational, financial and management controls, reporting systems and procedures.</w:t>
      </w:r>
    </w:p>
    <w:p>
      <w:pPr>
        <w:spacing w:after="0" w:line="22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 addition, we expect to be conducting multiple clinical trials of OP-1250 for several different indications concurrently. Given the small size of our organization, we may encounter difficulties managing multiple clinical trials at the same time, which could negatively affect our ability to manage growth of our organization,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particularly as we take on additional responsibility associated with being a public company. Our future financial performance and our ability to successfully develop and, if approved, commercialize, OP-1250 and any other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OP-1250 and any other future product candidates we may develop or otherwise advance our business. We cannot assure you that we will be able to manage our existing third-party service providers or find other competent outside contractors and consultants on economically reasonable terms, or at all.</w:t>
      </w:r>
    </w:p>
    <w:p>
      <w:pPr>
        <w:spacing w:after="0" w:line="20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If we are not able to effectively expand our organization by hiring new employees and/or engaging additional third-party service providers, we may not be able to successfully implement the tasks necessary to further develop and commercialize OP-1250 and any other future product candidates we may develop and, accordingly, may not achieve our research, development and commercialization goals.</w:t>
      </w:r>
    </w:p>
    <w:p>
      <w:pPr>
        <w:spacing w:after="0" w:line="183"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Our internal computer systems, or those of any of our CROs, manufacturers, other contractors, consultants, collaborators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198"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Despite the implementation of preventative and detective security measures, our internal computer systems and those of our current and any future CROs and other contractors, consultants, collaborators and third-party service providers, are vulnerable to damage or interruption from a variety of sources, including computer viruses, unauthorized access, accidental acts or omissions by those with authorized access, natural disasters, terrorism, war, telecommunication and electrical failure, and cybersecurity threats (including the deployment of harmful malware, ransomware, denial-of-service attacks, supply chain attacks, social engineering, and other means to affect service reliability and threaten the confidentiality, integrity, and availability of information).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w:t>
      </w:r>
    </w:p>
    <w:p>
      <w:pPr>
        <w:spacing w:after="0" w:line="21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If such an event were to occur or were alleged to have occurred and cause interruptions in our operations or result in the unauthorized acquisition of or access to personally identifiable information or individually identifiable health information (violating certain privacy laws, as applicable, such as HIPAA, CCPA, HITECH and GDPR), it could result in a material disruption of our drug discovery and development programs and our business operations, whether due to a loss of our trade secrets, personal information, or other similar disruptions. Some of the federal, state and foreign government requirements include obligations of companies to notify individuals of security breaches involving particular personally identifiable information, which could result from breaches experienced by us or by our vendors, contractors, or organizations with which we have formed strategic relationships. Notifications and follow-up actions related to a security breach could impact our reputation, cause us to incur significant costs, including legal expenses and remediation costs. For example,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loss of clinical trial data from completed or future clinical trials could result in delays or revocation of in our regulatory approval efforts and significantly increase our costs to recover or reproduce the lost data. We also rely on third parties to manufacture OP-1250, and similar events relating to their computer systems could also have a material adverse effect on our business. We may have insufficient recourse against such third parties and we may have to expend significant resources to mitigate the impact of such an event, and to develop and implement protections to prevent future events of this nature from occurring. To the extent that any disruption or security breach were to result in a loss of, or damage to, our data, or inappropriate disclosure of confidential or proprietary information, we could be exposed to litigation and governmental investigations, the further development and commercialization of OP-1250 could be delayed, and we could be subject to significant fines or penalties for any noncompliance with certain state, federal and/or international privacy and security laws.</w:t>
      </w:r>
    </w:p>
    <w:p>
      <w:pPr>
        <w:spacing w:after="0" w:line="20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180"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EU drug marketing and reimbursement regulations may materially affect our ability to market and receive coverage for our product in the European member states.</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intend to seek approval to market OP-1250 in both the United States and in selected foreign jurisdictions. If we obtain approval in one or more foreign jurisdictions for OP-1250, we will be subject to rules and regulations in those jurisdictions. In some foreign countries, particularly those in the European Union, the pricing of drugs is subject to governmental control and other market regulations which could put pressure on the pricing and usage of OP-1250. In these countries, pricing negotiations with governmental authorities can take considerable time after obtaining marketing approval of a product candidate. In addition, market acceptance and sales of OP-1250 will depend significantly on the availability of adequate coverage and reimbursement from third-party payors for OP-1250 and may be affected by existing and future healthcare reform measures.</w:t>
      </w:r>
    </w:p>
    <w:p>
      <w:pPr>
        <w:spacing w:after="0" w:line="20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Much like the federal Anti-Kickback Statute prohibition in the United States, the provision of benefits or advantages to physicians to induce or encourage the prescription, recommendation, endorsement, purchase, supply, order or use of medicinal products is also prohibited in the European Union. The provision of benefits or advantages to physicians is governed by the national anti-bribery laws of EU Member States, such as the UK Bribery Act 2010. Infringement of these laws could result in substantial fines and imprisonment.</w:t>
      </w:r>
    </w:p>
    <w:p>
      <w:pPr>
        <w:spacing w:after="0" w:line="20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in most foreign countries, including a number of EU Member States,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trial or other studies that compare the cost-effectiveness of OP-1250 to other available therapies in order to obtain or maintain reimbursement or pricing approval. There can be no assurance that any country that has price controls or reimbursement limitations for biopharmaceutical products will allow favorable reimbursement and pricing</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arrangements for our product. Historically, products launched in the European Union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 is unavailable or limited in scope or amount, our potential revenues from sales and the potential profitability of OP-1250 in those countries would be negatively affected.</w:t>
      </w:r>
    </w:p>
    <w:p>
      <w:pPr>
        <w:spacing w:after="0" w:line="183"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Our operations, and those of our suppliers, CMOs, CROs and other contractors and consultants, could be subject to earthquakes, power shortages, telecommunications failures, water shortages, floods, hurricanes, typhoons, fires, extreme weather conditions, public health pandemics or epidemics (including, for example, the outbreak of COVID-19), and other natural or man-made disasters or business interruptions, for which we are predominantly self- insured. The occurrence of any of these business disruptions could seriously harm our operations, increase our costs and expenses and significantly harm our business, financial condition, results of operations and prospects.</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Our ability to develop OP-1250 or any future product candidates we may develop could be disrupted if our operations or those of our suppliers are affected by man-made or natural disasters or other business interruptions. Our corporate headquarters are located in California near major earthquake faults and fire zones. The ultimate impact on us, our significant suppliers and our general infrastructure of being located near major earthquake faults and fire zones and being consolidated in certain geographical areas is unknown, but our operations and business could suffer in the event of a major earthquake, fire or other natural disaster.</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24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Our net operating loss, or NOL, carryforwards could expire unused and be unavailable to offset future income tax liabilities because of their limited duration or because of restrictions under U.S. tax law. NOLs generated in tax years ending on or prior to December 31, 2017 are only permitted to be carried forward for 20 taxable years under applicable U.S. federal tax law. Under the Tax Act, as modified by the Coronavirus Aid, Relief, and Economic Security, or CARES, Act signed into law on March 27, 2020, NOLs arising in tax years beginning after December 31, 2017, and before January 1, 2021 may be carried back to each of the five tax years preceding the tax year of such loss, and NOLs arising in tax years beginning after December 31, 2020 may not be carried back. Moreover, under the Tax Act as modified by the CARES Act, federal NOLs generated in tax years ending after December 31, 2017 may be carried forward indefinitely, but the deductibility of such federal NOLs may be limited to 80% of current year taxable income for tax years beginning on or after December 31, 2020. It is uncertain if and to what extent various states will conform to the Tax Act or the CARES Act.</w:t>
      </w:r>
    </w:p>
    <w:p>
      <w:pPr>
        <w:spacing w:after="0" w:line="36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under Sections 382 and 383 of the Internal Revenue Code of 1986, as amended, if a corporation undergoes an “ownership change” (generally defined as a cumulative change in our ownership by “5-percent shareholders” that exceeds 50 percentage points over a rolling three-year period), the corporation’s ability to use its pre-change NOLs and certain other pre-change tax attributes to offset its post-change income and taxes may be limited. Similar rules may apply under state tax laws. We may have experienced such ownership changes in the past, and we may experience ownership changes in the future as a result subsequent shifts in our stock ownership, some of which are outside our control. We have not conducted any studies to determine annual limitations, if any, that could result from such changes in the ownership. Our ability to utilize those NOLs could be limited by an “ownership change” as described above and consequently, we may not be able to utilize a material portion of our NOLs and certain other tax attributes, which could have a material adverse effect on our cash flows and results of operations.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A variety of risks associated with marketing OP-1250 or any future product candidate we may develop internationally could significantly harm our business, financial condition, results of operations and prospects.</w:t>
      </w:r>
    </w:p>
    <w:p>
      <w:pPr>
        <w:spacing w:after="0" w:line="191"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plan to seek regulatory approval of OP-1250 or any future product candidates we may develop outside of the United States and, accordingly, we expect that we will be subject to additional risks related to operating in foreign countries if we obtain the necessary approvals, including:</w:t>
      </w:r>
    </w:p>
    <w:p>
      <w:pPr>
        <w:spacing w:after="0" w:line="203" w:lineRule="exact"/>
        <w:rPr>
          <w:sz w:val="20"/>
          <w:szCs w:val="20"/>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differing regulatory requirements and reimbursement regimes in foreign countries;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unexpected changes in tariffs, trade barriers, price and exchange controls and other regulatory requirements;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economic weakness, including inflation, or political instability in particular foreign economies and markets;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compliance with tax, employment, immigration and labor laws for employees living or traveling abroad;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foreign taxes, including withholding of payroll taxes;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foreign currency fluctuations, which could result in increased operating expenses and reduced revenue, and other obligations incident to doing business in another country;</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difficulties staffing and managing foreign operations;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workforce uncertainty in countries where labor unrest is more common than in the United States;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potential liability under the FCPA or comparable foreign regulations;</w:t>
      </w:r>
    </w:p>
    <w:p>
      <w:pPr>
        <w:spacing w:after="0" w:line="225" w:lineRule="exact"/>
        <w:rPr>
          <w:rFonts w:ascii="Arial" w:cs="Arial" w:eastAsia="Arial" w:hAnsi="Arial"/>
          <w:sz w:val="18"/>
          <w:szCs w:val="18"/>
          <w:color w:val="auto"/>
        </w:rPr>
      </w:pPr>
    </w:p>
    <w:p>
      <w:pPr>
        <w:jc w:val="both"/>
        <w:ind w:left="720" w:right="79"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challenges enforcing our contractual and intellectual property rights, especially in those foreign countries that do not respect and protect intellectual property rights to the same extent as the United States;</w:t>
      </w:r>
    </w:p>
    <w:p>
      <w:pPr>
        <w:spacing w:after="0" w:line="202"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production shortages resulting from any events affecting raw material supply or manufacturing capabilities abroad; and</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business interruptions resulting from geo-political actions, including war and terrorism.</w:t>
      </w:r>
    </w:p>
    <w:p>
      <w:pPr>
        <w:spacing w:after="0" w:line="225"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These and other risks associated with our international operations may significantly harm our business, financial condition, results of operations and prospects.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2"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Our success depends on our ability to protect our intellectual property and our proprietary technologies.</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Our commercial success depends in part on our ability to obtain and maintain proprietary or intellectual property protection in the United States and other countries for OP-1250 and any future product candidates that we may develop and technologies related to their various uses. We generally seek to protect our proprietary position by, among other things, filing patent applications in the United States and abroad related to OP-1250, our proprietary technologies, and their manufacture and uses that are important to our business, as well as inventions and improvements that are important to the development and implementation of our business. We also rely on trade secrets, know-how and continuing technological innovation to develop and maintain our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proprietary and intellectual property position. We may also seek to protect our proprietary position by acquiring or in-licensing relevant issued patents or pending applications from third parties. If we or our potential licensors are unable to obtain or maintain patent protection with respect to OP-1250, proprietary technologies and their uses, our business, financial condition, results of operations and prospects could be significantly harmed.</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will result in additional patents being issued or that issued patents will afford sufficient protection against competitors with similar technology, nor can there be any assurance that the patents issued will not be infringed, designed around or invalidated by third parties.</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Moreover, in the future, some of our owned patents and patent applications, or any future licensed patents or patent applications, may be co-owned with third parties. If we are unable to obtain exclusive licenses to any such co-owners’ interest in such patents or patent applications, then such co-owners may be able to license their rights to other third parties, including our competitors, and our competitors could market competing products and technology. In addition, we may need the cooperation of any such co-owners in order to enforce such patents against third parties, and such cooperation may not be provided to us.</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Even issued patents may later be found invalid or unenforceable or may be modified or revoked in proceedings instituted by third parties before various patent offices or in courts. Thus, the degree of future protection for our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OP-1250 or any future product candidates we may develop could significantly harm our business, financial condition, results of operations and prospects.</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cannot be certain that the claims in our U.S. pending patent applications, and corresponding international patent applications, will be considered patentable by the United States Patent and Trademark Office, or USPTO, courts in the United States or by the patent offices and courts in foreign countries, nor can we be certain that the claims in our issued patent(s) will not be found invalid or unenforceable if challenged.</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potential future collaborators will be successful in protecting OP-1250 or any future product candidates we may develop by obtaining and defending patents. These risks and uncertainties include the following:</w:t>
      </w:r>
    </w:p>
    <w:p>
      <w:pPr>
        <w:spacing w:after="0" w:line="187" w:lineRule="exact"/>
        <w:rPr>
          <w:sz w:val="20"/>
          <w:szCs w:val="20"/>
          <w:color w:val="auto"/>
        </w:rPr>
      </w:pPr>
    </w:p>
    <w:p>
      <w:pPr>
        <w:jc w:val="both"/>
        <w:ind w:left="720" w:right="79" w:hanging="319"/>
        <w:spacing w:after="0" w:line="250"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patent applications must be filed in advance of certain events (</w:t>
      </w:r>
      <w:r>
        <w:rPr>
          <w:rFonts w:ascii="Arial" w:cs="Arial" w:eastAsia="Arial" w:hAnsi="Arial"/>
          <w:sz w:val="18"/>
          <w:szCs w:val="18"/>
          <w:i w:val="1"/>
          <w:iCs w:val="1"/>
          <w:color w:val="231F20"/>
        </w:rPr>
        <w:t>e.g.,</w:t>
      </w:r>
      <w:r>
        <w:rPr>
          <w:rFonts w:ascii="Arial" w:cs="Arial" w:eastAsia="Arial" w:hAnsi="Arial"/>
          <w:sz w:val="18"/>
          <w:szCs w:val="18"/>
          <w:color w:val="231F20"/>
        </w:rPr>
        <w:t xml:space="preserve"> third party filings, certain sales or offers for sale, or other activities that might be legally deemed to be public disclosures) and we might not be aware of such events or otherwise might not succeed in filing applications before they occur;</w:t>
      </w:r>
    </w:p>
    <w:p>
      <w:pPr>
        <w:spacing w:after="0" w:line="194"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204"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patent applications may not result in any patents being issued;</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patents may be challenged, invalidated, modified, revoked, circumvented, found to be unenforceable or otherwise may not provide any competitive advantage;</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there may be significant pressure on the U.S. government and international governmental bodies to limit the scope of patent protection both inside and outside the United States; and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720" w:right="79"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countries other than the United States may have patent laws less favorable to patentees than those upheld by U.S. courts, allowing foreign competitors a better opportunity to create, develop and market competing product candidates.</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patent prosecution process is also expensive, time-consuming and complex, and we may not be able to file, prosecute, maintain, enforce or license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for example, if patentable aspects are publicly disclosed, by us or a third party, such as by public use, sale or offer for sale, or publication.</w:t>
      </w:r>
    </w:p>
    <w:p>
      <w:pPr>
        <w:spacing w:after="0" w:line="20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In addition, although we enter into non-disclosure and confidentiality agreements with parties who have access to confidential or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 Further, although we require our employees, commercial contractors, and certain consultants and investigators to enter into invention assignment agreements that grant us ownership of any discoveries or inventions made by them while in our employ, we cannot guarantee that we have entered into such agreements with each party, we cannot provide any assurances that all such agreements have been duly executed, and any of these parties may breach such agreements and claim ownership in intellectual property that we believe is owned by us.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owned or any licensed patents or pending patent applications, or that we were the first to file for patent protection of such inventions.</w:t>
      </w:r>
    </w:p>
    <w:p>
      <w:pPr>
        <w:spacing w:after="0" w:line="21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 Should any of the above events occur, it could significantly harm our business, financial condition, results of operations and prospects.</w:t>
      </w:r>
    </w:p>
    <w:p>
      <w:pPr>
        <w:spacing w:after="0" w:line="18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191"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patent positions of biopharmaceutical companies generally are highly uncertain, involve complex legal and factual questions for which important legal principles remain unsolved and have been the subject of much litigation in recent years. As a result, the issuance, scope, validity, enforceability and commercial value of our patent rights are highly uncertain. Our pending and future patent applications may not result in patents being issued which protect OP-1250 or which effectively prevent others from commercializing competitive technologies and product candidates.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Moreover, the coverage claimed in a patent application can be significantly reduced before a patent is issued, and its scope can be reinterpreted after issuance. Legal standards relating to valid and enforceable claim scope are unsettled in the United States and elsewhere and disputes challenging or re-defining scope are common in the biopharmaceutical industry.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OP-1250 or any future product candidates we may develop will be protectable or remain protected by valid and enforceable patents. Our competitors or other third parties may be able to circumvent our patents by developing similar or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alternative technologies or products in a non-infringing manner which could significantly harm our business, financial condition, results of operations and prospects.</w:t>
      </w:r>
    </w:p>
    <w:p>
      <w:pPr>
        <w:spacing w:after="0" w:line="197"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patents may be challenged in the courts or patent offices in the United States and abroad.</w:t>
      </w:r>
    </w:p>
    <w:p>
      <w:pPr>
        <w:spacing w:after="0" w:line="19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process by which patent applications are examined and considered for issuance as patents involves consideration by the relevant patent office of “prior art” relative to the invented technology. Different countries have different rules about what information or events can be considered “prior art,” and different requirements regarding when a patent application must be filed relative to any particular piece of potential prior art. Moreover, legal decisions can re-interpret or change whether particular information or events are considered to be “prior art.” Still further, in the United States, patent applicants are required to notify the USPTO of any material “prior art” of which they are aware for the patent examiner to consider in addition to independent searches that the patent examiner is required to do. Also, in the United States and certain other jurisdictions, third parties are entitled to submit prior art to patent offices for consideration during examination.</w:t>
      </w:r>
    </w:p>
    <w:p>
      <w:pPr>
        <w:spacing w:after="0" w:line="207"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may not be aware of certain relevant prior art, may fail to identify or timely cite certain prior art, or may not be able to convince a patent examiner that our patent(s) should issue in light of the art. Also, we cannot be certain that all relevant art will be identified during examination of a patent application so that, even if a patent issues, it may be susceptible to challenge that it is not valid over art that was not considered during its examination.</w:t>
      </w:r>
    </w:p>
    <w:p>
      <w:pPr>
        <w:spacing w:after="0" w:line="202"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 xml:space="preserve">We may be subject to a third-party pre-issuance submission of prior art to the USPTO or other jurisdictions, or become involved in post-grant challenges such as opposition, derivation, revocation, reexamination, post-grant review, or PGR, and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IPR, or other similar proceedings, or in litigation, challenging our patent rights, including by challenging the validity or the claim of priority of our patents. An adverse determination in any such submission, proceeding or litigation could reduce the scope of, or invalidate or render unenforceable, our patent rights, allow third parties to commercialize OP-1250 or any future product candidates we may develop and compete directly with us, without payment to us.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OP-1250 or any future product candidates we may develop. The outcome following legal assertions of invalidity and unenforceability is unpredictable. With respect to the validity question, for example, we cannot be certain that there is no invalidating prior art, including art of which we were unaware, and art which was not raised during prosecution of any of our patent applications. If a third party were to prevail on a legal assertion of invalidity or unenforceability, we would lose at least part, and perhaps all, of the patent protection on our technology or platform, or any product candidates that we may develop. Such a loss of patent protection would significantly impact our business, financial condition, results of operations and prospects. Such proceedings also may result in substantial cost and require significant time from our scientists and management, even if the eventual outcome is favorable to us. In addition, if the breadth or strength of protection provided by our patents and patent applications is threatened, regardless of the outcome, it could dissuade companies from collaborating with us to license, develop, or commercialize current or future product candidates or could embolden competitors to launch products or take other steps that could disadvantage us in the marketplace or draw us into additional expensive and time consuming disputes. Should any of these events occur, it could significantly harm our business, financial condition, results of operations and prospects.</w:t>
      </w:r>
    </w:p>
    <w:p>
      <w:pPr>
        <w:spacing w:after="0" w:line="19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203" w:lineRule="exact"/>
        <w:rPr>
          <w:sz w:val="20"/>
          <w:szCs w:val="20"/>
          <w:color w:val="auto"/>
        </w:rPr>
      </w:pPr>
    </w:p>
    <w:p>
      <w:pPr>
        <w:ind w:left="4400" w:right="3179" w:hanging="3999"/>
        <w:spacing w:after="0" w:line="762" w:lineRule="auto"/>
        <w:tabs>
          <w:tab w:leader="none" w:pos="721"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 xml:space="preserve">we may not be able to detect infringement of our issued patents; </w:t>
      </w:r>
      <w:r>
        <w:rPr>
          <w:rFonts w:ascii="Arial" w:cs="Arial" w:eastAsia="Arial" w:hAnsi="Arial"/>
          <w:sz w:val="18"/>
          <w:szCs w:val="18"/>
          <w:color w:val="000000"/>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48895</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720" w:right="79" w:hanging="319"/>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others may be able to develop products that are similar to OP-1250, or any future product candidates we may develop, but that are not covered by the claims of the patents that we may in-license in the future or own;</w:t>
      </w:r>
    </w:p>
    <w:p>
      <w:pPr>
        <w:spacing w:after="0" w:line="202"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our competitors may seek or may have already obtained patents that will limit, interfere with or eliminate our ability to make, use and sell OP-1250 or any future product candidates we may develop;</w:t>
      </w:r>
    </w:p>
    <w:p>
      <w:pPr>
        <w:spacing w:after="0" w:line="196" w:lineRule="exact"/>
        <w:rPr>
          <w:rFonts w:ascii="Arial" w:cs="Arial" w:eastAsia="Arial" w:hAnsi="Arial"/>
          <w:sz w:val="18"/>
          <w:szCs w:val="18"/>
          <w:color w:val="auto"/>
        </w:rPr>
      </w:pPr>
    </w:p>
    <w:p>
      <w:pPr>
        <w:jc w:val="both"/>
        <w:ind w:left="720" w:right="79" w:hanging="319"/>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we, or our current or future collaborators or license partners, might not have been the first to make the inventions covered by the issued patents or patent application that we may in-license in the future or own;</w:t>
      </w:r>
    </w:p>
    <w:p>
      <w:pPr>
        <w:spacing w:after="0" w:line="202"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we, or our current or future collaborators or license partners, might be found not have been the first to file patent applications covering certain of our or their inventions;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others may independently develop similar or alternative technologies or duplicate any of our technologies without infringing our intellectual property rights;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it is possible that the pending patent applications we may in-license in the future or own will not lead to issued patents;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it is possible that there are prior public disclosures that could invalidate our patents, or parts of our patents, for which we are not aware;</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issued patents that we hold rights to may be held invalid or unenforceable, as a result of legal challenges by our competitors;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issued patents may not have sufficient term or geographic scope to provide meaningful protection;</w:t>
      </w:r>
    </w:p>
    <w:p>
      <w:pPr>
        <w:spacing w:after="0" w:line="225" w:lineRule="exact"/>
        <w:rPr>
          <w:rFonts w:ascii="Arial" w:cs="Arial" w:eastAsia="Arial" w:hAnsi="Arial"/>
          <w:sz w:val="18"/>
          <w:szCs w:val="18"/>
          <w:color w:val="auto"/>
        </w:rPr>
      </w:pPr>
    </w:p>
    <w:p>
      <w:pPr>
        <w:jc w:val="both"/>
        <w:ind w:left="720" w:right="79" w:hanging="319"/>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202" w:lineRule="exact"/>
        <w:rPr>
          <w:rFonts w:ascii="Arial" w:cs="Arial" w:eastAsia="Arial" w:hAnsi="Arial"/>
          <w:sz w:val="18"/>
          <w:szCs w:val="18"/>
          <w:color w:val="auto"/>
        </w:rPr>
      </w:pPr>
    </w:p>
    <w:p>
      <w:pPr>
        <w:ind w:left="720" w:hanging="319"/>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we may not develop additional proprietary technologies that are patentable;</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the patents of others may have an adverse effect on our business; and</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we may choose not to file a patent in order to maintain certain trade secrets, and a third party may subsequently file a patent covering such intellectual property.</w:t>
      </w:r>
    </w:p>
    <w:p>
      <w:pPr>
        <w:spacing w:after="0" w:line="197"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Should any of these events occur, it could significantly harm our business, financial condition, results of operations and prospects.</w:t>
      </w:r>
    </w:p>
    <w:p>
      <w:pPr>
        <w:spacing w:after="0" w:line="175"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misappropriating or otherwise violating the patents and other proprietary rights of third parties. Claims by third parties that we infringe, misappropriate or otherwise violate their proprietary rights may result in liability for damages or prevent or delay our developmental and commercialization efforts.</w:t>
      </w:r>
    </w:p>
    <w:p>
      <w:pPr>
        <w:spacing w:after="0" w:line="19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Our commercial success depends in part on avoiding infringement, misappropriation or other violations of the patents and proprietary rights of third parties. However, our research, development and commercialization activities may be subject to claims that we infringe, misappropriate or otherwise violate patents or other intellectual property rights owned or controlled by third parties. A finding by a court or administrative body that we infringe the claims of issued patents owned by third parties could preclude us from commercializing OP-1250 or any future product candidates we may develop.</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Other entities may have or obtain patents or proprietary rights that could limit our ability to make, use, sell, offer for sale or import OP-1250 or any future product candidates we may develop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and proceedings, such as oppositions, reexaminations, IPR proceedings and PGR proceedings, before the USPTO and/or corresponding foreign patent offices. In addition, many companies in intellectual property-dependent industries, including the biopharmaceutical industry, have employed intellectual property litigation as a means to gain an advantage over their competitors. Numerous third-party U.S. and foreign issued patents and pending patent applications may exist in the fields in which we are developing OP-1250 or any future product candidates we may develop. There may be third-party patents or patent applications with claims to compositions, formulations, methods of manufacture or methods for treatment related to the use or manufacture of OP-1250 or any future product candidates we may develop. For example, we are aware of certain third-party patent applications and patents in the United States and abroad that include disclosure of chemical structures sharing certain similarities with OP-1250. It is possible that one or more of such third parties could pursue patent claims or assert patent claims that allegedly encompass OP-1250.</w:t>
      </w:r>
    </w:p>
    <w:p>
      <w:pPr>
        <w:spacing w:after="0" w:line="21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It is possible that one or more organizations will hold patent rights to which we will need a license. If those organizations refuse to grant us a license to such patent rights on reasonable terms, we may be unable to develop, manufacture, market, sell and commercialize products or services or perform research and development or other activities covered by these patents. In the event that any of these patents were to issue and be asserted against us, we believe that we would have defenses against any such assertion, including that such patents are not valid. However, if such defenses to such assertion were unsuccessful, we could be liable for damages, which could be significant and include treble damages and attorneys’ fees if we are found to willfully infringe such patents. We could also be required to obtain a license to such patents, which may not be available on commercially reasonable terms or at all. If we are unable to obtain such a license, we could be precluded from commercializing any product candidates that were ultimately held to infringe such patents.</w:t>
      </w:r>
    </w:p>
    <w:p>
      <w:pPr>
        <w:spacing w:after="0" w:line="20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As the biopharmaceutical industry expands and more patents are issued, the risk increases that OP-1250, or any future product candidates we may develop,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OP-1250, or any future product candidates we may develop,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OP-1250 or any future product candidates we may develop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Still further, we cannot rely on our experience that third parties have not so far alleged that we infringe their patent rights, as provisions of U.S. patent laws provide a safe harbor from patent infringement for therapeutic products under clinical development. If and when we submit an NDA that safe harbor will expire.</w:t>
      </w:r>
    </w:p>
    <w:p>
      <w:pPr>
        <w:spacing w:after="0" w:line="213"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Any claims of patent infringement, misappropriation or other violations asserted by third parties would be time consuming and could:</w:t>
      </w:r>
    </w:p>
    <w:p>
      <w:pPr>
        <w:spacing w:after="0" w:line="197" w:lineRule="exact"/>
        <w:rPr>
          <w:sz w:val="20"/>
          <w:szCs w:val="20"/>
          <w:color w:val="auto"/>
        </w:rPr>
      </w:pPr>
    </w:p>
    <w:p>
      <w:pPr>
        <w:ind w:left="720" w:hanging="319"/>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result in costly litigation that may cause negative publicity;</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cause development delays;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hanging="319"/>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prevent us from commercializing OP-1250 or any future product candidates we may develop;</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require us to develop non-infringing technology, which may not be possible on a cost-effective basis;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subject us to significant liability to third parties; or</w:t>
      </w:r>
    </w:p>
    <w:p>
      <w:pPr>
        <w:spacing w:after="0" w:line="225" w:lineRule="exact"/>
        <w:rPr>
          <w:rFonts w:ascii="Arial" w:cs="Arial" w:eastAsia="Arial" w:hAnsi="Arial"/>
          <w:sz w:val="18"/>
          <w:szCs w:val="18"/>
          <w:color w:val="auto"/>
        </w:rPr>
      </w:pPr>
    </w:p>
    <w:p>
      <w:pPr>
        <w:jc w:val="both"/>
        <w:ind w:left="720" w:right="79" w:hanging="319"/>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Any patent-related legal action against us claiming damages or seeking to enjoin commercial activities relating to our products, or processes could subject us to significant liability for damages, including treble damages if we were determined to willfully infringe, and require us to obtain a license to manufacture or market OP-1250 or any future product candidates we may develop.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OP-1250 or any future product candidates we may develop processes to avoid infringement, if necessary.</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An adverse determination in a judicial or administrative proceeding, or the failure to obtain necessary licenses, could prevent us from developing and commercializing OP-1250 or any future product candidates we may develop, which could significantly harm our business, financial condition and operating results. In addition, intellectual property litigation, regardless of its outcome, may cause negative publicity and could prohibit us from marketing or otherwise commercializing OP-1250 and future product candidates and technologies.</w:t>
      </w:r>
    </w:p>
    <w:p>
      <w:pPr>
        <w:spacing w:after="0" w:line="20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Parties making claims against us may be able to sustain the costs of complex patent litigation more effectively than we can.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significantly harm our business, financial condition, results of operations and prospects.</w:t>
      </w:r>
    </w:p>
    <w:p>
      <w:pPr>
        <w:spacing w:after="0" w:line="183"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from third parties for that we identify as necessary for OP-1250 through acquisitions and in-licenses.</w:t>
      </w:r>
    </w:p>
    <w:p>
      <w:pPr>
        <w:spacing w:after="0" w:line="1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Because our development programs may in the future require the use of proprietary rights held by third parties, the growth of our business may depend in part on our ability to acquire, in-license, or use these third-party proprietary rights.</w:t>
      </w:r>
    </w:p>
    <w:p>
      <w:pPr>
        <w:spacing w:after="0" w:line="203"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While we may have issued patents that cover OP-1250, it is possible that third parties may have blocking patents that prevent us from marketing, manufacturing or commercializing our own patented products and practicing our own patented technology.</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may be unsuccessful in acquiring or in-licensing compositions, methods of use, processes, or other intellectual property rights from third parties that we identify as necessary for practicing inventions claimed by our patents, including the manufacture, sale and use of OP-1250 and any future product candidates we may develop.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significantly harm our business, financial condition, results of operations and prospects.</w:t>
      </w:r>
    </w:p>
    <w:p>
      <w:pPr>
        <w:spacing w:after="0" w:line="18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which could be expensive, time consuming and unsuccessful. Further, our issued patents could be found invalid or unenforceable if challenged in court.</w:t>
      </w:r>
    </w:p>
    <w:p>
      <w:pPr>
        <w:spacing w:after="0" w:line="191"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Competitors or other third parties may infringe, misappropriate or otherwise violate our intellectual property rights. To prevent infringement or unauthorized use, we may be required to file infringement or other intellectual property claims, which can be expensive and time-consuming. In addition, in a patent infringement proceeding, a court may decide that a patent we may in-license in the future or own is not valid, is unenforceable, and/or is not infringed, or may refuse to stop the other party from using the technology at issue on the grounds that our owned patents or future in-licensed patents do not cover the technology in question. If we or any of our potential future collaborators were to initiate legal proceedings against a third party to enforce a patent directed at OP-1250 or any future product candidates we may develop, the defendant could counterclaim that our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21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outcome following legal assertions of invalidity and/or unenforceability is unpredictable, and prior art could render our patent invalid. There is no assurance that all potentially relevant prior art relating to our patent and patent applications has been found. There is also no assurance that there is not prior art of which we are aware, but which we do not believe affects the validity or enforceability of a claim in our patent and patent applications, which may, nonetheless, ultimately be found to affect the validity or enforceability of a claim.</w:t>
      </w:r>
    </w:p>
    <w:p>
      <w:pPr>
        <w:spacing w:after="0" w:line="20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If a defendant were to prevail on a legal assertion of invalidity and/or unenforceability, we may lose at least part, and perhaps all, of the patent protection on such product candidate. In addition, if the breadth or strength of protection provided by our patents and patent applications is threatened, it could dissuade companies from collaborating with us to license, develop or commercialize current or future product candidates. Such a loss of patent protection would significantly harm our business, financial condition, results of operations and prospects.</w:t>
      </w:r>
    </w:p>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208"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203"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Should any of these events occur, it could significantly harm our business, financial condition, results of operations and prospects.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shares to decline.</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significantly harm our business, financial condition, results of operations and prospects.</w:t>
      </w:r>
    </w:p>
    <w:p>
      <w:pPr>
        <w:spacing w:after="0" w:line="183"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191"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OP-1250 or any future product candidates to market. Should any of these events occur, it could significantly harm our business, financial condition, results of operations and prospects.</w:t>
      </w:r>
    </w:p>
    <w:p>
      <w:pPr>
        <w:spacing w:after="0" w:line="186"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or those of our licensors and the enforcement or defense of our issued patents or those of our licensors.</w:t>
      </w:r>
    </w:p>
    <w:p>
      <w:pPr>
        <w:spacing w:after="0" w:line="191"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 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(1) file any patent application related to OP-1250 or any future product candidate we may develop or (2) invent any of the inventions claimed in the patents or patent applications.</w:t>
      </w:r>
    </w:p>
    <w:p>
      <w:pPr>
        <w:spacing w:after="0" w:line="21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our licensors and the enforcement or defense of our issued patents or those of our licensors, all of which could significantly harm our business, financial condition, results of operations and prospects.</w:t>
      </w:r>
    </w:p>
    <w:p>
      <w:pPr>
        <w:spacing w:after="0" w:line="184"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OP-1250 or any future product candidates we may develop.</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our ability to protect our inventions, obtain, maintain and enforce our intellectual property rights and, more generally, could affect the value of our intellectual property. Such changes may also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20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Further,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 Any of the foregoing could significantly harm our business, financial condition, results of operations, and prospects.</w:t>
      </w:r>
    </w:p>
    <w:p>
      <w:pPr>
        <w:spacing w:after="0" w:line="18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It is possible that we do not perfect ownership of all patents, patent applications or other intellectual property. This possibility includes the risk that we do not identify all inventors, or identify incorrect inventors, which may lead to claims disputing inventorship or ownership of our patents, patent applications or other intellectual property by former employees or other third parties. There is also a risk that we do not establish an unbroken chain of title from inventors to us. Errors in inventorship or ownership can sometimes also impact priority claims. If we were to lose ability to claim priority for certain patent filings, intervening art or other events may preclude us from issuing patents.</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an outcome could significantly harm our business, financial condition, results of operations and prospects. Even if we are successful in defending against such claims, litigation could result in substantial costs and distraction to management and other employees.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Patent terms may be inadequate to protect our competitive position on OP-1250 or any future product candidates we may develop for an adequate amount of time.</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there can be no assurance that any such extensions will be obtained, and the life of a patent, and the protection it affords, is limited. Even if patents covering OP-1250 or any future product candidates we may develop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207"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In the United States, patent term can be adjusted due to delays that occur during examination of patent applications, which may extend the term of a patent beyond 20 years. There is a risk that we may take action that detracts from any accrued patent term adjustment.</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It is necessary to pay certain maintenance fees, also referred to as annuities or renewal fees in some countries, throughout the lifetime of a patent at regular intervals. Failure to pay these fees can cause a granted patent to prematurely expire, without an opportunity for revival. There is a risk that we may be unable to maintain patent protection for certain patents in all markets due to finite availability of resources. Any of the foregoing could significantly harm our business, financial condition, results of operations and prospects.</w:t>
      </w:r>
    </w:p>
    <w:p>
      <w:pPr>
        <w:spacing w:after="0" w:line="180"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b w:val="1"/>
          <w:bCs w:val="1"/>
          <w:i w:val="1"/>
          <w:iCs w:val="1"/>
          <w:color w:val="auto"/>
        </w:rPr>
        <w:t>If we do not obtain patent term extension for OP-1250 or any future product candidates we may develop, our business, financial condition, results of operations and prospects may be significantly harmed.</w:t>
      </w:r>
    </w:p>
    <w:p>
      <w:pPr>
        <w:spacing w:after="0" w:line="191"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Depending upon the timing, duration and specifics of FDA marketing approval of OP-1250 or any future product candidates we may develop, one or more of our U.S. patents or those of our licensors may be eligible for limited patent term restoration under the Drug Price Competition and Patent Term Restoration Act of 1984, or the Hatch- 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OP-1250 or any future product candidates we may develop.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business, financial condition, results of operations and prospects could be significantly harmed. Further, if this occurs, our competitors may take advantage of our investment in development and trials by referencing our clinical and nonclinical data and launch their product earlier than might otherwise be the case.</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will not be able to protect our intellectual property rights throughout the world.</w:t>
      </w:r>
    </w:p>
    <w:p>
      <w:pPr>
        <w:spacing w:after="0" w:line="23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infringing products may compete with OP-1250 or any future product candidates we may develop, without any available recourse.</w:t>
      </w:r>
    </w:p>
    <w:p>
      <w:pPr>
        <w:spacing w:after="0" w:line="202"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The laws of some other countries do not protect intellectual property rights to the same extent as the laws of the United States.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 In addition, the legal systems of some countries, particularly developing countries, do not favor the enforcement of patents and other intellectual property protection, especially those relating to biopharmaceuticals. As a result, many companies have encountered significant problems in protecting and defending intellectual property rights in foreign jurisdictions. Because the legal systems of many foreign countries do not favor the enforcement of patents and other intellectual property protection, particularly those relating to biopharmaceutical products, it could be difficult for us to stop the infringement, misappropriation or violation of our patents or our licensors’ patents or marketing of competing products in violation of our proprietary rights. Proceedings to enforce our intellectual property and other proprietary rights in foreign jurisdictions could result in substantial costs and divert our efforts and attention from other aspects of our business, could put our patents or the patents of our licensors at risk of being invalidated or interpreted narrowly, could put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1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significantly harmed.</w:t>
      </w:r>
    </w:p>
    <w:p>
      <w:pPr>
        <w:spacing w:after="0" w:line="183" w:lineRule="exact"/>
        <w:rPr>
          <w:sz w:val="20"/>
          <w:szCs w:val="20"/>
          <w:color w:val="auto"/>
        </w:rPr>
      </w:pPr>
    </w:p>
    <w:p>
      <w:pPr>
        <w:jc w:val="both"/>
        <w:ind w:left="60" w:right="79"/>
        <w:spacing w:after="0" w:line="247"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19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Periodic maintenance fees, renewal fees, annuity fees and various other governmental fees on patents and/or applications will be due to the USPTO and various foreign patent offices at various points over the lifetime of our patents and/or patent applications.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potential competitors might be able to enter the market with similar or identical products or technology, which could significantly harm our business, financial condition, results of operations and prospects.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financial condition, results of operations and prospects could be significantly harmed.</w:t>
      </w:r>
    </w:p>
    <w:p>
      <w:pPr>
        <w:spacing w:after="0" w:line="191"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financial condition, results of operations and prospects may be significantly harmed. Our efforts to enforce or protect our proprietary rights related to trademarks, trade secrets, domain names, copyrights or other intellectual property may be ineffective and could result in substantial costs and diversion of resources and could significantly harm our business, financial condition, results of operations and prospects.</w:t>
      </w:r>
    </w:p>
    <w:p>
      <w:pPr>
        <w:spacing w:after="0" w:line="19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financial condition, results of operations, prospects and competitive position would be significantly harmed.</w:t>
      </w:r>
    </w:p>
    <w:p>
      <w:pPr>
        <w:spacing w:after="0" w:line="17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guarantee that we have entered into such agreements with each party that may have or have had access to our trade secrets or proprietary technology or processes. Further, we cannot provide any assurances that all such agreements have been duly executed, and any of these parties may breach the agreements and disclose our proprietary information, including our trade secrets, or claim ownership in intellectual property that we believe is owned by us. Monitoring unauthorized uses and disclosures of our intellectual property is difficult, and we do not know whether the steps we have taken to protect our intellectual property will be effective. In addition,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21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Moreover, if any of our trade secrets were to be lawfully obtained or independently developed by a competitor or other third party,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Any of the foregoing could significantly harm our business, financial condition, results of operations and prospects.</w:t>
      </w:r>
    </w:p>
    <w:p>
      <w:pPr>
        <w:spacing w:after="0" w:line="18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We may be subject to claims that we or our employees have wrongfully used or disclosed alleged confidential information or trade secrets.</w:t>
      </w:r>
    </w:p>
    <w:p>
      <w:pPr>
        <w:spacing w:after="0" w:line="17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Many of our employees and consultants were previously employed at, or may have previously provided or may be currently providing consulting services to, other biopharmaceutical companies, including</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our competitors or potential competitors. Although we try to ensure that our employees, consultants, and advisors do not use the proprietary information or know-how of others in their work for us, we may become subject to litigation where a third party asserts that we or our employees or consultants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OP-1250 or any future product candidates or technologies we may develop. Failure to defend against any such claim could subject us to significant liability for monetary damages or prevent or delay our developmental and commercialization efforts, and cause us to lose valuable intellectual property rights or personnel, which could significantly harm our business, financial condition, results of operations and prospects. Even if we are successful in defending against these claims, litigation could result in substantial costs and be a distraction to our management team and other employees.</w:t>
      </w:r>
    </w:p>
    <w:p>
      <w:pPr>
        <w:spacing w:after="0" w:line="21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Parties making claims against us may be able to sustain the costs of complex intellectual property litigation more effectively than we can.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significantly harm our business, financial condition, results of operations and prospects.</w:t>
      </w:r>
    </w:p>
    <w:p>
      <w:pPr>
        <w:spacing w:after="0" w:line="183"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Our rights to develop and commercialize our technology and product candidate may be subject, in part, to the terms and conditions of licenses granted to us by others.</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may enter into license agreements in the future with others to advance our research or allow commercialization of OP-1250 or any future product candidates we may develop.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our licenses.</w:t>
      </w:r>
    </w:p>
    <w:p>
      <w:pPr>
        <w:spacing w:after="0" w:line="20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If we fail to comply with our obligations under any such license agreements, including obligations to make various milestone payments and royalty payments and other obligations, the licensor may have the right to terminate the license. If these agreements are terminated, we could lose intellectual property rights that are important to our business, be liable for any damages to such licensors or be prevented from developing and commercializing our product candidates, and competitors could have the freedom to seek regulatory approval 7of, and to market, products identical to ours. Termination of these agreements or reduction or elimination of our rights under these agreements may also result in our being required to negotiate new or reinstated agreements with less favorable terms, cause us to lose our rights under these agreements, including our rights to important intellectual property or technology, or impede, delay or prohibit the further development or commercialization of one or more product candidates that rely on such agreements. It is possible that we may be unable to obtain any additional licenses at a reasonable cost or on reasonable terms, if at all. In that event, we may be required to expend significant time and resources to redesign our product candidates or the methods for manufacturing them or to develop or license replacement technology, all of which may not be feasible on a technical or commercial basis.</w:t>
      </w:r>
    </w:p>
    <w:p>
      <w:pPr>
        <w:spacing w:after="0" w:line="21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including the payment of all applicable fees for patents covering our product candidates. If our licensors fail to prosecute, maintain, enforce and defend such patents, or lose rights to those patents or patent applications, the rights we have licensed may be reduced or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4" w:name="page85"/>
    <w:bookmarkEnd w:id="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eliminated, and our right to develop and commercialize any of our products that are subject of such licensed rights could be adversely affected. Further, we may not be able to prevent competitors from making, using and selling competing products. In addition, even where we have the right to control the prosecution of patents and patent applications we have licensed to and from third parties, we may still be adversely affected or prejudiced by the actions or inactions of our licensees, our licensors and their counsel that took place prior to the date upon which we assumed control over patent prosecution.</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licensors may have relied on third 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 results of operations and prospects.</w:t>
      </w:r>
    </w:p>
    <w:p>
      <w:pPr>
        <w:spacing w:after="0" w:line="202"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may need to obtain additional licenses from existing licensors and others to advance our research or allow commercialization of product candidates we develop. 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significantly harm our business, financial condition, results of operations and prospects significantly. We cannot provide any assurances that third 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 Should any of these events occur, it could significantly harm our business, financial condition, results of operations and prospects.</w:t>
      </w:r>
    </w:p>
    <w:p>
      <w:pPr>
        <w:spacing w:after="0" w:line="19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91"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Disputes may arise between us and our past, current or future licensors regarding intellectual property subject to a license agreement, including:</w:t>
      </w:r>
    </w:p>
    <w:p>
      <w:pPr>
        <w:spacing w:after="0" w:line="197" w:lineRule="exact"/>
        <w:rPr>
          <w:sz w:val="20"/>
          <w:szCs w:val="20"/>
          <w:color w:val="auto"/>
        </w:rPr>
      </w:pPr>
    </w:p>
    <w:p>
      <w:pPr>
        <w:ind w:left="720" w:hanging="319"/>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the scope of rights granted under the license agreement and other interpretation-related issues;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whether and the extent to which our technology and processes infringe on intellectual property of the licensor that is not subject to the licensing agreement;</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our right to sublicense patents and other rights to third parties;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our diligence obligations under the license agreement and what activities satisfy those diligence obligations;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our right to transfer or assign the license;</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the inventorship and ownership of inventions and know-how resulting from the joint creation or use of intellectual property by our licensors and us and our partners; and</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the priority of invention of patented technology.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5" w:name="page86"/>
    <w:bookmarkEnd w:id="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significantly harm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significantly harm our business, financial condition and prospects.</w:t>
      </w:r>
    </w:p>
    <w:p>
      <w:pPr>
        <w:spacing w:after="0" w:line="20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significantly harm our competitive position, business, financial condition and prospects.</w:t>
      </w:r>
    </w:p>
    <w:p>
      <w:pPr>
        <w:spacing w:after="0" w:line="183"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19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 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Any exercise by the government of any of the foregoing rights could harm our competitive position, business, financial condition, results of operations and prospects.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6" w:name="page87"/>
    <w:bookmarkEnd w:id="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12"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b w:val="1"/>
          <w:bCs w:val="1"/>
          <w:i w:val="1"/>
          <w:iCs w:val="1"/>
          <w:color w:val="auto"/>
        </w:rPr>
        <w:t>We rely, and expect to continue to rely, on third parties, including independent clinical investigators and CROs, to conduct certain aspects of our nonclinical studies and clinical trials. If these third parties do not successfully carry out their contractual duties, comply with applicable regulatory requirements or meet expected deadlines, we may not be able to obtain regulatory approval for or commercialize OP-1250 or future product candidates we may develop and our business, financial condition, results of operations and prospects could be significantly harmed.</w:t>
      </w:r>
    </w:p>
    <w:p>
      <w:pPr>
        <w:spacing w:after="0" w:line="201"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have relied upon and plan to continue to rely upon third parties, including independent clinical investigators and third-party CROs, to conduct certain aspects of our nonclinical studies and clinical trials and to monitor and manage data for our ongoing nonclinical and clinical programs. We rely on these parties for execution of our nonclinical studies and clinical trials, and control only certain aspects of their activities. Nevertheless, we are responsible for ensuring that each of our studies and trials is conducted in accordance with the applicable protocol,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and comparable foreign regulatory authorities for OP-1250 in clinical development. Regulatory authorities enforce these GCPs through periodic inspections of trial sponsors, principal investigators and trial sites. If we or any of these third parties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 Moreover, our business may be adversely affected if any of these third parties violates federal or state fraud and abuse or false claims laws and regulations or healthcare privacy and security laws.</w:t>
      </w:r>
    </w:p>
    <w:p>
      <w:pPr>
        <w:spacing w:after="0" w:line="21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Further, these investigators and CROs are not our employees and we will not be able to control, other than by contract, the amount of resources, including time, which they devote to OP-1250 and clinical trials. These third parties may also have relationships with other commercial entities, including our competitors, for whom they may also be conducting clinical trials or other product development activities, which could affect their performance on our behalf. If independent investigators or CROs fail to devote sufficient resources to the development of OP-1250, or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OP-1250. As a result, our results of operations and the commercial prospects for OP-1250 would be harmed, our costs could increase and our ability to generate revenues could be delayed or precluded entirely, and our business, financial condition, results of operations and prospects could be significantly harmed.</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w:t>
      </w:r>
    </w:p>
    <w:p>
      <w:pPr>
        <w:spacing w:after="0" w:line="20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COVID-19 pandemic and government measures taken in response have also had a significant impact on our CROs, and we expect that they will face further disruption which may affect our ability to initiate and complete our nonclinical studies and clinical trials.</w:t>
      </w:r>
    </w:p>
    <w:p>
      <w:pPr>
        <w:spacing w:after="0" w:line="203"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If any of our relationships with these third-party CROs terminate, we may not be able to enter into arrangements with alternative CROs or do so on commercially reasonable terms. Switching or adding additional CROs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7" w:name="page88"/>
    <w:bookmarkEnd w:id="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involves additional cost and requires management time and focus. In addition, there is a natural transition period when a new CRO commences work. As a result, delays occur, which can materially impact our ability to meet our desired clinical development timelines. Additionally, CROs may lack the capacity to absorb higher workloads or take on additional capacity to support our needs. There can be no assurance that we will not encounter challenges or delays with CROs in the future or that these delays or challenges will not significantly harm our business, financial condition, results of operations and prospects.</w:t>
      </w:r>
    </w:p>
    <w:p>
      <w:pPr>
        <w:spacing w:after="0" w:line="183"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b w:val="1"/>
          <w:bCs w:val="1"/>
          <w:i w:val="1"/>
          <w:iCs w:val="1"/>
          <w:color w:val="auto"/>
        </w:rPr>
        <w:t>We contract with third parties for the manufacture of OP-1250 for nonclinical studies and our ongoing clinical trials, and expect to continue to do so for additional clinical trials and ultimately for commercialization. This reliance on third parties increases the risk that we will not have sufficient quantities of OP-1250 or other drugs necessary for the development or commercialization of OP-1250 or such quantities at an acceptable cost, which could delay, prevent or impair our development or commercialization efforts.</w:t>
      </w:r>
    </w:p>
    <w:p>
      <w:pPr>
        <w:spacing w:after="0" w:line="20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do not currently have the infrastructure or internal capability to manufacture supplies of OP-1250 for use in development and commercialization. We rely, and expect to continue to rely, on third-party manufacturers for the production of OP-1250 for nonclinical studies and clinical trials under the guidance of members of our organization. We do not have long-term supply agreements for OP-1250. Furthermore, the raw materials for OP-1250 are sourced, in some cases, from a single-source supplier. If we were to experience an unexpected loss of supply of OP-1250 for any reason, whether as a result of manufacturing, supply or storage issues or otherwise, we could experience delays, disruptions, suspensions or terminations of, or be required to restart or repeat, any pending or ongoing clinical trials. For example, the extent to which the COVID-19 pandemic impacts our ability to procure sufficient supplies for the development of OP-1250 in the future will depend on the severity and duration of the spread of the virus, and the actions undertaken to contain COVID-19 or treat its effects.</w:t>
      </w:r>
    </w:p>
    <w:p>
      <w:pPr>
        <w:spacing w:after="0" w:line="20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expect to continue to rely on third-party manufacturers for the commercial supply of OP-1250, if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205" w:lineRule="exact"/>
        <w:rPr>
          <w:sz w:val="20"/>
          <w:szCs w:val="20"/>
          <w:color w:val="auto"/>
        </w:rPr>
      </w:pPr>
    </w:p>
    <w:p>
      <w:pPr>
        <w:jc w:val="both"/>
        <w:ind w:left="720" w:right="79" w:hanging="319"/>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the failure of the third party to manufacture OP-1250 according to our schedule, or at all, including if our third-party contractors give greater priority to the supply of other products over OP-1250 or otherwise do not satisfactorily perform according to the terms of the agreements between us and them;</w:t>
      </w:r>
    </w:p>
    <w:p>
      <w:pPr>
        <w:spacing w:after="0" w:line="202"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disruptions resulting from the impact of public health pandemics or epidemics (including, for example, the ongoing COVID-19 pandemic;</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the reduction or termination of production or deliveries by suppliers, or the raising of prices or renegotiation of terms;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the termination or nonrenewal of arrangements or agreements by our third-party contractors at a time that is costly or inconvenient for us;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the breach by the third-party contractors of our agreements with them;</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the failure of third-party contractors to comply with applicable regulatory requirements;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the failure of the third party to manufacture OP-1250 according to our specifications;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the mislabeling of clinical supplies, potentially resulting in the wrong dose amounts being supplied or active drug or placebo not being properly identified;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8" w:name="page89"/>
    <w:bookmarkEnd w:id="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720" w:right="79" w:hanging="319"/>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clinical supplies not being delivered to clinical sites on time, leading to clinical trial interruptions, or of drug supplies not being distributed to commercial vendors in a timely manner, resulting in lost sales; and</w:t>
      </w:r>
    </w:p>
    <w:p>
      <w:pPr>
        <w:spacing w:after="0" w:line="202" w:lineRule="exact"/>
        <w:rPr>
          <w:rFonts w:ascii="Arial" w:cs="Arial" w:eastAsia="Arial" w:hAnsi="Arial"/>
          <w:sz w:val="18"/>
          <w:szCs w:val="18"/>
          <w:color w:val="auto"/>
        </w:rPr>
      </w:pPr>
    </w:p>
    <w:p>
      <w:pPr>
        <w:ind w:left="720" w:hanging="319"/>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the misappropriation of our proprietary information, including our trade secrets and know-how.</w:t>
      </w:r>
    </w:p>
    <w:p>
      <w:pPr>
        <w:spacing w:after="0" w:line="22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do not have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EMA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EMA or a comparable foreign regulatory authority does not approve these facilities for the manufacture of OP-1250, or if it withdraws any such approval in the future, we may need to find alternative manufacturing facilities, which would significantly impact our ability to develop, obtain marketing approval for or market OP-1250,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OP-1250 or other drugs necessary for the development or commercialization of OP-1250 and significantly harm our business, financial condition, results of operations and prospects.</w:t>
      </w:r>
    </w:p>
    <w:p>
      <w:pPr>
        <w:spacing w:after="0" w:line="21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Furthermore, if the third-party providers of therapies or therapies in development used in combination with OP-1250 are unable to produce sufficient quantities for clinical trials or for commercialization of OP-1250, or if the cost of combination therapies are prohibitive, our development and commercialization efforts would be impaired, which would significantly harm our business, financial condition, results of operations and prospects. For example, for our planned Phase 1b clinical trial of OP-1250 in combination with KISQALI® (ribociclib) or PIQRAY® (alpelisib), or the Novartis Study Drugs, in patients with metastatic ER+ breast cancer, we entered into a Clinical Collaboration and Supply Agreement with Novartis Institutes for BioMedical Research, Inc., or Novartis, or the Novartis Agreement. Under the terms of the Novartis Agreement, Novartis is providing KISQALI® (ribociclib) and PIQRAY® (alpelisib) for the clinical trial. If Novartis is unable to timely manufacture or provide KISQALI® (ribociclib) or PIQRAY® (alpelisib), or if the Novartis Agreement terminates and we are unable to obtain KISQALI® (ribociclib) or PIQRAY® (alpelisib) on the current terms, our planned Phase 1b clinical trial may be delayed and the cost to us to conduct this trial may significantly increase, which would significantly harm our business, financial condition, results of operations and prospects. For a description of the Novartis Agreement, see the section titled “Business - Clinical Trial Collaboration and Supply Agreement with Novartis” in our Annual Report on Form 10-K.</w:t>
      </w:r>
    </w:p>
    <w:p>
      <w:pPr>
        <w:spacing w:after="0" w:line="21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current and anticipated future dependence upon others for the manufacture of OP-1250 or other drugs necessary for the development or commercialization of OP-1250 may adversely affect our future profit margins and our ability to commercialize any product candidates that receive marketing approval on a timely and competitive basis.</w:t>
      </w:r>
    </w:p>
    <w:p>
      <w:pPr>
        <w:spacing w:after="0" w:line="183"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The manufacture of drugs is complex and our third-party manufacturers may encounter difficulties in production. If any of our third-party manufacturers encounter such difficulties, our ability to provide adequate supply of OP-1250 for clinical trials or our product for patients, if approved, could be delayed or prevented.</w:t>
      </w:r>
    </w:p>
    <w:p>
      <w:pPr>
        <w:spacing w:after="0" w:line="19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Manufacturing drugs, especially in large quantities, is complex and may require the use of innovative technologies. Each lot of an approved drug product must undergo thorough testing for identity, strength, quality, purity and potency. Manufacturing drugs requires facilities specifically designed for and validated for this purpose, and sophisticated quality assurance and quality control procedures are necessary. Slight deviations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9" w:name="page90"/>
    <w:bookmarkEnd w:id="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anywhere in the manufacturing process, including filling, labeling, packaging, storage and shipping and quality control and testing, may result in lot failures, product recalls or spoilage. When changes are made to the manufacturing process, we may be required to provide nonclinical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significantly harm our business, financial condition, results of operations and prospects. The use of biologically derived ingredients can also lead to allegations of harm, including infections or allergic reactions, or closure of product facilities due to possible contamination. If our manufacturers are unable to produce sufficient quantities for clinical trials or for commercialization as a result of these challenges, or otherwise, our development and commercialization efforts would be impaired, which would significantly harm our business, financial condition, results of operations and prospects.</w:t>
      </w:r>
    </w:p>
    <w:p>
      <w:pPr>
        <w:spacing w:after="0" w:line="18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191"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From time to time, we may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203" w:lineRule="exact"/>
        <w:rPr>
          <w:sz w:val="20"/>
          <w:szCs w:val="20"/>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increased operating expenses and cash requirements;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the assumption of contingent liabilities;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the issuance of our equity securities;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assimilation of operations, intellectual property and products of an acquired company, including difficulties associated with integrating new personnel;</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the diversion of our management’s attention from our existing programs and initiatives in pursuing such a strategic merger or acquisition;</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retention of key employees, the loss of key personnel and uncertainties in our ability to maintain key business relationships;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risks and uncertainties associated with the other party to such a transaction, including the prospects of that party and their existing products or product candidates and marketing approvals; and</w:t>
      </w:r>
    </w:p>
    <w:p>
      <w:pPr>
        <w:spacing w:after="0" w:line="196" w:lineRule="exact"/>
        <w:rPr>
          <w:rFonts w:ascii="Arial" w:cs="Arial" w:eastAsia="Arial" w:hAnsi="Arial"/>
          <w:sz w:val="18"/>
          <w:szCs w:val="18"/>
          <w:color w:val="auto"/>
        </w:rPr>
      </w:pPr>
    </w:p>
    <w:p>
      <w:pPr>
        <w:jc w:val="both"/>
        <w:ind w:left="720" w:right="79"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our inability to generate revenue from acquired technology and/or products sufficient to meet our objectives in undertaking the acquisition or even to offset the associated acquisition and maintenance costs.</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addition, if we undertake acquisitions or pursue partnerships in the future,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0" w:name="page91"/>
    <w:bookmarkEnd w:id="9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We have entered into collaborations with third parties for the development and commercialization of OP-1250. If those collaborations are not successful, we may not be able to capitalize on the market potential of OP-1250.</w:t>
      </w:r>
    </w:p>
    <w:p>
      <w:pPr>
        <w:spacing w:after="0" w:line="191"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have third-party collaborators for the development and commercialization of OP-1250. Our likely collaborators for any future collaboration arrangements include large and mid-size pharmaceutical companies, regional and national pharmaceutical companies and biotechnology companies.</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have, and will likely continue to have, limited control over the amount and timing of resources that our collaborators dedicate to the development or commercialization of OP-1250. Our ability to generate revenues from these arrangements will depend on our collaborators’ abilities and efforts to successfully perform the functions assigned to them in these arrangements. Collaborations involving OP-1250 could pose numerous risks to us, including the following:</w:t>
      </w:r>
    </w:p>
    <w:p>
      <w:pPr>
        <w:spacing w:after="0" w:line="202" w:lineRule="exact"/>
        <w:rPr>
          <w:sz w:val="20"/>
          <w:szCs w:val="20"/>
          <w:color w:val="auto"/>
        </w:rPr>
      </w:pPr>
    </w:p>
    <w:p>
      <w:pPr>
        <w:ind w:left="720" w:right="79" w:hanging="319"/>
        <w:spacing w:after="0" w:line="246" w:lineRule="auto"/>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collaborators have significant discretion in determining the efforts and resources that they will apply to these collaborations and may not perform their obligations as expected;</w:t>
      </w:r>
    </w:p>
    <w:p>
      <w:pPr>
        <w:spacing w:after="0" w:line="196"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collaborators may deemphasize or not pursue development and commercialization of OP-1250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spacing w:after="0" w:line="202" w:lineRule="exact"/>
        <w:rPr>
          <w:rFonts w:ascii="Arial" w:cs="Arial" w:eastAsia="Arial" w:hAnsi="Arial"/>
          <w:sz w:val="18"/>
          <w:szCs w:val="18"/>
          <w:color w:val="auto"/>
        </w:rPr>
      </w:pPr>
    </w:p>
    <w:p>
      <w:pPr>
        <w:jc w:val="both"/>
        <w:ind w:left="720" w:right="79" w:hanging="319"/>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202"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collaborators could independently develop, or develop with third parties, products that compete directly or indirectly with OP-1250 if the collaborators believe that competitive products are more likely to be successfully developed or can be commercialized under terms that are more economically attractive than ours;</w:t>
      </w:r>
    </w:p>
    <w:p>
      <w:pPr>
        <w:spacing w:after="0" w:line="204"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a collaborator with marketing and distribution rights to multiple products may not commit sufficient resources to the marketing and distribution of our product relative to other products;</w:t>
      </w:r>
    </w:p>
    <w:p>
      <w:pPr>
        <w:spacing w:after="0" w:line="196"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202" w:lineRule="exact"/>
        <w:rPr>
          <w:rFonts w:ascii="Arial" w:cs="Arial" w:eastAsia="Arial" w:hAnsi="Arial"/>
          <w:sz w:val="18"/>
          <w:szCs w:val="18"/>
          <w:color w:val="auto"/>
        </w:rPr>
      </w:pPr>
    </w:p>
    <w:p>
      <w:pPr>
        <w:jc w:val="both"/>
        <w:ind w:left="720" w:right="79" w:hanging="319"/>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disputes may arise between the collaborators and us that result in the delay or termination of the research, development or commercialization of OP-1250 or that result in costly litigation or arbitration that diverts management attention and resources;</w:t>
      </w:r>
    </w:p>
    <w:p>
      <w:pPr>
        <w:spacing w:after="0" w:line="202"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collaborations may be terminated and, if terminated, may result in a need for additional capital to pursue further development or commercialization of the applicable product candidates;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collaboration agreements may not lead to development or commercialization of product candidates in the most efficient manner or at all; and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1" w:name="page92"/>
    <w:bookmarkEnd w:id="9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720" w:right="79" w:hanging="31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if a collaborator of ours were to be involved in a business combination, the continued pursuit and emphasis on our drug development or commercialization program could be delayed, diminished or terminated.</w:t>
      </w:r>
    </w:p>
    <w:p>
      <w:pPr>
        <w:spacing w:after="0" w:line="181"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If we decide to establish collaborations in the future, but are not able to establish those collaborations on commercially reasonable terms, we may have to alter our development and commercialization plans.</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Our drug development programs and the potential commercialization of OP-1250 or any future product candidates we may develop will require substantial additional cash to fund expenses. We may continue to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spacing w:after="0" w:line="20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If we seek collaborations in the future, we will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OP-1250 or any future product candidates we may develop. Further, we may not be successful in our efforts to establish a collaboration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spacing w:after="0" w:line="21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If and when we seek to enter into additional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OP-1250 or any future product candidates we may develop or bring them to market and generate product revenue.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23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common stock is currently listed on The Nasdaq Global Select Market under the symbol “OLMA.” However, we cannot assure you that an active trading market for our common stock will be sustained. Accordingly, we cannot assure you of the liquidity of any trading market, your ability to sell your shares of our common stock when desired, or the prices that you may obtain for your shares. Further, an inactive market may also impair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2" w:name="page93"/>
    <w:bookmarkEnd w:id="9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our ability to raise capital by selling our common stock and may impair our ability to enter into strategic partnerships or acquire businesses, products, or technologies using our common stock as consideration.</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price of our stock may be volatile, and you could lose all or part of your investment.</w:t>
      </w:r>
    </w:p>
    <w:p>
      <w:pPr>
        <w:spacing w:after="0" w:line="234" w:lineRule="exact"/>
        <w:rPr>
          <w:sz w:val="20"/>
          <w:szCs w:val="20"/>
          <w:color w:val="auto"/>
        </w:rPr>
      </w:pPr>
    </w:p>
    <w:p>
      <w:pPr>
        <w:jc w:val="both"/>
        <w:ind w:left="60" w:right="79"/>
        <w:spacing w:after="0" w:line="238" w:lineRule="auto"/>
        <w:rPr>
          <w:sz w:val="20"/>
          <w:szCs w:val="20"/>
          <w:color w:val="auto"/>
        </w:rPr>
      </w:pPr>
      <w:r>
        <w:rPr>
          <w:rFonts w:ascii="Arial" w:cs="Arial" w:eastAsia="Arial" w:hAnsi="Arial"/>
          <w:sz w:val="18"/>
          <w:szCs w:val="18"/>
          <w:color w:val="auto"/>
        </w:rPr>
        <w:t>The trading price of our common stock may be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w:t>
      </w:r>
    </w:p>
    <w:p>
      <w:pPr>
        <w:spacing w:after="0" w:line="20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Broad market and industry factors may negatively affect the market price of our common stock, regardless of our actual operating performance. In addition to the factors discussed in this “Risk Factors” section and elsewhere in this Quarterly Report, these factors include:</w:t>
      </w:r>
    </w:p>
    <w:p>
      <w:pPr>
        <w:spacing w:after="0" w:line="203" w:lineRule="exact"/>
        <w:rPr>
          <w:sz w:val="20"/>
          <w:szCs w:val="20"/>
          <w:color w:val="auto"/>
        </w:rPr>
      </w:pPr>
    </w:p>
    <w:p>
      <w:pPr>
        <w:ind w:left="720" w:right="79" w:hanging="319"/>
        <w:spacing w:after="0" w:line="246" w:lineRule="auto"/>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the timing and results of nonclinical studies and clinical trials of OP-1250 or any future product candidates we may develop or those of our competitors;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the success of competitive products or announcements by potential competitors of their product development efforts;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regulatory actions with respect to our product candidate or our competitors’ products;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actual or anticipated changes in our growth rate relative to our competitors;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regulatory or legal developments in the United States and other countries;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developments or disputes concerning patent applications, issued patents or other proprietary rights;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the recruitment or departure of key personnel;</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announcements by us or our competitors of significant acquisitions, strategic collaborations, joint ventures, collaborations or capital commitments;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actual or anticipated changes in estimates as to financial results, development timelines or recommendations by securities analysts;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fluctuations in the valuation of companies perceived by investors to be comparable to us;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market conditions in the pharmaceutical and biotechnology sector;</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changes in the structure of healthcare payment systems;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share price and volume fluctuations attributable to inconsistent trading volume levels of our shares;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announcement or expectation of additional financing efforts;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sales of our common stock by us, our insiders or our other stockholders;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231F20"/>
        </w:rPr>
        <w:t>and</w:t>
      </w:r>
    </w:p>
    <w:p>
      <w:pPr>
        <w:spacing w:after="0" w:line="212" w:lineRule="exact"/>
        <w:rPr>
          <w:sz w:val="20"/>
          <w:szCs w:val="20"/>
          <w:color w:val="auto"/>
        </w:rPr>
      </w:pPr>
    </w:p>
    <w:p>
      <w:pPr>
        <w:ind w:left="4400" w:right="4279" w:hanging="3999"/>
        <w:spacing w:after="0" w:line="762" w:lineRule="auto"/>
        <w:tabs>
          <w:tab w:leader="none" w:pos="721" w:val="left"/>
        </w:tabs>
        <w:numPr>
          <w:ilvl w:val="0"/>
          <w:numId w:val="49"/>
        </w:numPr>
        <w:rPr>
          <w:rFonts w:ascii="Arial" w:cs="Arial" w:eastAsia="Arial" w:hAnsi="Arial"/>
          <w:sz w:val="18"/>
          <w:szCs w:val="18"/>
          <w:color w:val="auto"/>
        </w:rPr>
      </w:pPr>
      <w:r>
        <w:rPr>
          <w:rFonts w:ascii="Arial" w:cs="Arial" w:eastAsia="Arial" w:hAnsi="Arial"/>
          <w:sz w:val="18"/>
          <w:szCs w:val="18"/>
          <w:color w:val="231F20"/>
        </w:rPr>
        <w:t xml:space="preserve">general economic, industry and market conditions. </w:t>
      </w:r>
      <w:r>
        <w:rPr>
          <w:rFonts w:ascii="Arial" w:cs="Arial" w:eastAsia="Arial" w:hAnsi="Arial"/>
          <w:sz w:val="18"/>
          <w:szCs w:val="18"/>
          <w:color w:val="000000"/>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48895</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3" w:name="page94"/>
    <w:bookmarkEnd w:id="9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addition, the trading prices for common stock of other biopharmaceutical companies have been highly volatile as a result of factors unrelated to the specific company or its technology, as well as due to the COVID-19 pandemic. The COVID-19 pandemic continues to rapidly evolve and the extent to which it may impact our business, nonclinical studies and clinical trials will depend on future developments, which are highly uncertain and cannot be predicted with confidence.</w:t>
      </w:r>
    </w:p>
    <w:p>
      <w:pPr>
        <w:spacing w:after="0" w:line="202"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17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191"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trading market for our common stock is influenced by the research and reports that securities or industry analysts publish about us, our business or our market.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81"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176"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197" w:lineRule="exact"/>
        <w:rPr>
          <w:sz w:val="20"/>
          <w:szCs w:val="20"/>
          <w:color w:val="auto"/>
        </w:rPr>
      </w:pPr>
    </w:p>
    <w:p>
      <w:pPr>
        <w:ind w:left="720" w:right="79" w:hanging="319"/>
        <w:spacing w:after="0" w:line="246" w:lineRule="auto"/>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231F20"/>
        </w:rPr>
        <w:t>timing and variations in the level of expense related to the ongoing development of OP-1250 or future development programs;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231F20"/>
        </w:rPr>
        <w:t>timing and status of enrollment for our clinical trials;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231F20"/>
        </w:rPr>
        <w:t>impacts from the COVID-19 pandemic on us or third parties with which we engage;</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231F20"/>
        </w:rPr>
        <w:t>results of clinical trials, or the addition or termination of clinical trials or funding support by us or potential future partners;</w:t>
      </w:r>
    </w:p>
    <w:p>
      <w:pPr>
        <w:spacing w:after="0" w:line="196" w:lineRule="exact"/>
        <w:rPr>
          <w:rFonts w:ascii="Arial" w:cs="Arial" w:eastAsia="Arial" w:hAnsi="Arial"/>
          <w:sz w:val="18"/>
          <w:szCs w:val="18"/>
          <w:color w:val="auto"/>
        </w:rPr>
      </w:pPr>
    </w:p>
    <w:p>
      <w:pPr>
        <w:jc w:val="both"/>
        <w:ind w:left="720" w:right="79" w:hanging="319"/>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231F20"/>
        </w:rPr>
        <w:t>our execution of any collaboration, licensing or similar arrangements, and the timing of payments we may make or receive under potential future arrangements or the termination or modification of any such potential future arrangements;</w:t>
      </w:r>
    </w:p>
    <w:p>
      <w:pPr>
        <w:spacing w:after="0" w:line="202"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231F20"/>
        </w:rPr>
        <w:t>any intellectual property infringement, misappropriation or violation lawsuit or opposition, interference or cancellation proceeding in which we may become involved;</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231F20"/>
        </w:rPr>
        <w:t>additions and departures of key personnel;</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231F20"/>
        </w:rPr>
        <w:t>strategic decisions by us or our competitors, such as acquisitions, divestitures, spin-offs, joint ventures, strategic investments or changes in business strategy;</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231F20"/>
        </w:rPr>
        <w:t>if OP-1250 or any future product candidate we may develop receive regulatory approval, the timing and terms of such approval and market acceptance and demand for such product candidates;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4" w:name="page95"/>
    <w:bookmarkEnd w:id="9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720" w:right="79" w:hanging="319"/>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231F20"/>
        </w:rPr>
        <w:t>the timing and cost to establish a sales, marketing and distribution infrastructure to commercialize any products for which we may obtain marketing approval and intend to commercialize on our own or jointly with current or future collaborators;</w:t>
      </w:r>
    </w:p>
    <w:p>
      <w:pPr>
        <w:spacing w:after="0" w:line="202"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231F20"/>
        </w:rPr>
        <w:t>regulatory developments affecting OP-1250 or any future product candidate we may develop or those of our competitors; and</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231F20"/>
        </w:rPr>
        <w:t>changes in general market and economic conditions.</w:t>
      </w:r>
    </w:p>
    <w:p>
      <w:pPr>
        <w:spacing w:after="0" w:line="22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8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executive officers, directors, significant stockholders and their respective affiliates beneficially own a significant percentage of our common stock. Therefore, these stockholders are able to significantly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8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Our common stock price could decline as a result of sales of a large number of shares of common stock or the perception that these sales could occur. These sales, or the possibility that these sales may occur, might also make it more difficult for us to sell equity securities in the future at a time and price that we deem appropriate.</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As of June 30, 2021, we had 39,552,588 shares of common stock outstanding. Shares issued upon the exercise of stock options and warrants outstanding under our equity incentive plans or pursuant to future awards granted under those plans will become available for sale in the public market to the extent permitted by the provisions of applicable vesting schedules, and Rules 144 and 701 under the Securities Act.</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Moreover, certain holders of shares of our common stock, have rights, subject to certain conditions, to require us to file registration statements covering the sale of their shares or to include their shares in registration statements that we may file for ourselves or our other stockholders. We also register the offer and sale of all shares of common stock that we may issue under our equity compensation plans. Once we register the offer and sale of shares for the holders of registration rights and shares that may be issued under our equity incentive plans, these shares will be able to be sold in the public market upon issuance, subject to applicable securities laws.</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addition,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the price of our common stock to decline.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5" w:name="page96"/>
    <w:bookmarkEnd w:id="9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OP-1250 or future product candidates we may develop on unfavorable terms to us.</w:t>
      </w:r>
    </w:p>
    <w:p>
      <w:pPr>
        <w:spacing w:after="0" w:line="19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may seek additional capital through a variety of means, including through public or private equity, debt financings or other sources, including up-front payments and milestone payments from strategic collaborations. To the extent that we raise additional capital through the sale of equity or convertible debt or equity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OP-1250 or future product candidates we may develop,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183"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17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205" w:lineRule="exact"/>
        <w:rPr>
          <w:sz w:val="20"/>
          <w:szCs w:val="20"/>
          <w:color w:val="auto"/>
        </w:rPr>
      </w:pPr>
    </w:p>
    <w:p>
      <w:pPr>
        <w:ind w:left="720" w:right="79" w:hanging="319"/>
        <w:spacing w:after="0" w:line="246" w:lineRule="auto"/>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not being required to comply with the auditor attestation requirements of Section 404 of the Sarbanes-Oxley Act of 2002, or the Sarbanes-Oxley Act;</w:t>
      </w:r>
    </w:p>
    <w:p>
      <w:pPr>
        <w:spacing w:after="0" w:line="196" w:lineRule="exact"/>
        <w:rPr>
          <w:rFonts w:ascii="Arial" w:cs="Arial" w:eastAsia="Arial" w:hAnsi="Arial"/>
          <w:sz w:val="18"/>
          <w:szCs w:val="18"/>
          <w:color w:val="auto"/>
        </w:rPr>
      </w:pPr>
    </w:p>
    <w:p>
      <w:pPr>
        <w:jc w:val="both"/>
        <w:ind w:left="720" w:right="79" w:hanging="319"/>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202"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reduced disclosure obligations regarding executive compensation in our annual and periodic reports and proxy statements; and</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exemptions from the requirements of holding nonbinding advisory stockholder votes on executive compensation and stockholder approval of any golden parachute payments not previously approved.</w:t>
      </w:r>
    </w:p>
    <w:p>
      <w:pPr>
        <w:spacing w:after="0" w:line="197"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will remain an emerging growth company until the earliest to occur of: (1) the last day of the fiscal year in which we have more than $ 1.07 billion in annual revenue; (2) the date we qualify as a “large accelerated filer,” with at least $700 million of equity securities held by non-affiliates; (3) the date on which we have issued more than $1.0 billion in non-convertible debt securities during the prior three-year period; and (4) December 31, 2025. We will be deemed a “large accelerated filer” as of the end of the fourth quarter of 2021 as our public float as of June 30, 2021 exceeded $700 million.</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intend to take advantage of the extended transition period for adopting new or revised accounting standards under the JOBS Act as an emerging growth company. As a result of this election, our financial statements may not be comparable to companies that comply with public company effective dates.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6" w:name="page97"/>
    <w:bookmarkEnd w:id="9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result in more litigation and divert management’s attention.</w:t>
      </w:r>
    </w:p>
    <w:p>
      <w:pPr>
        <w:spacing w:after="0" w:line="17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as amended, or the Exchange Act, the Sarbanes-Oxley Act, the Dodd-Frank Wall Street Reform and Consumer Protection Act, the listing requirements of The Nasdaq Stock Market LLC and other applicable securities rules and regulations. Complying with these rules and regulations has increased and will continue to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significantly harm our business, financial condition, results of operations and prospects. We may also need to hire additional employees or engage outside consultants to comply with these requirements, which will increase our costs and expenses.</w:t>
      </w:r>
    </w:p>
    <w:p>
      <w:pPr>
        <w:spacing w:after="0" w:line="21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condition, results of operations and prospects may be significantly harmed.</w:t>
      </w:r>
    </w:p>
    <w:p>
      <w:pPr>
        <w:spacing w:after="0" w:line="20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These rules and regulations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20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addition, as a result of our disclosure obligations as a public company, our business and financial condition has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 financial condition, results of operations and prospects.</w:t>
      </w:r>
    </w:p>
    <w:p>
      <w:pPr>
        <w:spacing w:after="0" w:line="183"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9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7" w:name="page98"/>
    <w:bookmarkEnd w:id="9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49" w:lineRule="auto"/>
        <w:rPr>
          <w:sz w:val="20"/>
          <w:szCs w:val="20"/>
          <w:color w:val="auto"/>
        </w:rPr>
      </w:pPr>
      <w:r>
        <w:rPr>
          <w:rFonts w:ascii="Arial" w:cs="Arial" w:eastAsia="Arial" w:hAnsi="Arial"/>
          <w:sz w:val="17"/>
          <w:szCs w:val="17"/>
          <w:color w:val="auto"/>
        </w:rPr>
        <w:t>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During August 2020, in connection with the preparation of our financial statements as of and for the years ended December 31, 2019 and 2018, we identified material weaknesses in our control over financial reporting. While these materials weaknesses did not result in a misstatement for the years ended December 31, 2019 and 2018, these material weaknesses could have resulted in a misstatement of account balances or disclosures that would have resulted in a material misstatement to the annual or interim financial statements that would not be prevented or detected. To remediate the material weakness in our internal control over financial reporting and address the material weakness in our accounting processes, we established, and continue to establish, more robust accounting policies and procedures, reviews on the adoption of new accounting positions and the need for financial statement disclosures, and selection and engagement of consultants to assist us in determining positions and evaluating new accounting policies. As of December 31, 2020, we have remediated these material weaknesses. While we have implemented processes and controls over financial reporting to address the historical internal control deficiencies, there remains risk that future deficiencies may arise. Overall, we will continue with the implementation of additional measures around internal controls and these will require validation and testing of the design and operating effectiveness of internal controls over a sustained period of financial reporting cycles. If we are unable to avoid future material weaknesses, our operations, financial reporting, or financial results could be harmed. Inferior internal controls could also cause investors to lose confidence in our reported financial information, which could have a negative effect on the trading price of our stock.</w:t>
      </w:r>
    </w:p>
    <w:p>
      <w:pPr>
        <w:spacing w:after="0" w:line="200" w:lineRule="exact"/>
        <w:rPr>
          <w:sz w:val="20"/>
          <w:szCs w:val="20"/>
          <w:color w:val="auto"/>
        </w:rPr>
      </w:pPr>
    </w:p>
    <w:p>
      <w:pPr>
        <w:spacing w:after="0" w:line="21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are required to disclose changes made in our internal controls and procedures on a quarterly basis and our management is required to assess the effectiveness of these controls annually. However, for as long as we are an emerging growth company, our independent registered public accounting firm will not be required to attest to the effectiveness of our internal controls over financial reporting pursuant to Section 404 of the Sarbanes- Oxley Act. We could be an emerging growth company until December 31, 2025. An independent assessment of the effectiveness of our internal controls over financial reporting could detect problems that our management’s assessment might not. Undetected material weaknesses in our internal controls over financial reporting could lead to restatements of our financial statements and require us to incur the expense of remediation.</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market price of our common stock has been and may continue to be volatile and, in the past, companies that have experienced volatility in the market price of their stock have been subject to securities class action litigation and shareholder derivative actions. We may be the target of these types of litigation and claims in the future. These claims and litigation against us could result in substantial costs and divert our management’s attention from other business concerns, which could seriously harm our business, financial condition, results of operations and prospects.</w:t>
      </w:r>
    </w:p>
    <w:p>
      <w:pPr>
        <w:spacing w:after="0" w:line="183"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of the value of our common stock.</w:t>
      </w:r>
    </w:p>
    <w:p>
      <w:pPr>
        <w:spacing w:after="0" w:line="17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have never declared or paid any cash dividends on our equity securities.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our common stock, which is not certain.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34"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We designed our disclosure controls and procedures to reasonably assure that information we must disclose in reports we file or submit under the Exchange Act is accumulated and communicated to management, and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8" w:name="page99"/>
    <w:bookmarkEnd w:id="9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amended and restated bylaws and Delaware law could make an acquisition of us, which may be beneficial to our stockholders, more difficult and may prevent attempts by our stockholders to replace or remove our current management.</w:t>
      </w:r>
    </w:p>
    <w:p>
      <w:pPr>
        <w:spacing w:after="0" w:line="19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amended and restated certificate of incorporation and amended and restated bylaws may discourage, delay or prevent a merger, acquisition or other change in control of us that stockholders may consider favorable, including transactions in which holders of our common stock might otherwise receive a premium.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208" w:lineRule="exact"/>
        <w:rPr>
          <w:sz w:val="20"/>
          <w:szCs w:val="20"/>
          <w:color w:val="auto"/>
        </w:rPr>
      </w:pPr>
    </w:p>
    <w:p>
      <w:pPr>
        <w:ind w:left="720" w:hanging="319"/>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231F20"/>
        </w:rPr>
        <w:t>establish a classified board of directors such that not all members of the board are elected at one time;</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231F20"/>
        </w:rPr>
        <w:t>allow the authorized number of our directors to be changed only by resolution of our board of directors;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231F20"/>
        </w:rPr>
        <w:t>limit the manner in which stockholders can remove directors from the board;</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231F20"/>
        </w:rPr>
        <w:t>establish advance notice requirements for stockholder proposals that can be acted on at stockholder meetings and nominations to our board of directors;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231F20"/>
        </w:rPr>
        <w:t>require that stockholder actions must be effected at a duly called stockholder meeting and prohibit actions by our stockholders by written consent;</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231F20"/>
        </w:rPr>
        <w:t>prohibit our stockholders from calling a special meeting of our stockholders;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231F20"/>
        </w:rPr>
        <w:t>prohibit cumulative voting;</w:t>
      </w:r>
    </w:p>
    <w:p>
      <w:pPr>
        <w:spacing w:after="0" w:line="225"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231F20"/>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spacing w:after="0" w:line="195" w:lineRule="exact"/>
        <w:rPr>
          <w:rFonts w:ascii="Arial" w:cs="Arial" w:eastAsia="Arial" w:hAnsi="Arial"/>
          <w:sz w:val="18"/>
          <w:szCs w:val="18"/>
          <w:color w:val="auto"/>
        </w:rPr>
      </w:pPr>
    </w:p>
    <w:p>
      <w:pPr>
        <w:jc w:val="both"/>
        <w:ind w:left="720" w:right="79" w:hanging="319"/>
        <w:spacing w:after="0" w:line="235" w:lineRule="auto"/>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231F20"/>
        </w:rPr>
        <w:t>require the approval of the holders of at least 66</w:t>
      </w:r>
      <w:r>
        <w:rPr>
          <w:rFonts w:ascii="Arial" w:cs="Arial" w:eastAsia="Arial" w:hAnsi="Arial"/>
          <w:sz w:val="20"/>
          <w:szCs w:val="20"/>
          <w:color w:val="231F20"/>
          <w:vertAlign w:val="superscript"/>
        </w:rPr>
        <w:t>2⁄3</w:t>
      </w:r>
      <w:r>
        <w:rPr>
          <w:rFonts w:ascii="Arial" w:cs="Arial" w:eastAsia="Arial" w:hAnsi="Arial"/>
          <w:sz w:val="18"/>
          <w:szCs w:val="18"/>
          <w:color w:val="231F20"/>
        </w:rPr>
        <w:t>% of the votes that all our stockholders would be entitled to cast to amend or repeal certain provisions of our amended and restated certificate of incorporations or amended and restated bylaws.</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or DGCL, which prohibits a person who owns 15% or more of our outstanding voting stock from merging or combining with us for a period of three years after the date of the transaction in which the person acquired 15% or more of our outstanding voting stock, unless the merger or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9" w:name="page100"/>
    <w:bookmarkEnd w:id="9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combination is approved in a prescribed manner.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80"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19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203" w:lineRule="exact"/>
        <w:rPr>
          <w:sz w:val="20"/>
          <w:szCs w:val="20"/>
          <w:color w:val="auto"/>
        </w:rPr>
      </w:pPr>
    </w:p>
    <w:p>
      <w:pPr>
        <w:ind w:left="720" w:hanging="319"/>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231F20"/>
        </w:rPr>
        <w:t>any derivative action or proceeding brought on our behalf;</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231F20"/>
        </w:rPr>
        <w:t>any action asserting a claim of breach of fiduciary duty;</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231F20"/>
        </w:rPr>
        <w:t>any action asserting a claim against us arising under the DGCL, our amended and restated certificate of incorporation or our amended and restated bylaws; and</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231F20"/>
        </w:rPr>
        <w:t>any action asserting a claim against us that is governed by the internal-affairs doctrine or otherwise related to our internal affairs.</w:t>
      </w:r>
    </w:p>
    <w:p>
      <w:pPr>
        <w:spacing w:after="0" w:line="19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This exclusive-forum provision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 financial condition, results of operations and prospects.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0" w:name="page101"/>
    <w:bookmarkEnd w:id="10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Proceeds from our Initial Public Offering of Common Stock</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November 2020, our Registration Statement on Form S-1 (No. 333-249748) was declared effective by the SEC and we issued and sold an aggregate of 12,650,000 shares of common stock (inclusive of 1,650,000 shares of common stock pursuant to the underwriters’ exercise of their option to purchase additional shares) at a public offering price of $19.00 per share for aggregate net cash proceeds of approximately $220.6 million, after deducting underwriting discounts, commissions and offering costs. No payments for such expenses were made directly or indirectly to (i) any of our officers or directors or their associates, (ii) any persons owning 10% or more of any class of our equity securities or (iii) any of our affiliates.</w:t>
      </w:r>
    </w:p>
    <w:p>
      <w:pPr>
        <w:spacing w:after="0" w:line="203"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 sale and issuance of 12,650,000 shares in the IPO closed on November 23, 2020, J.P. Morgan Securities LLC, Jefferies LLC and Cowen and Company, LLC acted as joint book-running managers for the offering.</w:t>
      </w:r>
    </w:p>
    <w:p>
      <w:pPr>
        <w:spacing w:after="0" w:line="197"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There has been no material change in the planned use of proceeds from the IPO from that described in the prospectus filed with the SEC pursuant to Rule 424(b)(4) under the Securities Act on November 19, 2020.</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Repurchase of Shares of Company Equity Securities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1" w:name="page102"/>
    <w:bookmarkEnd w:id="10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5240" w:type="dxa"/>
            <w:vAlign w:val="bottom"/>
            <w:gridSpan w:val="11"/>
          </w:tcPr>
          <w:p>
            <w:pPr>
              <w:spacing w:after="0"/>
              <w:rPr>
                <w:sz w:val="20"/>
                <w:szCs w:val="20"/>
                <w:color w:val="auto"/>
              </w:rPr>
            </w:pPr>
            <w:r>
              <w:rPr>
                <w:rFonts w:ascii="Arial" w:cs="Arial" w:eastAsia="Arial" w:hAnsi="Arial"/>
                <w:sz w:val="18"/>
                <w:szCs w:val="18"/>
                <w:b w:val="1"/>
                <w:bCs w:val="1"/>
                <w:color w:val="auto"/>
              </w:rPr>
              <w:t>Item 6. Exhibits.</w:t>
            </w:r>
          </w:p>
        </w:tc>
        <w:tc>
          <w:tcPr>
            <w:tcW w:w="6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260" w:type="dxa"/>
            <w:vAlign w:val="bottom"/>
            <w:gridSpan w:val="13"/>
          </w:tcPr>
          <w:p>
            <w:pPr>
              <w:spacing w:after="0"/>
              <w:rPr>
                <w:sz w:val="20"/>
                <w:szCs w:val="20"/>
                <w:color w:val="auto"/>
              </w:rPr>
            </w:pPr>
            <w:r>
              <w:rPr>
                <w:rFonts w:ascii="Arial" w:cs="Arial" w:eastAsia="Arial" w:hAnsi="Arial"/>
                <w:sz w:val="18"/>
                <w:szCs w:val="18"/>
                <w:color w:val="auto"/>
              </w:rPr>
              <w:t>Furnish the exhibits required by Item 601 of Regulation S-K (§ 229.601 of this chapter).</w:t>
            </w: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8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Exhibit</w:t>
            </w: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187"/>
        </w:trPr>
        <w:tc>
          <w:tcPr>
            <w:tcW w:w="780" w:type="dxa"/>
            <w:vAlign w:val="bottom"/>
            <w:vMerge w:val="continue"/>
          </w:tcPr>
          <w:p>
            <w:pPr>
              <w:spacing w:after="0"/>
              <w:rPr>
                <w:sz w:val="16"/>
                <w:szCs w:val="16"/>
                <w:color w:val="auto"/>
              </w:rPr>
            </w:pPr>
          </w:p>
        </w:tc>
        <w:tc>
          <w:tcPr>
            <w:tcW w:w="1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2"/>
          </w:tcPr>
          <w:p>
            <w:pPr>
              <w:jc w:val="center"/>
              <w:ind w:right="1090"/>
              <w:spacing w:after="0" w:line="187" w:lineRule="exact"/>
              <w:rPr>
                <w:sz w:val="20"/>
                <w:szCs w:val="20"/>
                <w:color w:val="auto"/>
              </w:rPr>
            </w:pPr>
            <w:r>
              <w:rPr>
                <w:rFonts w:ascii="Arial" w:cs="Arial" w:eastAsia="Arial" w:hAnsi="Arial"/>
                <w:sz w:val="18"/>
                <w:szCs w:val="18"/>
                <w:b w:val="1"/>
                <w:bCs w:val="1"/>
                <w:color w:val="auto"/>
                <w:w w:val="99"/>
              </w:rPr>
              <w:t>Schedule</w:t>
            </w:r>
          </w:p>
        </w:tc>
        <w:tc>
          <w:tcPr>
            <w:tcW w:w="700" w:type="dxa"/>
            <w:vAlign w:val="bottom"/>
          </w:tcPr>
          <w:p>
            <w:pPr>
              <w:spacing w:after="0"/>
              <w:rPr>
                <w:sz w:val="16"/>
                <w:szCs w:val="16"/>
                <w:color w:val="auto"/>
              </w:rPr>
            </w:pPr>
          </w:p>
        </w:tc>
        <w:tc>
          <w:tcPr>
            <w:tcW w:w="940" w:type="dxa"/>
            <w:vAlign w:val="bottom"/>
          </w:tcPr>
          <w:p>
            <w:pPr>
              <w:jc w:val="center"/>
              <w:spacing w:after="0" w:line="187" w:lineRule="exact"/>
              <w:rPr>
                <w:sz w:val="20"/>
                <w:szCs w:val="20"/>
                <w:color w:val="auto"/>
              </w:rPr>
            </w:pPr>
            <w:r>
              <w:rPr>
                <w:rFonts w:ascii="Arial" w:cs="Arial" w:eastAsia="Arial" w:hAnsi="Arial"/>
                <w:sz w:val="18"/>
                <w:szCs w:val="18"/>
                <w:b w:val="1"/>
                <w:bCs w:val="1"/>
                <w:color w:val="auto"/>
                <w:w w:val="99"/>
              </w:rPr>
              <w:t>Filing</w:t>
            </w:r>
          </w:p>
        </w:tc>
        <w:tc>
          <w:tcPr>
            <w:tcW w:w="0" w:type="dxa"/>
            <w:vAlign w:val="bottom"/>
          </w:tcPr>
          <w:p>
            <w:pPr>
              <w:spacing w:after="0"/>
              <w:rPr>
                <w:sz w:val="1"/>
                <w:szCs w:val="1"/>
                <w:color w:val="auto"/>
              </w:rPr>
            </w:pPr>
          </w:p>
        </w:tc>
      </w:tr>
      <w:tr>
        <w:trPr>
          <w:trHeight w:val="225"/>
        </w:trPr>
        <w:tc>
          <w:tcPr>
            <w:tcW w:w="7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Number</w:t>
            </w:r>
          </w:p>
        </w:tc>
        <w:tc>
          <w:tcPr>
            <w:tcW w:w="148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9"/>
          </w:tcPr>
          <w:p>
            <w:pPr>
              <w:ind w:left="240"/>
              <w:spacing w:after="0"/>
              <w:rPr>
                <w:sz w:val="20"/>
                <w:szCs w:val="20"/>
                <w:color w:val="auto"/>
              </w:rPr>
            </w:pPr>
            <w:r>
              <w:rPr>
                <w:rFonts w:ascii="Arial" w:cs="Arial" w:eastAsia="Arial" w:hAnsi="Arial"/>
                <w:sz w:val="18"/>
                <w:szCs w:val="18"/>
                <w:b w:val="1"/>
                <w:bCs w:val="1"/>
                <w:color w:val="auto"/>
              </w:rPr>
              <w:t>Description</w:t>
            </w:r>
          </w:p>
        </w:tc>
        <w:tc>
          <w:tcPr>
            <w:tcW w:w="66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rPr>
              <w:t>Form</w:t>
            </w:r>
          </w:p>
        </w:tc>
        <w:tc>
          <w:tcPr>
            <w:tcW w:w="13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File Number</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c>
          <w:tcPr>
            <w:tcW w:w="0" w:type="dxa"/>
            <w:vAlign w:val="bottom"/>
          </w:tcPr>
          <w:p>
            <w:pPr>
              <w:spacing w:after="0"/>
              <w:rPr>
                <w:sz w:val="1"/>
                <w:szCs w:val="1"/>
                <w:color w:val="auto"/>
              </w:rPr>
            </w:pPr>
          </w:p>
        </w:tc>
      </w:tr>
      <w:tr>
        <w:trPr>
          <w:trHeight w:val="183"/>
        </w:trPr>
        <w:tc>
          <w:tcPr>
            <w:tcW w:w="780" w:type="dxa"/>
            <w:vAlign w:val="bottom"/>
          </w:tcPr>
          <w:p>
            <w:pPr>
              <w:spacing w:after="0" w:line="182" w:lineRule="exact"/>
              <w:rPr>
                <w:sz w:val="20"/>
                <w:szCs w:val="20"/>
                <w:color w:val="auto"/>
              </w:rPr>
            </w:pPr>
            <w:r>
              <w:rPr>
                <w:rFonts w:ascii="Arial" w:cs="Arial" w:eastAsia="Arial" w:hAnsi="Arial"/>
                <w:sz w:val="18"/>
                <w:szCs w:val="18"/>
                <w:color w:val="auto"/>
              </w:rPr>
              <w:t>3.1</w:t>
            </w:r>
          </w:p>
        </w:tc>
        <w:tc>
          <w:tcPr>
            <w:tcW w:w="406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r:id="rId132">
              <w:r>
                <w:rPr>
                  <w:rFonts w:ascii="Arial" w:cs="Arial" w:eastAsia="Arial" w:hAnsi="Arial"/>
                  <w:sz w:val="18"/>
                  <w:szCs w:val="18"/>
                  <w:color w:val="0000EE"/>
                  <w:w w:val="99"/>
                </w:rPr>
                <w:t>Amended and Restated Certificate of Incorporation</w:t>
              </w:r>
            </w:hyperlink>
          </w:p>
        </w:tc>
        <w:tc>
          <w:tcPr>
            <w:tcW w:w="400" w:type="dxa"/>
            <w:vAlign w:val="bottom"/>
            <w:gridSpan w:val="3"/>
          </w:tcPr>
          <w:p>
            <w:pPr>
              <w:spacing w:after="0"/>
              <w:rPr>
                <w:sz w:val="15"/>
                <w:szCs w:val="15"/>
                <w:color w:val="auto"/>
              </w:rPr>
            </w:pPr>
          </w:p>
        </w:tc>
        <w:tc>
          <w:tcPr>
            <w:tcW w:w="660" w:type="dxa"/>
            <w:vAlign w:val="bottom"/>
          </w:tcPr>
          <w:p>
            <w:pPr>
              <w:jc w:val="center"/>
              <w:ind w:left="90"/>
              <w:spacing w:after="0" w:line="182" w:lineRule="exact"/>
              <w:rPr>
                <w:sz w:val="20"/>
                <w:szCs w:val="20"/>
                <w:color w:val="auto"/>
              </w:rPr>
            </w:pPr>
            <w:r>
              <w:rPr>
                <w:rFonts w:ascii="Arial" w:cs="Arial" w:eastAsia="Arial" w:hAnsi="Arial"/>
                <w:sz w:val="18"/>
                <w:szCs w:val="18"/>
                <w:color w:val="auto"/>
                <w:w w:val="99"/>
              </w:rPr>
              <w:t>8-K</w:t>
            </w:r>
          </w:p>
        </w:tc>
        <w:tc>
          <w:tcPr>
            <w:tcW w:w="1360" w:type="dxa"/>
            <w:vAlign w:val="bottom"/>
          </w:tcPr>
          <w:p>
            <w:pPr>
              <w:jc w:val="center"/>
              <w:ind w:left="90"/>
              <w:spacing w:after="0" w:line="182" w:lineRule="exact"/>
              <w:rPr>
                <w:sz w:val="20"/>
                <w:szCs w:val="20"/>
                <w:color w:val="auto"/>
              </w:rPr>
            </w:pPr>
            <w:r>
              <w:rPr>
                <w:rFonts w:ascii="Arial" w:cs="Arial" w:eastAsia="Arial" w:hAnsi="Arial"/>
                <w:sz w:val="18"/>
                <w:szCs w:val="18"/>
                <w:color w:val="auto"/>
                <w:w w:val="99"/>
              </w:rPr>
              <w:t>001-39712</w:t>
            </w:r>
          </w:p>
        </w:tc>
        <w:tc>
          <w:tcPr>
            <w:tcW w:w="700" w:type="dxa"/>
            <w:vAlign w:val="bottom"/>
          </w:tcPr>
          <w:p>
            <w:pPr>
              <w:jc w:val="center"/>
              <w:spacing w:after="0" w:line="182" w:lineRule="exact"/>
              <w:rPr>
                <w:sz w:val="20"/>
                <w:szCs w:val="20"/>
                <w:color w:val="auto"/>
              </w:rPr>
            </w:pPr>
            <w:r>
              <w:rPr>
                <w:rFonts w:ascii="Arial" w:cs="Arial" w:eastAsia="Arial" w:hAnsi="Arial"/>
                <w:sz w:val="18"/>
                <w:szCs w:val="18"/>
                <w:color w:val="auto"/>
              </w:rPr>
              <w:t>3.1</w:t>
            </w:r>
          </w:p>
        </w:tc>
        <w:tc>
          <w:tcPr>
            <w:tcW w:w="940" w:type="dxa"/>
            <w:vAlign w:val="bottom"/>
          </w:tcPr>
          <w:p>
            <w:pPr>
              <w:jc w:val="center"/>
              <w:spacing w:after="0" w:line="182" w:lineRule="exact"/>
              <w:rPr>
                <w:sz w:val="20"/>
                <w:szCs w:val="20"/>
                <w:color w:val="auto"/>
              </w:rPr>
            </w:pPr>
            <w:r>
              <w:rPr>
                <w:rFonts w:ascii="Arial" w:cs="Arial" w:eastAsia="Arial" w:hAnsi="Arial"/>
                <w:sz w:val="18"/>
                <w:szCs w:val="18"/>
                <w:color w:val="auto"/>
                <w:w w:val="99"/>
              </w:rPr>
              <w:t>11/23/2020</w:t>
            </w:r>
          </w:p>
        </w:tc>
        <w:tc>
          <w:tcPr>
            <w:tcW w:w="0" w:type="dxa"/>
            <w:vAlign w:val="bottom"/>
          </w:tcPr>
          <w:p>
            <w:pPr>
              <w:spacing w:after="0"/>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2520" w:type="dxa"/>
            <w:vAlign w:val="bottom"/>
            <w:tcBorders>
              <w:bottom w:val="single" w:sz="8" w:color="0000EE"/>
            </w:tcBorders>
            <w:gridSpan w:val="2"/>
          </w:tcPr>
          <w:p>
            <w:pPr>
              <w:spacing w:after="0" w:line="196" w:lineRule="exact"/>
              <w:rPr>
                <w:rFonts w:ascii="Arial" w:cs="Arial" w:eastAsia="Arial" w:hAnsi="Arial"/>
                <w:sz w:val="18"/>
                <w:szCs w:val="18"/>
                <w:color w:val="0000EE"/>
                <w:w w:val="99"/>
              </w:rPr>
            </w:pPr>
            <w:hyperlink r:id="rId133">
              <w:r>
                <w:rPr>
                  <w:rFonts w:ascii="Arial" w:cs="Arial" w:eastAsia="Arial" w:hAnsi="Arial"/>
                  <w:sz w:val="18"/>
                  <w:szCs w:val="18"/>
                  <w:color w:val="0000EE"/>
                  <w:w w:val="99"/>
                </w:rPr>
                <w:t>Amended and Restated Bylaws</w:t>
              </w:r>
            </w:hyperlink>
          </w:p>
        </w:tc>
        <w:tc>
          <w:tcPr>
            <w:tcW w:w="1940" w:type="dxa"/>
            <w:vAlign w:val="bottom"/>
            <w:gridSpan w:val="8"/>
          </w:tcPr>
          <w:p>
            <w:pPr>
              <w:spacing w:after="0"/>
              <w:rPr>
                <w:sz w:val="17"/>
                <w:szCs w:val="17"/>
                <w:color w:val="auto"/>
              </w:rPr>
            </w:pPr>
          </w:p>
        </w:tc>
        <w:tc>
          <w:tcPr>
            <w:tcW w:w="660" w:type="dxa"/>
            <w:vAlign w:val="bottom"/>
          </w:tcPr>
          <w:p>
            <w:pPr>
              <w:jc w:val="center"/>
              <w:ind w:left="90"/>
              <w:spacing w:after="0" w:line="196" w:lineRule="exact"/>
              <w:rPr>
                <w:sz w:val="20"/>
                <w:szCs w:val="20"/>
                <w:color w:val="auto"/>
              </w:rPr>
            </w:pPr>
            <w:r>
              <w:rPr>
                <w:rFonts w:ascii="Arial" w:cs="Arial" w:eastAsia="Arial" w:hAnsi="Arial"/>
                <w:sz w:val="18"/>
                <w:szCs w:val="18"/>
                <w:color w:val="auto"/>
                <w:w w:val="99"/>
              </w:rPr>
              <w:t>8-K</w:t>
            </w:r>
          </w:p>
        </w:tc>
        <w:tc>
          <w:tcPr>
            <w:tcW w:w="1360" w:type="dxa"/>
            <w:vAlign w:val="bottom"/>
          </w:tcPr>
          <w:p>
            <w:pPr>
              <w:jc w:val="center"/>
              <w:ind w:left="90"/>
              <w:spacing w:after="0" w:line="196" w:lineRule="exact"/>
              <w:rPr>
                <w:sz w:val="20"/>
                <w:szCs w:val="20"/>
                <w:color w:val="auto"/>
              </w:rPr>
            </w:pPr>
            <w:r>
              <w:rPr>
                <w:rFonts w:ascii="Arial" w:cs="Arial" w:eastAsia="Arial" w:hAnsi="Arial"/>
                <w:sz w:val="18"/>
                <w:szCs w:val="18"/>
                <w:color w:val="auto"/>
                <w:w w:val="99"/>
              </w:rPr>
              <w:t>001-39712</w:t>
            </w: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rPr>
              <w:t>3.2</w:t>
            </w: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9"/>
              </w:rPr>
              <w:t>11/23/2020</w:t>
            </w:r>
          </w:p>
        </w:tc>
        <w:tc>
          <w:tcPr>
            <w:tcW w:w="0" w:type="dxa"/>
            <w:vAlign w:val="bottom"/>
          </w:tcPr>
          <w:p>
            <w:pPr>
              <w:spacing w:after="0"/>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4460" w:type="dxa"/>
            <w:vAlign w:val="bottom"/>
            <w:gridSpan w:val="10"/>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Certification of Chief Executive Officer Pursuant to</w:t>
              </w:r>
            </w:hyperlink>
          </w:p>
        </w:tc>
        <w:tc>
          <w:tcPr>
            <w:tcW w:w="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80" w:type="dxa"/>
            <w:vAlign w:val="bottom"/>
          </w:tcPr>
          <w:p>
            <w:pPr>
              <w:spacing w:after="0"/>
              <w:rPr>
                <w:sz w:val="15"/>
                <w:szCs w:val="15"/>
                <w:color w:val="auto"/>
              </w:rPr>
            </w:pPr>
          </w:p>
        </w:tc>
        <w:tc>
          <w:tcPr>
            <w:tcW w:w="4460" w:type="dxa"/>
            <w:vAlign w:val="bottom"/>
            <w:gridSpan w:val="10"/>
          </w:tcPr>
          <w:p>
            <w:pPr>
              <w:spacing w:after="0" w:line="182" w:lineRule="exact"/>
              <w:rPr>
                <w:rFonts w:ascii="Arial" w:cs="Arial" w:eastAsia="Arial" w:hAnsi="Arial"/>
                <w:sz w:val="18"/>
                <w:szCs w:val="18"/>
                <w:color w:val="0000EE"/>
              </w:rPr>
            </w:pPr>
            <w:hyperlink w:anchor="page104">
              <w:r>
                <w:rPr>
                  <w:rFonts w:ascii="Arial" w:cs="Arial" w:eastAsia="Arial" w:hAnsi="Arial"/>
                  <w:sz w:val="18"/>
                  <w:szCs w:val="18"/>
                  <w:color w:val="0000EE"/>
                </w:rPr>
                <w:t>Rules 13a-14(a) and 15d-14(a) under the Securities</w:t>
              </w:r>
            </w:hyperlink>
          </w:p>
        </w:tc>
        <w:tc>
          <w:tcPr>
            <w:tcW w:w="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412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104">
              <w:r>
                <w:rPr>
                  <w:rFonts w:ascii="Arial" w:cs="Arial" w:eastAsia="Arial" w:hAnsi="Arial"/>
                  <w:sz w:val="18"/>
                  <w:szCs w:val="18"/>
                  <w:color w:val="0000EE"/>
                </w:rPr>
                <w:t>Exchange Act of 1934, as Adopted Pursuant to</w:t>
              </w:r>
            </w:hyperlink>
          </w:p>
        </w:tc>
        <w:tc>
          <w:tcPr>
            <w:tcW w:w="340" w:type="dxa"/>
            <w:vAlign w:val="bottom"/>
            <w:gridSpan w:val="2"/>
          </w:tcPr>
          <w:p>
            <w:pPr>
              <w:spacing w:after="0"/>
              <w:rPr>
                <w:sz w:val="15"/>
                <w:szCs w:val="15"/>
                <w:color w:val="auto"/>
              </w:rPr>
            </w:pPr>
          </w:p>
        </w:tc>
        <w:tc>
          <w:tcPr>
            <w:tcW w:w="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Pr>
          <w:p>
            <w:pPr>
              <w:spacing w:after="0"/>
              <w:rPr>
                <w:sz w:val="15"/>
                <w:szCs w:val="15"/>
                <w:color w:val="auto"/>
              </w:rPr>
            </w:pPr>
          </w:p>
        </w:tc>
        <w:tc>
          <w:tcPr>
            <w:tcW w:w="4460" w:type="dxa"/>
            <w:vAlign w:val="bottom"/>
            <w:gridSpan w:val="10"/>
          </w:tcPr>
          <w:p>
            <w:pPr>
              <w:spacing w:after="0" w:line="182" w:lineRule="exact"/>
              <w:rPr>
                <w:rFonts w:ascii="Arial" w:cs="Arial" w:eastAsia="Arial" w:hAnsi="Arial"/>
                <w:sz w:val="18"/>
                <w:szCs w:val="18"/>
                <w:color w:val="0000EE"/>
              </w:rPr>
            </w:pPr>
            <w:hyperlink w:anchor="page104">
              <w:r>
                <w:rPr>
                  <w:rFonts w:ascii="Arial" w:cs="Arial" w:eastAsia="Arial" w:hAnsi="Arial"/>
                  <w:sz w:val="18"/>
                  <w:szCs w:val="18"/>
                  <w:color w:val="0000EE"/>
                </w:rPr>
                <w:t>Section 302 of the Sarbanes-Oxley Act of 2002.</w:t>
              </w:r>
            </w:hyperlink>
          </w:p>
        </w:tc>
        <w:tc>
          <w:tcPr>
            <w:tcW w:w="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4000" w:type="dxa"/>
            <w:vAlign w:val="bottom"/>
            <w:tcBorders>
              <w:bottom w:val="single" w:sz="8" w:color="0000EE"/>
            </w:tcBorders>
            <w:gridSpan w:val="6"/>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Certification of Chief Financial Officer Pursuant to</w:t>
              </w:r>
            </w:hyperlink>
          </w:p>
        </w:tc>
        <w:tc>
          <w:tcPr>
            <w:tcW w:w="46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4460" w:type="dxa"/>
            <w:vAlign w:val="bottom"/>
            <w:gridSpan w:val="10"/>
          </w:tcPr>
          <w:p>
            <w:pPr>
              <w:spacing w:after="0" w:line="182" w:lineRule="exact"/>
              <w:rPr>
                <w:rFonts w:ascii="Arial" w:cs="Arial" w:eastAsia="Arial" w:hAnsi="Arial"/>
                <w:sz w:val="18"/>
                <w:szCs w:val="18"/>
                <w:color w:val="0000EE"/>
              </w:rPr>
            </w:pPr>
            <w:hyperlink w:anchor="page105">
              <w:r>
                <w:rPr>
                  <w:rFonts w:ascii="Arial" w:cs="Arial" w:eastAsia="Arial" w:hAnsi="Arial"/>
                  <w:sz w:val="18"/>
                  <w:szCs w:val="18"/>
                  <w:color w:val="0000EE"/>
                </w:rPr>
                <w:t>Rules 13a-14(a) and 15d-14(a) under the Securities</w:t>
              </w:r>
            </w:hyperlink>
          </w:p>
        </w:tc>
        <w:tc>
          <w:tcPr>
            <w:tcW w:w="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412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105">
              <w:r>
                <w:rPr>
                  <w:rFonts w:ascii="Arial" w:cs="Arial" w:eastAsia="Arial" w:hAnsi="Arial"/>
                  <w:sz w:val="18"/>
                  <w:szCs w:val="18"/>
                  <w:color w:val="0000EE"/>
                </w:rPr>
                <w:t>Exchange Act of 1934, as Adopted Pursuant to</w:t>
              </w:r>
            </w:hyperlink>
          </w:p>
        </w:tc>
        <w:tc>
          <w:tcPr>
            <w:tcW w:w="340" w:type="dxa"/>
            <w:vAlign w:val="bottom"/>
            <w:gridSpan w:val="2"/>
          </w:tcPr>
          <w:p>
            <w:pPr>
              <w:spacing w:after="0"/>
              <w:rPr>
                <w:sz w:val="15"/>
                <w:szCs w:val="15"/>
                <w:color w:val="auto"/>
              </w:rPr>
            </w:pPr>
          </w:p>
        </w:tc>
        <w:tc>
          <w:tcPr>
            <w:tcW w:w="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Pr>
          <w:p>
            <w:pPr>
              <w:spacing w:after="0"/>
              <w:rPr>
                <w:sz w:val="15"/>
                <w:szCs w:val="15"/>
                <w:color w:val="auto"/>
              </w:rPr>
            </w:pPr>
          </w:p>
        </w:tc>
        <w:tc>
          <w:tcPr>
            <w:tcW w:w="4460" w:type="dxa"/>
            <w:vAlign w:val="bottom"/>
            <w:gridSpan w:val="10"/>
          </w:tcPr>
          <w:p>
            <w:pPr>
              <w:spacing w:after="0" w:line="182" w:lineRule="exact"/>
              <w:rPr>
                <w:rFonts w:ascii="Arial" w:cs="Arial" w:eastAsia="Arial" w:hAnsi="Arial"/>
                <w:sz w:val="18"/>
                <w:szCs w:val="18"/>
                <w:color w:val="0000EE"/>
              </w:rPr>
            </w:pPr>
            <w:hyperlink w:anchor="page105">
              <w:r>
                <w:rPr>
                  <w:rFonts w:ascii="Arial" w:cs="Arial" w:eastAsia="Arial" w:hAnsi="Arial"/>
                  <w:sz w:val="18"/>
                  <w:szCs w:val="18"/>
                  <w:color w:val="0000EE"/>
                </w:rPr>
                <w:t>Section 302 of the Sarbanes-Oxley Act of 2002.</w:t>
              </w:r>
            </w:hyperlink>
          </w:p>
        </w:tc>
        <w:tc>
          <w:tcPr>
            <w:tcW w:w="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3860" w:type="dxa"/>
            <w:vAlign w:val="bottom"/>
            <w:tcBorders>
              <w:bottom w:val="single" w:sz="8" w:color="0000EE"/>
            </w:tcBorders>
            <w:gridSpan w:val="5"/>
          </w:tcPr>
          <w:p>
            <w:pPr>
              <w:spacing w:after="0" w:line="196" w:lineRule="exact"/>
              <w:rPr>
                <w:rFonts w:ascii="Arial" w:cs="Arial" w:eastAsia="Arial" w:hAnsi="Arial"/>
                <w:sz w:val="18"/>
                <w:szCs w:val="18"/>
                <w:color w:val="0000EE"/>
                <w:w w:val="99"/>
              </w:rPr>
            </w:pPr>
            <w:hyperlink w:anchor="page106">
              <w:r>
                <w:rPr>
                  <w:rFonts w:ascii="Arial" w:cs="Arial" w:eastAsia="Arial" w:hAnsi="Arial"/>
                  <w:sz w:val="18"/>
                  <w:szCs w:val="18"/>
                  <w:color w:val="0000EE"/>
                  <w:w w:val="99"/>
                </w:rPr>
                <w:t>Certification of Chief Executive Officer and Chief</w:t>
              </w:r>
            </w:hyperlink>
          </w:p>
        </w:tc>
        <w:tc>
          <w:tcPr>
            <w:tcW w:w="600" w:type="dxa"/>
            <w:vAlign w:val="bottom"/>
            <w:gridSpan w:val="5"/>
          </w:tcPr>
          <w:p>
            <w:pPr>
              <w:spacing w:after="0"/>
              <w:rPr>
                <w:sz w:val="17"/>
                <w:szCs w:val="17"/>
                <w:color w:val="auto"/>
              </w:rPr>
            </w:pPr>
          </w:p>
        </w:tc>
        <w:tc>
          <w:tcPr>
            <w:tcW w:w="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426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w:anchor="page106">
              <w:r>
                <w:rPr>
                  <w:rFonts w:ascii="Arial" w:cs="Arial" w:eastAsia="Arial" w:hAnsi="Arial"/>
                  <w:sz w:val="18"/>
                  <w:szCs w:val="18"/>
                  <w:color w:val="0000EE"/>
                  <w:w w:val="99"/>
                </w:rPr>
                <w:t>Financial Officer Pursuant to 18 U.S.C. Section 1350,</w:t>
              </w:r>
            </w:hyperlink>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4460" w:type="dxa"/>
            <w:vAlign w:val="bottom"/>
            <w:gridSpan w:val="10"/>
          </w:tcPr>
          <w:p>
            <w:pPr>
              <w:spacing w:after="0" w:line="182" w:lineRule="exact"/>
              <w:rPr>
                <w:rFonts w:ascii="Arial" w:cs="Arial" w:eastAsia="Arial" w:hAnsi="Arial"/>
                <w:sz w:val="18"/>
                <w:szCs w:val="18"/>
                <w:color w:val="0000EE"/>
              </w:rPr>
            </w:pPr>
            <w:hyperlink w:anchor="page106">
              <w:r>
                <w:rPr>
                  <w:rFonts w:ascii="Arial" w:cs="Arial" w:eastAsia="Arial" w:hAnsi="Arial"/>
                  <w:sz w:val="18"/>
                  <w:szCs w:val="18"/>
                  <w:color w:val="0000EE"/>
                </w:rPr>
                <w:t>as Adopted Pursuant to Section 906 of the Sarbanes-</w:t>
              </w:r>
            </w:hyperlink>
          </w:p>
        </w:tc>
        <w:tc>
          <w:tcPr>
            <w:tcW w:w="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48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9"/>
              </w:rPr>
            </w:pPr>
            <w:hyperlink w:anchor="page106">
              <w:r>
                <w:rPr>
                  <w:rFonts w:ascii="Arial" w:cs="Arial" w:eastAsia="Arial" w:hAnsi="Arial"/>
                  <w:sz w:val="18"/>
                  <w:szCs w:val="18"/>
                  <w:color w:val="0000EE"/>
                  <w:w w:val="99"/>
                </w:rPr>
                <w:t>Oxley Act of 2002.</w:t>
              </w:r>
            </w:hyperlink>
          </w:p>
        </w:tc>
        <w:tc>
          <w:tcPr>
            <w:tcW w:w="2780" w:type="dxa"/>
            <w:vAlign w:val="bottom"/>
            <w:tcBorders>
              <w:top w:val="single" w:sz="8" w:color="0000EE"/>
            </w:tcBorders>
            <w:gridSpan w:val="8"/>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101.INS</w:t>
            </w:r>
          </w:p>
        </w:tc>
        <w:tc>
          <w:tcPr>
            <w:tcW w:w="4460" w:type="dxa"/>
            <w:vAlign w:val="bottom"/>
            <w:gridSpan w:val="10"/>
          </w:tcPr>
          <w:p>
            <w:pPr>
              <w:spacing w:after="0"/>
              <w:rPr>
                <w:sz w:val="20"/>
                <w:szCs w:val="20"/>
                <w:color w:val="auto"/>
              </w:rPr>
            </w:pPr>
            <w:r>
              <w:rPr>
                <w:rFonts w:ascii="Arial" w:cs="Arial" w:eastAsia="Arial" w:hAnsi="Arial"/>
                <w:sz w:val="18"/>
                <w:szCs w:val="18"/>
                <w:color w:val="auto"/>
              </w:rPr>
              <w:t>XBRL Instance Document – the instance document</w:t>
            </w:r>
          </w:p>
        </w:tc>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4460" w:type="dxa"/>
            <w:vAlign w:val="bottom"/>
            <w:gridSpan w:val="10"/>
          </w:tcPr>
          <w:p>
            <w:pPr>
              <w:spacing w:after="0" w:line="202" w:lineRule="exact"/>
              <w:rPr>
                <w:sz w:val="20"/>
                <w:szCs w:val="20"/>
                <w:color w:val="auto"/>
              </w:rPr>
            </w:pPr>
            <w:r>
              <w:rPr>
                <w:rFonts w:ascii="Arial" w:cs="Arial" w:eastAsia="Arial" w:hAnsi="Arial"/>
                <w:sz w:val="18"/>
                <w:szCs w:val="18"/>
                <w:color w:val="auto"/>
              </w:rPr>
              <w:t>does not appear in the Interactive Data File because its</w:t>
            </w:r>
          </w:p>
        </w:tc>
        <w:tc>
          <w:tcPr>
            <w:tcW w:w="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4460" w:type="dxa"/>
            <w:vAlign w:val="bottom"/>
            <w:gridSpan w:val="10"/>
          </w:tcPr>
          <w:p>
            <w:pPr>
              <w:spacing w:after="0" w:line="202" w:lineRule="exact"/>
              <w:rPr>
                <w:sz w:val="20"/>
                <w:szCs w:val="20"/>
                <w:color w:val="auto"/>
              </w:rPr>
            </w:pPr>
            <w:r>
              <w:rPr>
                <w:rFonts w:ascii="Arial" w:cs="Arial" w:eastAsia="Arial" w:hAnsi="Arial"/>
                <w:sz w:val="18"/>
                <w:szCs w:val="18"/>
                <w:color w:val="auto"/>
              </w:rPr>
              <w:t>XBRL tags are embedded within the Inline XBRL</w:t>
            </w:r>
          </w:p>
        </w:tc>
        <w:tc>
          <w:tcPr>
            <w:tcW w:w="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446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8"/>
          <w:szCs w:val="18"/>
          <w:color w:val="auto"/>
        </w:rPr>
        <w:t>101.SCH XBRL Taxonomy Extension Schema Document</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101.CAL XBRL Taxonomy Extension Calculation Linkbase</w:t>
      </w:r>
    </w:p>
    <w:p>
      <w:pPr>
        <w:ind w:left="840"/>
        <w:spacing w:after="0"/>
        <w:rPr>
          <w:sz w:val="20"/>
          <w:szCs w:val="20"/>
          <w:color w:val="auto"/>
        </w:rPr>
      </w:pPr>
      <w:r>
        <w:rPr>
          <w:rFonts w:ascii="Arial" w:cs="Arial" w:eastAsia="Arial" w:hAnsi="Arial"/>
          <w:sz w:val="18"/>
          <w:szCs w:val="18"/>
          <w:color w:val="auto"/>
        </w:rPr>
        <w:t>Document</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101.DEF XBRL Taxonomy Extension Definition Linkbase</w:t>
      </w:r>
    </w:p>
    <w:p>
      <w:pPr>
        <w:ind w:left="840"/>
        <w:spacing w:after="0"/>
        <w:rPr>
          <w:sz w:val="20"/>
          <w:szCs w:val="20"/>
          <w:color w:val="auto"/>
        </w:rPr>
      </w:pPr>
      <w:r>
        <w:rPr>
          <w:rFonts w:ascii="Arial" w:cs="Arial" w:eastAsia="Arial" w:hAnsi="Arial"/>
          <w:sz w:val="18"/>
          <w:szCs w:val="18"/>
          <w:color w:val="auto"/>
        </w:rPr>
        <w:t>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101.LAB XBRL Taxonomy Extension Label Linkbase Document</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101.PRE XBRL Taxonomy Extension Presentation Linkbase</w:t>
      </w:r>
    </w:p>
    <w:p>
      <w:pPr>
        <w:ind w:left="840"/>
        <w:spacing w:after="0"/>
        <w:rPr>
          <w:sz w:val="20"/>
          <w:szCs w:val="20"/>
          <w:color w:val="auto"/>
        </w:rPr>
      </w:pPr>
      <w:r>
        <w:rPr>
          <w:rFonts w:ascii="Arial" w:cs="Arial" w:eastAsia="Arial" w:hAnsi="Arial"/>
          <w:sz w:val="18"/>
          <w:szCs w:val="18"/>
          <w:color w:val="auto"/>
        </w:rPr>
        <w:t>Document</w:t>
      </w:r>
    </w:p>
    <w:p>
      <w:pPr>
        <w:spacing w:after="0" w:line="9" w:lineRule="exact"/>
        <w:rPr>
          <w:sz w:val="20"/>
          <w:szCs w:val="20"/>
          <w:color w:val="auto"/>
        </w:rPr>
      </w:pPr>
    </w:p>
    <w:p>
      <w:pPr>
        <w:ind w:left="840" w:right="3859" w:hanging="780"/>
        <w:spacing w:after="0" w:line="238" w:lineRule="auto"/>
        <w:tabs>
          <w:tab w:leader="none" w:pos="8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393"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2" w:name="page103"/>
    <w:bookmarkEnd w:id="10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left="60" w:right="59"/>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120" w:type="dxa"/>
            <w:vAlign w:val="bottom"/>
          </w:tcPr>
          <w:p>
            <w:pPr>
              <w:spacing w:after="0"/>
              <w:rPr>
                <w:sz w:val="17"/>
                <w:szCs w:val="17"/>
                <w:color w:val="auto"/>
              </w:rPr>
            </w:pPr>
          </w:p>
        </w:tc>
        <w:tc>
          <w:tcPr>
            <w:tcW w:w="5780" w:type="dxa"/>
            <w:vAlign w:val="bottom"/>
            <w:gridSpan w:val="2"/>
          </w:tcPr>
          <w:p>
            <w:pPr>
              <w:ind w:left="1320"/>
              <w:spacing w:after="0"/>
              <w:rPr>
                <w:sz w:val="20"/>
                <w:szCs w:val="20"/>
                <w:color w:val="auto"/>
              </w:rPr>
            </w:pPr>
            <w:r>
              <w:rPr>
                <w:rFonts w:ascii="Arial" w:cs="Arial" w:eastAsia="Arial" w:hAnsi="Arial"/>
                <w:sz w:val="18"/>
                <w:szCs w:val="18"/>
                <w:color w:val="auto"/>
              </w:rPr>
              <w:t>Olema Pharmaceuticals, Inc.</w:t>
            </w:r>
          </w:p>
        </w:tc>
      </w:tr>
      <w:tr>
        <w:trPr>
          <w:trHeight w:val="203"/>
        </w:trPr>
        <w:tc>
          <w:tcPr>
            <w:tcW w:w="3120" w:type="dxa"/>
            <w:vAlign w:val="bottom"/>
          </w:tcPr>
          <w:p>
            <w:pPr>
              <w:spacing w:after="0" w:line="203" w:lineRule="exact"/>
              <w:rPr>
                <w:sz w:val="20"/>
                <w:szCs w:val="20"/>
                <w:color w:val="auto"/>
              </w:rPr>
            </w:pPr>
            <w:r>
              <w:rPr>
                <w:rFonts w:ascii="Arial" w:cs="Arial" w:eastAsia="Arial" w:hAnsi="Arial"/>
                <w:sz w:val="18"/>
                <w:szCs w:val="18"/>
                <w:color w:val="auto"/>
              </w:rPr>
              <w:t>Date: August 10, 2021</w:t>
            </w:r>
          </w:p>
        </w:tc>
        <w:tc>
          <w:tcPr>
            <w:tcW w:w="1600" w:type="dxa"/>
            <w:vAlign w:val="bottom"/>
          </w:tcPr>
          <w:p>
            <w:pPr>
              <w:ind w:left="1320"/>
              <w:spacing w:after="0" w:line="203" w:lineRule="exact"/>
              <w:rPr>
                <w:sz w:val="20"/>
                <w:szCs w:val="20"/>
                <w:color w:val="auto"/>
              </w:rPr>
            </w:pPr>
            <w:r>
              <w:rPr>
                <w:rFonts w:ascii="Arial" w:cs="Arial" w:eastAsia="Arial" w:hAnsi="Arial"/>
                <w:sz w:val="18"/>
                <w:szCs w:val="18"/>
                <w:color w:val="auto"/>
                <w:w w:val="99"/>
              </w:rPr>
              <w:t>By:</w:t>
            </w:r>
          </w:p>
        </w:tc>
        <w:tc>
          <w:tcPr>
            <w:tcW w:w="418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rPr>
              <w:t>/s/ Sean Bohen, M.D., Ph.D.</w:t>
            </w:r>
          </w:p>
        </w:tc>
      </w:tr>
      <w:tr>
        <w:trPr>
          <w:trHeight w:val="200"/>
        </w:trPr>
        <w:tc>
          <w:tcPr>
            <w:tcW w:w="3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180" w:type="dxa"/>
            <w:vAlign w:val="bottom"/>
          </w:tcPr>
          <w:p>
            <w:pPr>
              <w:jc w:val="center"/>
              <w:spacing w:after="0" w:line="201" w:lineRule="exact"/>
              <w:rPr>
                <w:sz w:val="20"/>
                <w:szCs w:val="20"/>
                <w:color w:val="auto"/>
              </w:rPr>
            </w:pPr>
            <w:r>
              <w:rPr>
                <w:rFonts w:ascii="Arial" w:cs="Arial" w:eastAsia="Arial" w:hAnsi="Arial"/>
                <w:sz w:val="18"/>
                <w:szCs w:val="18"/>
                <w:color w:val="auto"/>
                <w:w w:val="99"/>
              </w:rPr>
              <w:t>Sean Bohen, M.D., Ph.D.</w:t>
            </w:r>
          </w:p>
        </w:tc>
      </w:tr>
      <w:tr>
        <w:trPr>
          <w:trHeight w:val="224"/>
        </w:trPr>
        <w:tc>
          <w:tcPr>
            <w:tcW w:w="3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180" w:type="dxa"/>
            <w:vAlign w:val="bottom"/>
          </w:tcPr>
          <w:p>
            <w:pPr>
              <w:jc w:val="center"/>
              <w:spacing w:after="0"/>
              <w:rPr>
                <w:sz w:val="20"/>
                <w:szCs w:val="20"/>
                <w:color w:val="auto"/>
              </w:rPr>
            </w:pPr>
            <w:r>
              <w:rPr>
                <w:rFonts w:ascii="Arial" w:cs="Arial" w:eastAsia="Arial" w:hAnsi="Arial"/>
                <w:sz w:val="18"/>
                <w:szCs w:val="18"/>
                <w:b w:val="1"/>
                <w:bCs w:val="1"/>
                <w:color w:val="auto"/>
                <w:w w:val="99"/>
              </w:rPr>
              <w:t>President and Chief Executive Officer</w:t>
            </w:r>
          </w:p>
        </w:tc>
      </w:tr>
      <w:tr>
        <w:trPr>
          <w:trHeight w:val="203"/>
        </w:trPr>
        <w:tc>
          <w:tcPr>
            <w:tcW w:w="3120" w:type="dxa"/>
            <w:vAlign w:val="bottom"/>
          </w:tcPr>
          <w:p>
            <w:pPr>
              <w:spacing w:after="0"/>
              <w:rPr>
                <w:sz w:val="17"/>
                <w:szCs w:val="17"/>
                <w:color w:val="auto"/>
              </w:rPr>
            </w:pPr>
          </w:p>
        </w:tc>
        <w:tc>
          <w:tcPr>
            <w:tcW w:w="578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Olema Pharmaceuticals, Inc.</w:t>
            </w:r>
          </w:p>
        </w:tc>
      </w:tr>
      <w:tr>
        <w:trPr>
          <w:trHeight w:val="217"/>
        </w:trPr>
        <w:tc>
          <w:tcPr>
            <w:tcW w:w="3120" w:type="dxa"/>
            <w:vAlign w:val="bottom"/>
          </w:tcPr>
          <w:p>
            <w:pPr>
              <w:spacing w:after="0"/>
              <w:rPr>
                <w:sz w:val="20"/>
                <w:szCs w:val="20"/>
                <w:color w:val="auto"/>
              </w:rPr>
            </w:pPr>
            <w:r>
              <w:rPr>
                <w:rFonts w:ascii="Arial" w:cs="Arial" w:eastAsia="Arial" w:hAnsi="Arial"/>
                <w:sz w:val="18"/>
                <w:szCs w:val="18"/>
                <w:color w:val="auto"/>
              </w:rPr>
              <w:t>Date: August 10, 2021</w:t>
            </w:r>
          </w:p>
        </w:tc>
        <w:tc>
          <w:tcPr>
            <w:tcW w:w="1600" w:type="dxa"/>
            <w:vAlign w:val="bottom"/>
          </w:tcPr>
          <w:p>
            <w:pPr>
              <w:ind w:left="1320"/>
              <w:spacing w:after="0"/>
              <w:rPr>
                <w:sz w:val="20"/>
                <w:szCs w:val="20"/>
                <w:color w:val="auto"/>
              </w:rPr>
            </w:pPr>
            <w:r>
              <w:rPr>
                <w:rFonts w:ascii="Arial" w:cs="Arial" w:eastAsia="Arial" w:hAnsi="Arial"/>
                <w:sz w:val="18"/>
                <w:szCs w:val="18"/>
                <w:color w:val="auto"/>
                <w:w w:val="99"/>
              </w:rPr>
              <w:t>By:</w:t>
            </w:r>
          </w:p>
        </w:tc>
        <w:tc>
          <w:tcPr>
            <w:tcW w:w="4180" w:type="dxa"/>
            <w:vAlign w:val="bottom"/>
          </w:tcPr>
          <w:p>
            <w:pPr>
              <w:jc w:val="center"/>
              <w:spacing w:after="0"/>
              <w:rPr>
                <w:sz w:val="20"/>
                <w:szCs w:val="20"/>
                <w:color w:val="auto"/>
              </w:rPr>
            </w:pPr>
            <w:r>
              <w:rPr>
                <w:rFonts w:ascii="Arial" w:cs="Arial" w:eastAsia="Arial" w:hAnsi="Arial"/>
                <w:sz w:val="18"/>
                <w:szCs w:val="18"/>
                <w:color w:val="auto"/>
                <w:w w:val="99"/>
              </w:rPr>
              <w:t>/s/ Shane Kovacs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-7620</wp:posOffset>
            </wp:positionV>
            <wp:extent cx="265747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2" w:lineRule="exact"/>
        <w:rPr>
          <w:sz w:val="20"/>
          <w:szCs w:val="20"/>
          <w:color w:val="auto"/>
        </w:rPr>
      </w:pPr>
    </w:p>
    <w:p>
      <w:pPr>
        <w:jc w:val="center"/>
        <w:ind w:left="4700"/>
        <w:spacing w:after="0"/>
        <w:rPr>
          <w:sz w:val="20"/>
          <w:szCs w:val="20"/>
          <w:color w:val="auto"/>
        </w:rPr>
      </w:pPr>
      <w:r>
        <w:rPr>
          <w:rFonts w:ascii="Arial" w:cs="Arial" w:eastAsia="Arial" w:hAnsi="Arial"/>
          <w:sz w:val="18"/>
          <w:szCs w:val="18"/>
          <w:color w:val="auto"/>
        </w:rPr>
        <w:t>Shane Kovacs</w:t>
      </w:r>
    </w:p>
    <w:p>
      <w:pPr>
        <w:jc w:val="center"/>
        <w:ind w:left="4700"/>
        <w:spacing w:after="0"/>
        <w:rPr>
          <w:sz w:val="20"/>
          <w:szCs w:val="20"/>
          <w:color w:val="auto"/>
        </w:rPr>
      </w:pPr>
      <w:r>
        <w:rPr>
          <w:rFonts w:ascii="Arial" w:cs="Arial" w:eastAsia="Arial" w:hAnsi="Arial"/>
          <w:sz w:val="18"/>
          <w:szCs w:val="18"/>
          <w:b w:val="1"/>
          <w:bCs w:val="1"/>
          <w:color w:val="auto"/>
        </w:rPr>
        <w:t>Chief Operating and Financial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Sean Bohen, certify that:</w:t>
      </w:r>
    </w:p>
    <w:p>
      <w:pPr>
        <w:spacing w:after="0" w:line="225"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Olema Pharmaceuticals, Inc.;</w:t>
      </w:r>
    </w:p>
    <w:p>
      <w:pPr>
        <w:spacing w:after="0" w:line="225" w:lineRule="exact"/>
        <w:rPr>
          <w:rFonts w:ascii="Arial" w:cs="Arial" w:eastAsia="Arial" w:hAnsi="Arial"/>
          <w:sz w:val="18"/>
          <w:szCs w:val="18"/>
          <w:color w:val="auto"/>
        </w:rPr>
      </w:pPr>
    </w:p>
    <w:p>
      <w:pPr>
        <w:ind w:left="340" w:hanging="332"/>
        <w:spacing w:after="0" w:line="263"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80" w:hanging="332"/>
        <w:spacing w:after="0" w:line="263"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60" w:hanging="328"/>
        <w:spacing w:after="0" w:line="286" w:lineRule="auto"/>
        <w:tabs>
          <w:tab w:leader="none" w:pos="660" w:val="left"/>
        </w:tabs>
        <w:numPr>
          <w:ilvl w:val="1"/>
          <w:numId w:val="5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right="300" w:hanging="328"/>
        <w:spacing w:after="0" w:line="263" w:lineRule="auto"/>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660" w:right="340" w:hanging="328"/>
        <w:spacing w:after="0" w:line="311" w:lineRule="auto"/>
        <w:tabs>
          <w:tab w:leader="none" w:pos="660" w:val="left"/>
        </w:tabs>
        <w:numPr>
          <w:ilvl w:val="1"/>
          <w:numId w:val="5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340" w:right="220" w:hanging="332"/>
        <w:spacing w:after="0" w:line="263"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660" w:right="40" w:hanging="328"/>
        <w:spacing w:after="0" w:line="263" w:lineRule="auto"/>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80" w:hanging="328"/>
        <w:spacing w:after="0" w:line="277" w:lineRule="auto"/>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Date: August 10, 2021</w:t>
            </w:r>
          </w:p>
        </w:tc>
        <w:tc>
          <w:tcPr>
            <w:tcW w:w="6620" w:type="dxa"/>
            <w:vAlign w:val="bottom"/>
            <w:gridSpan w:val="2"/>
          </w:tcPr>
          <w:p>
            <w:pPr>
              <w:ind w:left="1660"/>
              <w:spacing w:after="0"/>
              <w:rPr>
                <w:sz w:val="20"/>
                <w:szCs w:val="20"/>
                <w:color w:val="auto"/>
              </w:rPr>
            </w:pPr>
            <w:r>
              <w:rPr>
                <w:rFonts w:ascii="Arial" w:cs="Arial" w:eastAsia="Arial" w:hAnsi="Arial"/>
                <w:sz w:val="18"/>
                <w:szCs w:val="18"/>
                <w:color w:val="auto"/>
              </w:rPr>
              <w:t>By:/s/ Sean Bohen</w:t>
            </w:r>
          </w:p>
        </w:tc>
      </w:tr>
      <w:tr>
        <w:trPr>
          <w:trHeight w:val="195"/>
        </w:trPr>
        <w:tc>
          <w:tcPr>
            <w:tcW w:w="33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Sean Bohen</w:t>
            </w:r>
          </w:p>
        </w:tc>
      </w:tr>
      <w:tr>
        <w:trPr>
          <w:trHeight w:val="216"/>
        </w:trPr>
        <w:tc>
          <w:tcPr>
            <w:tcW w:w="33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3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776"/>
        </w:trPr>
        <w:tc>
          <w:tcPr>
            <w:tcW w:w="33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Shane Kovacs, certify that:</w:t>
      </w:r>
    </w:p>
    <w:p>
      <w:pPr>
        <w:spacing w:after="0" w:line="225"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Olema Pharmaceuticals, Inc.;</w:t>
      </w:r>
    </w:p>
    <w:p>
      <w:pPr>
        <w:spacing w:after="0" w:line="225" w:lineRule="exact"/>
        <w:rPr>
          <w:rFonts w:ascii="Arial" w:cs="Arial" w:eastAsia="Arial" w:hAnsi="Arial"/>
          <w:sz w:val="18"/>
          <w:szCs w:val="18"/>
          <w:color w:val="auto"/>
        </w:rPr>
      </w:pPr>
    </w:p>
    <w:p>
      <w:pPr>
        <w:ind w:left="340" w:hanging="332"/>
        <w:spacing w:after="0" w:line="263"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80" w:hanging="332"/>
        <w:spacing w:after="0" w:line="263"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60" w:hanging="328"/>
        <w:spacing w:after="0" w:line="286" w:lineRule="auto"/>
        <w:tabs>
          <w:tab w:leader="none" w:pos="660" w:val="left"/>
        </w:tabs>
        <w:numPr>
          <w:ilvl w:val="1"/>
          <w:numId w:val="5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right="300" w:hanging="328"/>
        <w:spacing w:after="0" w:line="263" w:lineRule="auto"/>
        <w:tabs>
          <w:tab w:leader="none" w:pos="6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660" w:right="340" w:hanging="328"/>
        <w:spacing w:after="0" w:line="311" w:lineRule="auto"/>
        <w:tabs>
          <w:tab w:leader="none" w:pos="660" w:val="left"/>
        </w:tabs>
        <w:numPr>
          <w:ilvl w:val="1"/>
          <w:numId w:val="5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340" w:right="220" w:hanging="332"/>
        <w:spacing w:after="0" w:line="263"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660" w:right="40" w:hanging="328"/>
        <w:spacing w:after="0" w:line="263" w:lineRule="auto"/>
        <w:tabs>
          <w:tab w:leader="none" w:pos="6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80" w:hanging="328"/>
        <w:spacing w:after="0" w:line="277" w:lineRule="auto"/>
        <w:tabs>
          <w:tab w:leader="none" w:pos="6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Date: August 10, 2021</w:t>
            </w:r>
          </w:p>
        </w:tc>
        <w:tc>
          <w:tcPr>
            <w:tcW w:w="6620" w:type="dxa"/>
            <w:vAlign w:val="bottom"/>
            <w:gridSpan w:val="2"/>
          </w:tcPr>
          <w:p>
            <w:pPr>
              <w:ind w:left="1660"/>
              <w:spacing w:after="0"/>
              <w:rPr>
                <w:sz w:val="20"/>
                <w:szCs w:val="20"/>
                <w:color w:val="auto"/>
              </w:rPr>
            </w:pPr>
            <w:r>
              <w:rPr>
                <w:rFonts w:ascii="Arial" w:cs="Arial" w:eastAsia="Arial" w:hAnsi="Arial"/>
                <w:sz w:val="18"/>
                <w:szCs w:val="18"/>
                <w:color w:val="auto"/>
              </w:rPr>
              <w:t>By:/s/ Shane Kovacs</w:t>
            </w:r>
          </w:p>
        </w:tc>
      </w:tr>
      <w:tr>
        <w:trPr>
          <w:trHeight w:val="195"/>
        </w:trPr>
        <w:tc>
          <w:tcPr>
            <w:tcW w:w="33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Shane Kovacs</w:t>
            </w:r>
          </w:p>
        </w:tc>
      </w:tr>
      <w:tr>
        <w:trPr>
          <w:trHeight w:val="216"/>
        </w:trPr>
        <w:tc>
          <w:tcPr>
            <w:tcW w:w="33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Chief Operating and Financial Officer</w:t>
            </w:r>
          </w:p>
        </w:tc>
      </w:tr>
      <w:tr>
        <w:trPr>
          <w:trHeight w:val="230"/>
        </w:trPr>
        <w:tc>
          <w:tcPr>
            <w:tcW w:w="33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r>
        <w:trPr>
          <w:trHeight w:val="776"/>
        </w:trPr>
        <w:tc>
          <w:tcPr>
            <w:tcW w:w="33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Sean Bohen, M.D. Ph.D., Chief Executive Officer of Olema Pharmaceuticals, Inc. (the “Company”), and Shane Kovacs, Chief Financial Officer of the Company, each hereby certifies that, to the best of his knowledge:</w:t>
      </w:r>
    </w:p>
    <w:p>
      <w:pPr>
        <w:spacing w:after="0" w:line="187" w:lineRule="exact"/>
        <w:rPr>
          <w:sz w:val="20"/>
          <w:szCs w:val="20"/>
          <w:color w:val="auto"/>
        </w:rPr>
      </w:pPr>
    </w:p>
    <w:p>
      <w:pPr>
        <w:jc w:val="both"/>
        <w:ind w:left="660" w:right="240" w:hanging="328"/>
        <w:spacing w:after="0" w:line="263"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June 30, 2021, to which this Certification is attached as Exhibit 32.1 (the “Periodic Report”), fully complies with the requirements of Section 13(a) or Section 15(d) of the Exchange Act; and</w:t>
      </w:r>
    </w:p>
    <w:p>
      <w:pPr>
        <w:spacing w:after="0" w:line="183"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Date: August 10, 2021</w:t>
            </w:r>
          </w:p>
        </w:tc>
        <w:tc>
          <w:tcPr>
            <w:tcW w:w="6620" w:type="dxa"/>
            <w:vAlign w:val="bottom"/>
            <w:gridSpan w:val="2"/>
          </w:tcPr>
          <w:p>
            <w:pPr>
              <w:ind w:left="1660"/>
              <w:spacing w:after="0"/>
              <w:rPr>
                <w:sz w:val="20"/>
                <w:szCs w:val="20"/>
                <w:color w:val="auto"/>
              </w:rPr>
            </w:pPr>
            <w:r>
              <w:rPr>
                <w:rFonts w:ascii="Arial" w:cs="Arial" w:eastAsia="Arial" w:hAnsi="Arial"/>
                <w:sz w:val="18"/>
                <w:szCs w:val="18"/>
                <w:color w:val="auto"/>
              </w:rPr>
              <w:t>By:/s/ Sean Bohen</w:t>
            </w:r>
          </w:p>
        </w:tc>
      </w:tr>
      <w:tr>
        <w:trPr>
          <w:trHeight w:val="195"/>
        </w:trPr>
        <w:tc>
          <w:tcPr>
            <w:tcW w:w="33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Sean Bohen</w:t>
            </w:r>
          </w:p>
        </w:tc>
      </w:tr>
      <w:tr>
        <w:trPr>
          <w:trHeight w:val="230"/>
        </w:trPr>
        <w:tc>
          <w:tcPr>
            <w:tcW w:w="33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648"/>
        </w:trPr>
        <w:tc>
          <w:tcPr>
            <w:tcW w:w="3300" w:type="dxa"/>
            <w:vAlign w:val="bottom"/>
          </w:tcPr>
          <w:p>
            <w:pPr>
              <w:spacing w:after="0"/>
              <w:rPr>
                <w:sz w:val="20"/>
                <w:szCs w:val="20"/>
                <w:color w:val="auto"/>
              </w:rPr>
            </w:pPr>
            <w:r>
              <w:rPr>
                <w:rFonts w:ascii="Arial" w:cs="Arial" w:eastAsia="Arial" w:hAnsi="Arial"/>
                <w:sz w:val="18"/>
                <w:szCs w:val="18"/>
                <w:color w:val="auto"/>
              </w:rPr>
              <w:t>Date: August 10, 2021</w:t>
            </w:r>
          </w:p>
        </w:tc>
        <w:tc>
          <w:tcPr>
            <w:tcW w:w="6620" w:type="dxa"/>
            <w:vAlign w:val="bottom"/>
            <w:gridSpan w:val="2"/>
          </w:tcPr>
          <w:p>
            <w:pPr>
              <w:ind w:left="1660"/>
              <w:spacing w:after="0"/>
              <w:rPr>
                <w:sz w:val="20"/>
                <w:szCs w:val="20"/>
                <w:color w:val="auto"/>
              </w:rPr>
            </w:pPr>
            <w:r>
              <w:rPr>
                <w:rFonts w:ascii="Arial" w:cs="Arial" w:eastAsia="Arial" w:hAnsi="Arial"/>
                <w:sz w:val="18"/>
                <w:szCs w:val="18"/>
                <w:color w:val="auto"/>
              </w:rPr>
              <w:t>By:/s/ Shane Kovacs</w:t>
            </w:r>
          </w:p>
        </w:tc>
      </w:tr>
      <w:tr>
        <w:trPr>
          <w:trHeight w:val="195"/>
        </w:trPr>
        <w:tc>
          <w:tcPr>
            <w:tcW w:w="33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Shane Kovacs</w:t>
            </w:r>
          </w:p>
        </w:tc>
      </w:tr>
      <w:tr>
        <w:trPr>
          <w:trHeight w:val="230"/>
        </w:trPr>
        <w:tc>
          <w:tcPr>
            <w:tcW w:w="33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Olema Pharmaceuticals,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333375</wp:posOffset>
            </wp:positionV>
            <wp:extent cx="629221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1."/>
      <w:numFmt w:val="decimal"/>
      <w:start w:val="2"/>
    </w:lvl>
  </w:abstractNum>
  <w:abstractNum w:abstractNumId="3">
    <w:nsid w:val="7C3DBD3D"/>
    <w:multiLevelType w:val="hybridMultilevel"/>
    <w:lvl w:ilvl="0">
      <w:lvlJc w:val="left"/>
      <w:lvlText w:val="%1."/>
      <w:numFmt w:val="decimal"/>
      <w:start w:val="3"/>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1."/>
      <w:numFmt w:val="decimal"/>
      <w:start w:val="8"/>
    </w:lvl>
  </w:abstractNum>
  <w:abstractNum w:abstractNumId="6">
    <w:nsid w:val="22221A70"/>
    <w:multiLevelType w:val="hybridMultilevel"/>
    <w:lvl w:ilvl="0">
      <w:lvlJc w:val="left"/>
      <w:lvlText w:val="%1."/>
      <w:numFmt w:val="decimal"/>
      <w:start w:val="9"/>
    </w:lvl>
  </w:abstractNum>
  <w:abstractNum w:abstractNumId="7">
    <w:nsid w:val="4516DDE9"/>
    <w:multiLevelType w:val="hybridMultilevel"/>
    <w:lvl w:ilvl="0">
      <w:lvlJc w:val="left"/>
      <w:lvlText w:val="(%1)"/>
      <w:numFmt w:val="decimal"/>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1)"/>
      <w:numFmt w:val="decimal"/>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1)"/>
      <w:numFmt w:val="lowerRoman"/>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
      <w:numFmt w:val="bullet"/>
      <w:start w:val="1"/>
    </w:lvl>
    <w:lvl w:ilvl="1">
      <w:lvlJc w:val="left"/>
      <w:lvlText w:val="%2"/>
      <w:numFmt w:val="decimal"/>
      <w:start w:val="104"/>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lvl w:ilvl="1">
      <w:lvlJc w:val="left"/>
      <w:lvlText w:val="(%2)"/>
      <w:numFmt w:val="lowerLetter"/>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2" Type="http://schemas.openxmlformats.org/officeDocument/2006/relationships/hyperlink" Target="https://www.sec.gov/Archives/edgar/data/1750284/000110465920128482/tm2027048d18_ex3-1.htm" TargetMode="External"/><Relationship Id="rId133" Type="http://schemas.openxmlformats.org/officeDocument/2006/relationships/hyperlink" Target="https://www.sec.gov/Archives/edgar/data/1750284/000110465920128482/tm2027048d18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2021-08-10T15:42:46Z</dcterms:created>
  <dcterms:modified xsi:type="dcterms:W3CDTF">2021-08-10T15:42:46Z</dcterms:modified>
</cp:coreProperties>
</file>