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ind w:left="0" w:right="0" w:hanging="0"/>
        <w:rPr/>
      </w:pPr>
      <w:hyperlink w:anchor="TOC">
        <w:bookmarkStart w:id="0" w:name="olma-20211231x10k.htm"/>
        <w:bookmarkStart w:id="1" w:name="ksolma2021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Arial;Helvetica;sans-serif" w:hAnsi="Arial;Helvetica;sans-serif"/>
          <w:b/>
          <w:sz w:val="20"/>
        </w:rPr>
      </w:pPr>
      <w:bookmarkStart w:id="2" w:name="_59201afb_e584_4aac_bfd6_d8435069c430"/>
      <w:bookmarkEnd w:id="2"/>
      <w:r>
        <w:rPr>
          <w:rFonts w:ascii="Arial;Helvetica;sans-serif" w:hAnsi="Arial;Helvetica;sans-serif"/>
          <w:b/>
          <w:sz w:val="20"/>
        </w:rPr>
        <w:t>UNITED STATES</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FORM 10-K</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bX6fNLu060ecGRiRD9Tu0w_7_1"/>
      <w:bookmarkStart w:id="4" w:name="Tc_BixJJW35kESlhnhYxVFfdQ_5_0"/>
      <w:bookmarkStart w:id="5" w:name="Tc_HycG9ockaEq05DPioEOrmQ_3_0"/>
      <w:bookmarkStart w:id="6" w:name="Tc_e_xppRMKika8uAfuFFf7Sg_1_1"/>
      <w:bookmarkStart w:id="7" w:name="_d23ba8ae_ffe7_41e7_b94f_433fc9de947e"/>
      <w:bookmarkStart w:id="8" w:name="Tc_bX6fNLu060ecGRiRD9Tu0w_7_1"/>
      <w:bookmarkStart w:id="9" w:name="Tc_BixJJW35kESlhnhYxVFfdQ_5_0"/>
      <w:bookmarkStart w:id="10" w:name="Tc_HycG9ockaEq05DPioEOrmQ_3_0"/>
      <w:bookmarkStart w:id="11" w:name="Tc_e_xppRMKika8uAfuFFf7Sg_1_1"/>
      <w:bookmarkStart w:id="12" w:name="_d23ba8ae_ffe7_41e7_b94f_433fc9de947e"/>
      <w:bookmarkEnd w:id="8"/>
      <w:bookmarkEnd w:id="9"/>
      <w:bookmarkEnd w:id="10"/>
      <w:bookmarkEnd w:id="11"/>
      <w:bookmarkEnd w:id="12"/>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ANNUAL REPORT PURSUANT TO SECTION 13 OR 15(d) OF THE SECURITIES EXCHANGE ACT OF 1934</w:t>
            </w:r>
          </w:p>
        </w:tc>
      </w:tr>
      <w:tr>
        <w:trPr/>
        <w:tc>
          <w:tcPr>
            <w:tcW w:w="10205" w:type="dxa"/>
            <w:gridSpan w:val="2"/>
            <w:tcBorders/>
            <w:shd w:fill="auto" w:val="clear"/>
            <w:vAlign w:val="center"/>
          </w:tcPr>
          <w:p>
            <w:pPr>
              <w:pStyle w:val="TableContents"/>
              <w:spacing w:before="0" w:after="240"/>
              <w:ind w:left="0" w:right="0" w:hanging="0"/>
              <w:jc w:val="center"/>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For the fiscal year ended December 31, 2021</w:t>
            </w:r>
          </w:p>
        </w:tc>
      </w:tr>
      <w:tr>
        <w:trPr/>
        <w:tc>
          <w:tcPr>
            <w:tcW w:w="10205" w:type="dxa"/>
            <w:gridSpan w:val="2"/>
            <w:tcBorders/>
            <w:shd w:fill="auto" w:val="clear"/>
            <w:vAlign w:val="center"/>
          </w:tcPr>
          <w:p>
            <w:pPr>
              <w:pStyle w:val="TableContents"/>
              <w:spacing w:before="0" w:after="240"/>
              <w:ind w:left="0" w:right="0" w:hanging="0"/>
              <w:jc w:val="center"/>
              <w:rPr/>
            </w:pPr>
            <w:r>
              <w:rPr/>
              <w:t>​</w:t>
            </w:r>
          </w:p>
        </w:tc>
      </w:tr>
      <w:tr>
        <w:trPr/>
        <w:tc>
          <w:tcPr>
            <w:tcW w:w="1020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OR</w:t>
            </w:r>
          </w:p>
        </w:tc>
      </w:tr>
      <w:tr>
        <w:trPr/>
        <w:tc>
          <w:tcPr>
            <w:tcW w:w="10205" w:type="dxa"/>
            <w:gridSpan w:val="2"/>
            <w:tcBorders/>
            <w:shd w:fill="auto" w:val="clear"/>
            <w:vAlign w:val="center"/>
          </w:tcPr>
          <w:p>
            <w:pPr>
              <w:pStyle w:val="TableContents"/>
              <w:spacing w:before="0" w:after="240"/>
              <w:ind w:left="0" w:right="0" w:hanging="0"/>
              <w:jc w:val="center"/>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spacing w:lineRule="atLeast" w:line="141" w:before="0" w:after="0"/>
        <w:ind w:left="0" w:right="0" w:hanging="0"/>
        <w:jc w:val="center"/>
        <w:rPr/>
      </w:pPr>
      <w:r>
        <w:rPr/>
        <w:t>​</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For the transition period from </w:t>
      </w:r>
      <w:r>
        <w:rPr>
          <w:rFonts w:ascii="Arial;Helvetica;sans-serif" w:hAnsi="Arial;Helvetica;sans-serif"/>
          <w:sz w:val="20"/>
        </w:rPr>
        <w:t xml:space="preserve">            </w:t>
      </w:r>
      <w:r>
        <w:rPr>
          <w:rFonts w:ascii="Arial;Helvetica;sans-serif" w:hAnsi="Arial;Helvetica;sans-serif"/>
          <w:b/>
          <w:sz w:val="20"/>
        </w:rPr>
        <w:t xml:space="preserve">to </w:t>
      </w:r>
      <w:r>
        <w:rPr>
          <w:rFonts w:ascii="Arial;Helvetica;sans-serif" w:hAnsi="Arial;Helvetica;sans-serif"/>
          <w:sz w:val="20"/>
        </w:rPr>
        <w:t>           </w:t>
      </w:r>
    </w:p>
    <w:p>
      <w:pPr>
        <w:pStyle w:val="TextBody"/>
        <w:spacing w:before="0" w:after="240"/>
        <w:ind w:left="0" w:right="0" w:hanging="0"/>
        <w:jc w:val="center"/>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Commission file number: 001-39712</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OLEMA PHARMACEUTICALS,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(Exact name of Registrant as specified in its charter)</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3" w:name="Tc_-icrCQQ9tkWaDS6WNDc7kw_2_1"/>
      <w:bookmarkStart w:id="14" w:name="Tc_mrzUzDM5QEOOnJHDJnkLpA_2_0"/>
      <w:bookmarkStart w:id="15" w:name="_a1b6cd63_c396_4f83_a5ed_194d40021235"/>
      <w:bookmarkStart w:id="16" w:name="Tc_-icrCQQ9tkWaDS6WNDc7kw_2_1"/>
      <w:bookmarkStart w:id="17" w:name="Tc_mrzUzDM5QEOOnJHDJnkLpA_2_0"/>
      <w:bookmarkStart w:id="18" w:name="_a1b6cd63_c396_4f83_a5ed_194d40021235"/>
      <w:bookmarkEnd w:id="16"/>
      <w:bookmarkEnd w:id="17"/>
      <w:bookmarkEnd w:id="18"/>
    </w:p>
    <w:tbl>
      <w:tblPr>
        <w:tblW w:w="7742" w:type="dxa"/>
        <w:jc w:val="left"/>
        <w:tblInd w:w="0" w:type="dxa"/>
        <w:tblCellMar>
          <w:top w:w="0" w:type="dxa"/>
          <w:left w:w="0" w:type="dxa"/>
          <w:bottom w:w="0" w:type="dxa"/>
          <w:right w:w="0" w:type="dxa"/>
        </w:tblCellMar>
      </w:tblPr>
      <w:tblGrid>
        <w:gridCol w:w="4861"/>
        <w:gridCol w:w="2881"/>
      </w:tblGrid>
      <w:tr>
        <w:trPr/>
        <w:tc>
          <w:tcPr>
            <w:tcW w:w="4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086735" cy="175260"/>
                      <wp:effectExtent l="0" t="0" r="0" b="0"/>
                      <wp:wrapNone/>
                      <wp:docPr id="1" name="Frame1"/>
                      <a:graphic xmlns:a="http://schemas.openxmlformats.org/drawingml/2006/main">
                        <a:graphicData uri="http://schemas.microsoft.com/office/word/2010/wordprocessingShape">
                          <wps:wsp>
                            <wps:cNvSpPr txBox="1"/>
                            <wps:spPr>
                              <a:xfrm>
                                <a:off x="0" y="0"/>
                                <a:ext cx="3086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29435" cy="175260"/>
                      <wp:effectExtent l="0" t="0" r="0" b="0"/>
                      <wp:wrapNone/>
                      <wp:docPr id="2" name="Frame2"/>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28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30-0409740</w:t>
            </w:r>
          </w:p>
        </w:tc>
      </w:tr>
      <w:tr>
        <w:trPr/>
        <w:tc>
          <w:tcPr>
            <w:tcW w:w="48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 of incorporation or organization)</w:t>
            </w:r>
          </w:p>
        </w:tc>
        <w:tc>
          <w:tcPr>
            <w:tcW w:w="288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(I.R.S. Employer Identification No.)</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512 2nd Street, 4th Floor</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b/>
          <w:sz w:val="16"/>
        </w:rPr>
        <w:t>San Francisco, California</w:t>
      </w:r>
      <w:r>
        <w:rPr>
          <w:rFonts w:ascii="Arial;Helvetica;sans-serif" w:hAnsi="Arial;Helvetica;sans-serif"/>
          <w:sz w:val="20"/>
        </w:rPr>
        <w:t xml:space="preserve"> </w:t>
      </w:r>
      <w:r>
        <w:rPr>
          <w:rFonts w:ascii="Arial;Helvetica;sans-serif" w:hAnsi="Arial;Helvetica;sans-serif"/>
          <w:b/>
          <w:sz w:val="16"/>
        </w:rPr>
        <w:t>94107</w:t>
      </w:r>
    </w:p>
    <w:p>
      <w:pPr>
        <w:pStyle w:val="TextBody"/>
        <w:spacing w:before="0" w:after="0"/>
        <w:ind w:left="0" w:right="0" w:hanging="0"/>
        <w:jc w:val="center"/>
        <w:rPr>
          <w:rFonts w:ascii="Arial;Helvetica;sans-serif" w:hAnsi="Arial;Helvetica;sans-serif"/>
          <w:b/>
          <w:sz w:val="14"/>
        </w:rPr>
      </w:pPr>
      <w:r>
        <w:rPr>
          <w:rFonts w:ascii="Arial;Helvetica;sans-serif" w:hAnsi="Arial;Helvetica;sans-serif"/>
          <w:b/>
          <w:sz w:val="14"/>
        </w:rPr>
        <w:t>(Address of principal executive offices and zip code)</w:t>
      </w:r>
    </w:p>
    <w:p>
      <w:pPr>
        <w:pStyle w:val="TextBody"/>
        <w:spacing w:before="0" w:after="0"/>
        <w:ind w:left="0" w:right="0" w:hanging="0"/>
        <w:jc w:val="center"/>
        <w:rPr>
          <w:rFonts w:ascii="Arial;Helvetica;sans-serif" w:hAnsi="Arial;Helvetica;sans-serif"/>
          <w:b/>
          <w:sz w:val="14"/>
        </w:rPr>
      </w:pPr>
      <w:r>
        <w:rPr>
          <w:rFonts w:ascii="Arial;Helvetica;sans-serif" w:hAnsi="Arial;Helvetica;sans-serif"/>
          <w:b/>
          <w:sz w:val="14"/>
        </w:rPr>
        <w:t>Registrant’s telephone number, including area code: (650) 243-5555</w:t>
      </w:r>
    </w:p>
    <w:p>
      <w:pPr>
        <w:pStyle w:val="TextBody"/>
        <w:spacing w:before="0" w:after="240"/>
        <w:ind w:left="0" w:right="0" w:hanging="0"/>
        <w:jc w:val="center"/>
        <w:rPr/>
      </w:pPr>
      <w:r>
        <w:rPr/>
        <w:t>​</w:t>
      </w:r>
    </w:p>
    <w:p>
      <w:pPr>
        <w:pStyle w:val="TextBody"/>
        <w:spacing w:before="0" w:after="0"/>
        <w:ind w:left="0" w:right="0" w:hanging="0"/>
        <w:jc w:val="center"/>
        <w:rPr>
          <w:rFonts w:ascii="Arial;Helvetica;sans-serif" w:hAnsi="Arial;Helvetica;sans-serif"/>
          <w:b/>
          <w:sz w:val="14"/>
        </w:rPr>
      </w:pPr>
      <w:r>
        <w:rPr>
          <w:rFonts w:ascii="Arial;Helvetica;sans-serif" w:hAnsi="Arial;Helvetica;sans-serif"/>
          <w:b/>
          <w:sz w:val="14"/>
        </w:rPr>
        <w:t>Securities registered pursuant to Section 12(b) of the Act:</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9" w:name="Tc_ZKMcxP5Atk-gHJxAPGLzeg_2_0"/>
      <w:bookmarkStart w:id="20" w:name="Tc_mhxz5FjIv0yWJZBr2QU8Kg_1_4"/>
      <w:bookmarkStart w:id="21" w:name="Tc_iiExL1oD-E6HvKWo7J2Csg_1_2"/>
      <w:bookmarkStart w:id="22" w:name="Tc_d_0zboCj3UCjwA4rGIsGtw_1_0"/>
      <w:bookmarkStart w:id="23" w:name="_53b60bb9_d9dd_4001_b7b2_d1819cb45679"/>
      <w:bookmarkStart w:id="24" w:name="Tc_ZKMcxP5Atk-gHJxAPGLzeg_2_0"/>
      <w:bookmarkStart w:id="25" w:name="Tc_mhxz5FjIv0yWJZBr2QU8Kg_1_4"/>
      <w:bookmarkStart w:id="26" w:name="Tc_iiExL1oD-E6HvKWo7J2Csg_1_2"/>
      <w:bookmarkStart w:id="27" w:name="Tc_d_0zboCj3UCjwA4rGIsGtw_1_0"/>
      <w:bookmarkStart w:id="28" w:name="_53b60bb9_d9dd_4001_b7b2_d1819cb45679"/>
      <w:bookmarkEnd w:id="24"/>
      <w:bookmarkEnd w:id="25"/>
      <w:bookmarkEnd w:id="26"/>
      <w:bookmarkEnd w:id="27"/>
      <w:bookmarkEnd w:id="28"/>
    </w:p>
    <w:tbl>
      <w:tblPr>
        <w:tblW w:w="9310" w:type="dxa"/>
        <w:jc w:val="left"/>
        <w:tblInd w:w="0" w:type="dxa"/>
        <w:tblCellMar>
          <w:top w:w="0" w:type="dxa"/>
          <w:left w:w="0" w:type="dxa"/>
          <w:bottom w:w="0" w:type="dxa"/>
          <w:right w:w="0" w:type="dxa"/>
        </w:tblCellMar>
      </w:tblPr>
      <w:tblGrid>
        <w:gridCol w:w="3526"/>
        <w:gridCol w:w="326"/>
        <w:gridCol w:w="1366"/>
        <w:gridCol w:w="326"/>
        <w:gridCol w:w="3766"/>
      </w:tblGrid>
      <w:tr>
        <w:trPr/>
        <w:tc>
          <w:tcPr>
            <w:tcW w:w="3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6" w:type="dxa"/>
            <w:tcBorders/>
            <w:shd w:fill="auto" w:val="clear"/>
            <w:vAlign w:val="center"/>
          </w:tcPr>
          <w:p>
            <w:pPr>
              <w:pStyle w:val="TableContents"/>
              <w:spacing w:before="0" w:after="0"/>
              <w:ind w:left="0" w:right="0" w:hanging="0"/>
              <w:rPr/>
            </w:pPr>
            <w:r>
              <w:rPr/>
              <w:t>​</w:t>
            </w:r>
          </w:p>
        </w:tc>
      </w:tr>
      <w:tr>
        <w:trPr/>
        <w:tc>
          <w:tcPr>
            <w:tcW w:w="35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 of Securities Registered</w:t>
            </w:r>
          </w:p>
        </w:tc>
        <w:tc>
          <w:tcPr>
            <w:tcW w:w="326" w:type="dxa"/>
            <w:tcBorders/>
            <w:shd w:fill="auto" w:val="clear"/>
            <w:vAlign w:val="center"/>
          </w:tcPr>
          <w:p>
            <w:pPr>
              <w:pStyle w:val="TableContents"/>
              <w:spacing w:before="0" w:after="0"/>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Trading Symbol</w:t>
            </w:r>
          </w:p>
        </w:tc>
        <w:tc>
          <w:tcPr>
            <w:tcW w:w="326" w:type="dxa"/>
            <w:tcBorders/>
            <w:shd w:fill="auto" w:val="clear"/>
            <w:vAlign w:val="center"/>
          </w:tcPr>
          <w:p>
            <w:pPr>
              <w:pStyle w:val="TableContents"/>
              <w:spacing w:before="0" w:after="0"/>
              <w:ind w:left="0" w:right="0" w:hanging="0"/>
              <w:rPr/>
            </w:pPr>
            <w:r>
              <w:rPr/>
              <w:t>    </w:t>
            </w:r>
          </w:p>
        </w:tc>
        <w:tc>
          <w:tcPr>
            <w:tcW w:w="3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 on Which Registered</w:t>
            </w:r>
          </w:p>
        </w:tc>
      </w:tr>
      <w:tr>
        <w:trPr/>
        <w:tc>
          <w:tcPr>
            <w:tcW w:w="35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Common Stock, par value $0.0001 per share</w:t>
            </w:r>
          </w:p>
        </w:tc>
        <w:tc>
          <w:tcPr>
            <w:tcW w:w="326" w:type="dxa"/>
            <w:tcBorders/>
            <w:shd w:fill="auto" w:val="clear"/>
            <w:vAlign w:val="center"/>
          </w:tcPr>
          <w:p>
            <w:pPr>
              <w:pStyle w:val="TableContents"/>
              <w:spacing w:before="0" w:after="240"/>
              <w:ind w:left="0" w:right="0" w:hanging="0"/>
              <w:rPr/>
            </w:pPr>
            <w:r>
              <w:rPr/>
              <w:t>​</w:t>
            </w:r>
          </w:p>
        </w:tc>
        <w:tc>
          <w:tcPr>
            <w:tcW w:w="13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OLMA</w:t>
            </w:r>
          </w:p>
        </w:tc>
        <w:tc>
          <w:tcPr>
            <w:tcW w:w="326" w:type="dxa"/>
            <w:tcBorders/>
            <w:shd w:fill="auto" w:val="clear"/>
            <w:vAlign w:val="center"/>
          </w:tcPr>
          <w:p>
            <w:pPr>
              <w:pStyle w:val="TableContents"/>
              <w:spacing w:before="0" w:after="240"/>
              <w:ind w:left="0" w:right="0" w:hanging="0"/>
              <w:rPr/>
            </w:pPr>
            <w:r>
              <w:rPr/>
              <w:t>​</w:t>
            </w:r>
          </w:p>
        </w:tc>
        <w:tc>
          <w:tcPr>
            <w:tcW w:w="37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The Nasdaq Global Select Market</w:t>
            </w:r>
          </w:p>
        </w:tc>
      </w:tr>
    </w:tbl>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14"/>
        </w:rPr>
      </w:pPr>
      <w:r>
        <w:rPr>
          <w:rFonts w:ascii="Arial;Helvetica;sans-serif" w:hAnsi="Arial;Helvetica;sans-serif"/>
          <w:sz w:val="14"/>
        </w:rPr>
        <w:t>Securities registered pursuant to Section 12(g) of the Act: None</w:t>
      </w:r>
    </w:p>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14"/>
        </w:rPr>
        <w:t xml:space="preserve">Indicate by check mark if the registrant is a well-known seasoned issuer, as defined in Rule 405 of the Securities Act. YES </w:t>
      </w:r>
      <w:r>
        <w:rPr>
          <w:rFonts w:ascii="Arial;Helvetica;sans-serif" w:hAnsi="Arial;Helvetica;sans-serif"/>
          <w:sz w:val="20"/>
        </w:rPr>
        <w:t xml:space="preserve">☐ </w:t>
      </w:r>
      <w:r>
        <w:rPr>
          <w:rFonts w:ascii="Arial;Helvetica;sans-serif" w:hAnsi="Arial;Helvetica;sans-serif"/>
          <w:b w:val="false"/>
          <w:i w:val="false"/>
          <w:caps w:val="false"/>
          <w:smallCaps w:val="false"/>
          <w:sz w:val="14"/>
        </w:rPr>
        <w:t>NO</w:t>
      </w:r>
      <w:r>
        <w:rPr>
          <w:rFonts w:ascii="Arial;Helvetica;sans-serif" w:hAnsi="Arial;Helvetica;sans-serif"/>
          <w:sz w:val="20"/>
        </w:rPr>
        <w:t xml:space="preserve"> ☒</w:t>
      </w:r>
    </w:p>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14"/>
        </w:rPr>
        <w:t xml:space="preserve">Indicate by check mark if the registrant is not required to file reports pursuant to Section 13 or Section 15(d) of the Act. YES </w:t>
      </w:r>
      <w:r>
        <w:rPr>
          <w:rFonts w:ascii="Arial;Helvetica;sans-serif" w:hAnsi="Arial;Helvetica;sans-serif"/>
          <w:sz w:val="20"/>
        </w:rPr>
        <w:t xml:space="preserve">☐ </w:t>
      </w:r>
      <w:r>
        <w:rPr>
          <w:rFonts w:ascii="Arial;Helvetica;sans-serif" w:hAnsi="Arial;Helvetica;sans-serif"/>
          <w:b w:val="false"/>
          <w:i w:val="false"/>
          <w:caps w:val="false"/>
          <w:smallCaps w:val="false"/>
          <w:sz w:val="14"/>
        </w:rPr>
        <w:t>NO</w:t>
      </w:r>
      <w:r>
        <w:rPr>
          <w:rFonts w:ascii="Arial;Helvetica;sans-serif" w:hAnsi="Arial;Helvetica;sans-serif"/>
          <w:sz w:val="20"/>
        </w:rPr>
        <w:t xml:space="preserve"> ☒</w:t>
      </w:r>
    </w:p>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b w:val="false"/>
          <w:i w:val="false"/>
          <w:caps w:val="false"/>
          <w:smallCaps w:val="false"/>
          <w:sz w:val="14"/>
        </w:rPr>
        <w:t>YES</w:t>
      </w:r>
      <w:r>
        <w:rPr>
          <w:rFonts w:ascii="Arial;Helvetica;sans-serif" w:hAnsi="Arial;Helvetica;sans-serif"/>
          <w:sz w:val="20"/>
        </w:rPr>
        <w:t xml:space="preserve"> ☒ </w:t>
      </w:r>
      <w:r>
        <w:rPr>
          <w:rFonts w:ascii="Arial;Helvetica;sans-serif" w:hAnsi="Arial;Helvetica;sans-serif"/>
          <w:sz w:val="14"/>
        </w:rPr>
        <w:t>NO </w:t>
      </w:r>
      <w:r>
        <w:rPr>
          <w:rFonts w:ascii="Arial;Helvetica;sans-serif" w:hAnsi="Arial;Helvetica;sans-serif"/>
          <w:sz w:val="20"/>
        </w:rPr>
        <w:t>☐</w:t>
      </w:r>
    </w:p>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Helvetica;sans-serif" w:hAnsi="Arial;Helvetica;sans-serif"/>
          <w:b w:val="false"/>
          <w:i w:val="false"/>
          <w:caps w:val="false"/>
          <w:smallCaps w:val="false"/>
          <w:sz w:val="14"/>
        </w:rPr>
        <w:t>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9" w:name="Tc_s8BhPOOls0q7RX-rAYKG9g_3_2"/>
      <w:bookmarkStart w:id="30" w:name="Tc_i_tNsd6xXk6iiZDuWMXPbA_2_2"/>
      <w:bookmarkStart w:id="31" w:name="Tc_kxUY6nj8HUawpZG7ZuMcdA_2_1"/>
      <w:bookmarkStart w:id="32" w:name="Tc_Q94j0X3G8UCOAmP4hWhypg_2_0"/>
      <w:bookmarkStart w:id="33" w:name="Tc_wX4QOXafGkey-MhQWfbjPg_1_3"/>
      <w:bookmarkStart w:id="34" w:name="Tc_572nVwW7T0iGvxYZ2VDK0w_1_2"/>
      <w:bookmarkStart w:id="35" w:name="Tc_K9VM5pmzKESX0MaPuuanlA_1_1"/>
      <w:bookmarkStart w:id="36" w:name="_a4c94be2_fe22_49c6_9427_a92eda521a41"/>
      <w:bookmarkStart w:id="37" w:name="Tc_s8BhPOOls0q7RX-rAYKG9g_3_2"/>
      <w:bookmarkStart w:id="38" w:name="Tc_i_tNsd6xXk6iiZDuWMXPbA_2_2"/>
      <w:bookmarkStart w:id="39" w:name="Tc_kxUY6nj8HUawpZG7ZuMcdA_2_1"/>
      <w:bookmarkStart w:id="40" w:name="Tc_Q94j0X3G8UCOAmP4hWhypg_2_0"/>
      <w:bookmarkStart w:id="41" w:name="Tc_wX4QOXafGkey-MhQWfbjPg_1_3"/>
      <w:bookmarkStart w:id="42" w:name="Tc_572nVwW7T0iGvxYZ2VDK0w_1_2"/>
      <w:bookmarkStart w:id="43" w:name="Tc_K9VM5pmzKESX0MaPuuanlA_1_1"/>
      <w:bookmarkStart w:id="44" w:name="_a4c94be2_fe22_49c6_9427_a92eda521a41"/>
      <w:bookmarkEnd w:id="37"/>
      <w:bookmarkEnd w:id="38"/>
      <w:bookmarkEnd w:id="39"/>
      <w:bookmarkEnd w:id="40"/>
      <w:bookmarkEnd w:id="41"/>
      <w:bookmarkEnd w:id="42"/>
      <w:bookmarkEnd w:id="43"/>
      <w:bookmarkEnd w:id="44"/>
    </w:p>
    <w:tbl>
      <w:tblPr>
        <w:tblW w:w="3919" w:type="dxa"/>
        <w:jc w:val="left"/>
        <w:tblInd w:w="0" w:type="dxa"/>
        <w:tblCellMar>
          <w:top w:w="0" w:type="dxa"/>
          <w:left w:w="0" w:type="dxa"/>
          <w:bottom w:w="0" w:type="dxa"/>
          <w:right w:w="0" w:type="dxa"/>
        </w:tblCellMar>
      </w:tblPr>
      <w:tblGrid>
        <w:gridCol w:w="1501"/>
        <w:gridCol w:w="316"/>
        <w:gridCol w:w="1741"/>
        <w:gridCol w:w="361"/>
      </w:tblGrid>
      <w:tr>
        <w:trPr/>
        <w:tc>
          <w:tcPr>
            <w:tcW w:w="150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74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Large accelerated filer</w:t>
            </w:r>
          </w:p>
        </w:tc>
        <w:tc>
          <w:tcPr>
            <w:tcW w:w="316" w:type="dxa"/>
            <w:tcBorders/>
            <w:shd w:fill="auto" w:val="clear"/>
            <w:vAlign w:val="center"/>
          </w:tcPr>
          <w:p>
            <w:pPr>
              <w:pStyle w:val="TableContents"/>
              <w:spacing w:before="0" w:after="0"/>
              <w:ind w:left="0" w:right="0" w:hanging="0"/>
              <w:jc w:val="both"/>
              <w:rPr/>
            </w:pPr>
            <w:r>
              <w:rPr/>
              <w:t>☒</w:t>
            </w:r>
          </w:p>
        </w:tc>
        <w:tc>
          <w:tcPr>
            <w:tcW w:w="1741"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Non-accelerated filer</w:t>
            </w:r>
          </w:p>
        </w:tc>
        <w:tc>
          <w:tcPr>
            <w:tcW w:w="316" w:type="dxa"/>
            <w:tcBorders/>
            <w:shd w:fill="auto" w:val="clear"/>
            <w:vAlign w:val="center"/>
          </w:tcPr>
          <w:p>
            <w:pPr>
              <w:pStyle w:val="TableContents"/>
              <w:spacing w:before="0" w:after="0"/>
              <w:ind w:left="0" w:right="0" w:hanging="0"/>
              <w:jc w:val="both"/>
              <w:rPr/>
            </w:pPr>
            <w:r>
              <w:rPr/>
              <w:t>☐</w:t>
            </w:r>
          </w:p>
        </w:tc>
        <w:tc>
          <w:tcPr>
            <w:tcW w:w="1741"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240"/>
              <w:ind w:left="0" w:right="0" w:hanging="0"/>
              <w:rPr/>
            </w:pPr>
            <w:r>
              <w:rPr/>
              <w:t>​</w:t>
            </w:r>
          </w:p>
        </w:tc>
        <w:tc>
          <w:tcPr>
            <w:tcW w:w="316" w:type="dxa"/>
            <w:tcBorders/>
            <w:shd w:fill="auto" w:val="clear"/>
            <w:vAlign w:val="center"/>
          </w:tcPr>
          <w:p>
            <w:pPr>
              <w:pStyle w:val="TableContents"/>
              <w:spacing w:before="0" w:after="240"/>
              <w:ind w:left="0" w:right="0" w:hanging="0"/>
              <w:jc w:val="both"/>
              <w:rPr/>
            </w:pPr>
            <w:r>
              <w:rPr/>
              <w:t>​</w:t>
            </w:r>
          </w:p>
        </w:tc>
        <w:tc>
          <w:tcPr>
            <w:tcW w:w="1741"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Emerging growth company</w:t>
            </w:r>
          </w:p>
        </w:tc>
        <w:tc>
          <w:tcPr>
            <w:tcW w:w="361" w:type="dxa"/>
            <w:tcBorders/>
            <w:shd w:fill="auto" w:val="clear"/>
            <w:vAlign w:val="center"/>
          </w:tcPr>
          <w:p>
            <w:pPr>
              <w:pStyle w:val="TableContents"/>
              <w:spacing w:before="0" w:after="0"/>
              <w:ind w:left="520" w:right="0" w:hanging="0"/>
              <w:rPr/>
            </w:pPr>
            <w:r>
              <w:rPr/>
              <w:t>☐</w:t>
            </w:r>
          </w:p>
        </w:tc>
      </w:tr>
    </w:tbl>
    <w:p>
      <w:pPr>
        <w:pStyle w:val="TextBody"/>
        <w:spacing w:before="0" w:after="0"/>
        <w:ind w:left="0" w:right="0" w:hanging="0"/>
        <w:rPr/>
      </w:pPr>
      <w:r>
        <w:rPr/>
        <w:t>​</w:t>
      </w:r>
    </w:p>
    <w:p>
      <w:pPr>
        <w:pStyle w:val="TextBody"/>
        <w:spacing w:before="0" w:after="60"/>
        <w:ind w:left="0" w:right="0" w:hanging="0"/>
        <w:jc w:val="both"/>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68" w:before="0" w:after="60"/>
        <w:ind w:left="0" w:right="0" w:hanging="0"/>
        <w:rPr>
          <w:rFonts w:ascii="Arial;Helvetica;sans-serif" w:hAnsi="Arial;Helvetica;sans-serif"/>
          <w:sz w:val="20"/>
        </w:rPr>
      </w:pPr>
      <w:r>
        <w:rPr>
          <w:rFonts w:ascii="Arial;Helvetica;sans-serif" w:hAnsi="Arial;Helvetica;sans-serif"/>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Helvetica;sans-serif" w:hAnsi="Arial;Helvetica;sans-serif"/>
          <w:sz w:val="20"/>
        </w:rPr>
        <w:t>☒</w:t>
      </w:r>
    </w:p>
    <w:p>
      <w:pPr>
        <w:pStyle w:val="TextBody"/>
        <w:spacing w:before="0" w:after="60"/>
        <w:ind w:left="0" w:right="0" w:hanging="0"/>
        <w:jc w:val="both"/>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spacing w:before="0" w:after="60"/>
        <w:ind w:left="0" w:right="0" w:hanging="0"/>
        <w:jc w:val="both"/>
        <w:rPr>
          <w:rFonts w:ascii="Arial;Helvetica;sans-serif" w:hAnsi="Arial;Helvetica;sans-serif"/>
          <w:sz w:val="14"/>
        </w:rPr>
      </w:pPr>
      <w:r>
        <w:rPr>
          <w:rFonts w:ascii="Arial;Helvetica;sans-serif" w:hAnsi="Arial;Helvetica;sans-serif"/>
          <w:sz w:val="14"/>
        </w:rPr>
        <w:t>The aggregate market value of common stock held by non-affiliates of the Registrant, based on the closing sales price for such stock on June 30, 2021 as reported by The Nasdaq Global Select Market, was $714,737,964. This calculation excludes 14,819,639 shares held by executive officers, directors and stockholders that the Registrant has concluded are affiliates of the Registrant.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pStyle w:val="TextBody"/>
        <w:spacing w:before="0" w:after="60"/>
        <w:ind w:left="0" w:right="0" w:hanging="0"/>
        <w:jc w:val="both"/>
        <w:rPr>
          <w:rFonts w:ascii="Arial;Helvetica;sans-serif" w:hAnsi="Arial;Helvetica;sans-serif"/>
          <w:sz w:val="14"/>
        </w:rPr>
      </w:pPr>
      <w:r>
        <w:rPr>
          <w:rFonts w:ascii="Arial;Helvetica;sans-serif" w:hAnsi="Arial;Helvetica;sans-serif"/>
          <w:sz w:val="14"/>
        </w:rPr>
        <w:t>As of February 23, 2022, the number of outstanding shares of the Registrant’s common stock, par value $0.0001 per share, was 40,347,548.</w:t>
      </w:r>
    </w:p>
    <w:p>
      <w:pPr>
        <w:pStyle w:val="TextBody"/>
        <w:spacing w:before="0" w:after="60"/>
        <w:ind w:left="0" w:right="0" w:hanging="0"/>
        <w:jc w:val="center"/>
        <w:rPr>
          <w:rFonts w:ascii="Arial;Helvetica;sans-serif" w:hAnsi="Arial;Helvetica;sans-serif"/>
          <w:b/>
          <w:sz w:val="14"/>
        </w:rPr>
      </w:pPr>
      <w:r>
        <w:rPr>
          <w:rFonts w:ascii="Arial;Helvetica;sans-serif" w:hAnsi="Arial;Helvetica;sans-serif"/>
          <w:b/>
          <w:sz w:val="14"/>
        </w:rPr>
        <w:t>DOCUMENTS INCORPORATED BY REFERENCE</w:t>
      </w:r>
    </w:p>
    <w:p>
      <w:pPr>
        <w:pStyle w:val="TextBody"/>
        <w:spacing w:before="0" w:after="0"/>
        <w:ind w:left="0" w:right="0" w:hanging="0"/>
        <w:jc w:val="both"/>
        <w:rPr>
          <w:rFonts w:ascii="Arial;Helvetica;sans-serif" w:hAnsi="Arial;Helvetica;sans-serif"/>
          <w:sz w:val="14"/>
        </w:rPr>
      </w:pPr>
      <w:r>
        <w:rPr>
          <w:rFonts w:ascii="Arial;Helvetica;sans-serif" w:hAnsi="Arial;Helvetica;sans-serif"/>
          <w:sz w:val="14"/>
        </w:rPr>
        <w:t>Portions of the registrant’s definitive Proxy Statement for the 2022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pStyle w:val="TextBody"/>
        <w:spacing w:before="0" w:after="240"/>
        <w:ind w:left="0" w:right="0" w:hanging="0"/>
        <w:jc w:val="both"/>
        <w:rPr/>
      </w:pPr>
      <w:r>
        <w:rPr/>
        <w:t>​</w:t>
      </w:r>
    </w:p>
    <w:p>
      <w:pPr>
        <w:pStyle w:val="TextBody"/>
        <w:pBdr>
          <w:top w:val="single" w:sz="8" w:space="1" w:color="000000"/>
          <w:bottom w:val="single" w:sz="24" w:space="1" w:color="000000"/>
        </w:pBdr>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45" w:name="_0f7b0afc_30ed_43f4_a630_e58963d82077"/>
      <w:bookmarkEnd w:id="45"/>
      <w:r>
        <w:rPr>
          <w:rFonts w:ascii="Arial;Helvetica;sans-serif" w:hAnsi="Arial;Helvetica;sans-serif"/>
          <w:b/>
          <w:sz w:val="24"/>
        </w:rPr>
        <w:t>OLEMA PHARMACEUTICALS, INC.</w:t>
      </w:r>
    </w:p>
    <w:p>
      <w:pPr>
        <w:pStyle w:val="TextBody"/>
        <w:spacing w:before="0" w:after="240"/>
        <w:ind w:left="0" w:right="0" w:hanging="0"/>
        <w:jc w:val="center"/>
        <w:rPr>
          <w:rFonts w:ascii="Arial;Helvetica;sans-serif" w:hAnsi="Arial;Helvetica;sans-serif"/>
          <w:b/>
          <w:sz w:val="24"/>
        </w:rPr>
      </w:pPr>
      <w:r>
        <w:rPr>
          <w:rFonts w:ascii="Arial;Helvetica;sans-serif" w:hAnsi="Arial;Helvetica;sans-serif"/>
          <w:b/>
          <w:sz w:val="24"/>
        </w:rPr>
        <w:t>2021 ANNUAL REPORT ON FORM 10-K</w:t>
      </w:r>
    </w:p>
    <w:p>
      <w:pPr>
        <w:pStyle w:val="TextBody"/>
        <w:spacing w:before="0" w:after="240"/>
        <w:ind w:left="0" w:right="0" w:hanging="0"/>
        <w:jc w:val="center"/>
        <w:rPr>
          <w:rFonts w:ascii="Arial;Helvetica;sans-serif" w:hAnsi="Arial;Helvetica;sans-serif"/>
          <w:b/>
          <w:sz w:val="24"/>
        </w:rPr>
      </w:pPr>
      <w:bookmarkStart w:id="46" w:name="TOC"/>
      <w:bookmarkEnd w:id="46"/>
      <w:r>
        <w:rPr>
          <w:rFonts w:ascii="Arial;Helvetica;sans-serif" w:hAnsi="Arial;Helvetica;sans-serif"/>
          <w:b/>
          <w:sz w:val="24"/>
        </w:rPr>
        <w:t>TABLE OF CONTENTS</w:t>
      </w:r>
    </w:p>
    <w:tbl>
      <w:tblPr>
        <w:tblW w:w="10205" w:type="dxa"/>
        <w:jc w:val="left"/>
        <w:tblInd w:w="0" w:type="dxa"/>
        <w:tblCellMar>
          <w:top w:w="0" w:type="dxa"/>
          <w:left w:w="0" w:type="dxa"/>
          <w:bottom w:w="0" w:type="dxa"/>
          <w:right w:w="0" w:type="dxa"/>
        </w:tblCellMar>
      </w:tblPr>
      <w:tblGrid>
        <w:gridCol w:w="901"/>
        <w:gridCol w:w="326"/>
        <w:gridCol w:w="8362"/>
        <w:gridCol w:w="616"/>
      </w:tblGrid>
      <w:tr>
        <w:trPr/>
        <w:tc>
          <w:tcPr>
            <w:tcW w:w="901" w:type="dxa"/>
            <w:tcBorders/>
            <w:shd w:fill="auto" w:val="clear"/>
            <w:vAlign w:val="center"/>
          </w:tcPr>
          <w:p>
            <w:pPr>
              <w:pStyle w:val="TableContents"/>
              <w:spacing w:before="40" w:after="40"/>
              <w:ind w:left="0" w:right="0" w:hanging="0"/>
              <w:rPr/>
            </w:pPr>
            <w:r>
              <w:rPr/>
              <w:t>​</w:t>
            </w:r>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40" w:after="4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901" w:type="dxa"/>
            <w:tcBorders/>
            <w:shd w:fill="auto" w:val="clear"/>
            <w:vAlign w:val="center"/>
          </w:tcPr>
          <w:p>
            <w:pPr>
              <w:pStyle w:val="TableContents"/>
              <w:spacing w:before="40" w:after="40"/>
              <w:ind w:left="0" w:right="0" w:hanging="0"/>
              <w:rPr/>
            </w:pPr>
            <w:hyperlink w:anchor="PartI_11516">
              <w:r>
                <w:rPr>
                  <w:rStyle w:val="InternetLink"/>
                  <w:rFonts w:ascii="Arial;Helvetica;sans-serif" w:hAnsi="Arial;Helvetica;sans-serif"/>
                  <w:b w:val="false"/>
                  <w:i w:val="false"/>
                  <w:caps w:val="false"/>
                  <w:smallCaps w:val="false"/>
                  <w:sz w:val="20"/>
                </w:rPr>
                <w:t>PART I</w:t>
              </w:r>
            </w:hyperlink>
          </w:p>
        </w:tc>
        <w:tc>
          <w:tcPr>
            <w:tcW w:w="326" w:type="dxa"/>
            <w:tcBorders/>
            <w:shd w:fill="auto" w:val="clear"/>
            <w:vAlign w:val="center"/>
          </w:tcPr>
          <w:p>
            <w:pPr>
              <w:pStyle w:val="TableContents"/>
              <w:spacing w:before="40" w:after="40"/>
              <w:ind w:left="0" w:right="0" w:hanging="0"/>
              <w:rPr/>
            </w:pPr>
            <w:r>
              <w:rPr/>
              <w:t>    </w:t>
            </w:r>
          </w:p>
        </w:tc>
        <w:tc>
          <w:tcPr>
            <w:tcW w:w="8362" w:type="dxa"/>
            <w:tcBorders/>
            <w:shd w:fill="auto" w:val="clear"/>
            <w:vAlign w:val="center"/>
          </w:tcPr>
          <w:p>
            <w:pPr>
              <w:pStyle w:val="TableContents"/>
              <w:spacing w:before="40" w:after="40"/>
              <w:ind w:left="0" w:right="0" w:hanging="0"/>
              <w:rPr/>
            </w:pPr>
            <w:r>
              <w:rPr/>
              <w:t>​</w:t>
            </w:r>
          </w:p>
        </w:tc>
        <w:tc>
          <w:tcPr>
            <w:tcW w:w="616" w:type="dxa"/>
            <w:tcBorders>
              <w:top w:val="single" w:sz="2" w:space="0" w:color="000000"/>
            </w:tcBorders>
            <w:shd w:fill="auto" w:val="clear"/>
            <w:tcMar>
              <w:top w:w="28" w:type="dxa"/>
            </w:tcMar>
            <w:vAlign w:val="center"/>
          </w:tcPr>
          <w:p>
            <w:pPr>
              <w:pStyle w:val="TableContents"/>
              <w:spacing w:before="40" w:after="40"/>
              <w:ind w:left="0" w:right="0" w:hanging="0"/>
              <w:jc w:val="right"/>
              <w:rPr/>
            </w:pPr>
            <w:r>
              <w:rPr/>
              <w:t>​</w:t>
            </w:r>
          </w:p>
        </w:tc>
      </w:tr>
      <w:tr>
        <w:trPr/>
        <w:tc>
          <w:tcPr>
            <w:tcW w:w="901" w:type="dxa"/>
            <w:tcBorders/>
            <w:shd w:fill="auto" w:val="clear"/>
            <w:vAlign w:val="center"/>
          </w:tcPr>
          <w:p>
            <w:pPr>
              <w:pStyle w:val="TableContents"/>
              <w:spacing w:before="40" w:after="40"/>
              <w:ind w:left="0" w:right="0" w:hanging="0"/>
              <w:rPr/>
            </w:pPr>
            <w:hyperlink w:anchor="Item1Business_656638">
              <w:r>
                <w:rPr>
                  <w:rStyle w:val="InternetLink"/>
                  <w:rFonts w:ascii="Arial;Helvetica;sans-serif" w:hAnsi="Arial;Helvetica;sans-serif"/>
                  <w:b w:val="false"/>
                  <w:i w:val="false"/>
                  <w:caps w:val="false"/>
                  <w:smallCaps w:val="false"/>
                  <w:sz w:val="20"/>
                </w:rPr>
                <w:t>Item 1.</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Business_656638">
              <w:r>
                <w:rPr>
                  <w:rStyle w:val="InternetLink"/>
                  <w:rFonts w:ascii="Arial;Helvetica;sans-serif" w:hAnsi="Arial;Helvetica;sans-serif"/>
                  <w:b w:val="false"/>
                  <w:i w:val="false"/>
                  <w:caps w:val="false"/>
                  <w:smallCaps w:val="false"/>
                  <w:sz w:val="20"/>
                </w:rPr>
                <w:t>Business.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7</w:t>
            </w:r>
          </w:p>
        </w:tc>
      </w:tr>
      <w:tr>
        <w:trPr/>
        <w:tc>
          <w:tcPr>
            <w:tcW w:w="901" w:type="dxa"/>
            <w:tcBorders/>
            <w:shd w:fill="auto" w:val="clear"/>
            <w:vAlign w:val="center"/>
          </w:tcPr>
          <w:p>
            <w:pPr>
              <w:pStyle w:val="TableContents"/>
              <w:spacing w:before="40" w:after="40"/>
              <w:ind w:left="0" w:right="0" w:hanging="0"/>
              <w:rPr/>
            </w:pPr>
            <w:hyperlink w:anchor="Item1ARiskFactors_288716">
              <w:r>
                <w:rPr>
                  <w:rStyle w:val="InternetLink"/>
                  <w:rFonts w:ascii="Arial;Helvetica;sans-serif" w:hAnsi="Arial;Helvetica;sans-serif"/>
                  <w:b w:val="false"/>
                  <w:i w:val="false"/>
                  <w:caps w:val="false"/>
                  <w:smallCaps w:val="false"/>
                  <w:sz w:val="20"/>
                </w:rPr>
                <w:t>Item 1A.</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ARiskFactors_288716">
              <w:r>
                <w:rPr>
                  <w:rStyle w:val="InternetLink"/>
                  <w:rFonts w:ascii="Arial;Helvetica;sans-serif" w:hAnsi="Arial;Helvetica;sans-serif"/>
                  <w:b w:val="false"/>
                  <w:i w:val="false"/>
                  <w:caps w:val="false"/>
                  <w:smallCaps w:val="false"/>
                  <w:sz w:val="20"/>
                </w:rPr>
                <w:t>Risk Factors.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57</w:t>
            </w:r>
          </w:p>
        </w:tc>
      </w:tr>
      <w:tr>
        <w:trPr/>
        <w:tc>
          <w:tcPr>
            <w:tcW w:w="901" w:type="dxa"/>
            <w:tcBorders/>
            <w:shd w:fill="auto" w:val="clear"/>
            <w:vAlign w:val="center"/>
          </w:tcPr>
          <w:p>
            <w:pPr>
              <w:pStyle w:val="TableContents"/>
              <w:spacing w:before="40" w:after="40"/>
              <w:ind w:left="0" w:right="0" w:hanging="0"/>
              <w:rPr/>
            </w:pPr>
            <w:hyperlink w:anchor="Item1BUnresolvedStaffComments_880672">
              <w:r>
                <w:rPr>
                  <w:rStyle w:val="InternetLink"/>
                  <w:rFonts w:ascii="Arial;Helvetica;sans-serif" w:hAnsi="Arial;Helvetica;sans-serif"/>
                  <w:b w:val="false"/>
                  <w:i w:val="false"/>
                  <w:caps w:val="false"/>
                  <w:smallCaps w:val="false"/>
                  <w:sz w:val="20"/>
                </w:rPr>
                <w:t>Item 1B.</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BUnresolvedStaffComments_880672">
              <w:r>
                <w:rPr>
                  <w:rStyle w:val="InternetLink"/>
                  <w:rFonts w:ascii="Arial;Helvetica;sans-serif" w:hAnsi="Arial;Helvetica;sans-serif"/>
                  <w:b w:val="false"/>
                  <w:i w:val="false"/>
                  <w:caps w:val="false"/>
                  <w:smallCaps w:val="false"/>
                  <w:sz w:val="20"/>
                </w:rPr>
                <w:t>Unresolved Staff Comments.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901" w:type="dxa"/>
            <w:tcBorders/>
            <w:shd w:fill="auto" w:val="clear"/>
            <w:vAlign w:val="center"/>
          </w:tcPr>
          <w:p>
            <w:pPr>
              <w:pStyle w:val="TableContents"/>
              <w:spacing w:before="40" w:after="40"/>
              <w:ind w:left="0" w:right="0" w:hanging="0"/>
              <w:rPr/>
            </w:pPr>
            <w:hyperlink w:anchor="Item2Properties_585425">
              <w:r>
                <w:rPr>
                  <w:rStyle w:val="InternetLink"/>
                  <w:rFonts w:ascii="Arial;Helvetica;sans-serif" w:hAnsi="Arial;Helvetica;sans-serif"/>
                  <w:b w:val="false"/>
                  <w:i w:val="false"/>
                  <w:caps w:val="false"/>
                  <w:smallCaps w:val="false"/>
                  <w:sz w:val="20"/>
                </w:rPr>
                <w:t>Item 2.</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2Properties_585425">
              <w:r>
                <w:rPr>
                  <w:rStyle w:val="InternetLink"/>
                  <w:rFonts w:ascii="Arial;Helvetica;sans-serif" w:hAnsi="Arial;Helvetica;sans-serif"/>
                  <w:b w:val="false"/>
                  <w:i w:val="false"/>
                  <w:caps w:val="false"/>
                  <w:smallCaps w:val="false"/>
                  <w:sz w:val="20"/>
                </w:rPr>
                <w:t>Properties.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901" w:type="dxa"/>
            <w:tcBorders/>
            <w:shd w:fill="auto" w:val="clear"/>
            <w:vAlign w:val="center"/>
          </w:tcPr>
          <w:p>
            <w:pPr>
              <w:pStyle w:val="TableContents"/>
              <w:spacing w:before="40" w:after="40"/>
              <w:ind w:left="0" w:right="0" w:hanging="0"/>
              <w:rPr/>
            </w:pPr>
            <w:hyperlink w:anchor="Item3LegalProceedings_877218">
              <w:r>
                <w:rPr>
                  <w:rStyle w:val="InternetLink"/>
                  <w:rFonts w:ascii="Arial;Helvetica;sans-serif" w:hAnsi="Arial;Helvetica;sans-serif"/>
                  <w:b w:val="false"/>
                  <w:i w:val="false"/>
                  <w:caps w:val="false"/>
                  <w:smallCaps w:val="false"/>
                  <w:sz w:val="20"/>
                </w:rPr>
                <w:t>Item 3.</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3LegalProceedings_877218">
              <w:r>
                <w:rPr>
                  <w:rStyle w:val="InternetLink"/>
                  <w:rFonts w:ascii="Arial;Helvetica;sans-serif" w:hAnsi="Arial;Helvetica;sans-serif"/>
                  <w:b w:val="false"/>
                  <w:i w:val="false"/>
                  <w:caps w:val="false"/>
                  <w:smallCaps w:val="false"/>
                  <w:sz w:val="20"/>
                </w:rPr>
                <w:t>Legal Proceedings.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901" w:type="dxa"/>
            <w:tcBorders/>
            <w:shd w:fill="auto" w:val="clear"/>
            <w:vAlign w:val="center"/>
          </w:tcPr>
          <w:p>
            <w:pPr>
              <w:pStyle w:val="TableContents"/>
              <w:spacing w:before="40" w:after="40"/>
              <w:ind w:left="0" w:right="0" w:hanging="0"/>
              <w:rPr/>
            </w:pPr>
            <w:hyperlink w:anchor="Item4MineSafetyDisclosures_134638">
              <w:r>
                <w:rPr>
                  <w:rStyle w:val="InternetLink"/>
                  <w:rFonts w:ascii="Arial;Helvetica;sans-serif" w:hAnsi="Arial;Helvetica;sans-serif"/>
                  <w:b w:val="false"/>
                  <w:i w:val="false"/>
                  <w:caps w:val="false"/>
                  <w:smallCaps w:val="false"/>
                  <w:sz w:val="20"/>
                </w:rPr>
                <w:t>Item 4.</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4MineSafetyDisclosures_134638">
              <w:r>
                <w:rPr>
                  <w:rStyle w:val="InternetLink"/>
                  <w:rFonts w:ascii="Arial;Helvetica;sans-serif" w:hAnsi="Arial;Helvetica;sans-serif"/>
                  <w:b w:val="false"/>
                  <w:i w:val="false"/>
                  <w:caps w:val="false"/>
                  <w:smallCaps w:val="false"/>
                  <w:sz w:val="20"/>
                </w:rPr>
                <w:t>Mine Safety Disclosures.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901" w:type="dxa"/>
            <w:tcBorders/>
            <w:shd w:fill="auto" w:val="clear"/>
            <w:vAlign w:val="center"/>
          </w:tcPr>
          <w:p>
            <w:pPr>
              <w:pStyle w:val="TableContents"/>
              <w:spacing w:before="40" w:after="40"/>
              <w:ind w:left="0" w:right="0" w:hanging="0"/>
              <w:rPr/>
            </w:pPr>
            <w:hyperlink w:anchor="PARTII_307781">
              <w:r>
                <w:rPr>
                  <w:rStyle w:val="InternetLink"/>
                  <w:rFonts w:ascii="Arial;Helvetica;sans-serif" w:hAnsi="Arial;Helvetica;sans-serif"/>
                  <w:b w:val="false"/>
                  <w:i w:val="false"/>
                  <w:caps w:val="false"/>
                  <w:smallCaps w:val="false"/>
                  <w:sz w:val="20"/>
                </w:rPr>
                <w:t>PART II</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r>
              <w:rPr/>
              <w:t>​</w:t>
            </w:r>
          </w:p>
        </w:tc>
        <w:tc>
          <w:tcPr>
            <w:tcW w:w="616" w:type="dxa"/>
            <w:tcBorders/>
            <w:shd w:fill="auto" w:val="clear"/>
            <w:vAlign w:val="center"/>
          </w:tcPr>
          <w:p>
            <w:pPr>
              <w:pStyle w:val="TableContents"/>
              <w:spacing w:before="40" w:after="40"/>
              <w:ind w:left="0" w:right="0" w:hanging="0"/>
              <w:jc w:val="right"/>
              <w:rPr/>
            </w:pPr>
            <w:r>
              <w:rPr/>
              <w:t>​</w:t>
            </w:r>
          </w:p>
        </w:tc>
      </w:tr>
      <w:tr>
        <w:trPr/>
        <w:tc>
          <w:tcPr>
            <w:tcW w:w="901" w:type="dxa"/>
            <w:tcBorders/>
            <w:shd w:fill="auto" w:val="clear"/>
            <w:vAlign w:val="center"/>
          </w:tcPr>
          <w:p>
            <w:pPr>
              <w:pStyle w:val="TableContents"/>
              <w:spacing w:before="40" w:after="40"/>
              <w:ind w:left="0" w:right="0" w:hanging="0"/>
              <w:rPr/>
            </w:pPr>
            <w:hyperlink w:anchor="Item5MarketforRegistrantsCommonEquity_48">
              <w:r>
                <w:rPr>
                  <w:rStyle w:val="InternetLink"/>
                  <w:rFonts w:ascii="Arial;Helvetica;sans-serif" w:hAnsi="Arial;Helvetica;sans-serif"/>
                  <w:b w:val="false"/>
                  <w:i w:val="false"/>
                  <w:caps w:val="false"/>
                  <w:smallCaps w:val="false"/>
                  <w:sz w:val="20"/>
                </w:rPr>
                <w:t>Item 5.</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5MarketforRegistrantsCommonEquity_48">
              <w:r>
                <w:rPr>
                  <w:rStyle w:val="InternetLink"/>
                  <w:rFonts w:ascii="Arial;Helvetica;sans-serif" w:hAnsi="Arial;Helvetica;sans-serif"/>
                  <w:b w:val="false"/>
                  <w:i w:val="false"/>
                  <w:caps w:val="false"/>
                  <w:smallCaps w:val="false"/>
                  <w:sz w:val="20"/>
                </w:rPr>
                <w:t>Market for Registrant’s Common Equity, Related Stockholder Matters and Issuer Purchases of Equity Securities.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123</w:t>
            </w:r>
          </w:p>
        </w:tc>
      </w:tr>
      <w:tr>
        <w:trPr/>
        <w:tc>
          <w:tcPr>
            <w:tcW w:w="901" w:type="dxa"/>
            <w:tcBorders/>
            <w:shd w:fill="auto" w:val="clear"/>
            <w:vAlign w:val="center"/>
          </w:tcPr>
          <w:p>
            <w:pPr>
              <w:pStyle w:val="TableContents"/>
              <w:spacing w:before="40" w:after="40"/>
              <w:ind w:left="0" w:right="0" w:hanging="0"/>
              <w:rPr/>
            </w:pPr>
            <w:hyperlink w:anchor="Item6Reserved_105312">
              <w:r>
                <w:rPr>
                  <w:rStyle w:val="InternetLink"/>
                  <w:rFonts w:ascii="Arial;Helvetica;sans-serif" w:hAnsi="Arial;Helvetica;sans-serif"/>
                  <w:b w:val="false"/>
                  <w:i w:val="false"/>
                  <w:caps w:val="false"/>
                  <w:smallCaps w:val="false"/>
                  <w:sz w:val="20"/>
                </w:rPr>
                <w:t>Item 6.</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6Reserved_105312">
              <w:r>
                <w:rPr>
                  <w:rStyle w:val="InternetLink"/>
                  <w:rFonts w:ascii="Arial;Helvetica;sans-serif" w:hAnsi="Arial;Helvetica;sans-serif"/>
                  <w:b w:val="false"/>
                  <w:i w:val="false"/>
                  <w:caps w:val="false"/>
                  <w:smallCaps w:val="false"/>
                  <w:sz w:val="20"/>
                </w:rPr>
                <w:t>Reserved.</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124</w:t>
            </w:r>
          </w:p>
        </w:tc>
      </w:tr>
      <w:tr>
        <w:trPr/>
        <w:tc>
          <w:tcPr>
            <w:tcW w:w="901" w:type="dxa"/>
            <w:tcBorders/>
            <w:shd w:fill="auto" w:val="clear"/>
            <w:vAlign w:val="center"/>
          </w:tcPr>
          <w:p>
            <w:pPr>
              <w:pStyle w:val="TableContents"/>
              <w:spacing w:before="40" w:after="40"/>
              <w:ind w:left="0" w:right="0" w:hanging="0"/>
              <w:rPr/>
            </w:pPr>
            <w:hyperlink w:anchor="Item7ManagementsDiscussionandAnalysis_44">
              <w:r>
                <w:rPr>
                  <w:rStyle w:val="InternetLink"/>
                  <w:rFonts w:ascii="Arial;Helvetica;sans-serif" w:hAnsi="Arial;Helvetica;sans-serif"/>
                  <w:b w:val="false"/>
                  <w:i w:val="false"/>
                  <w:caps w:val="false"/>
                  <w:smallCaps w:val="false"/>
                  <w:sz w:val="20"/>
                </w:rPr>
                <w:t>Item 7.</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7ManagementsDiscussionandAnalysis_44">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125</w:t>
            </w:r>
          </w:p>
        </w:tc>
      </w:tr>
      <w:tr>
        <w:trPr/>
        <w:tc>
          <w:tcPr>
            <w:tcW w:w="901" w:type="dxa"/>
            <w:tcBorders/>
            <w:shd w:fill="auto" w:val="clear"/>
            <w:vAlign w:val="center"/>
          </w:tcPr>
          <w:p>
            <w:pPr>
              <w:pStyle w:val="TableContents"/>
              <w:spacing w:before="40" w:after="40"/>
              <w:ind w:left="0" w:right="0" w:hanging="0"/>
              <w:rPr/>
            </w:pPr>
            <w:hyperlink w:anchor="Item7AQuantitativeandQualitativeDisclosu">
              <w:r>
                <w:rPr>
                  <w:rStyle w:val="InternetLink"/>
                  <w:rFonts w:ascii="Arial;Helvetica;sans-serif" w:hAnsi="Arial;Helvetica;sans-serif"/>
                  <w:b w:val="false"/>
                  <w:i w:val="false"/>
                  <w:caps w:val="false"/>
                  <w:smallCaps w:val="false"/>
                  <w:sz w:val="20"/>
                </w:rPr>
                <w:t>Item 7A.</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7AQuantitativeandQualitativeDisclosu">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137</w:t>
            </w:r>
          </w:p>
        </w:tc>
      </w:tr>
      <w:tr>
        <w:trPr/>
        <w:tc>
          <w:tcPr>
            <w:tcW w:w="901" w:type="dxa"/>
            <w:tcBorders/>
            <w:shd w:fill="auto" w:val="clear"/>
            <w:vAlign w:val="center"/>
          </w:tcPr>
          <w:p>
            <w:pPr>
              <w:pStyle w:val="TableContents"/>
              <w:spacing w:before="40" w:after="40"/>
              <w:ind w:left="0" w:right="0" w:hanging="0"/>
              <w:rPr/>
            </w:pPr>
            <w:hyperlink w:anchor="Item8Fi">
              <w:r>
                <w:rPr>
                  <w:rStyle w:val="InternetLink"/>
                  <w:rFonts w:ascii="Arial;Helvetica;sans-serif" w:hAnsi="Arial;Helvetica;sans-serif"/>
                  <w:b w:val="false"/>
                  <w:i w:val="false"/>
                  <w:caps w:val="false"/>
                  <w:smallCaps w:val="false"/>
                  <w:sz w:val="20"/>
                </w:rPr>
                <w:t>Item 8.</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8Fi">
              <w:r>
                <w:rPr>
                  <w:rStyle w:val="InternetLink"/>
                  <w:rFonts w:ascii="Arial;Helvetica;sans-serif" w:hAnsi="Arial;Helvetica;sans-serif"/>
                  <w:b w:val="false"/>
                  <w:i w:val="false"/>
                  <w:caps w:val="false"/>
                  <w:smallCaps w:val="false"/>
                  <w:sz w:val="20"/>
                </w:rPr>
                <w:t>Consolidated Financial Statements and Supplementary Data.</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138</w:t>
            </w:r>
          </w:p>
        </w:tc>
      </w:tr>
      <w:tr>
        <w:trPr/>
        <w:tc>
          <w:tcPr>
            <w:tcW w:w="901" w:type="dxa"/>
            <w:tcBorders/>
            <w:shd w:fill="auto" w:val="clear"/>
            <w:vAlign w:val="center"/>
          </w:tcPr>
          <w:p>
            <w:pPr>
              <w:pStyle w:val="TableContents"/>
              <w:spacing w:before="40" w:after="40"/>
              <w:ind w:left="0" w:right="0" w:hanging="0"/>
              <w:rPr/>
            </w:pPr>
            <w:hyperlink w:anchor="Item9ChangesinandDisagreements_95124">
              <w:r>
                <w:rPr>
                  <w:rStyle w:val="InternetLink"/>
                  <w:rFonts w:ascii="Arial;Helvetica;sans-serif" w:hAnsi="Arial;Helvetica;sans-serif"/>
                  <w:b w:val="false"/>
                  <w:i w:val="false"/>
                  <w:caps w:val="false"/>
                  <w:smallCaps w:val="false"/>
                  <w:sz w:val="20"/>
                </w:rPr>
                <w:t>Item 9.</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9ChangesinandDisagreements_95124">
              <w:r>
                <w:rPr>
                  <w:rStyle w:val="InternetLink"/>
                  <w:rFonts w:ascii="Arial;Helvetica;sans-serif" w:hAnsi="Arial;Helvetica;sans-serif"/>
                  <w:b w:val="false"/>
                  <w:i w:val="false"/>
                  <w:caps w:val="false"/>
                  <w:smallCaps w:val="false"/>
                  <w:sz w:val="20"/>
                </w:rPr>
                <w:t>Changes in and Disagreements with Accountants on Accounting and Financial Disclosure.</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164</w:t>
            </w:r>
          </w:p>
        </w:tc>
      </w:tr>
      <w:tr>
        <w:trPr/>
        <w:tc>
          <w:tcPr>
            <w:tcW w:w="901" w:type="dxa"/>
            <w:tcBorders/>
            <w:shd w:fill="auto" w:val="clear"/>
            <w:vAlign w:val="center"/>
          </w:tcPr>
          <w:p>
            <w:pPr>
              <w:pStyle w:val="TableContents"/>
              <w:spacing w:before="40" w:after="40"/>
              <w:ind w:left="0" w:right="0" w:hanging="0"/>
              <w:rPr/>
            </w:pPr>
            <w:hyperlink w:anchor="Item9AControlsandProcedures_570946">
              <w:r>
                <w:rPr>
                  <w:rStyle w:val="InternetLink"/>
                  <w:rFonts w:ascii="Arial;Helvetica;sans-serif" w:hAnsi="Arial;Helvetica;sans-serif"/>
                  <w:b w:val="false"/>
                  <w:i w:val="false"/>
                  <w:caps w:val="false"/>
                  <w:smallCaps w:val="false"/>
                  <w:sz w:val="20"/>
                </w:rPr>
                <w:t>Item 9A.</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9AControlsandProcedures_570946">
              <w:r>
                <w:rPr>
                  <w:rStyle w:val="InternetLink"/>
                  <w:rFonts w:ascii="Arial;Helvetica;sans-serif" w:hAnsi="Arial;Helvetica;sans-serif"/>
                  <w:b w:val="false"/>
                  <w:i w:val="false"/>
                  <w:caps w:val="false"/>
                  <w:smallCaps w:val="false"/>
                  <w:sz w:val="20"/>
                </w:rPr>
                <w:t>Controls and Procedures.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164</w:t>
            </w:r>
          </w:p>
        </w:tc>
      </w:tr>
      <w:tr>
        <w:trPr/>
        <w:tc>
          <w:tcPr>
            <w:tcW w:w="901" w:type="dxa"/>
            <w:tcBorders/>
            <w:shd w:fill="auto" w:val="clear"/>
            <w:vAlign w:val="center"/>
          </w:tcPr>
          <w:p>
            <w:pPr>
              <w:pStyle w:val="TableContents"/>
              <w:spacing w:before="40" w:after="40"/>
              <w:ind w:left="0" w:right="0" w:hanging="0"/>
              <w:rPr/>
            </w:pPr>
            <w:hyperlink w:anchor="Item9BOtherInformation_723221">
              <w:r>
                <w:rPr>
                  <w:rStyle w:val="InternetLink"/>
                  <w:rFonts w:ascii="Arial;Helvetica;sans-serif" w:hAnsi="Arial;Helvetica;sans-serif"/>
                  <w:b w:val="false"/>
                  <w:i w:val="false"/>
                  <w:caps w:val="false"/>
                  <w:smallCaps w:val="false"/>
                  <w:sz w:val="20"/>
                </w:rPr>
                <w:t>Item 9B.</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9BOtherInformation_723221">
              <w:r>
                <w:rPr>
                  <w:rStyle w:val="InternetLink"/>
                  <w:rFonts w:ascii="Arial;Helvetica;sans-serif" w:hAnsi="Arial;Helvetica;sans-serif"/>
                  <w:b w:val="false"/>
                  <w:i w:val="false"/>
                  <w:caps w:val="false"/>
                  <w:smallCaps w:val="false"/>
                  <w:sz w:val="20"/>
                </w:rPr>
                <w:t>Other Information.</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167</w:t>
            </w:r>
          </w:p>
        </w:tc>
      </w:tr>
      <w:tr>
        <w:trPr/>
        <w:tc>
          <w:tcPr>
            <w:tcW w:w="901" w:type="dxa"/>
            <w:tcBorders/>
            <w:shd w:fill="auto" w:val="clear"/>
            <w:vAlign w:val="center"/>
          </w:tcPr>
          <w:p>
            <w:pPr>
              <w:pStyle w:val="TableContents"/>
              <w:spacing w:before="40" w:after="40"/>
              <w:ind w:left="0" w:right="0" w:hanging="0"/>
              <w:rPr/>
            </w:pPr>
            <w:hyperlink w:anchor="Item9CDisclosureRegardingForeignJurisdic">
              <w:r>
                <w:rPr>
                  <w:rStyle w:val="InternetLink"/>
                  <w:rFonts w:ascii="Arial;Helvetica;sans-serif" w:hAnsi="Arial;Helvetica;sans-serif"/>
                  <w:b w:val="false"/>
                  <w:i w:val="false"/>
                  <w:caps w:val="false"/>
                  <w:smallCaps w:val="false"/>
                  <w:sz w:val="20"/>
                </w:rPr>
                <w:t>Item 9C</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9CDisclosureRegardingForeignJurisdic">
              <w:r>
                <w:rPr>
                  <w:rStyle w:val="InternetLink"/>
                  <w:rFonts w:ascii="Arial;Helvetica;sans-serif" w:hAnsi="Arial;Helvetica;sans-serif"/>
                  <w:b w:val="false"/>
                  <w:i w:val="false"/>
                  <w:caps w:val="false"/>
                  <w:smallCaps w:val="false"/>
                  <w:sz w:val="20"/>
                </w:rPr>
                <w:t>Disclosure Regarding Foreign Jurisdictions that Prevent Inspections</w:t>
              </w:r>
            </w:hyperlink>
            <w:r>
              <w:rPr>
                <w:rFonts w:ascii="Arial;Helvetica;sans-serif" w:hAnsi="Arial;Helvetica;sans-serif"/>
                <w:sz w:val="20"/>
              </w:rPr>
              <w:t>.</w:t>
            </w:r>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167</w:t>
            </w:r>
          </w:p>
        </w:tc>
      </w:tr>
      <w:tr>
        <w:trPr/>
        <w:tc>
          <w:tcPr>
            <w:tcW w:w="901" w:type="dxa"/>
            <w:tcBorders/>
            <w:shd w:fill="auto" w:val="clear"/>
            <w:vAlign w:val="center"/>
          </w:tcPr>
          <w:p>
            <w:pPr>
              <w:pStyle w:val="TableContents"/>
              <w:spacing w:before="40" w:after="40"/>
              <w:ind w:left="0" w:right="0" w:hanging="0"/>
              <w:rPr/>
            </w:pPr>
            <w:hyperlink w:anchor="PARTIII_69779">
              <w:r>
                <w:rPr>
                  <w:rStyle w:val="InternetLink"/>
                  <w:rFonts w:ascii="Arial;Helvetica;sans-serif" w:hAnsi="Arial;Helvetica;sans-serif"/>
                  <w:b w:val="false"/>
                  <w:i w:val="false"/>
                  <w:caps w:val="false"/>
                  <w:smallCaps w:val="false"/>
                  <w:sz w:val="20"/>
                </w:rPr>
                <w:t>PART III</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r>
              <w:rPr/>
              <w:t>​</w:t>
            </w:r>
          </w:p>
        </w:tc>
        <w:tc>
          <w:tcPr>
            <w:tcW w:w="616" w:type="dxa"/>
            <w:tcBorders/>
            <w:shd w:fill="auto" w:val="clear"/>
            <w:vAlign w:val="center"/>
          </w:tcPr>
          <w:p>
            <w:pPr>
              <w:pStyle w:val="TableContents"/>
              <w:spacing w:before="40" w:after="40"/>
              <w:ind w:left="0" w:right="0" w:hanging="0"/>
              <w:jc w:val="right"/>
              <w:rPr/>
            </w:pPr>
            <w:r>
              <w:rPr/>
              <w:t>​</w:t>
            </w:r>
          </w:p>
        </w:tc>
      </w:tr>
      <w:tr>
        <w:trPr/>
        <w:tc>
          <w:tcPr>
            <w:tcW w:w="901" w:type="dxa"/>
            <w:tcBorders/>
            <w:shd w:fill="auto" w:val="clear"/>
            <w:vAlign w:val="center"/>
          </w:tcPr>
          <w:p>
            <w:pPr>
              <w:pStyle w:val="TableContents"/>
              <w:spacing w:before="40" w:after="40"/>
              <w:ind w:left="0" w:right="0" w:hanging="0"/>
              <w:rPr/>
            </w:pPr>
            <w:hyperlink w:anchor="Item10DirectorsExecutiveOfficers_466454">
              <w:r>
                <w:rPr>
                  <w:rStyle w:val="InternetLink"/>
                  <w:rFonts w:ascii="Arial;Helvetica;sans-serif" w:hAnsi="Arial;Helvetica;sans-serif"/>
                  <w:b w:val="false"/>
                  <w:i w:val="false"/>
                  <w:caps w:val="false"/>
                  <w:smallCaps w:val="false"/>
                  <w:sz w:val="20"/>
                </w:rPr>
                <w:t>Item 10.</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0DirectorsExecutiveOfficers_466454">
              <w:r>
                <w:rPr>
                  <w:rStyle w:val="InternetLink"/>
                  <w:rFonts w:ascii="Arial;Helvetica;sans-serif" w:hAnsi="Arial;Helvetica;sans-serif"/>
                  <w:b w:val="false"/>
                  <w:i w:val="false"/>
                  <w:caps w:val="false"/>
                  <w:smallCaps w:val="false"/>
                  <w:sz w:val="20"/>
                </w:rPr>
                <w:t>Directors, Executive Officers and Corporate Governance.</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168</w:t>
            </w:r>
          </w:p>
        </w:tc>
      </w:tr>
      <w:tr>
        <w:trPr/>
        <w:tc>
          <w:tcPr>
            <w:tcW w:w="901" w:type="dxa"/>
            <w:tcBorders/>
            <w:shd w:fill="auto" w:val="clear"/>
            <w:vAlign w:val="center"/>
          </w:tcPr>
          <w:p>
            <w:pPr>
              <w:pStyle w:val="TableContents"/>
              <w:spacing w:before="40" w:after="40"/>
              <w:ind w:left="0" w:right="0" w:hanging="0"/>
              <w:rPr/>
            </w:pPr>
            <w:hyperlink w:anchor="Item11ExecutiveCompensation_62120">
              <w:r>
                <w:rPr>
                  <w:rStyle w:val="InternetLink"/>
                  <w:rFonts w:ascii="Arial;Helvetica;sans-serif" w:hAnsi="Arial;Helvetica;sans-serif"/>
                  <w:b w:val="false"/>
                  <w:i w:val="false"/>
                  <w:caps w:val="false"/>
                  <w:smallCaps w:val="false"/>
                  <w:sz w:val="20"/>
                </w:rPr>
                <w:t>Item 11.</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1ExecutiveCompensation_62120">
              <w:r>
                <w:rPr>
                  <w:rStyle w:val="InternetLink"/>
                  <w:rFonts w:ascii="Arial;Helvetica;sans-serif" w:hAnsi="Arial;Helvetica;sans-serif"/>
                  <w:b w:val="false"/>
                  <w:i w:val="false"/>
                  <w:caps w:val="false"/>
                  <w:smallCaps w:val="false"/>
                  <w:sz w:val="20"/>
                </w:rPr>
                <w:t>Executive Compensation.</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168</w:t>
            </w:r>
          </w:p>
        </w:tc>
      </w:tr>
      <w:tr>
        <w:trPr/>
        <w:tc>
          <w:tcPr>
            <w:tcW w:w="901" w:type="dxa"/>
            <w:tcBorders/>
            <w:shd w:fill="auto" w:val="clear"/>
            <w:vAlign w:val="center"/>
          </w:tcPr>
          <w:p>
            <w:pPr>
              <w:pStyle w:val="TableContents"/>
              <w:spacing w:before="40" w:after="40"/>
              <w:ind w:left="0" w:right="0" w:hanging="0"/>
              <w:rPr/>
            </w:pPr>
            <w:hyperlink w:anchor="Item12SecurityOwnershipofCertainBenefici">
              <w:r>
                <w:rPr>
                  <w:rStyle w:val="InternetLink"/>
                  <w:rFonts w:ascii="Arial;Helvetica;sans-serif" w:hAnsi="Arial;Helvetica;sans-serif"/>
                  <w:b w:val="false"/>
                  <w:i w:val="false"/>
                  <w:caps w:val="false"/>
                  <w:smallCaps w:val="false"/>
                  <w:sz w:val="20"/>
                </w:rPr>
                <w:t>Item 12.</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2SecurityOwnershipofCertainBenefici">
              <w:r>
                <w:rPr>
                  <w:rStyle w:val="InternetLink"/>
                  <w:rFonts w:ascii="Arial;Helvetica;sans-serif" w:hAnsi="Arial;Helvetica;sans-serif"/>
                  <w:b w:val="false"/>
                  <w:i w:val="false"/>
                  <w:caps w:val="false"/>
                  <w:smallCaps w:val="false"/>
                  <w:sz w:val="20"/>
                </w:rPr>
                <w:t>Security Ownership of Certain Beneficial Owners and Management and Related Stockholder Matters.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168</w:t>
            </w:r>
          </w:p>
        </w:tc>
      </w:tr>
      <w:tr>
        <w:trPr/>
        <w:tc>
          <w:tcPr>
            <w:tcW w:w="901" w:type="dxa"/>
            <w:tcBorders/>
            <w:shd w:fill="auto" w:val="clear"/>
            <w:vAlign w:val="center"/>
          </w:tcPr>
          <w:p>
            <w:pPr>
              <w:pStyle w:val="TableContents"/>
              <w:spacing w:before="40" w:after="40"/>
              <w:ind w:left="0" w:right="0" w:hanging="0"/>
              <w:rPr/>
            </w:pPr>
            <w:hyperlink w:anchor="Item13CertainRelationshipsandRelatedTran">
              <w:r>
                <w:rPr>
                  <w:rStyle w:val="InternetLink"/>
                  <w:rFonts w:ascii="Arial;Helvetica;sans-serif" w:hAnsi="Arial;Helvetica;sans-serif"/>
                  <w:b w:val="false"/>
                  <w:i w:val="false"/>
                  <w:caps w:val="false"/>
                  <w:smallCaps w:val="false"/>
                  <w:sz w:val="20"/>
                </w:rPr>
                <w:t>Item 13.</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3CertainRelationshipsandRelatedTran">
              <w:r>
                <w:rPr>
                  <w:rStyle w:val="InternetLink"/>
                  <w:rFonts w:ascii="Arial;Helvetica;sans-serif" w:hAnsi="Arial;Helvetica;sans-serif"/>
                  <w:b w:val="false"/>
                  <w:i w:val="false"/>
                  <w:caps w:val="false"/>
                  <w:smallCaps w:val="false"/>
                  <w:sz w:val="20"/>
                </w:rPr>
                <w:t>Certain Relationships and Related Transactions, and Director Independence.</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168</w:t>
            </w:r>
          </w:p>
        </w:tc>
      </w:tr>
      <w:tr>
        <w:trPr/>
        <w:tc>
          <w:tcPr>
            <w:tcW w:w="901" w:type="dxa"/>
            <w:tcBorders/>
            <w:shd w:fill="auto" w:val="clear"/>
            <w:vAlign w:val="center"/>
          </w:tcPr>
          <w:p>
            <w:pPr>
              <w:pStyle w:val="TableContents"/>
              <w:spacing w:before="40" w:after="40"/>
              <w:ind w:left="0" w:right="0" w:hanging="0"/>
              <w:rPr/>
            </w:pPr>
            <w:hyperlink w:anchor="Item14PrincipalAccountingFees_835104">
              <w:r>
                <w:rPr>
                  <w:rStyle w:val="InternetLink"/>
                  <w:rFonts w:ascii="Arial;Helvetica;sans-serif" w:hAnsi="Arial;Helvetica;sans-serif"/>
                  <w:b w:val="false"/>
                  <w:i w:val="false"/>
                  <w:caps w:val="false"/>
                  <w:smallCaps w:val="false"/>
                  <w:sz w:val="20"/>
                </w:rPr>
                <w:t>Item 14.</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4PrincipalAccountingFees_835104">
              <w:r>
                <w:rPr>
                  <w:rStyle w:val="InternetLink"/>
                  <w:rFonts w:ascii="Arial;Helvetica;sans-serif" w:hAnsi="Arial;Helvetica;sans-serif"/>
                  <w:b w:val="false"/>
                  <w:i w:val="false"/>
                  <w:caps w:val="false"/>
                  <w:smallCaps w:val="false"/>
                  <w:sz w:val="20"/>
                </w:rPr>
                <w:t>Principal Accountant Fees and Services.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168</w:t>
            </w:r>
          </w:p>
        </w:tc>
      </w:tr>
      <w:tr>
        <w:trPr/>
        <w:tc>
          <w:tcPr>
            <w:tcW w:w="901" w:type="dxa"/>
            <w:tcBorders/>
            <w:shd w:fill="auto" w:val="clear"/>
            <w:vAlign w:val="center"/>
          </w:tcPr>
          <w:p>
            <w:pPr>
              <w:pStyle w:val="TableContents"/>
              <w:spacing w:before="40" w:after="40"/>
              <w:ind w:left="0" w:right="0" w:hanging="0"/>
              <w:rPr/>
            </w:pPr>
            <w:hyperlink w:anchor="PARTIV_405800">
              <w:r>
                <w:rPr>
                  <w:rStyle w:val="InternetLink"/>
                  <w:rFonts w:ascii="Arial;Helvetica;sans-serif" w:hAnsi="Arial;Helvetica;sans-serif"/>
                  <w:b w:val="false"/>
                  <w:i w:val="false"/>
                  <w:caps w:val="false"/>
                  <w:smallCaps w:val="false"/>
                  <w:sz w:val="20"/>
                </w:rPr>
                <w:t>PART IV</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r>
              <w:rPr/>
              <w:t>​</w:t>
            </w:r>
          </w:p>
        </w:tc>
        <w:tc>
          <w:tcPr>
            <w:tcW w:w="616" w:type="dxa"/>
            <w:tcBorders/>
            <w:shd w:fill="auto" w:val="clear"/>
            <w:vAlign w:val="center"/>
          </w:tcPr>
          <w:p>
            <w:pPr>
              <w:pStyle w:val="TableContents"/>
              <w:spacing w:before="40" w:after="40"/>
              <w:ind w:left="0" w:right="0" w:hanging="0"/>
              <w:jc w:val="right"/>
              <w:rPr/>
            </w:pPr>
            <w:r>
              <w:rPr/>
              <w:t>​</w:t>
            </w:r>
          </w:p>
        </w:tc>
      </w:tr>
      <w:tr>
        <w:trPr/>
        <w:tc>
          <w:tcPr>
            <w:tcW w:w="901" w:type="dxa"/>
            <w:tcBorders/>
            <w:shd w:fill="auto" w:val="clear"/>
            <w:vAlign w:val="center"/>
          </w:tcPr>
          <w:p>
            <w:pPr>
              <w:pStyle w:val="TableContents"/>
              <w:spacing w:before="40" w:after="40"/>
              <w:ind w:left="0" w:right="0" w:hanging="0"/>
              <w:rPr/>
            </w:pPr>
            <w:hyperlink w:anchor="Item15ExhibitsFinancialStatementSchedule">
              <w:r>
                <w:rPr>
                  <w:rStyle w:val="InternetLink"/>
                  <w:rFonts w:ascii="Arial;Helvetica;sans-serif" w:hAnsi="Arial;Helvetica;sans-serif"/>
                  <w:b w:val="false"/>
                  <w:i w:val="false"/>
                  <w:caps w:val="false"/>
                  <w:smallCaps w:val="false"/>
                  <w:sz w:val="20"/>
                </w:rPr>
                <w:t>Item 15.</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5ExhibitsFinancialStatementSchedule">
              <w:r>
                <w:rPr>
                  <w:rStyle w:val="InternetLink"/>
                  <w:rFonts w:ascii="Arial;Helvetica;sans-serif" w:hAnsi="Arial;Helvetica;sans-serif"/>
                  <w:b w:val="false"/>
                  <w:i w:val="false"/>
                  <w:caps w:val="false"/>
                  <w:smallCaps w:val="false"/>
                  <w:sz w:val="20"/>
                </w:rPr>
                <w:t>Exhibit and Consolidated Financial Statement Schedules.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169</w:t>
            </w:r>
          </w:p>
        </w:tc>
      </w:tr>
      <w:tr>
        <w:trPr/>
        <w:tc>
          <w:tcPr>
            <w:tcW w:w="901" w:type="dxa"/>
            <w:tcBorders/>
            <w:shd w:fill="auto" w:val="clear"/>
            <w:vAlign w:val="center"/>
          </w:tcPr>
          <w:p>
            <w:pPr>
              <w:pStyle w:val="TableContents"/>
              <w:spacing w:before="40" w:after="40"/>
              <w:ind w:left="0" w:right="0" w:hanging="0"/>
              <w:rPr/>
            </w:pPr>
            <w:hyperlink w:anchor="Item16Form10KSummary_189122">
              <w:r>
                <w:rPr>
                  <w:rStyle w:val="InternetLink"/>
                  <w:rFonts w:ascii="Arial;Helvetica;sans-serif" w:hAnsi="Arial;Helvetica;sans-serif"/>
                  <w:b w:val="false"/>
                  <w:i w:val="false"/>
                  <w:caps w:val="false"/>
                  <w:smallCaps w:val="false"/>
                  <w:sz w:val="20"/>
                </w:rPr>
                <w:t>Item 16.</w:t>
              </w:r>
            </w:hyperlink>
          </w:p>
        </w:tc>
        <w:tc>
          <w:tcPr>
            <w:tcW w:w="326" w:type="dxa"/>
            <w:tcBorders/>
            <w:shd w:fill="auto" w:val="clear"/>
            <w:vAlign w:val="center"/>
          </w:tcPr>
          <w:p>
            <w:pPr>
              <w:pStyle w:val="TableContents"/>
              <w:spacing w:before="40" w:after="40"/>
              <w:ind w:left="0" w:right="0" w:hanging="0"/>
              <w:rPr/>
            </w:pPr>
            <w:r>
              <w:rPr/>
              <w:t>​</w:t>
            </w:r>
          </w:p>
        </w:tc>
        <w:tc>
          <w:tcPr>
            <w:tcW w:w="8362" w:type="dxa"/>
            <w:tcBorders/>
            <w:shd w:fill="auto" w:val="clear"/>
            <w:vAlign w:val="center"/>
          </w:tcPr>
          <w:p>
            <w:pPr>
              <w:pStyle w:val="TableContents"/>
              <w:spacing w:before="40" w:after="40"/>
              <w:ind w:left="0" w:right="0" w:hanging="0"/>
              <w:rPr/>
            </w:pPr>
            <w:hyperlink w:anchor="Item16Form10KSummary_189122">
              <w:r>
                <w:rPr>
                  <w:rStyle w:val="InternetLink"/>
                  <w:rFonts w:ascii="Arial;Helvetica;sans-serif" w:hAnsi="Arial;Helvetica;sans-serif"/>
                  <w:b w:val="false"/>
                  <w:i w:val="false"/>
                  <w:caps w:val="false"/>
                  <w:smallCaps w:val="false"/>
                  <w:sz w:val="20"/>
                </w:rPr>
                <w:t>Form 10-K Summary.</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172</w:t>
            </w:r>
          </w:p>
        </w:tc>
      </w:tr>
      <w:tr>
        <w:trPr/>
        <w:tc>
          <w:tcPr>
            <w:tcW w:w="9589" w:type="dxa"/>
            <w:gridSpan w:val="3"/>
            <w:tcBorders/>
            <w:shd w:fill="auto" w:val="clear"/>
            <w:vAlign w:val="center"/>
          </w:tcPr>
          <w:p>
            <w:pPr>
              <w:pStyle w:val="TableContents"/>
              <w:spacing w:before="40" w:after="40"/>
              <w:ind w:left="0" w:right="0" w:hanging="0"/>
              <w:rPr/>
            </w:pPr>
            <w:hyperlink w:anchor="SIGNATURES_192989">
              <w:r>
                <w:rPr>
                  <w:rStyle w:val="InternetLink"/>
                  <w:rFonts w:ascii="Arial;Helvetica;sans-serif" w:hAnsi="Arial;Helvetica;sans-serif"/>
                  <w:b w:val="false"/>
                  <w:i w:val="false"/>
                  <w:caps w:val="false"/>
                  <w:smallCaps w:val="false"/>
                  <w:sz w:val="20"/>
                </w:rPr>
                <w:t>SIGNATURES</w:t>
              </w:r>
            </w:hyperlink>
          </w:p>
        </w:tc>
        <w:tc>
          <w:tcPr>
            <w:tcW w:w="616"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173</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Unless the context suggests otherwise, references in this Annual Report on Form 10-K, or the Annual Report, to “us,” “our,” “Olema,” “Olema Pharmaceuticals,” “we,” the “Company” and similar designations refer to Olema Pharmaceuticals, Inc. and, where appropriate, its subsidiary.</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47" w:name="_fd3d2212_3602_4acc_920c_1acaa230bde5"/>
      <w:bookmarkEnd w:id="47"/>
      <w:r>
        <w:rPr>
          <w:rFonts w:ascii="Arial;Helvetica;sans-serif" w:hAnsi="Arial;Helvetica;sans-serif"/>
          <w:b/>
          <w:sz w:val="24"/>
        </w:rPr>
        <w:t>SPECIAL NOTE REGARDING FORWARD-LOOKING STATEMENTS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tbl>
      <w:tblPr>
        <w:tblW w:w="2781" w:type="dxa"/>
        <w:jc w:val="left"/>
        <w:tblInd w:w="0" w:type="dxa"/>
        <w:tblCellMar>
          <w:top w:w="28" w:type="dxa"/>
          <w:left w:w="28" w:type="dxa"/>
          <w:bottom w:w="28" w:type="dxa"/>
          <w:right w:w="28" w:type="dxa"/>
        </w:tblCellMar>
      </w:tblPr>
      <w:tblGrid>
        <w:gridCol w:w="124"/>
        <w:gridCol w:w="256"/>
        <w:gridCol w:w="2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24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financial performance;</w:t>
            </w:r>
          </w:p>
        </w:tc>
      </w:tr>
    </w:tbl>
    <w:tbl>
      <w:tblPr>
        <w:tblW w:w="10191" w:type="dxa"/>
        <w:jc w:val="left"/>
        <w:tblInd w:w="0" w:type="dxa"/>
        <w:tblCellMar>
          <w:top w:w="28" w:type="dxa"/>
          <w:left w:w="28" w:type="dxa"/>
          <w:bottom w:w="28" w:type="dxa"/>
          <w:right w:w="28" w:type="dxa"/>
        </w:tblCellMar>
      </w:tblPr>
      <w:tblGrid>
        <w:gridCol w:w="124"/>
        <w:gridCol w:w="25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sufficiency of our existing cash to fund our future operating expenses and capital expenditure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accuracy of our estimates regarding expenses, future revenue, capital requirements, and needs for additional financing;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progress, results and costs of developing OP-1250 or any other product candidates we may develop, and conducting nonclinical studies and clinical trials, including our OP-1250 Phase 1/2 clinical trial;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costs involved in obtaining and maintaining regulatory approval of OP-1250 or any other product candidates we may develop, and the timing or likelihood of regulatory filings and approvals, including our expectation to seek special designations for our product candidates for various diseases;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plans relating to commercializing OP-1250 and any other product candidates we may develop, if approved, including the geographic areas of focus and our ability to grow a sales team;</w:t>
            </w:r>
          </w:p>
        </w:tc>
      </w:tr>
    </w:tbl>
    <w:tbl>
      <w:tblPr>
        <w:tblW w:w="10101" w:type="dxa"/>
        <w:jc w:val="left"/>
        <w:tblInd w:w="0" w:type="dxa"/>
        <w:tblCellMar>
          <w:top w:w="28" w:type="dxa"/>
          <w:left w:w="28" w:type="dxa"/>
          <w:bottom w:w="28" w:type="dxa"/>
          <w:right w:w="28" w:type="dxa"/>
        </w:tblCellMar>
      </w:tblPr>
      <w:tblGrid>
        <w:gridCol w:w="124"/>
        <w:gridCol w:w="256"/>
        <w:gridCol w:w="9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7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impact of the COVID-19 pandemic on our business and operations, including enrollment in our clinical trial;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implementation of our strategic plans for our business and OP-1250 or any other product candidates we may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size of the market opportunity for OP-1250 or any other product candidates we may develop in each of the diseases we target;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reliance on third parties to conduct nonclinical research activities, and for the manufacture of OP-1250 and any other product candidates we may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beneficial characteristics, safety, efficacy and therapeutic effects of OP-1250 and any other product candidates we may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estimates of the number of patients in the United States who suffer from the diseases we target and the number of subjects that will enroll in our clinical trials;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576" w:type="dxa"/>
        <w:jc w:val="left"/>
        <w:tblInd w:w="0" w:type="dxa"/>
        <w:tblCellMar>
          <w:top w:w="28" w:type="dxa"/>
          <w:left w:w="28" w:type="dxa"/>
          <w:bottom w:w="28" w:type="dxa"/>
          <w:right w:w="28" w:type="dxa"/>
        </w:tblCellMar>
      </w:tblPr>
      <w:tblGrid>
        <w:gridCol w:w="124"/>
        <w:gridCol w:w="256"/>
        <w:gridCol w:w="9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1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progress and focus of our current and future clinical trials, and the reporting of data from those trials;</w:t>
            </w:r>
          </w:p>
        </w:tc>
      </w:tr>
    </w:tbl>
    <w:tbl>
      <w:tblPr>
        <w:tblW w:w="8061" w:type="dxa"/>
        <w:jc w:val="left"/>
        <w:tblInd w:w="0" w:type="dxa"/>
        <w:tblCellMar>
          <w:top w:w="28" w:type="dxa"/>
          <w:left w:w="28" w:type="dxa"/>
          <w:bottom w:w="28" w:type="dxa"/>
          <w:right w:w="28" w:type="dxa"/>
        </w:tblCellMar>
      </w:tblPr>
      <w:tblGrid>
        <w:gridCol w:w="124"/>
        <w:gridCol w:w="25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6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advance product candidates into and successfully complete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ability of our clinical trials to demonstrate the safety and efficacy of OP-1250 and any other product candidates we may develop, and other positive results;</w:t>
            </w:r>
          </w:p>
        </w:tc>
      </w:tr>
    </w:tbl>
    <w:tbl>
      <w:tblPr>
        <w:tblW w:w="6651" w:type="dxa"/>
        <w:jc w:val="left"/>
        <w:tblInd w:w="0" w:type="dxa"/>
        <w:tblCellMar>
          <w:top w:w="28" w:type="dxa"/>
          <w:left w:w="28" w:type="dxa"/>
          <w:bottom w:w="28" w:type="dxa"/>
          <w:right w:w="28" w:type="dxa"/>
        </w:tblCellMar>
      </w:tblPr>
      <w:tblGrid>
        <w:gridCol w:w="124"/>
        <w:gridCol w:w="256"/>
        <w:gridCol w:w="6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2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 of competing therapies that are or may become available;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developments relating to our competitors and our industry, including competing product candidates and therapies;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plans relating to the further development and manufacturing of OP-1250 and any other product candidates we may develop, including additional indications that we may pursue;</w:t>
            </w:r>
          </w:p>
        </w:tc>
      </w:tr>
    </w:tbl>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existing regulations and regulatory developments in the United States and other jurisdictions;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potential and ability to successfully manufacture and supply OP-1250 and any other product candidates we may develop for clinical trials and for commercial use, if approved;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rate and degree of market acceptance of OP-1250 and any other product candidates we may develop, as well as the pricing and reimbursement of OP-1250 and any other product candidates we may develop, if approved;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continued reliance on third parties to conduct additional clinical trials of OP-1250 and any other product candidates we may develop, and for the manufacture of our product candidates;</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plans and ability to obtain and protect intellectual property rights;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of protection we are able to establish and maintain for intellectual property rights, including OP-1250 and any other product candidates we may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retain the continued service of our key personnel and to identify, hire, and then retain additional qualified personnel;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expectations regarding the impact of the COVID-19 pandemic on our business and operations, including clinical trials, manufacturing suppliers, collaborators, use of CROs and employees.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r>
        <w:rPr>
          <w:rFonts w:ascii="Arial;Helvetica;sans-serif" w:hAnsi="Arial;Helvetica;sans-serif"/>
          <w:b/>
          <w:sz w:val="24"/>
        </w:rPr>
        <w:t>RISK FACTOR SUMMARY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Investing in our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completed any clinical trials and have no products approved for commercial sale, which may make it difficult for you to evaluate our current business and predict our future success and viability.</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may be unable to generate product revenue and our business, financial condition, results of operations and prospects will be significantly harmed.</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significant competition, and if our competitors develop and market technologies or products more rapidly than we do or that are more effective, safer or less expensive than OP-1250, or product candidates we may develop in the future, our commercial opportunities could be negatively impacted.</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obtain U.S. or foreign regulatory approvals and, as a result, may be unable to commercialize OP-1250 or any future product candidate we may develop.</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outbreak of the novel coronavirus disease, COVID-19, could adversely impact our business, including our nonclinical studies and clinical trials.</w:t>
            </w:r>
          </w:p>
        </w:tc>
      </w:tr>
    </w:tbl>
    <w:p>
      <w:pPr>
        <w:pStyle w:val="TextBody"/>
        <w:spacing w:before="0" w:after="0"/>
        <w:ind w:left="0" w:right="0" w:hanging="0"/>
        <w:jc w:val="both"/>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tc>
      </w:tr>
    </w:tbl>
    <w:p>
      <w:pPr>
        <w:pStyle w:val="TextBody"/>
        <w:spacing w:before="0" w:after="0"/>
        <w:ind w:left="36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tc>
      </w:tr>
    </w:tbl>
    <w:p>
      <w:pPr>
        <w:pStyle w:val="TextBody"/>
        <w:spacing w:before="0" w:after="0"/>
        <w:ind w:left="0" w:right="0" w:hanging="0"/>
        <w:jc w:val="both"/>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and expect to continue to rely, on third parties, including independent clinical investigators and contract research organizations, or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24"/>
        </w:rPr>
      </w:pPr>
      <w:bookmarkStart w:id="48" w:name="PartI_11516"/>
      <w:bookmarkStart w:id="49" w:name="_7a480970_09ad_4ca8_ab14_b7c691c7d7d1"/>
      <w:bookmarkEnd w:id="48"/>
      <w:bookmarkEnd w:id="49"/>
      <w:r>
        <w:rPr>
          <w:rFonts w:ascii="Arial;Helvetica;sans-serif" w:hAnsi="Arial;Helvetica;sans-serif"/>
          <w:b/>
          <w:sz w:val="24"/>
        </w:rPr>
        <w:t>Part I</w:t>
      </w:r>
    </w:p>
    <w:p>
      <w:pPr>
        <w:pStyle w:val="TextBody"/>
        <w:spacing w:before="0" w:after="240"/>
        <w:ind w:left="0" w:right="0" w:hanging="0"/>
        <w:jc w:val="both"/>
        <w:rPr>
          <w:rFonts w:ascii="Arial;Helvetica;sans-serif" w:hAnsi="Arial;Helvetica;sans-serif"/>
          <w:b/>
          <w:sz w:val="20"/>
        </w:rPr>
      </w:pPr>
      <w:bookmarkStart w:id="50" w:name="Item1Business_656638"/>
      <w:bookmarkEnd w:id="50"/>
      <w:r>
        <w:rPr>
          <w:rFonts w:ascii="Arial;Helvetica;sans-serif" w:hAnsi="Arial;Helvetica;sans-serif"/>
          <w:b/>
          <w:sz w:val="20"/>
        </w:rPr>
        <w:t>Item 1.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Overview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ER-positive, or ER+, human epidermal growth factor receptor 2-negative, or HER2-, breast cancer. We reported initial data from the Phase 1 dose escalation portion of this trial in November 2021, which provide proof-of-concept for OP-1250 as a monotherapy treatment for ER+/HER2- breast cancer.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initially focused on developing therapies for the treatment of breast cancer, which represents approximately 30% of all new diagnoses of women’s cancer. In 2021, the American Cancer Society, or ACS, estimated there were approximately 282,000 new cases of female breast cancer and over 43,600 deaths from metastatic breast cancer in the United States. Treatment decisions are based on a combination of individual patient characteristics and tumor biology, most importantly the expression of three proteins: ER, progesterone receptor, or PR, and human epidermal growth factor receptor 2, or HER2. Approximately 75% of all breast cancers are ER+, and approximately 65% are ER+/HER2- highlighting the central role of the ER in driving a large majority of breast cancer. Approximately 6-10% of breast cancer patients present with metastatic disease at diagnosis and a further 20-30% of patients initially diagnosed with early-stage disease ultimately develop metastatic disease. The current five-year survival rate for patients with ER+ metastatic breast cancer is approximately 30%. In 2020, worldwide sales for endocrine and targeted therapies treating ER+ breast cancer patients totaled $20.5 billion.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ER is a nuclear receptor that functions as a ligand regulated transcription factor. When bound to estrogen, the ER directs the expression of genes that are essential for breast cancer cells’ survival and proliferation. For more than four decades, researchers have been developing new approaches and therapies to prevent activation of the ER pathway, thereby inhibiting the ability of the ER to drive tumor cell growth. In 1977, the first endocrine therapeutic, the anti-estrogen tamoxifen, was approved by the U.S. Food and Drug Administration, or FDA, for the treatment of breast cancer. Tamoxifen is still commonly used today but is challenged by the development of acquired drug resistance, which in some cases may be due to its partial agonist activity. In search for a different mechanism to target the estrogen pathway, aromatase inhibitors, or AIs, were developed in the 1990s to block the synthesis of estrogen and deprive the ER+ cells of its activating ligand. However, up to 50% of patients taking AIs develop arthralgia, leading to suspension of treatment in up to 15% of patients. Additionally, most patients with metastatic breast cancer have been shown to ultimately develop resistance to AIs. These agents are also not used to treat pre-menopausal women without the addition of ovarian suppression.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2002, fulvestrant was approved as a treatment for hormone receptor positive, or HR+, metastatic breast cancer patients and is typically used as a second- or third-line endocrine agent. Fulvestrant was designed to be a CERAN, and later discovered to also be a SERD, and represented a breakthrough for the field with improved outcomes for patients whose disease had progressed on prior endocrine therapy. However, fulvestrant has several limitations including its suboptimal drug exposure and route of administration as a monthly intramuscular injection. Despite these drawbacks, fulvestrant achieved worldwide sales of over $1.1 billion in 2019.</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 recently, the field has focused on the discovery and development of oral agents that have fulvestrant’s dual mechanism of action to completely inactivate and degrade the ER. Some of these oral SERD agents are CERANs, such as OP-1250, but others have partial agonist activity despite being SERDs and thus are not CERANs. SERDs reduce the levels of the ER but they do not entirely eliminate it. Consequently, SERDs are not necessarily CERANs. Notably, estrogen itself leads to ER degradation.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designed our lead product candidate, OP-1250, based both on a detailed structural understanding of the ER and on known alterations to this structure induced by fulvestrant and other ligands. We have demonstrated in nonclinical studies that OP-1250 functions both as a CERAN and a SERD, but is distinguished from fulvestrant in several noteworthy ways,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OP-1250 is orally bioavailable while fulvestrant is a highly insoluble compound that must be administered monthly by intramuscular injection into the buttocks;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OP-1250 has favorable biodistribution properties leading to higher drug concentrations in the plasma and tumor than those achieved with fulvestrant, as shown in a head-to-head mouse xenograft study;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OP-1250 has demonstrated the ability to shrink tumors in head-to-head nonclinical studies with fulvestrant, in contrast to fulvestrant, which has only been shown to inhibit tumor growth.</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Based on these nonclinical differences, we believe that OP-1250 has the potential to demonstrate clinical outcomes superior to fulvestrant. Furthermore, OP-1250 has the potential to benefit patients with metastatic breast cancer, initially for patients who have previously received endocrine therapy, as well as those who are treatment naïve in the metastatic setting, and advance into the adjuvant setting for early-stage ER+ breast cancer. In multiple nonclinical animal models of anti-cancer activity, including patient-derived xenografts with tumors containing activating mutations in the ER, OP-1250 monotherapy led to tumor shrinkage or in some cases tumor eradication, as well as long-term post-treatment survival. In each of these nonclinical models, the effect of OP-1250 was superior to that of fulvestrant, an effect which we determined was driven both by improved pharmacokinetic, or PK, properties, and higher plasma and tumor drug concentrations. In nonclinical studies, OP- 1250 demonstrated robust central nervous system, or CNS, penetration, and in an intracranial breast cancer brain metastases xenograft study, OP-1250 demonstrated the ability to shrink tumors and improve survival in mice. OP-1250 has the potential to address a critical unmet need as 10-15% of ER+ breast cancer patients develop brain metastases for which there are currently limited treatment options. In addition, we believe that combining OP-1250 with HER2 targeted agents may represent an opportunity to improve upon recent advancements in the treatment of CNS disease in patients that express both ER and HER2, as up to 50% of patients with metastatic HER2+ breast cancer develop CNS disease, and the majority of patients with HER2+ breast cancer also express ER. In nonclinical studies, the addition of OP-1250 to HER2 inhibitors improved tumor growth inhibition in both ER+/HER2+ cell line-derived xenograft and patient-derived xenograft models.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As summarized in our pipeline figure below, our plan is to develop our wholly-owned lead product candidate, OP-1250, in a number of ER+ breast cancer indications, both as a monotherapy and in combination with approved targeted therapies that have shown improved outcomes with other endocrine therapies.</w:t>
      </w:r>
    </w:p>
    <w:p>
      <w:pPr>
        <w:pStyle w:val="TextBody"/>
        <w:spacing w:before="0" w:after="240"/>
        <w:ind w:left="0" w:right="0" w:hanging="0"/>
        <w:jc w:val="both"/>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Figure 1. Olema Pipeline</w:t>
      </w:r>
    </w:p>
    <w:p>
      <w:pPr>
        <w:pStyle w:val="TextBody"/>
        <w:spacing w:before="0" w:after="240"/>
        <w:ind w:left="0" w:right="0" w:hanging="0"/>
        <w:jc w:val="both"/>
        <w:rPr/>
      </w:pPr>
      <w:r>
        <w:rPr/>
        <w:t>​</w:t>
      </w:r>
    </w:p>
    <w:p>
      <w:pPr>
        <w:pStyle w:val="TextBody"/>
        <w:spacing w:before="0" w:after="0"/>
        <w:ind w:left="0" w:right="0" w:hanging="0"/>
        <w:jc w:val="center"/>
        <w:rPr/>
      </w:pPr>
      <w:r>
        <w:rPr/>
        <w:drawing>
          <wp:inline distT="0" distB="0" distL="0" distR="0">
            <wp:extent cx="5942965" cy="299021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942965" cy="2990215"/>
                    </a:xfrm>
                    <a:prstGeom prst="rect">
                      <a:avLst/>
                    </a:prstGeom>
                  </pic:spPr>
                </pic:pic>
              </a:graphicData>
            </a:graphic>
          </wp:inline>
        </w:drawing>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August 2020, we initiated a Phase 1/2 clinical trial of OP-1250 in patients with recurrent, locally advanced or metastatic ER+/HER2- breast cancer whose disease has progressed on endocrine therapy. Phase 1a consists of monotherapy dose escalation to evaluate the safety and PK of OP-1250 and to determine the maximum tolerated dose, or MTD, and/or the recommended Phase 2 dose, or RP2D. In November 2021, we reported interim Phase 1a data, with OP-1250 demonstrating attractive pharmacokinetics with oral bioavailability and dose-proportional exposures supporting once daily dosing; favorable tolerability with no maximum tolerated dose defined, and no clinically significant bradycardia, ocular toxicity or diarrhea; and evidence of single-agent activity in patients who had advanced on multiple prior therapies in the advanced setting, including CDK 4/6 inhibitors, and confirmed partial responses in patients with baseline estrogen receptor 1, or ESR1, activating mutations. We believe that with this profile, OP-1250 has the potential to become the endocrine therapy of choice for the treatment of ER+ / HER2- breast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completed the Phase 1a dose escalation portion of our trial and we are currently conducting Phase 1b dose expansion at two dose levels (60 mg and 120 mg daily), which will help inform the selection of the Recommended Phase 2 Dose, or RP2D, to advance into Phase 2 efficacy evaluation. Phase 2 efficacy evaluation is expected to initiate in the first half of 2022 with approximately 80 patients enrolled across three cohorts: patients with measurable disease (n=50), patients with non-measurable disease (n=15), and patients with CNS metastasis (n=15).</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In addition, we plan to explore the potential clinical benefit of OP-1250 in combination with other approved agents for breast cancer, such as inhibitors of CDK4/6 and phosphatidylinositol 3-kinase alpha, or PI3K</w:t>
      </w:r>
      <w:r>
        <w:rPr>
          <w:rFonts w:ascii="Symbol" w:hAnsi="Symbol"/>
          <w:sz w:val="20"/>
        </w:rPr>
        <w:t>a</w:t>
      </w:r>
      <w:r>
        <w:rPr>
          <w:rFonts w:ascii="Arial;Helvetica;sans-serif" w:hAnsi="Arial;Helvetica;sans-serif"/>
          <w:sz w:val="20"/>
        </w:rPr>
        <w:t>, which have been shown to lead to improvements in both progression-free and overall survival. In July 2020, we entered into a non-exclusive agreement with Novartis Institutes for BioMedical Research, Inc., or Novartis, to evaluate the combination of OP-1250 and Novartis’ KISQALI® (ribociclib), a CDK4/6 inhibitor, as well as PIQRAY® (alpelisib), their PI3K</w:t>
      </w:r>
      <w:r>
        <w:rPr>
          <w:rFonts w:ascii="Symbol" w:hAnsi="Symbol"/>
          <w:sz w:val="20"/>
        </w:rPr>
        <w:t>a</w:t>
      </w:r>
      <w:r>
        <w:rPr>
          <w:rFonts w:ascii="Arial;Helvetica;sans-serif" w:hAnsi="Arial;Helvetica;sans-serif"/>
          <w:sz w:val="20"/>
        </w:rPr>
        <w:t xml:space="preserve"> inhibitor. Under the terms of the collaboration, Novartis will be responsible for funding a capped majority of the costs for the Phase 1b clinical trial, as well as supplying their drugs. In November 2020, we entered into a non-exclusive clinical trial agreement with Pfizer Inc., or Pfizer, to evaluate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safety and tolerability of OP-1250 in combination with Pfizer’s proprietary CDK4/6 inhibitor IBRANCE® (palbociclib) in patients with recurrent, locally advanced or metastatic ER+, HER2- breast cancer in a clinical trial. Under the terms of the non-exclusive agreement, we will be responsible for conducting the clinical trial for the combined therapy and Pfizer is responsible for supplying IBRANCE® (palbociclib) to us at no cost to us. In December 2021, we initiated a Phase 1b clinical trial of OP-1250 in combination with palbociclib. Additional combination studies with CDK4/6 and PI3K</w:t>
      </w:r>
      <w:r>
        <w:rPr>
          <w:rFonts w:ascii="Symbol" w:hAnsi="Symbol"/>
          <w:sz w:val="20"/>
        </w:rPr>
        <w:t>a</w:t>
      </w:r>
      <w:r>
        <w:rPr>
          <w:rFonts w:ascii="Arial;Helvetica;sans-serif" w:hAnsi="Arial;Helvetica;sans-serif"/>
          <w:sz w:val="20"/>
        </w:rPr>
        <w:t xml:space="preserve"> inhibitors are planned in 2022.</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plan to initiate a Phase 1b clinical trial of OP-1250 in combination with HER2+ inhibitors in patients with ER+/HER2+ breast cancer and CNS metastasis in 2022.</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Our Strategy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goal is to discover, develop and commercialize next generation targeted therapies for women’s cancers. The key elements of our business strategy to achieve this goal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Applying our deep understanding of nuclear receptors — particularly the ER — and mechanisms of resistance to develop novel therapeutic approaches for endocrine-driven cancers.</w:t>
            </w:r>
            <w:r>
              <w:rPr>
                <w:caps w:val="false"/>
                <w:smallCaps w:val="false"/>
              </w:rPr>
              <w:t xml:space="preserve"> </w:t>
            </w:r>
            <w:r>
              <w:rPr>
                <w:rFonts w:ascii="Arial;Helvetica;sans-serif" w:hAnsi="Arial;Helvetica;sans-serif"/>
                <w:b w:val="false"/>
                <w:i w:val="false"/>
                <w:caps w:val="false"/>
                <w:smallCaps w:val="false"/>
                <w:sz w:val="20"/>
              </w:rPr>
              <w:t>Our team has spent over a decade characterizing the structure and function of the ER and its role in driving tumor cell proliferation in HR+ breast cancer. Our knowledge of the ER’s functional domains combined with our medicinal chemistry expertise has allowed us to develop a potent and oral compound that both completely inactivates and strongly promotes degradation of the ER in nonclinical studies. We believe OP-1250’s oral formulation and dual mechanism of action as a CERAN/SERD directly address the limitations of current endocrine therapies, such as fulvestrant and tamoxifen, and has the potential to drive deeper, more durable responses.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Rapidly advancing our lead product candidate, OP-1250, through clinical development as a monotherapy for ER+/HER2- breast cancer.</w:t>
            </w:r>
            <w:r>
              <w:rPr>
                <w:caps w:val="false"/>
                <w:smallCaps w:val="false"/>
              </w:rPr>
              <w:t xml:space="preserve"> </w:t>
            </w:r>
            <w:r>
              <w:rPr>
                <w:rFonts w:ascii="Arial;Helvetica;sans-serif" w:hAnsi="Arial;Helvetica;sans-serif"/>
                <w:b w:val="false"/>
                <w:i w:val="false"/>
                <w:caps w:val="false"/>
                <w:smallCaps w:val="false"/>
                <w:sz w:val="20"/>
              </w:rPr>
              <w:t>We are currently evaluating OP-1250 monotherapy in a Phase 1/2 dose escalation and expansion clinical trial in patients with recurrent, locally advanced or metastatic ER+/HER2- breast cancer whose disease has progressed on endocrine therapy. We reported initial data from this trial in November 2021. After examining safety and PK as well as determining the RP2D, we intend to advance OP-1250 into Phase 2 efficacy evaluation, and to study OP-1250 in patients with earlier stage disease.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Establishing OP-1250 as the endocrine therapy of choice with targeted therapy combinations for the treatment of metastatic ER+ breast cancers.</w:t>
            </w:r>
            <w:r>
              <w:rPr>
                <w:caps w:val="false"/>
                <w:smallCaps w:val="false"/>
              </w:rPr>
              <w:t xml:space="preserve"> </w:t>
            </w:r>
            <w:r>
              <w:rPr>
                <w:rFonts w:ascii="Arial;Helvetica;sans-serif" w:hAnsi="Arial;Helvetica;sans-serif"/>
                <w:b w:val="false"/>
                <w:i w:val="false"/>
                <w:caps w:val="false"/>
                <w:smallCaps w:val="false"/>
                <w:sz w:val="20"/>
              </w:rPr>
              <w:t>We believe OP-1250’s differentiated product profile has the potential to overcome many of the limitations of current treatment options. We plan to explore the potential clinical benefit of OP-1250 in combination with other approved agents for breast cancer, such as inhibitors of CDK4/6 and PI3K</w:t>
            </w:r>
            <w:r>
              <w:rPr>
                <w:rFonts w:ascii="Symbol" w:hAnsi="Symbol"/>
                <w:b w:val="false"/>
                <w:i w:val="false"/>
                <w:caps w:val="false"/>
                <w:smallCaps w:val="false"/>
                <w:sz w:val="20"/>
              </w:rPr>
              <w:t>a</w:t>
            </w:r>
            <w:r>
              <w:rPr>
                <w:rFonts w:ascii="Arial;Helvetica;sans-serif" w:hAnsi="Arial;Helvetica;sans-serif"/>
                <w:b w:val="false"/>
                <w:i w:val="false"/>
                <w:caps w:val="false"/>
                <w:smallCaps w:val="false"/>
                <w:sz w:val="20"/>
              </w:rPr>
              <w:t>, which have been shown to lead to improvements in both progression-free and overall survival. At low concentrations in nonclinical models, OP-1250 worked in combination with inhibitors of CDK4/6 and PI3K</w:t>
            </w:r>
            <w:r>
              <w:rPr>
                <w:rFonts w:ascii="Symbol" w:hAnsi="Symbol"/>
                <w:b w:val="false"/>
                <w:i w:val="false"/>
                <w:caps w:val="false"/>
                <w:smallCaps w:val="false"/>
                <w:sz w:val="20"/>
              </w:rPr>
              <w:t>a</w:t>
            </w:r>
            <w:r>
              <w:rPr>
                <w:rFonts w:ascii="Arial;Helvetica;sans-serif" w:hAnsi="Arial;Helvetica;sans-serif"/>
                <w:b w:val="false"/>
                <w:i w:val="false"/>
                <w:caps w:val="false"/>
                <w:smallCaps w:val="false"/>
                <w:sz w:val="20"/>
              </w:rPr>
              <w:t>. In July 2020, we entered into a non-exclusive agreement with Novartis to evaluate the combination of OP-1250 and KISQALI® (ribociclib), a CDK4/6 inhibitor as well as PIQRAY® (alpelisib), a PI3K</w:t>
            </w:r>
            <w:r>
              <w:rPr>
                <w:rFonts w:ascii="Symbol" w:hAnsi="Symbol"/>
                <w:b w:val="false"/>
                <w:i w:val="false"/>
                <w:caps w:val="false"/>
                <w:smallCaps w:val="false"/>
                <w:sz w:val="20"/>
              </w:rPr>
              <w:t>a</w:t>
            </w:r>
            <w:r>
              <w:rPr>
                <w:caps w:val="false"/>
                <w:smallCaps w:val="false"/>
              </w:rPr>
              <w:t xml:space="preserve"> </w:t>
            </w:r>
            <w:r>
              <w:rPr>
                <w:rFonts w:ascii="Arial;Helvetica;sans-serif" w:hAnsi="Arial;Helvetica;sans-serif"/>
                <w:b w:val="false"/>
                <w:i w:val="false"/>
                <w:caps w:val="false"/>
                <w:smallCaps w:val="false"/>
                <w:sz w:val="20"/>
              </w:rPr>
              <w:t>inhibitor. In November 2020, we entered into a non-exclusive agreement with Pfizer to evaluate OP-1250 in combination with IBRANCE®, a selective CDK4/6 inhibitor. In December 2021, we initiated a Phase 1b clinical trial of OP-1250 in combination with palbociclib. Additional combination studies with CDK4/6 and PI3K</w:t>
            </w:r>
            <w:r>
              <w:rPr>
                <w:rFonts w:ascii="Symbol" w:hAnsi="Symbol"/>
                <w:b w:val="false"/>
                <w:i w:val="false"/>
                <w:caps w:val="false"/>
                <w:smallCaps w:val="false"/>
                <w:sz w:val="20"/>
              </w:rPr>
              <w:t>a</w:t>
            </w:r>
            <w:r>
              <w:rPr>
                <w:caps w:val="false"/>
                <w:smallCaps w:val="false"/>
              </w:rPr>
              <w:t xml:space="preserve"> </w:t>
            </w:r>
            <w:r>
              <w:rPr>
                <w:rFonts w:ascii="Arial;Helvetica;sans-serif" w:hAnsi="Arial;Helvetica;sans-serif"/>
                <w:b w:val="false"/>
                <w:i w:val="false"/>
                <w:caps w:val="false"/>
                <w:smallCaps w:val="false"/>
                <w:sz w:val="20"/>
              </w:rPr>
              <w:t>inhibitors are expected to initiate in 2022. Our goal is to successfully demonstrate improved efficacy and a favorable tolerability profile in combination with other targeted therapies in order to position OP-1250 as the endocrine therapy of choice.</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Exploring additional clinical opportunities for OP-1250, including metastatic breast cancer with brain metastases and other hormone sensitive tumors. Metastatic breast cancer is the second most common cancer associated with brain metastases in the United States.</w:t>
            </w:r>
            <w:r>
              <w:rPr>
                <w:caps w:val="false"/>
                <w:smallCaps w:val="false"/>
              </w:rPr>
              <w:t xml:space="preserve"> </w:t>
            </w:r>
            <w:r>
              <w:rPr>
                <w:rFonts w:ascii="Arial;Helvetica;sans-serif" w:hAnsi="Arial;Helvetica;sans-serif"/>
                <w:b w:val="false"/>
                <w:i w:val="false"/>
                <w:caps w:val="false"/>
                <w:smallCaps w:val="false"/>
                <w:sz w:val="20"/>
              </w:rPr>
              <w:t>Of women with ER+ metastatic breast cancer, 10-15% will develop brain metastases, which present a significant challenge to systemic therapy. The primary treatment for CNS metastases is typically surgery, radiation, or a combination of both and these patients tend to have a poor prognosis. In nonclinical studies, OP-1250 demonstrated robust CNS penetration, and in an intracranial breast cancer brain metastases xenograft study, OP-1250 demonstrated the ability to shrink tumors and improve survival in mice. In addition, we believe that combining OP-1250 with HER2 targeted agents may represent an opportunity to improve upon recent advancements in the treatment of CNS disease in patients that express both ER and HER2, as up to 50% of patients with metastatic HER2+ breast cancer develop CNS disease, and the majority of patients with HER2+ breast cancer also express ER. In nonclinical studies, the addition of OP-1250 to HER2 inhibitors improved tumor growth inhibition in both ER+/HER2+ cell line-derived xenograft and patient-derived xenograft models.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Continuing to evaluate opportunities to accelerate development timelines and enhance the commercial potential of our programs in collaboration with third parties.</w:t>
            </w:r>
            <w:r>
              <w:rPr>
                <w:caps w:val="false"/>
                <w:smallCaps w:val="false"/>
              </w:rPr>
              <w:t xml:space="preserve"> </w:t>
            </w:r>
            <w:r>
              <w:rPr>
                <w:rFonts w:ascii="Arial;Helvetica;sans-serif" w:hAnsi="Arial;Helvetica;sans-serif"/>
                <w:b w:val="false"/>
                <w:i w:val="false"/>
                <w:caps w:val="false"/>
                <w:smallCaps w:val="false"/>
                <w:sz w:val="20"/>
              </w:rPr>
              <w:t>We own full worldwide development and commercialization rights to OP-1250. We have established a clinical collaboration with Novartis and intend to continue evaluating opportunities to work with partners that meaningfully enhance our capabilities with respect to the development and commercialization of OP-1250. In addition, we intend to commercialize our product candidates in key markets either alone or with partners in order to maximize the worldwide commercial potential of our programs.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i w:val="false"/>
                <w:caps w:val="false"/>
                <w:smallCaps w:val="false"/>
                <w:sz w:val="20"/>
              </w:rPr>
              <w:t>Expanding our portfolio of therapies focused on women’s oncology through both internal research activities and business development efforts.</w:t>
            </w:r>
            <w:r>
              <w:rPr>
                <w:caps w:val="false"/>
                <w:smallCaps w:val="false"/>
              </w:rPr>
              <w:t xml:space="preserve"> </w:t>
            </w:r>
            <w:r>
              <w:rPr>
                <w:rFonts w:ascii="Arial;Helvetica;sans-serif" w:hAnsi="Arial;Helvetica;sans-serif"/>
                <w:b w:val="false"/>
                <w:i w:val="false"/>
                <w:caps w:val="false"/>
                <w:smallCaps w:val="false"/>
                <w:sz w:val="20"/>
              </w:rPr>
              <w:t>We are applying our internal drug discovery capabilities to identify and evaluate novel targeted therapies that can improve the lives of women with cancer. We have an active discovery research team exploring additional opportunities for targeted therapies for breast cancer. We will also continue to explore opportunities to acquire products and technologies that align with our core areas of expertise and complement our existing portfolio.</w:t>
            </w:r>
          </w:p>
        </w:tc>
      </w:tr>
    </w:tbl>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Our Opportunity</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Epidemiology and classification of breast cancer</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Breast cancer is the second-most common cancer worldwide, with nearly 2 million new diagnoses per year. In 2021, the ACS estimate there were approximately 282,000 new cases of female breast cancer and over 43,600 deaths in the United States, making it the second-leading cause of cancer death in women. Approximately 2,500 men are also diagnosed with breast cancer each year in the United States. Breast cancer is a heterogeneous disease which is grouped into several clinical subtypes based on the expression of three proteins: ER, PR and HER2. Both ER and PR are hormone receptors, and tumors that express either of these receptors are referred to as HR+. It is unusual for a tumor to express PR in the absence of the ER, therefore most tumors are referred to as either ER+ or ER-. Tumors that express HER2 are denoted HER2+, and tumors that do not express ER, PR or HER2 are classified as triple negative breast cancer. Approximately 75% of all breast cancers are ER+, and approximately 65% are ER+/HER2-, highlighting the central role of ER signaling in driving a large majority of breast cancer. The percentage breakdown of all breast cancers by subtype are shown in Figure 2.</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 Types of breast cancer</w:t>
      </w:r>
    </w:p>
    <w:p>
      <w:pPr>
        <w:pStyle w:val="TextBody"/>
        <w:spacing w:before="0" w:after="240"/>
        <w:ind w:left="0" w:right="0" w:hanging="0"/>
        <w:jc w:val="center"/>
        <w:rPr/>
      </w:pPr>
      <w:r>
        <w:rPr/>
        <w:drawing>
          <wp:inline distT="0" distB="0" distL="0" distR="0">
            <wp:extent cx="5114290" cy="20097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114290" cy="2009775"/>
                    </a:xfrm>
                    <a:prstGeom prst="rect">
                      <a:avLst/>
                    </a:prstGeom>
                  </pic:spPr>
                </pic:pic>
              </a:graphicData>
            </a:graphic>
          </wp:inline>
        </w:drawing>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Treating breast cancer</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Early-stage breast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Breast cancer stage is determined by the size of the tumor and whether or not the cancer has spread to lymph nodes. A tumor that is confined to the breast with or without the involvement of local, ipsilateral lymph nodes is considered early-stage breast cancer. Treatment for patients with early-stage breast cancer involves two components. First, there is local treatment of the breast, chest wall and local lymph nodes, if any, with surgery, either a lumpectomy or mastectomy, and potentially radiation. Second, based on the biology and characteristics of the tumor, patients may also be offered systemic therapy, referred to as adjuvant therapy, in order to decrease the risk of recurrence of breast cancer anywhere in the body. Systemic therapy can be given either after surgery (adjuvant) or prior to surgery (neoadjuvant) or a combination of both.</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initial standard of care for patients with early-stage ER+ breast cancer is at least five years of adjuvant endocrine therapy. The endocrine treatment options for early-stage disease are AIs, such as anastrozole, exemestane or letrozole, or an ER antagonist such as a tamoxifen. For patients diagnosed with early-stage ER+ breast cancer who undergo surgical and adjuvant/neoadjuvant treatment, the five-year survival rate is over 90%.</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Metastatic breast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When cancer has spread beyond local lymph nodes, either to distant lymph nodes, bones or visceral organs, the cancer is now considered metastatic. Approximately 6-10% of breast cancer patients present with de novo metastatic disease, also referred to as stage IV disease, at initial diagnosis. In addition, approximately 20-30% of patients diagnosed with early-stage breast cancer will develop metastatic disease. In contrast to the goals of adjuvant therapy, treatments for metastatic disease are palliative with the desired outcome of controlling symptoms and extending survival as long as possible. The current five-year survival rate for patients with ER+ metastatic breast cancer is approximately 30%.</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While there are national guidelines and recommendations for the treatment of metastatic breast cancer, the actual treatment decision is based on a combination of individual patient characteristics and tumor biology, including whether they received adjuvant therapy and if so, how quickly the cancer recurred. There is significant overlap in the agents that are recommended, but guidelines vary in the sequence in which these agents are used. In the past five years, several new classes of targeted therapies have been approved to be used in combination with endocrine agents for the treatment of HR+/HER2- breast cancer. Inhibitors of CDK4/6, such as palbociclib, ribociclib and abemaciclib, used in combination with an AI or fulvestrant, led to significant increases in progression- free survival and overall survival. Alpelisib, a PI3K</w:t>
      </w:r>
      <w:r>
        <w:rPr>
          <w:rFonts w:ascii="Symbol" w:hAnsi="Symbol"/>
          <w:sz w:val="20"/>
        </w:rPr>
        <w:t>a</w:t>
      </w:r>
      <w:r>
        <w:rPr>
          <w:rFonts w:ascii="Arial;Helvetica;sans-serif" w:hAnsi="Arial;Helvetica;sans-serif"/>
          <w:sz w:val="20"/>
        </w:rPr>
        <w:t xml:space="preserve"> inhibitor, was approved in 2019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combination with fulvestrant for the treatment of HR+/HER2- breast cancers that have mutations in PIK3CA. Figure 3 shows the endocrine treatment options available for ER+ metastatic breast cancer, and an example of the sequence of treatments, by agent and line of therapy.</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3. Available endocrine options and example of sequential alternating of endocrine</w:t>
        <w:br/>
        <w:t>based therapy in ER+ metastatic breast cancer</w:t>
      </w:r>
    </w:p>
    <w:p>
      <w:pPr>
        <w:pStyle w:val="TextBody"/>
        <w:spacing w:before="0" w:after="240"/>
        <w:ind w:left="0" w:right="0" w:hanging="0"/>
        <w:jc w:val="center"/>
        <w:rPr/>
      </w:pPr>
      <w:r>
        <w:rPr/>
        <w:drawing>
          <wp:inline distT="0" distB="0" distL="0" distR="0">
            <wp:extent cx="5581015" cy="248539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581015" cy="2485390"/>
                    </a:xfrm>
                    <a:prstGeom prst="rect">
                      <a:avLst/>
                    </a:prstGeom>
                  </pic:spPr>
                </pic:pic>
              </a:graphicData>
            </a:graphic>
          </wp:inline>
        </w:drawing>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When moving a patient from one line of therapy to the next, the standard of care is to switch to an endocrine agent with a different mechanism of action depending upon last therapy, co-morbidities, and individual patient characteristics.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Metastatic breast cancer is the second most common cancer associated with brain metastases in the United States. About 10-15% of women with metastatic breast cancer develop brain metastases. Brain metastases present a significant challenge to systemic therapy, and the primary treatment for CNS metastases is typically surgical resection, radiation, or a combination of both. Given the limited treatment options available for these patients, the prognosis remains poor, making it an area of continued, high unmet medical need. In addition, brain metastases in breast cancer patients are a major cause of morbidity, associated with progressive neurologic deficits that result in a reduced quality of life.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ER signaling in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ER is a nuclear receptor that functions as a ligand regulated transcription factor. When bound to estrogen, the ER directs the expression of genes that are essential for breast cancer cells’ survival and proliferation. The ER has three modular functional domains: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amino terminal domain, which contains the activation function 1, or AF1, the activity of which can be increased by multiple cell proliferative signaling pathways;</w:t>
            </w:r>
          </w:p>
        </w:tc>
      </w:tr>
    </w:tbl>
    <w:tbl>
      <w:tblPr>
        <w:tblW w:w="9291" w:type="dxa"/>
        <w:jc w:val="left"/>
        <w:tblInd w:w="0" w:type="dxa"/>
        <w:tblCellMar>
          <w:top w:w="28" w:type="dxa"/>
          <w:left w:w="28" w:type="dxa"/>
          <w:bottom w:w="28" w:type="dxa"/>
          <w:right w:w="28" w:type="dxa"/>
        </w:tblCellMar>
      </w:tblPr>
      <w:tblGrid>
        <w:gridCol w:w="124"/>
        <w:gridCol w:w="256"/>
        <w:gridCol w:w="8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DNA binding domain, which directs the ER to bind to a specific set of ER-responsive genes;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ligand binding domain, which contains the activation function 2, or AF2, which is turned on when bound to estrogen.</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Activation of either AF1 or AF2 can drive transcription and cancer cell proliferation.</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4. ER is a tripartite protein with two distinct transcription factor activation domains,</w:t>
        <w:br/>
        <w:t>AF1 and AF2</w:t>
      </w:r>
    </w:p>
    <w:p>
      <w:pPr>
        <w:pStyle w:val="TextBody"/>
        <w:spacing w:before="0" w:after="240"/>
        <w:ind w:left="0" w:right="0" w:hanging="0"/>
        <w:jc w:val="center"/>
        <w:rPr/>
      </w:pPr>
      <w:r>
        <w:rPr/>
        <w:drawing>
          <wp:inline distT="0" distB="0" distL="0" distR="0">
            <wp:extent cx="3114040" cy="10096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3114040" cy="1009650"/>
                    </a:xfrm>
                    <a:prstGeom prst="rect">
                      <a:avLst/>
                    </a:prstGeom>
                  </pic:spPr>
                </pic:pic>
              </a:graphicData>
            </a:graphic>
          </wp:inline>
        </w:drawing>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Classes of endocrine therapies and their limitations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more than four decades, researchers have been developing new approaches and therapies to prevent activation of the ER pathway, thereby inhibiting the ability of the ER to drive tumor cell growth. Figure 5 describes the two major classes of endocrine therapies, aIs and ER antagonists. In 2020, worldwide sales for endocrine and targeted therapies treating ER+ breast cancer patients totaled $20.5 billion.</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5. Classes of endocrine therapies</w:t>
      </w:r>
    </w:p>
    <w:p>
      <w:pPr>
        <w:pStyle w:val="TextBody"/>
        <w:spacing w:before="0" w:after="240"/>
        <w:ind w:left="0" w:right="0" w:hanging="0"/>
        <w:jc w:val="center"/>
        <w:rPr/>
      </w:pPr>
      <w:r>
        <w:rPr/>
        <w:drawing>
          <wp:inline distT="0" distB="0" distL="0" distR="0">
            <wp:extent cx="3218815" cy="15144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3218815" cy="151447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Antagonists with partial agonist activity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1977, the first endocrine therapeutic, tamoxifen, was approved by the FDA for the treatment of breast cancer. Although tamoxifen directly competes with estrogen and prevents activation of the AF2 transcription factor activation domain, it does not block AF1 activity and therefore does not completely inhibit ER function (Figure 6). As a consequence of this partial agonist activity, tamoxifen mimics estrogen in some circumstances and promotes proliferation. In addition, some breast cancers can develop resistance to these partial agonists by activation of upstream AF1 signaling pathways, such as mTOR, PI3K, MAPK, c-SRC, EGFR, FGFR and IGFR. Therefore, while tamoxifen is commonly used today, it is challenged by acquired drug resistance and a relatively short duration of response.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6. Partial agonists, such as tamoxifen, are unable to completely block ER activation</w:t>
      </w:r>
    </w:p>
    <w:p>
      <w:pPr>
        <w:pStyle w:val="TextBody"/>
        <w:spacing w:before="0" w:after="240"/>
        <w:ind w:left="0" w:right="0" w:hanging="0"/>
        <w:jc w:val="center"/>
        <w:rPr/>
      </w:pPr>
      <w:r>
        <w:rPr/>
        <w:drawing>
          <wp:inline distT="0" distB="0" distL="0" distR="0">
            <wp:extent cx="5990590" cy="219011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990590" cy="2190115"/>
                    </a:xfrm>
                    <a:prstGeom prst="rect">
                      <a:avLst/>
                    </a:prstGeom>
                  </pic:spPr>
                </pic:pic>
              </a:graphicData>
            </a:graphic>
          </wp:inline>
        </w:drawing>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search for a different mechanism to target the estrogen pathway, aIs were developed in the 1990s to block the synthesis of estrogen and deprive the ER+ tumor of its activating ligand. However, most patients with metastatic breast cancer have been shown to ultimately develop resistance to these therapies. Similar to tamoxifen, resistance to aIs, such as anastrozole, exemestane or letrozole, can develop by multiple mechanisms, including activation of the AF1 pathway and development of mutations. Mutations in ESR1 that confer estrogen-independent ER activity arise in 30-40% of patients receiving AI treatment.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SERDs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the search for more potent ER antagonists, researchers focused on another class of ER drugs that were described as SERDs. This classification arose from the observation that certain ligands bind tightly to ER leading to ER degradation. The field shifted drug discovery efforts to SERDs based on the hypothesis that degrading ER would be more efficacious than inhibiting it. However, similar to tamoxifen, many compounds with SERD activity are not complete ER antagonists nor do they achieve complete degradation of the ER. Recent experiments conducted by us and third parties in nonclinical models of breast cancer suggest that ER degradation, as achieved by many SERDs, on its own is not sufficient to effectively treat tumors and that the ability to completely inhibit ER function is best achieved through complete antagonism.</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CERANs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CERAN is a molecule that completely blocks the ability of both AF1 and AF2 to stimulate gene transcription (Figure 7). CERANs inhibit activation of the AF2 transcription factor activation domain and inactivate AF1 activity by recruiting nuclear receptor corepressors of the N-CoR/SMRT family. Previous work by one of our co-founders identified specific interactions between fulvestrant-bound ER and N-CoR and that the strength of these interactions correlated with the ability of fulvestrant-bound ER to inactivate gene transcription through the transcription factor activating domain, AF1.</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7. CERANs block AF1 and AF2 activity inhibiting cell proliferation</w:t>
      </w:r>
    </w:p>
    <w:p>
      <w:pPr>
        <w:pStyle w:val="TextBody"/>
        <w:spacing w:before="0" w:after="240"/>
        <w:ind w:left="0" w:right="0" w:hanging="0"/>
        <w:jc w:val="center"/>
        <w:rPr/>
      </w:pPr>
      <w:r>
        <w:rPr/>
        <w:drawing>
          <wp:inline distT="0" distB="0" distL="0" distR="0">
            <wp:extent cx="5723890" cy="239966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723890" cy="2399665"/>
                    </a:xfrm>
                    <a:prstGeom prst="rect">
                      <a:avLst/>
                    </a:prstGeom>
                  </pic:spPr>
                </pic:pic>
              </a:graphicData>
            </a:graphic>
          </wp:inline>
        </w:drawing>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2002, fulvestrant was approved as a treatment for HR+ metastatic breast cancer and is typically used as a second- or third-line endocrine agent. Fulvestrant represented a breakthrough for the field based on its dual- mechanism of action as a CERAN and SERD which led to improved efficacy outcomes for patients. However, fulvestrant, the only FDA-approved anti-estrogen lacking agonist-type effects in in vivo uterotropic assays in immature or ovariectomized mice and rats, has several limitations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Painful and inconvenient route of administration. Fulvestrant is a highly insoluble compound with poor oral bioavailability and therefore must be given intramuscularly. Fulvestrant is administered every 28-days in two 5 ml intramuscular injections into the buttocks. Injection site reactions occur in approximately 10% of patients and include sciatica, neuralgia, neuropathic pain, and peripheral neuropathy.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Suboptimal drug exposure limits efficacy. In a nonclinical mouse model, an increase in antitumor activity and ER degradation was observed as the dose of fulvestrant was increased from 25 mg/kg to 200 mg/kg. However, researchers estimated that achieving an equivalent level of fulvestrant in humans to a 200 mg/kg dose in mice would require a dose that is eight times higher than is currently clinically achievable. Furthermore, xenograft models created using patient-derived tumors containing ESR1 mutations show that even plasma levels substantially higher than those achievable in humans at the approved dose fail to demonstrate optimal antitumor effect.</w:t>
            </w:r>
          </w:p>
        </w:tc>
      </w:tr>
    </w:tbl>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Our Product Candidate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We own worldwide development and commercialization rights to OP-1250. Our plan is to develop OP-1250 for the treatment of a number of ER+ breast cancer indications, both as a monotherapy and in combination with approved targeted therapies that have shown improved outcomes with other endocrine therapies.</w:t>
      </w:r>
    </w:p>
    <w:p>
      <w:pPr>
        <w:pStyle w:val="TextBody"/>
        <w:spacing w:before="0" w:after="240"/>
        <w:ind w:left="0" w:right="0" w:hanging="0"/>
        <w:jc w:val="center"/>
        <w:rPr/>
      </w:pPr>
      <w:r>
        <w:rPr/>
        <w:t>​</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solution, OP-1250</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OP-1250 is an oral small molecule clinical-stage product candidate for the treatment of endocrine-driven cancers. OP-1250 was designed by our scientific team based both on a detailed structural understanding of the ER and on known alterations to this structure induced by fulvestrant and other ER ligands. We have demonstrated in nonclinical studies that OP-1250 functions both as a CERAN, inactivating both AF1 and AF2 transcriptional activation functions, and a SERD, promoting degradation of the ER. In several xenograft models, OP-1250, both as a monotherapy and in combination with CDK4/6 inhibitors, demonstrated robust tumor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shrinkage, including in a breast cancer brain metastasis model. In November 2021, we presented interim Phase 1a dose escalation data from our ongoing Phase 1/2 clinical trial of OP-1250 as a monotherapy treatment in ER+/HER2- breast cancer. The Phase 1b dose expansion stage of the clinical trial is ongoing at two dose levels (60 mg and 120 mg daily) and is expected to enroll 15 patients in each cohort. Phase 2 efficacy evaluation is expected to initiate in the first half of 2022 with approximately 80 patients enrolled across three cohorts: patients with measurable disease (n=50), patients with non-measurable disease (n=15), and patients with CNS metastasis (n=15). In December 2021, we initiated a Phase 1b clinical trial of OP-1250 in combination with the CDK4/6 inhibitor, palbociclib. We plan to initiate additional combination studies with CDK4/6 and PI3K</w:t>
      </w:r>
      <w:r>
        <w:rPr>
          <w:rFonts w:ascii="Symbol" w:hAnsi="Symbol"/>
          <w:sz w:val="20"/>
        </w:rPr>
        <w:t>a</w:t>
      </w:r>
      <w:r>
        <w:rPr>
          <w:rFonts w:ascii="Arial;Helvetica;sans-serif" w:hAnsi="Arial;Helvetica;sans-serif"/>
          <w:sz w:val="20"/>
        </w:rPr>
        <w:t xml:space="preserve"> inhibitors, along with a Phase 1b clinical trial of OP-1250 in combination with HER2+ inhibitors in patients with ER+/HER2+ breast cancer and CNS metastasis in 2022. A pivotal study for OP-1250 as a monotherapy in the metastatic setting is expected to initiate in 2023. We believe OP-1250’s oral formulation and dual mechanism of action directly address the limitations of current endocrine therapies, such as fulvestrant and tamoxifen, and position OP-1250 as a potential endocrine therapy of choice for the treatment of ER+ breast cancers.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Phase 1a dose-escalation initial data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reported the first clinical data from the Phase 1a dose-escalation portion of the ongoing Phase 1/2 clinical trial of OP-1250 in November 2021, with a data cutoff of November 1, 2021. These initial data provide proof-of-concept for OP-1250 as a once-daily oral monotherapy in women with recurrent, locally advanced or metastatic ER+ / HER2- breast cancer.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Pharmacokinetics, safety, tolerability, and anti-tumor activity of once-daily OP-1250 monotherapy were evaluated in the open-label, dose-escalation portion of the ongoing Phase 1/2 clinical trial (NCT04505826). As of November 1, 2021, a total of 41 patients with recurrent, locally advanced or metastatic ER+ / HER2- breast cancer were enrolled across seven dose cohorts (30 mg, 60 mg, 90 mg, 120 mg, 150 mg, 210 mg, and 300 mg once-daily). As shown in Figure 8 below, this was a heavily pretreated population: 95% of patients were previously treated with a cyclin-dependent kinase (CDK) 4/6 inhibitor (9 patients, or 22%, received 2 or more prior CDK4/6 inhibitor regimens), 68% of patients received prior fulvestrant, and 42% received prior chemotherapy in the advanced setting. Overall, patients received a median of three prior lines of anti-cancer therapy and two prior lines of endocrine therapy in advanced settings. Of 39 patients whose circulating tumor DNA (ctDNA) was assessed, ESR1 mutations were detected in 49% at baseline.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Figure 8. OP-1250 Phase 1 Study Population Received Extensive Prior Therapy</w:t>
      </w:r>
    </w:p>
    <w:p>
      <w:pPr>
        <w:pStyle w:val="TextBody"/>
        <w:spacing w:before="0" w:after="240"/>
        <w:ind w:left="0" w:right="0" w:hanging="0"/>
        <w:jc w:val="both"/>
        <w:rPr/>
      </w:pPr>
      <w:r>
        <w:rPr/>
        <w:t>​</w:t>
      </w:r>
    </w:p>
    <w:p>
      <w:pPr>
        <w:pStyle w:val="TextBody"/>
        <w:spacing w:before="0" w:after="0"/>
        <w:ind w:left="0" w:right="0" w:hanging="0"/>
        <w:jc w:val="center"/>
        <w:rPr/>
      </w:pPr>
      <w:r>
        <w:rPr/>
        <w:drawing>
          <wp:inline distT="0" distB="0" distL="0" distR="0">
            <wp:extent cx="5723890" cy="343789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723890" cy="3437890"/>
                    </a:xfrm>
                    <a:prstGeom prst="rect">
                      <a:avLst/>
                    </a:prstGeom>
                  </pic:spPr>
                </pic:pic>
              </a:graphicData>
            </a:graphic>
          </wp:inline>
        </w:drawing>
      </w:r>
    </w:p>
    <w:p>
      <w:pPr>
        <w:pStyle w:val="TextBody"/>
        <w:spacing w:before="0" w:after="240"/>
        <w:ind w:left="0" w:right="0" w:hanging="0"/>
        <w:jc w:val="center"/>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Pharmacokinetic analyses demonstrated dose-proportional increases in OP-1250 exposures across all evaluated doses, high oral bioavailability and steady-state plasma levels with minimal peak-to-trough variability. As shown in Figure 9 below, at doses 60 mg and above, OP-1250 achieved exposures exceeding the predicted thresholds for maximal anti-tumor efficacy based on preclinical models.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9. OP-1250 Mean Plasma Concentration-Time Profiles (C2D1)</w:t>
      </w:r>
    </w:p>
    <w:p>
      <w:pPr>
        <w:pStyle w:val="TextBody"/>
        <w:spacing w:before="0" w:after="240"/>
        <w:ind w:left="0" w:right="0" w:hanging="0"/>
        <w:jc w:val="center"/>
        <w:rPr/>
      </w:pPr>
      <w:r>
        <w:rPr/>
        <w:drawing>
          <wp:inline distT="0" distB="0" distL="0" distR="0">
            <wp:extent cx="5942965" cy="426656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942965" cy="426656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Tolerability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was generally well tolerated, and no dose-limiting toxicities were reported at any of the seven dose levels studied. A maximum tolerated dose was not reached. The majority of reported adverse events were grade 1 or 2 at all dose levels, and the most common treatment-related adverse events as assessed by study investigator were nausea (49%), fatigue (34%), vomiting (22%) and headache (17%). No clinically significant bradycardia, ocular toxicities or diarrhea occurred. As of the data cut-off of November 1, 2021, 3 patients had grade 4 neutropenia attributed to study drug by the investigator. Two of these patients presented with fever and neutropenia. A RP2D range of 60 mg to 120 mg was identified for further evaluation based on pharmacokinetics, favorable tolerability, and initial evidence of anti-tumor activity.</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10. Treatment-Related Adverse Events</w:t>
      </w:r>
    </w:p>
    <w:p>
      <w:pPr>
        <w:pStyle w:val="TextBody"/>
        <w:spacing w:before="0" w:after="240"/>
        <w:ind w:left="0" w:right="0" w:hanging="0"/>
        <w:jc w:val="center"/>
        <w:rPr/>
      </w:pPr>
      <w:r>
        <w:rPr/>
        <w:drawing>
          <wp:inline distT="0" distB="0" distL="0" distR="0">
            <wp:extent cx="5942965" cy="17335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942965" cy="173355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TREA: treatment-related adverse event as assessed by study investigator.</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Efficacy Profile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Early evidence of anti-tumor activity was observed in patients across all dose levels tested in the Phase 1a dose escalation portion of the trial.  Patients were scheduled for tumor assessments at eight-week intervals.  Patients were considered efficacy-evaluable for overall response rate, or ORR, if they had RECIST-measurable disease at baseline and at least one post-baseline tumor assessment or discontinued treatment prior to their first post-baseline assessment, and for CBR if they were enrolled at least 24 weeks prior to the data cut-off date.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set forth in the Figures 11 and 12 below, as of the data cut-off date of November 1, 2021, three partial responses were observed among 24 efficacy-evaluable patients, including two confirmed partial responses and one unconfirmed partial response.  The patient with the unconfirmed partial response demonstrated robust target lesion reduction of 100% but remained unconfirmed due to progressive disease with a new lesion appearing at a follow-up visit. All three responses occurred in patients with ESR1 mutations and who had previously received CDK4/6 and aromatase inhibitors, and fulvestrant. Four response-eligible patients had target lesion reductions of greater than 30%.  Across all doses, the ORR was 8% (2/24) and the CBR was 29% (7/24). For the dose levels within the RP2D range, the ORR was 17% (2/12) and the CBR was 46% (6/13).  As of the data cut-off date, 32% of patients (13/41) remained on treatment with efficacy data continuing to mature, including both patients with confirmed partial responses.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11: Best Response of Target Lesion in Patients with Measurable Disease</w:t>
      </w:r>
    </w:p>
    <w:p>
      <w:pPr>
        <w:pStyle w:val="TextBody"/>
        <w:spacing w:before="0" w:after="240"/>
        <w:ind w:left="0" w:right="0" w:hanging="0"/>
        <w:jc w:val="center"/>
        <w:rPr/>
      </w:pPr>
      <w:r>
        <w:rPr/>
        <w:drawing>
          <wp:inline distT="0" distB="0" distL="0" distR="0">
            <wp:extent cx="5942965" cy="239014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942965" cy="239014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16"/>
        </w:rPr>
      </w:pPr>
      <w:r>
        <w:rPr>
          <w:rFonts w:ascii="Arial;Helvetica;sans-serif" w:hAnsi="Arial;Helvetica;sans-serif"/>
          <w:i/>
          <w:sz w:val="16"/>
        </w:rPr>
        <w:t>*Patient’s response unconfirmed due to progression with a new non-target lesion at follow-up visit. Efficacy-evaluable patients include those with measurable disease at baseline and at least one post-baseline scan. Data cut-off: November 1, 2021. PR, partial response; SD, stable disease; PD, progressive disease.</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12: Treatment Duration (weeks) and Response by Dose in All Patients (N=41) as of Nov. 1, 2021</w:t>
      </w:r>
    </w:p>
    <w:p>
      <w:pPr>
        <w:pStyle w:val="TextBody"/>
        <w:spacing w:before="0" w:after="240"/>
        <w:ind w:left="0" w:right="0" w:hanging="0"/>
        <w:jc w:val="center"/>
        <w:rPr/>
      </w:pPr>
      <w:r>
        <w:rPr/>
        <w:drawing>
          <wp:inline distT="0" distB="0" distL="0" distR="0">
            <wp:extent cx="5704840" cy="356171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04840" cy="356171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16"/>
        </w:rPr>
      </w:pPr>
      <w:r>
        <w:rPr>
          <w:rFonts w:ascii="Arial;Helvetica;sans-serif" w:hAnsi="Arial;Helvetica;sans-serif"/>
          <w:i/>
          <w:sz w:val="16"/>
        </w:rPr>
        <w:t>*Four patients in the 300 mg cohort dose reduced, three to 120 mg and one to 60 mg with most occurring at the beginning of cycle 2. These patients are included in RP2D CBR calculation set forth above. PR, partial response; PD, progressive disease; AI, aromatase inhibitor; CDK4/6i, cyclin-dependent kinases inhibitor. Data cut-off: November 1, 2021.</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Clinical development plan for OP-1250 and additional clinical opportunities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Based on data from the Phase 1a dose-escalation portion of our Phase 1/2 clinical trial, we are advancing OP-1250’s clinical development program with a number of anticipated program milestones. The Phase 1b dose expansion portion of our Phase 1/2 clinical trial is ongoing at two dose levels (60 mg and 120 mg daily) and is expected to enroll 15 patients in each cohort. Findings from this stage will help inform selection of the RP2D.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After determining the RP2D for OP-1250, we expect to initiate the Phase 2 efficacy evaluation in the first half of 2022 with approximately 80 patients enrolled across three cohorts: patients with measurable disease (n=50), patients with non-measurable disease (n=15), and patients with CNS metastasis (n=15).</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12. Designs of the Phase 1/2 OP-1250-001 trial and Phase 1b OP-1250-002 for OP-1250</w:t>
      </w:r>
    </w:p>
    <w:p>
      <w:pPr>
        <w:pStyle w:val="TextBody"/>
        <w:spacing w:before="0" w:after="240"/>
        <w:ind w:left="0" w:right="0" w:hanging="0"/>
        <w:jc w:val="center"/>
        <w:rPr/>
      </w:pPr>
      <w:r>
        <w:rPr/>
        <w:drawing>
          <wp:inline distT="0" distB="0" distL="0" distR="0">
            <wp:extent cx="5942965" cy="19335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942965" cy="1933575"/>
                    </a:xfrm>
                    <a:prstGeom prst="rect">
                      <a:avLst/>
                    </a:prstGeom>
                  </pic:spPr>
                </pic:pic>
              </a:graphicData>
            </a:graphic>
          </wp:inline>
        </w:drawing>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December 2021, we initiated a Phase 1b clinical trial of OP-1250 in combination with palbociclib, a CDK4/6 inhibitor. We expect to initiate additional combination studies with CDK4/6 and PI3K</w:t>
      </w:r>
      <w:r>
        <w:rPr>
          <w:rFonts w:ascii="Symbol" w:hAnsi="Symbol"/>
          <w:sz w:val="20"/>
        </w:rPr>
        <w:t>a</w:t>
      </w:r>
      <w:r>
        <w:rPr>
          <w:rFonts w:ascii="Arial;Helvetica;sans-serif" w:hAnsi="Arial;Helvetica;sans-serif"/>
          <w:sz w:val="20"/>
        </w:rPr>
        <w:t xml:space="preserve"> inhibitors in 2022. Each of the combination trials will be evaluated in an abbreviated dose escalation followed by a small expansion cohort to further evaluate the safety of each of the two combinations. We expect to initiate a pivotal study for OP-1250 in the metastatic setting in 2023.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While all populations described above are in patients with ER+/HER2- breast cancer, we believe that there is an opportunity for us to study OP-1250 in patients with ER+/HER2+ breast cancer, which represents approximately 11% of breast cancer patients and more than 50% of the patients with HER2+ breast cancer. In particular, up to 50% of patients with metastatic HER2+ breast cancer develop CNS disease. We believe that combining OP-1250 with HER2 targeted agents may represent an opportunity to improve upon recent advancements in the treatment of CNS disease in patients that express both ER and HER2. We expect to initiate a Phase 1b clinical trial of OP-1250 in combination with HER2+ inhibitors in patients with ER+/HER2+ breast cancer and CNS metastasis, in 2022.</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conducting a series of pharmacology studies for OP-1250, including drug-drug interaction, or DDI, fed/fast and bioequivalence to a tablet formulation, and expect to complete these studies in 2022. We believe that the conversion from capsule to tablet formulation of OP-1250 may help lower the incidence of upper gastrointestinal adverse events we observed in the Phase 1a portion of our clinical trial. We expect to transition to tablet administration prior to initiation of a pivotal study in 2023.</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breast cancer, we intend to explore the use of OP-1250 in various gynecological malignancies, beginning with endometrial cancer. Approximately 80% of endometrial tumors are “endometriod” in nature and these tumors are driven by estrogen.</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While our initial trials are focused on treating breast cancer patients with metastatic disease, we believe that if OP-1250 is determined to be safe and effective in this population, there is potential for it to be used in earlier stage disease. Based on our extensive nonclinical studies, including certain head-to-head studies, we believe that OP-1250 could have superior PK properties and improved clinical outcomes than fulvestrant. If proven in the clinic, we believe that OP-1250 has the potential to not only replace fulvestrant but to become the endocrine treatment of choice for the treatment of both advanced/metastatic ER+ breast cancer as well as ultimately in early-stage ER+ breast cancer in the adjuvant setting.</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Nonclinical data</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Complete ER antagonism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key distinguishing feature of CERANs is that they completely lack any agonistic estrogen-like effects, and completely block the effects of estrogen. In a nonclinical model, we evaluated OP-1250 and other compounds with publicly-disclosed chemical structures that have been or are in clinical development for ER+ breast cancer to compare their ability to block breast cancer proliferation and degrade estrogen receptors. Alkaline phosphatase is an estrogen-responsive gene in ECC-1 cells driven by AF1 action. The in vitro alkaline phosphatase, or AP, model is a method of determining complete ER antagonism. As shown in Figure 13 below, OP-1250 and other CERANs lack agonistic estrogen like effects and completely block the effects of estrogen.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In the absence of estrogen, OP-1250 and other CERANs completely inactivated AF1 and did not stimulate AF1-dependent AP activity. In the presence of estrogen, OP-1250 and other CERANS demonstrated complete antagonism while non-CERANs were unable to fully inhibit estrogen-stimulated AF-1 activity.</w:t>
      </w:r>
    </w:p>
    <w:p>
      <w:pPr>
        <w:pStyle w:val="TextBody"/>
        <w:spacing w:before="0" w:after="240"/>
        <w:ind w:left="0" w:right="0" w:hanging="0"/>
        <w:jc w:val="both"/>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 xml:space="preserve">Figure 13. CERANs do not activate AF1 in the absence of estrogen, and partial and strong agonists </w:t>
        <w:br/>
        <w:t>do not fully inhibit estrogen-stimulated AF-1 activity</w:t>
      </w:r>
    </w:p>
    <w:p>
      <w:pPr>
        <w:pStyle w:val="TextBody"/>
        <w:spacing w:before="0" w:after="240"/>
        <w:ind w:left="0" w:right="0" w:hanging="0"/>
        <w:jc w:val="center"/>
        <w:rPr/>
      </w:pPr>
      <w:r>
        <w:rPr/>
        <w:drawing>
          <wp:inline distT="0" distB="0" distL="0" distR="0">
            <wp:extent cx="5986780" cy="245681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986780" cy="245681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SERD activity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SERDs are ER ligands that lead to partial degradation of the ER. This degradation takes place within four hours after exposure of cells to the SERD, indicating that it comes from destabilization of the ER protein. In a nonclinical analysis, we have tested the ability of OP-1250, fulvestrant, other CERANs and several non-CERAN SERDs to degrade ER across five different cell lines. As shown in Figure 14, after treatment of these cell lines for four hours, OP-1250 and other CERANs strongly degraded the estrogen receptor in all five ER+ cell lines, while non-CERANS demonstrated variable and inconsistent ER degradation. Of note, Estradiol, or E2,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prototypical agonist of ER</w:t>
      </w:r>
      <w:r>
        <w:rPr>
          <w:rFonts w:ascii="Symbol" w:hAnsi="Symbol"/>
          <w:sz w:val="20"/>
        </w:rPr>
        <w:t>a</w:t>
      </w:r>
      <w:r>
        <w:rPr>
          <w:rFonts w:ascii="Arial;Helvetica;sans-serif" w:hAnsi="Arial;Helvetica;sans-serif"/>
          <w:sz w:val="20"/>
        </w:rPr>
        <w:t>, degraded ER</w:t>
      </w:r>
      <w:r>
        <w:rPr>
          <w:rFonts w:ascii="Symbol" w:hAnsi="Symbol"/>
          <w:sz w:val="20"/>
        </w:rPr>
        <w:t>a</w:t>
      </w:r>
      <w:r>
        <w:rPr>
          <w:rFonts w:ascii="Arial;Helvetica;sans-serif" w:hAnsi="Arial;Helvetica;sans-serif"/>
          <w:sz w:val="20"/>
        </w:rPr>
        <w:t xml:space="preserve"> in all five ER+ cell lines. In all cases, none of the compounds achieved full ER degradation, further supporting our belief that complete ER antagonism is independent from degradation and key to inactivating any remaining ER receptor.</w:t>
      </w:r>
    </w:p>
    <w:p>
      <w:pPr>
        <w:pStyle w:val="TextBody"/>
        <w:spacing w:before="0" w:after="240"/>
        <w:ind w:left="0" w:right="0" w:hanging="0"/>
        <w:jc w:val="center"/>
        <w:rPr>
          <w:rFonts w:ascii="Arial;Helvetica;sans-serif" w:hAnsi="Arial;Helvetica;sans-serif"/>
          <w:sz w:val="20"/>
        </w:rPr>
      </w:pPr>
      <w:r>
        <w:rPr>
          <w:rFonts w:ascii="Arial;Helvetica;sans-serif" w:hAnsi="Arial;Helvetica;sans-serif"/>
          <w:b/>
          <w:sz w:val="20"/>
        </w:rPr>
        <w:t>Figure 14. CERANs reliably degrade ER</w:t>
      </w:r>
      <w:r>
        <w:rPr>
          <w:rFonts w:ascii="Symbol" w:hAnsi="Symbol"/>
          <w:b/>
          <w:sz w:val="20"/>
        </w:rPr>
        <w:t>a</w:t>
      </w:r>
      <w:r>
        <w:rPr>
          <w:rFonts w:ascii="Arial;Helvetica;sans-serif" w:hAnsi="Arial;Helvetica;sans-serif"/>
          <w:sz w:val="20"/>
        </w:rPr>
        <w:t xml:space="preserve"> </w:t>
      </w:r>
      <w:r>
        <w:rPr>
          <w:rFonts w:ascii="Arial;Helvetica;sans-serif" w:hAnsi="Arial;Helvetica;sans-serif"/>
          <w:b/>
          <w:sz w:val="20"/>
        </w:rPr>
        <w:t>in multiple cell lines while non-CERANs have a variable degradation profile.</w:t>
      </w:r>
    </w:p>
    <w:p>
      <w:pPr>
        <w:pStyle w:val="TextBody"/>
        <w:spacing w:before="0" w:after="240"/>
        <w:ind w:left="0" w:right="0" w:hanging="0"/>
        <w:jc w:val="center"/>
        <w:rPr/>
      </w:pPr>
      <w:r>
        <w:rPr/>
        <w:drawing>
          <wp:inline distT="0" distB="0" distL="0" distR="0">
            <wp:extent cx="5942965" cy="143764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942965" cy="1437640"/>
                    </a:xfrm>
                    <a:prstGeom prst="rect">
                      <a:avLst/>
                    </a:prstGeom>
                  </pic:spPr>
                </pic:pic>
              </a:graphicData>
            </a:graphic>
          </wp:inline>
        </w:drawing>
      </w:r>
    </w:p>
    <w:p>
      <w:pPr>
        <w:pStyle w:val="TextBody"/>
        <w:spacing w:before="0" w:after="240"/>
        <w:ind w:left="0" w:right="0" w:hanging="0"/>
        <w:jc w:val="both"/>
        <w:rPr>
          <w:rFonts w:ascii="Arial;Helvetica;sans-serif" w:hAnsi="Arial;Helvetica;sans-serif"/>
          <w:sz w:val="20"/>
        </w:rPr>
      </w:pPr>
      <w:r>
        <w:rPr>
          <w:rFonts w:ascii="Arial;Helvetica;sans-serif" w:hAnsi="Arial;Helvetica;sans-serif"/>
          <w:i/>
          <w:sz w:val="20"/>
        </w:rPr>
        <w:t>Immunoblot of ER</w:t>
      </w:r>
      <w:r>
        <w:rPr>
          <w:rFonts w:ascii="Symbol" w:hAnsi="Symbol"/>
          <w:i/>
          <w:sz w:val="20"/>
        </w:rPr>
        <w:t>a</w:t>
      </w:r>
      <w:r>
        <w:rPr>
          <w:rFonts w:ascii="Arial;Helvetica;sans-serif" w:hAnsi="Arial;Helvetica;sans-serif"/>
          <w:sz w:val="20"/>
        </w:rPr>
        <w:t xml:space="preserve"> </w:t>
      </w:r>
      <w:r>
        <w:rPr>
          <w:rFonts w:ascii="Arial;Helvetica;sans-serif" w:hAnsi="Arial;Helvetica;sans-serif"/>
          <w:i/>
          <w:sz w:val="20"/>
        </w:rPr>
        <w:t>across multiple ER+ cell lines. Cells were incubated with 300nM compounds for 4h in estrogen-depleted media. Shown here are the densitometry results of the immunoblot showing ER</w:t>
      </w:r>
      <w:r>
        <w:rPr>
          <w:rFonts w:ascii="Arial;Helvetica;sans-serif" w:hAnsi="Arial;Helvetica;sans-serif"/>
          <w:sz w:val="20"/>
        </w:rPr>
        <w:t xml:space="preserve">⍺ </w:t>
      </w:r>
      <w:r>
        <w:rPr>
          <w:rFonts w:ascii="Arial;Helvetica;sans-serif" w:hAnsi="Arial;Helvetica;sans-serif"/>
          <w:i/>
          <w:sz w:val="20"/>
        </w:rPr>
        <w:t>protein levels relative to vehicle-treated cells after normalizing ER</w:t>
      </w:r>
      <w:r>
        <w:rPr>
          <w:rFonts w:ascii="Arial;Helvetica;sans-serif" w:hAnsi="Arial;Helvetica;sans-serif"/>
          <w:sz w:val="20"/>
        </w:rPr>
        <w:t xml:space="preserve">⍺ </w:t>
      </w:r>
      <w:r>
        <w:rPr>
          <w:rFonts w:ascii="Arial;Helvetica;sans-serif" w:hAnsi="Arial;Helvetica;sans-serif"/>
          <w:i/>
          <w:sz w:val="20"/>
        </w:rPr>
        <w:t>to actin.</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Potent anti-proliferative activity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nonclinical studies, we found that OP-1250 was a potent inhibitor of proliferation in multiple breast cancer cell lines. As shown in Figure 15 below, in a cell proliferation assay using CAMA-1 cells, a human breast cancer line, OP-1250 and other CERANs inhibited estrogen-driven proliferation to a greater degree than non-CERANs.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15. OP-1250 and CERANs more completely block estrogen-driven breast cancer proliferation than non-CERANs</w:t>
      </w:r>
    </w:p>
    <w:p>
      <w:pPr>
        <w:pStyle w:val="TextBody"/>
        <w:spacing w:before="0" w:after="240"/>
        <w:ind w:left="0" w:right="0" w:hanging="0"/>
        <w:jc w:val="center"/>
        <w:rPr/>
      </w:pPr>
      <w:r>
        <w:rPr/>
        <w:drawing>
          <wp:inline distT="0" distB="0" distL="0" distR="0">
            <wp:extent cx="5895340" cy="473138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895340" cy="473138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Proliferation of CAMA-1 breast cancer cells treated with antiestrogens for 6-8 days in the presence of 100pM E2 in E2-depleted media. Cell number was approximated using a DNA-binding dye. Shown are mean values normalized to E2 from 3 independent experiments.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Potent antagonist activity on both wild-type and mutant 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Treatment of breast cancers with AI therapy has been shown to lead to the development of resistance mutations in the ESR1 gene. These mutations are acquired during treatment and are found in less than 2% of untreated early- stage breast tumors but in 30-40% of metastatic tumors after treatment with AIs. More than 80% of mutations are found at three locations corresponding to amino acid residues 380, 537 and 538.</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These mutations result in resistance to many estrogen therapies. We assessed the ability of estrogen compounds to inhibit ER-dependent transcription in cell lines containing ER alleles with mutations that have been found in patients. We used alkaline phosphatase, which is encoded by a gene activated by the ER primarily through the AF1 transcriptional activation function and has an enzymatic activity that can be readily measured in cells, as a surrogate for ER driven target gene transcription. We tested two clinical stage SERD compounds: ARN-810, also known as GDC-0810, a discontinued compound previously in Phase 2 clinical development by Genentech; and AZD9496, an AstraZeneca compound that has presented Phase 1 data. Both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compounds were unable to fully inhibit the activity of the mutant ER. At the highest concentrations tested of approximately 1 μM, these compounds were unable to fully inhibit the alkaline phosphatase activity stimulated by the D538G mutation and had no activity in cells containing the Y537S mutation. In contrast, both OP-1250 and fulvestrant were able to fully inhibit the alkaline phosphatase activity in cells containing these mutations. These observations suggest that tumors that become resistant to other estrogen therapies may remain sensitive to OP-1250.</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16. Both OP-1250 and fulvestrant inhibit the activity of the ER containing mutations</w:t>
        <w:br/>
        <w:t>that commonly arise in breast cancer patients treated with other antiestrogen therapies.</w:t>
      </w:r>
    </w:p>
    <w:p>
      <w:pPr>
        <w:pStyle w:val="TextBody"/>
        <w:spacing w:before="0" w:after="240"/>
        <w:ind w:left="0" w:right="0" w:hanging="0"/>
        <w:jc w:val="center"/>
        <w:rPr/>
      </w:pPr>
      <w:r>
        <w:rPr/>
        <w:drawing>
          <wp:inline distT="0" distB="0" distL="0" distR="0">
            <wp:extent cx="5733415" cy="301879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733415" cy="301879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AP activity mediated by Y537S and D538G mutant ER</w:t>
      </w:r>
      <w:r>
        <w:rPr>
          <w:rFonts w:ascii="Symbol" w:hAnsi="Symbol"/>
          <w:i/>
          <w:sz w:val="20"/>
        </w:rPr>
        <w:t>a</w:t>
      </w:r>
      <w:r>
        <w:rPr>
          <w:rFonts w:ascii="Arial;Helvetica;sans-serif" w:hAnsi="Arial;Helvetica;sans-serif"/>
          <w:i/>
          <w:sz w:val="20"/>
        </w:rPr>
        <w:t xml:space="preserve"> in an endometrial cell line. AP activity was assayed by treating transiently transfected Ishikawa cells with ligands in E2-depleted media for 3 days. Absorbance was read after incubation with a chromogenic substrate for AP. Shown are mean values normalized to vehicle, along with SEM from triplicate wells. The line labeled “endogenous” represents the mean AP activity of cells transfected with an empty vector, indicating the AP activity of the endogenous receptor. ARN-810, also known as GDC-0810, has been discontinued by Genentech.</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Potent tumor shrinkage in nonclinical models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shrank or eliminated tumors in a wide variety of xenograft models including in an ovariectomized mouse breast cancer model designed to mimic the endocrine environment of post-menopausal women using HCI- 013EI, an estrogen-independent patient-derived xenograft model containing a Y537S mutation. In this model, tumor growth occurred even in the absence of estrogen production due to the constitutive or always-on activity of the Y537S mutant ER protein. At daily oral doses of 3 mg/kg and higher, dosing with OP-1250 led to tumor reductions in all treated mice. In contrast, fulvestrant led to a detectable reduction in only two of the seven treated mice.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17. At daily oral doses of 3 mg/kg and above, treatment with OP-1250 led to tumor</w:t>
        <w:br/>
        <w:t>shrinkage in all treated mice in an HCI-013EI patient-derived xenograft model</w:t>
      </w:r>
    </w:p>
    <w:p>
      <w:pPr>
        <w:pStyle w:val="TextBody"/>
        <w:spacing w:before="0" w:after="240"/>
        <w:ind w:left="0" w:right="0" w:hanging="0"/>
        <w:jc w:val="center"/>
        <w:rPr/>
      </w:pPr>
      <w:r>
        <w:rPr/>
        <w:drawing>
          <wp:inline distT="0" distB="0" distL="0" distR="0">
            <wp:extent cx="5714365" cy="237109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714365" cy="237109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Change in tumor volume of HCI-013EI patient-derived tumors, carrying the Y537S mutation in the ER and adapted to grow without estrogen, implanted in the mammary fat pad of non-obese diabetic, or NOD/SCID ovariectomized mice. Mice were treated with oral OP-1250 at the dose indicated, or with subcutaneous fulvestrant (Faslodex preparation). Left panel shows tumor size of each tumor measured with calipers at termination. Right panel shows mean tumor size of each treatment group of 8 over the course of the study.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Daily oral dosing with OP-1250 led to tumor shrinkage in multiple xenograft models in mice with intact ovaries. These models included the HCC1500 cell line, which have wild-type ER and the ST941 and HCI-013 patient- derived xenograft models, both of which contain ERs that have the Y537S mutation. Similar to what was seen in the ovariectomized mouse model, OP-1250 demonstrated more potent antitumor activity than fulvestrant, which failed to consistently shrink tumors in any of these models.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18. OP-1250 led to tumor shrinkage in multiple breast cancer xenograft models in</w:t>
        <w:br/>
        <w:t>mice including HCC1500, which contain wild-type ER, and ST941 and HCI-013, which</w:t>
        <w:br/>
        <w:t>contain the Y537S mutation in ER</w:t>
      </w:r>
    </w:p>
    <w:tbl>
      <w:tblPr>
        <w:tblW w:w="8670" w:type="dxa"/>
        <w:jc w:val="left"/>
        <w:tblInd w:w="0" w:type="dxa"/>
        <w:tblCellMar>
          <w:top w:w="0" w:type="dxa"/>
          <w:left w:w="0" w:type="dxa"/>
          <w:bottom w:w="0" w:type="dxa"/>
          <w:right w:w="0" w:type="dxa"/>
        </w:tblCellMar>
      </w:tblPr>
      <w:tblGrid>
        <w:gridCol w:w="4325"/>
        <w:gridCol w:w="4345"/>
      </w:tblGrid>
      <w:tr>
        <w:trPr/>
        <w:tc>
          <w:tcPr>
            <w:tcW w:w="4325" w:type="dxa"/>
            <w:tcBorders/>
            <w:shd w:fill="auto" w:val="clear"/>
            <w:vAlign w:val="center"/>
          </w:tcPr>
          <w:p>
            <w:pPr>
              <w:pStyle w:val="TableContents"/>
              <w:spacing w:before="0" w:after="0"/>
              <w:ind w:left="0" w:right="0" w:hanging="0"/>
              <w:rPr/>
            </w:pPr>
            <w:r>
              <w:rPr/>
              <w:t>​</w:t>
            </w:r>
          </w:p>
        </w:tc>
        <w:tc>
          <w:tcPr>
            <w:tcW w:w="4345" w:type="dxa"/>
            <w:tcBorders/>
            <w:shd w:fill="auto" w:val="clear"/>
            <w:vAlign w:val="center"/>
          </w:tcPr>
          <w:p>
            <w:pPr>
              <w:pStyle w:val="TableContents"/>
              <w:spacing w:before="0" w:after="0"/>
              <w:ind w:left="0" w:right="0" w:hanging="0"/>
              <w:rPr/>
            </w:pPr>
            <w:r>
              <w:rPr/>
              <w:t>​</w:t>
            </w:r>
          </w:p>
        </w:tc>
      </w:tr>
      <w:tr>
        <w:trPr/>
        <w:tc>
          <w:tcPr>
            <w:tcW w:w="4325"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HCC1500</w:t>
            </w:r>
          </w:p>
        </w:tc>
        <w:tc>
          <w:tcPr>
            <w:tcW w:w="4345" w:type="dxa"/>
            <w:tcBorders/>
            <w:shd w:fill="auto" w:val="clear"/>
            <w:vAlign w:val="center"/>
          </w:tcPr>
          <w:p>
            <w:pPr>
              <w:pStyle w:val="TableContents"/>
              <w:spacing w:before="0" w:after="240"/>
              <w:ind w:left="0" w:right="0" w:hanging="0"/>
              <w:jc w:val="center"/>
              <w:rPr/>
            </w:pPr>
            <w:r>
              <w:rPr/>
              <w:t>​</w:t>
            </w:r>
          </w:p>
        </w:tc>
      </w:tr>
      <w:tr>
        <w:trPr/>
        <w:tc>
          <w:tcPr>
            <w:tcW w:w="4325" w:type="dxa"/>
            <w:tcBorders/>
            <w:shd w:fill="auto" w:val="clear"/>
            <w:vAlign w:val="center"/>
          </w:tcPr>
          <w:p>
            <w:pPr>
              <w:pStyle w:val="TableContents"/>
              <w:spacing w:before="0" w:after="240"/>
              <w:ind w:left="0" w:right="0" w:hanging="0"/>
              <w:rPr/>
            </w:pPr>
            <w:r>
              <w:rPr/>
              <w:t>​</w:t>
            </w:r>
          </w:p>
        </w:tc>
        <w:tc>
          <w:tcPr>
            <w:tcW w:w="4345" w:type="dxa"/>
            <w:tcBorders/>
            <w:shd w:fill="auto" w:val="clear"/>
            <w:vAlign w:val="center"/>
          </w:tcPr>
          <w:p>
            <w:pPr>
              <w:pStyle w:val="TableContents"/>
              <w:spacing w:before="0" w:after="240"/>
              <w:ind w:left="0" w:right="0" w:hanging="0"/>
              <w:jc w:val="center"/>
              <w:rPr/>
            </w:pPr>
            <w:r>
              <w:rPr/>
              <w:t>​</w:t>
            </w:r>
          </w:p>
        </w:tc>
      </w:tr>
      <w:tr>
        <w:trPr/>
        <w:tc>
          <w:tcPr>
            <w:tcW w:w="4325" w:type="dxa"/>
            <w:tcBorders/>
            <w:shd w:fill="auto" w:val="clear"/>
            <w:vAlign w:val="center"/>
          </w:tcPr>
          <w:p>
            <w:pPr>
              <w:pStyle w:val="TableContents"/>
              <w:spacing w:before="0" w:after="0"/>
              <w:ind w:left="0" w:right="0" w:hanging="0"/>
              <w:jc w:val="center"/>
              <w:rPr/>
            </w:pPr>
            <w:r>
              <w:rPr/>
              <w:drawing>
                <wp:inline distT="0" distB="0" distL="0" distR="0">
                  <wp:extent cx="2682240" cy="225425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2682240" cy="2254250"/>
                          </a:xfrm>
                          <a:prstGeom prst="rect">
                            <a:avLst/>
                          </a:prstGeom>
                        </pic:spPr>
                      </pic:pic>
                    </a:graphicData>
                  </a:graphic>
                </wp:inline>
              </w:drawing>
            </w:r>
          </w:p>
        </w:tc>
        <w:tc>
          <w:tcPr>
            <w:tcW w:w="4345" w:type="dxa"/>
            <w:tcBorders/>
            <w:shd w:fill="auto" w:val="clear"/>
            <w:vAlign w:val="center"/>
          </w:tcPr>
          <w:p>
            <w:pPr>
              <w:pStyle w:val="TableContents"/>
              <w:spacing w:before="0" w:after="0"/>
              <w:ind w:left="0" w:right="0" w:hanging="0"/>
              <w:jc w:val="center"/>
              <w:rPr/>
            </w:pPr>
            <w:r>
              <w:rPr/>
              <w:drawing>
                <wp:inline distT="0" distB="0" distL="0" distR="0">
                  <wp:extent cx="2675890" cy="225615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2675890" cy="2256155"/>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711" w:type="dxa"/>
        <w:jc w:val="left"/>
        <w:tblInd w:w="0" w:type="dxa"/>
        <w:tblCellMar>
          <w:top w:w="0" w:type="dxa"/>
          <w:left w:w="0" w:type="dxa"/>
          <w:bottom w:w="0" w:type="dxa"/>
          <w:right w:w="0" w:type="dxa"/>
        </w:tblCellMar>
      </w:tblPr>
      <w:tblGrid>
        <w:gridCol w:w="4360"/>
        <w:gridCol w:w="4351"/>
      </w:tblGrid>
      <w:tr>
        <w:trPr/>
        <w:tc>
          <w:tcPr>
            <w:tcW w:w="4360" w:type="dxa"/>
            <w:tcBorders/>
            <w:shd w:fill="auto" w:val="clear"/>
            <w:vAlign w:val="center"/>
          </w:tcPr>
          <w:p>
            <w:pPr>
              <w:pStyle w:val="TableContents"/>
              <w:spacing w:before="0" w:after="0"/>
              <w:ind w:left="0" w:right="0" w:hanging="0"/>
              <w:rPr/>
            </w:pPr>
            <w:r>
              <w:rPr/>
              <w:t>​</w:t>
            </w:r>
          </w:p>
        </w:tc>
        <w:tc>
          <w:tcPr>
            <w:tcW w:w="4351" w:type="dxa"/>
            <w:tcBorders/>
            <w:shd w:fill="auto" w:val="clear"/>
            <w:vAlign w:val="center"/>
          </w:tcPr>
          <w:p>
            <w:pPr>
              <w:pStyle w:val="TableContents"/>
              <w:spacing w:before="0" w:after="0"/>
              <w:ind w:left="0" w:right="0" w:hanging="0"/>
              <w:rPr/>
            </w:pPr>
            <w:r>
              <w:rPr/>
              <w:t>​</w:t>
            </w:r>
          </w:p>
        </w:tc>
      </w:tr>
      <w:tr>
        <w:trPr/>
        <w:tc>
          <w:tcPr>
            <w:tcW w:w="4360"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ST941</w:t>
            </w:r>
          </w:p>
        </w:tc>
        <w:tc>
          <w:tcPr>
            <w:tcW w:w="4351" w:type="dxa"/>
            <w:tcBorders/>
            <w:shd w:fill="auto" w:val="clear"/>
            <w:vAlign w:val="center"/>
          </w:tcPr>
          <w:p>
            <w:pPr>
              <w:pStyle w:val="TableContents"/>
              <w:spacing w:before="0" w:after="240"/>
              <w:ind w:left="0" w:right="0" w:hanging="0"/>
              <w:jc w:val="center"/>
              <w:rPr/>
            </w:pPr>
            <w:r>
              <w:rPr/>
              <w:t>​</w:t>
            </w:r>
          </w:p>
        </w:tc>
      </w:tr>
      <w:tr>
        <w:trPr/>
        <w:tc>
          <w:tcPr>
            <w:tcW w:w="4360" w:type="dxa"/>
            <w:tcBorders/>
            <w:shd w:fill="auto" w:val="clear"/>
            <w:vAlign w:val="center"/>
          </w:tcPr>
          <w:p>
            <w:pPr>
              <w:pStyle w:val="TableContents"/>
              <w:spacing w:before="0" w:after="240"/>
              <w:ind w:left="0" w:right="0" w:hanging="0"/>
              <w:rPr/>
            </w:pPr>
            <w:r>
              <w:rPr/>
              <w:t>​</w:t>
            </w:r>
          </w:p>
        </w:tc>
        <w:tc>
          <w:tcPr>
            <w:tcW w:w="4351" w:type="dxa"/>
            <w:tcBorders/>
            <w:shd w:fill="auto" w:val="clear"/>
            <w:vAlign w:val="center"/>
          </w:tcPr>
          <w:p>
            <w:pPr>
              <w:pStyle w:val="TableContents"/>
              <w:spacing w:before="0" w:after="240"/>
              <w:ind w:left="0" w:right="0" w:hanging="0"/>
              <w:jc w:val="center"/>
              <w:rPr/>
            </w:pPr>
            <w:r>
              <w:rPr/>
              <w:t>​</w:t>
            </w:r>
          </w:p>
        </w:tc>
      </w:tr>
      <w:tr>
        <w:trPr/>
        <w:tc>
          <w:tcPr>
            <w:tcW w:w="4360" w:type="dxa"/>
            <w:tcBorders/>
            <w:shd w:fill="auto" w:val="clear"/>
            <w:vAlign w:val="center"/>
          </w:tcPr>
          <w:p>
            <w:pPr>
              <w:pStyle w:val="TableContents"/>
              <w:spacing w:before="0" w:after="0"/>
              <w:ind w:left="0" w:right="0" w:hanging="0"/>
              <w:jc w:val="center"/>
              <w:rPr/>
            </w:pPr>
            <w:r>
              <w:rPr/>
              <w:drawing>
                <wp:inline distT="0" distB="0" distL="0" distR="0">
                  <wp:extent cx="2704465" cy="225171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704465" cy="2251710"/>
                          </a:xfrm>
                          <a:prstGeom prst="rect">
                            <a:avLst/>
                          </a:prstGeom>
                        </pic:spPr>
                      </pic:pic>
                    </a:graphicData>
                  </a:graphic>
                </wp:inline>
              </w:drawing>
            </w:r>
          </w:p>
        </w:tc>
        <w:tc>
          <w:tcPr>
            <w:tcW w:w="4351" w:type="dxa"/>
            <w:tcBorders/>
            <w:shd w:fill="auto" w:val="clear"/>
            <w:vAlign w:val="center"/>
          </w:tcPr>
          <w:p>
            <w:pPr>
              <w:pStyle w:val="TableContents"/>
              <w:spacing w:before="0" w:after="0"/>
              <w:ind w:left="0" w:right="0" w:hanging="0"/>
              <w:jc w:val="center"/>
              <w:rPr/>
            </w:pPr>
            <w:r>
              <w:rPr/>
              <w:drawing>
                <wp:inline distT="0" distB="0" distL="0" distR="0">
                  <wp:extent cx="2672715" cy="225679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2672715" cy="2256790"/>
                          </a:xfrm>
                          <a:prstGeom prst="rect">
                            <a:avLst/>
                          </a:prstGeom>
                        </pic:spPr>
                      </pic:pic>
                    </a:graphicData>
                  </a:graphic>
                </wp:inline>
              </w:drawing>
            </w:r>
          </w:p>
        </w:tc>
      </w:tr>
      <w:tr>
        <w:trPr/>
        <w:tc>
          <w:tcPr>
            <w:tcW w:w="4360" w:type="dxa"/>
            <w:tcBorders/>
            <w:shd w:fill="auto" w:val="clear"/>
            <w:vAlign w:val="center"/>
          </w:tcPr>
          <w:p>
            <w:pPr>
              <w:pStyle w:val="TableContents"/>
              <w:spacing w:before="0" w:after="240"/>
              <w:ind w:left="0" w:right="0" w:hanging="0"/>
              <w:jc w:val="center"/>
              <w:rPr/>
            </w:pPr>
            <w:r>
              <w:rPr/>
              <w:t>​</w:t>
            </w:r>
          </w:p>
        </w:tc>
        <w:tc>
          <w:tcPr>
            <w:tcW w:w="4351" w:type="dxa"/>
            <w:tcBorders/>
            <w:shd w:fill="auto" w:val="clear"/>
            <w:vAlign w:val="center"/>
          </w:tcPr>
          <w:p>
            <w:pPr>
              <w:pStyle w:val="TableContents"/>
              <w:spacing w:before="0" w:after="240"/>
              <w:ind w:left="0" w:right="0" w:hanging="0"/>
              <w:jc w:val="center"/>
              <w:rPr/>
            </w:pPr>
            <w:r>
              <w:rPr/>
              <w:t>​</w:t>
            </w:r>
          </w:p>
        </w:tc>
      </w:tr>
      <w:tr>
        <w:trPr/>
        <w:tc>
          <w:tcPr>
            <w:tcW w:w="4360" w:type="dxa"/>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HCI-013</w:t>
            </w:r>
          </w:p>
        </w:tc>
        <w:tc>
          <w:tcPr>
            <w:tcW w:w="4351" w:type="dxa"/>
            <w:tcBorders/>
            <w:shd w:fill="auto" w:val="clear"/>
            <w:vAlign w:val="center"/>
          </w:tcPr>
          <w:p>
            <w:pPr>
              <w:pStyle w:val="TableContents"/>
              <w:spacing w:before="0" w:after="240"/>
              <w:ind w:left="0" w:right="0" w:hanging="0"/>
              <w:jc w:val="center"/>
              <w:rPr/>
            </w:pPr>
            <w:r>
              <w:rPr/>
              <w:t>​</w:t>
            </w:r>
          </w:p>
        </w:tc>
      </w:tr>
      <w:tr>
        <w:trPr/>
        <w:tc>
          <w:tcPr>
            <w:tcW w:w="4360" w:type="dxa"/>
            <w:tcBorders/>
            <w:shd w:fill="auto" w:val="clear"/>
            <w:vAlign w:val="center"/>
          </w:tcPr>
          <w:p>
            <w:pPr>
              <w:pStyle w:val="TableContents"/>
              <w:spacing w:before="0" w:after="240"/>
              <w:ind w:left="0" w:right="0" w:hanging="0"/>
              <w:rPr/>
            </w:pPr>
            <w:r>
              <w:rPr/>
              <w:t>​</w:t>
            </w:r>
          </w:p>
        </w:tc>
        <w:tc>
          <w:tcPr>
            <w:tcW w:w="4351" w:type="dxa"/>
            <w:tcBorders/>
            <w:shd w:fill="auto" w:val="clear"/>
            <w:vAlign w:val="center"/>
          </w:tcPr>
          <w:p>
            <w:pPr>
              <w:pStyle w:val="TableContents"/>
              <w:spacing w:before="0" w:after="240"/>
              <w:ind w:left="0" w:right="0" w:hanging="0"/>
              <w:jc w:val="center"/>
              <w:rPr/>
            </w:pPr>
            <w:r>
              <w:rPr/>
              <w:t>​</w:t>
            </w:r>
          </w:p>
        </w:tc>
      </w:tr>
      <w:tr>
        <w:trPr/>
        <w:tc>
          <w:tcPr>
            <w:tcW w:w="4360" w:type="dxa"/>
            <w:tcBorders/>
            <w:shd w:fill="auto" w:val="clear"/>
            <w:vAlign w:val="center"/>
          </w:tcPr>
          <w:p>
            <w:pPr>
              <w:pStyle w:val="TableContents"/>
              <w:spacing w:before="0" w:after="0"/>
              <w:ind w:left="0" w:right="0" w:hanging="0"/>
              <w:jc w:val="center"/>
              <w:rPr/>
            </w:pPr>
            <w:r>
              <w:rPr/>
              <w:drawing>
                <wp:inline distT="0" distB="0" distL="0" distR="0">
                  <wp:extent cx="2426335" cy="226758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2426335" cy="2267585"/>
                          </a:xfrm>
                          <a:prstGeom prst="rect">
                            <a:avLst/>
                          </a:prstGeom>
                        </pic:spPr>
                      </pic:pic>
                    </a:graphicData>
                  </a:graphic>
                </wp:inline>
              </w:drawing>
            </w:r>
          </w:p>
        </w:tc>
        <w:tc>
          <w:tcPr>
            <w:tcW w:w="4351" w:type="dxa"/>
            <w:tcBorders/>
            <w:shd w:fill="auto" w:val="clear"/>
            <w:vAlign w:val="center"/>
          </w:tcPr>
          <w:p>
            <w:pPr>
              <w:pStyle w:val="TableContents"/>
              <w:spacing w:before="0" w:after="0"/>
              <w:ind w:left="0" w:right="0" w:hanging="0"/>
              <w:jc w:val="center"/>
              <w:rPr/>
            </w:pPr>
            <w:r>
              <w:rPr/>
              <w:drawing>
                <wp:inline distT="0" distB="0" distL="0" distR="0">
                  <wp:extent cx="2679700" cy="226377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2679700" cy="2263775"/>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i/>
          <w:sz w:val="20"/>
        </w:rPr>
        <w:t xml:space="preserve">Change in tumor volume of various human xenograft tumors implanted in the mammary fat pad of ovary intact immunodeficient mice supplemented with estrogen releasing pellets and treated with the indicated dose of oral OP-1250, oral OP-1250 plus oral palbociclib, or subcutaneous fulvestrant (Faslodex preparation). Left panel of Figure </w:t>
      </w:r>
      <w:r>
        <w:rPr>
          <w:rFonts w:ascii="Arial;Helvetica;sans-serif" w:hAnsi="Arial;Helvetica;sans-serif"/>
          <w:sz w:val="20"/>
        </w:rPr>
        <w:t xml:space="preserve">18 </w:t>
      </w:r>
      <w:r>
        <w:rPr>
          <w:rFonts w:ascii="Arial;Helvetica;sans-serif" w:hAnsi="Arial;Helvetica;sans-serif"/>
          <w:i/>
          <w:sz w:val="20"/>
        </w:rPr>
        <w:t>shows tumor size of each tumor measured with calipers at termination. Right panel shows mean tumor size of each treatment group of eight over the course of the study. HCC1500, wild type ER cell line implanted in NSG mice; ST941 patient derived xenograft, or PDX, model with Y537S ER in JAX nude mice; HCI-013 PDX model with Y537S ER in NOD/SCID mice.</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Brain penetration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There remains an unmet medical need in the treatment of patients with metastatic ER+/HER2- breast cancer that has spread to the brain. The challenges in treating brain metastasis are multifactorial and likely include the presence of resistance mutations and the inability to achieve efficacious levels of effective drugs in brain tissue. In mice, we found that OP-1250 reached drug levels in the brain as high as 50% greater than in plasma. Combined with the ability to achieve higher drug levels with OP-1250, due to its improved PK properties, than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fulvestrant, we found that we could obtain brain exposure to concentrations of OP-1250 that were greater than 30 times that of fulvestrant.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19. OP-1250 demonstrated robust CNS penetration in the mouse brain</w:t>
      </w:r>
    </w:p>
    <w:tbl>
      <w:tblPr>
        <w:tblW w:w="8149" w:type="dxa"/>
        <w:jc w:val="left"/>
        <w:tblInd w:w="0" w:type="dxa"/>
        <w:tblCellMar>
          <w:top w:w="0" w:type="dxa"/>
          <w:left w:w="0" w:type="dxa"/>
          <w:bottom w:w="0" w:type="dxa"/>
          <w:right w:w="0" w:type="dxa"/>
        </w:tblCellMar>
      </w:tblPr>
      <w:tblGrid>
        <w:gridCol w:w="1096"/>
        <w:gridCol w:w="326"/>
        <w:gridCol w:w="721"/>
        <w:gridCol w:w="326"/>
        <w:gridCol w:w="1246"/>
        <w:gridCol w:w="326"/>
        <w:gridCol w:w="1921"/>
        <w:gridCol w:w="326"/>
        <w:gridCol w:w="1861"/>
      </w:tblGrid>
      <w:tr>
        <w:trPr/>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5960" cy="175260"/>
                      <wp:effectExtent l="0" t="0" r="0" b="0"/>
                      <wp:wrapNone/>
                      <wp:docPr id="27" name="Frame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28"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7835" cy="175260"/>
                      <wp:effectExtent l="0" t="0" r="0" b="0"/>
                      <wp:wrapNone/>
                      <wp:docPr id="29" name="Frame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30"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91210" cy="175260"/>
                      <wp:effectExtent l="0" t="0" r="0" b="0"/>
                      <wp:wrapNone/>
                      <wp:docPr id="31" name="Frame7"/>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32"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9835" cy="175260"/>
                      <wp:effectExtent l="0" t="0" r="0" b="0"/>
                      <wp:wrapNone/>
                      <wp:docPr id="33" name="Frame9"/>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34"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81735" cy="175260"/>
                      <wp:effectExtent l="0" t="0" r="0" b="0"/>
                      <wp:wrapNone/>
                      <wp:docPr id="35" name="Frame11"/>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9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72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24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Brain</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92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86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1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Dose</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Concentration</w:t>
            </w:r>
          </w:p>
        </w:tc>
        <w:tc>
          <w:tcPr>
            <w:tcW w:w="326"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Plasma</w:t>
            </w:r>
          </w:p>
        </w:tc>
        <w:tc>
          <w:tcPr>
            <w:tcW w:w="326" w:type="dxa"/>
            <w:tcBorders/>
            <w:shd w:fill="auto" w:val="clear"/>
            <w:vAlign w:val="center"/>
          </w:tcPr>
          <w:p>
            <w:pPr>
              <w:pStyle w:val="TableContents"/>
              <w:spacing w:before="0" w:after="0"/>
              <w:ind w:left="0" w:right="0" w:hanging="0"/>
              <w:rPr/>
            </w:pPr>
            <w:r>
              <w:rPr/>
              <w:t>​</w:t>
            </w:r>
          </w:p>
        </w:tc>
        <w:tc>
          <w:tcPr>
            <w:tcW w:w="1861" w:type="dxa"/>
            <w:tcBorders/>
            <w:shd w:fill="auto" w:val="clear"/>
            <w:vAlign w:val="center"/>
          </w:tcPr>
          <w:p>
            <w:pPr>
              <w:pStyle w:val="TableContents"/>
              <w:spacing w:before="0" w:after="0"/>
              <w:ind w:left="0" w:right="0" w:hanging="0"/>
              <w:jc w:val="center"/>
              <w:rPr/>
            </w:pPr>
            <w:r>
              <w:rPr/>
              <w:t>​</w:t>
            </w:r>
          </w:p>
        </w:tc>
      </w:tr>
      <w:tr>
        <w:trPr/>
        <w:tc>
          <w:tcPr>
            <w:tcW w:w="109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Treatment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(mg/kg)</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(ng/g)</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Concentration (ng/mL)</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8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Brain to Plasma Ratio</w:t>
            </w:r>
          </w:p>
        </w:tc>
      </w:tr>
      <w:tr>
        <w:trPr/>
        <w:tc>
          <w:tcPr>
            <w:tcW w:w="109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w:t>
              <w:noBreakHyphen/>
              <w:t>1250</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326" w:type="dxa"/>
            <w:tcBorders/>
            <w:shd w:fill="CCEEFF" w:val="clear"/>
            <w:vAlign w:val="center"/>
          </w:tcPr>
          <w:p>
            <w:pPr>
              <w:pStyle w:val="TableContents"/>
              <w:spacing w:before="0" w:after="0"/>
              <w:ind w:left="0" w:right="0" w:hanging="0"/>
              <w:rPr/>
            </w:pPr>
            <w:r>
              <w:rPr/>
              <w:t>​</w:t>
            </w:r>
          </w:p>
        </w:tc>
        <w:tc>
          <w:tcPr>
            <w:tcW w:w="19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26" w:type="dxa"/>
            <w:tcBorders/>
            <w:shd w:fill="CCEEFF" w:val="clear"/>
            <w:vAlign w:val="center"/>
          </w:tcPr>
          <w:p>
            <w:pPr>
              <w:pStyle w:val="TableContents"/>
              <w:spacing w:before="0" w:after="0"/>
              <w:ind w:left="0" w:right="0" w:hanging="0"/>
              <w:rPr/>
            </w:pPr>
            <w:r>
              <w:rPr/>
              <w:t>​</w:t>
            </w:r>
          </w:p>
        </w:tc>
        <w:tc>
          <w:tcPr>
            <w:tcW w:w="18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w:t>
            </w:r>
          </w:p>
        </w:tc>
      </w:tr>
      <w:tr>
        <w:trPr/>
        <w:tc>
          <w:tcPr>
            <w:tcW w:w="109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w:t>
              <w:noBreakHyphen/>
              <w:t>1250</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45</w:t>
            </w:r>
          </w:p>
        </w:tc>
        <w:tc>
          <w:tcPr>
            <w:tcW w:w="326"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326" w:type="dxa"/>
            <w:tcBorders/>
            <w:shd w:fill="auto" w:val="clear"/>
            <w:vAlign w:val="center"/>
          </w:tcPr>
          <w:p>
            <w:pPr>
              <w:pStyle w:val="TableContents"/>
              <w:spacing w:before="0" w:after="0"/>
              <w:ind w:left="0" w:right="0" w:hanging="0"/>
              <w:rPr/>
            </w:pPr>
            <w:r>
              <w:rPr/>
              <w:t>​</w:t>
            </w:r>
          </w:p>
        </w:tc>
        <w:tc>
          <w:tcPr>
            <w:tcW w:w="18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0.8</w:t>
            </w:r>
          </w:p>
        </w:tc>
      </w:tr>
      <w:tr>
        <w:trPr/>
        <w:tc>
          <w:tcPr>
            <w:tcW w:w="109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w:t>
              <w:noBreakHyphen/>
              <w:t>1250</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499</w:t>
            </w:r>
          </w:p>
        </w:tc>
        <w:tc>
          <w:tcPr>
            <w:tcW w:w="326" w:type="dxa"/>
            <w:tcBorders/>
            <w:shd w:fill="CCEEFF" w:val="clear"/>
            <w:vAlign w:val="center"/>
          </w:tcPr>
          <w:p>
            <w:pPr>
              <w:pStyle w:val="TableContents"/>
              <w:spacing w:before="0" w:after="0"/>
              <w:ind w:left="0" w:right="0" w:hanging="0"/>
              <w:rPr/>
            </w:pPr>
            <w:r>
              <w:rPr/>
              <w:t>​</w:t>
            </w:r>
          </w:p>
        </w:tc>
        <w:tc>
          <w:tcPr>
            <w:tcW w:w="192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344</w:t>
            </w:r>
          </w:p>
        </w:tc>
        <w:tc>
          <w:tcPr>
            <w:tcW w:w="326" w:type="dxa"/>
            <w:tcBorders/>
            <w:shd w:fill="CCEEFF" w:val="clear"/>
            <w:vAlign w:val="center"/>
          </w:tcPr>
          <w:p>
            <w:pPr>
              <w:pStyle w:val="TableContents"/>
              <w:spacing w:before="0" w:after="0"/>
              <w:ind w:left="0" w:right="0" w:hanging="0"/>
              <w:rPr/>
            </w:pPr>
            <w:r>
              <w:rPr/>
              <w:t>​</w:t>
            </w:r>
          </w:p>
        </w:tc>
        <w:tc>
          <w:tcPr>
            <w:tcW w:w="18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w:t>
            </w:r>
          </w:p>
        </w:tc>
      </w:tr>
      <w:tr>
        <w:trPr/>
        <w:tc>
          <w:tcPr>
            <w:tcW w:w="109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w:t>
              <w:noBreakHyphen/>
              <w:t>1250</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1,920</w:t>
            </w:r>
          </w:p>
        </w:tc>
        <w:tc>
          <w:tcPr>
            <w:tcW w:w="326" w:type="dxa"/>
            <w:tcBorders/>
            <w:shd w:fill="auto" w:val="clear"/>
            <w:vAlign w:val="center"/>
          </w:tcPr>
          <w:p>
            <w:pPr>
              <w:pStyle w:val="TableContents"/>
              <w:spacing w:before="0" w:after="0"/>
              <w:ind w:left="0" w:right="0" w:hanging="0"/>
              <w:rPr/>
            </w:pPr>
            <w:r>
              <w:rPr/>
              <w:t>​</w:t>
            </w:r>
          </w:p>
        </w:tc>
        <w:tc>
          <w:tcPr>
            <w:tcW w:w="192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1,226</w:t>
            </w:r>
          </w:p>
        </w:tc>
        <w:tc>
          <w:tcPr>
            <w:tcW w:w="326" w:type="dxa"/>
            <w:tcBorders/>
            <w:shd w:fill="auto" w:val="clear"/>
            <w:vAlign w:val="center"/>
          </w:tcPr>
          <w:p>
            <w:pPr>
              <w:pStyle w:val="TableContents"/>
              <w:spacing w:before="0" w:after="0"/>
              <w:ind w:left="0" w:right="0" w:hanging="0"/>
              <w:rPr/>
            </w:pPr>
            <w:r>
              <w:rPr/>
              <w:t>​</w:t>
            </w:r>
          </w:p>
        </w:tc>
        <w:tc>
          <w:tcPr>
            <w:tcW w:w="18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w:t>
            </w:r>
          </w:p>
        </w:tc>
      </w:tr>
      <w:tr>
        <w:trPr/>
        <w:tc>
          <w:tcPr>
            <w:tcW w:w="10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Fulvestrant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50/25</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69</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861" w:type="dxa"/>
            <w:tcBorders>
              <w:bottom w:val="single" w:sz="2"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0.9</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was dosed daily orally by gavage in the mouse. Plasma levels were measured by HPLC. Cranial tissue samples removed surgically, weighed, macerated, and extracted to determine the concentration of OP-1250.</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was effective in an intracranial xenograft brain metastasis model, in which ST941 tumor cells expressing mutant ESR1-Y537S receptors were implanted directly into the brain by stereotactic surgery. Tumors were stimulated with estrogen and allowed to grow for two or three weeks and their presence in the brain confirmed by MRI. The mice were then treated with one of the following: vehicle control; vehicle control with ovariectomy; 5 mg/mouse fulvestrant; 60 mg/kg tamoxifen; 10 mg/kg OP-1250; or 10 mg/kg OP-1250 in combination with 75 mg/kg ribociclib, a CDK4/6 inhibitor known to cross the blood brain barrier. Mice were treated once daily for up to 100 days and followed for tumor size with MRI and survival.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shown in the figures below, OP-1250 shrank tumors in a preclinical intracranial xenograft metastatic tumor model expressing mutant estrogen receptor ESR1-Y537S. All tumors responded to OP-1250 treatment. At 100 days, tumors in mice treated with 10 mg/kg OP-1250 or the combination of 10 mg/kg OP-1250 and 75 mg/kg ribociclib remained small or undetectable while tumors in mice treated with fulvestrant and tamoxifen had started to grow. Further, treatment with OP-1250 alone or in combination with ribociclib prevented death in all animals at day 120 while the vast majority of untreated animals died by day 25. We believe that the ability of OP-1250 to eradicate brain metastasis in mice demonstrates that OP-1250 may have the potential to advance the treatment of patients with breast cancer with brain metastases.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20: Treatment with 10 mg/kg OP-1250 was superior to tamoxifen, fulvestrant and ovariectomy in shrinking mutant ESR1-Y537S tumors in an intracranial model of ER+ breast cancer brain metastasis</w:t>
      </w:r>
    </w:p>
    <w:p>
      <w:pPr>
        <w:pStyle w:val="TextBody"/>
        <w:spacing w:before="0" w:after="240"/>
        <w:ind w:left="0" w:right="0" w:hanging="0"/>
        <w:jc w:val="center"/>
        <w:rPr/>
      </w:pPr>
      <w:r>
        <w:rPr/>
        <w:drawing>
          <wp:inline distT="0" distB="0" distL="0" distR="0">
            <wp:extent cx="5942965" cy="210439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5942965" cy="2104390"/>
                    </a:xfrm>
                    <a:prstGeom prst="rect">
                      <a:avLst/>
                    </a:prstGeom>
                  </pic:spPr>
                </pic:pic>
              </a:graphicData>
            </a:graphic>
          </wp:inline>
        </w:drawing>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21. Treatment with OP-1250 led to long-term survival in a xenograft model</w:t>
        <w:br/>
        <w:t>of breast cancer brain metastases</w:t>
      </w:r>
    </w:p>
    <w:p>
      <w:pPr>
        <w:pStyle w:val="TextBody"/>
        <w:spacing w:before="0" w:after="240"/>
        <w:ind w:left="0" w:right="0" w:hanging="0"/>
        <w:jc w:val="center"/>
        <w:rPr/>
      </w:pPr>
      <w:r>
        <w:rPr/>
        <w:drawing>
          <wp:inline distT="0" distB="0" distL="0" distR="0">
            <wp:extent cx="4533265" cy="284734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4533265" cy="284734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Combinations with other breast cancer therapies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in most other solid tumors, effective antitumor activity often requires the use of combination therapy. In the case of ER+ breast cancer, for example, activation of the CDK4/6 pathway is associated with resistance to fulvestrant and CDK4/6 inhibitors are routinely used in combination with fulvestrant. We observed that OP-1250 in combination with three different CDK4/6 inhibitors resulted in increased inhibition of MCF-7 cell proliferation as did OP-1250 in combination with the PI3K</w:t>
      </w:r>
      <w:r>
        <w:rPr>
          <w:rFonts w:ascii="Symbol" w:hAnsi="Symbol"/>
          <w:sz w:val="20"/>
        </w:rPr>
        <w:t>a</w:t>
      </w:r>
      <w:r>
        <w:rPr>
          <w:rFonts w:ascii="Arial;Helvetica;sans-serif" w:hAnsi="Arial;Helvetica;sans-serif"/>
          <w:sz w:val="20"/>
        </w:rPr>
        <w:t xml:space="preserve"> inhibitor alpelisib in T47D cells.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22. The combination of OP-1250 and CDK4/6 inhibitors resulted in potent</w:t>
        <w:br/>
        <w:t>anti-proliferative activity in MCF-7 cells</w:t>
      </w:r>
    </w:p>
    <w:tbl>
      <w:tblPr>
        <w:tblW w:w="9618" w:type="dxa"/>
        <w:jc w:val="left"/>
        <w:tblInd w:w="0" w:type="dxa"/>
        <w:tblCellMar>
          <w:top w:w="0" w:type="dxa"/>
          <w:left w:w="0" w:type="dxa"/>
          <w:bottom w:w="0" w:type="dxa"/>
          <w:right w:w="0" w:type="dxa"/>
        </w:tblCellMar>
      </w:tblPr>
      <w:tblGrid>
        <w:gridCol w:w="3033"/>
        <w:gridCol w:w="3266"/>
        <w:gridCol w:w="3319"/>
      </w:tblGrid>
      <w:tr>
        <w:trPr/>
        <w:tc>
          <w:tcPr>
            <w:tcW w:w="3033" w:type="dxa"/>
            <w:tcBorders/>
            <w:shd w:fill="auto" w:val="clear"/>
            <w:vAlign w:val="center"/>
          </w:tcPr>
          <w:p>
            <w:pPr>
              <w:pStyle w:val="TableContents"/>
              <w:spacing w:before="0" w:after="0"/>
              <w:ind w:left="0" w:right="0" w:hanging="0"/>
              <w:jc w:val="center"/>
              <w:rPr/>
            </w:pPr>
            <w:r>
              <w:rPr/>
              <w:drawing>
                <wp:inline distT="0" distB="0" distL="0" distR="0">
                  <wp:extent cx="1861820" cy="22860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1861820" cy="2286000"/>
                          </a:xfrm>
                          <a:prstGeom prst="rect">
                            <a:avLst/>
                          </a:prstGeom>
                        </pic:spPr>
                      </pic:pic>
                    </a:graphicData>
                  </a:graphic>
                </wp:inline>
              </w:drawing>
            </w:r>
          </w:p>
        </w:tc>
        <w:tc>
          <w:tcPr>
            <w:tcW w:w="3266" w:type="dxa"/>
            <w:tcBorders/>
            <w:shd w:fill="auto" w:val="clear"/>
            <w:vAlign w:val="center"/>
          </w:tcPr>
          <w:p>
            <w:pPr>
              <w:pStyle w:val="TableContents"/>
              <w:spacing w:before="0" w:after="0"/>
              <w:ind w:left="0" w:right="0" w:hanging="0"/>
              <w:jc w:val="center"/>
              <w:rPr/>
            </w:pPr>
            <w:r>
              <w:rPr/>
              <w:drawing>
                <wp:inline distT="0" distB="0" distL="0" distR="0">
                  <wp:extent cx="2019300" cy="2285365"/>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2019300" cy="2285365"/>
                          </a:xfrm>
                          <a:prstGeom prst="rect">
                            <a:avLst/>
                          </a:prstGeom>
                        </pic:spPr>
                      </pic:pic>
                    </a:graphicData>
                  </a:graphic>
                </wp:inline>
              </w:drawing>
            </w:r>
          </w:p>
        </w:tc>
        <w:tc>
          <w:tcPr>
            <w:tcW w:w="3319" w:type="dxa"/>
            <w:tcBorders/>
            <w:shd w:fill="auto" w:val="clear"/>
            <w:vAlign w:val="center"/>
          </w:tcPr>
          <w:p>
            <w:pPr>
              <w:pStyle w:val="TableContents"/>
              <w:spacing w:before="0" w:after="0"/>
              <w:ind w:left="0" w:right="0" w:hanging="0"/>
              <w:jc w:val="center"/>
              <w:rPr/>
            </w:pPr>
            <w:r>
              <w:rPr/>
              <w:drawing>
                <wp:inline distT="0" distB="0" distL="0" distR="0">
                  <wp:extent cx="2024380" cy="22860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2024380" cy="2286000"/>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 vitro cell proliferation experiment measuring DNA content after 7-day treatment of MCF-7 breast cancer cells with ligands in the presence of 100 pM E2. Shown are mean values normalized to vehicle (+E2), along with SEM from triplicate wells.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sz w:val="20"/>
        </w:rPr>
      </w:pPr>
      <w:r>
        <w:rPr>
          <w:rFonts w:ascii="Arial;Helvetica;sans-serif" w:hAnsi="Arial;Helvetica;sans-serif"/>
          <w:b/>
          <w:sz w:val="20"/>
        </w:rPr>
        <w:t>Figure 23. The combination of OP-1250 and PI3K</w:t>
      </w:r>
      <w:r>
        <w:rPr>
          <w:rFonts w:ascii="Symbol" w:hAnsi="Symbol"/>
          <w:b/>
          <w:sz w:val="20"/>
        </w:rPr>
        <w:t>a</w:t>
      </w:r>
      <w:r>
        <w:rPr>
          <w:rFonts w:ascii="Arial;Helvetica;sans-serif" w:hAnsi="Arial;Helvetica;sans-serif"/>
          <w:sz w:val="20"/>
        </w:rPr>
        <w:t xml:space="preserve"> </w:t>
      </w:r>
      <w:r>
        <w:rPr>
          <w:rFonts w:ascii="Arial;Helvetica;sans-serif" w:hAnsi="Arial;Helvetica;sans-serif"/>
          <w:b/>
          <w:sz w:val="20"/>
        </w:rPr>
        <w:t>inhibitors resulted in potent</w:t>
        <w:br/>
        <w:t>anti-proliferative activity in T47D cells</w:t>
      </w:r>
    </w:p>
    <w:p>
      <w:pPr>
        <w:pStyle w:val="TextBody"/>
        <w:spacing w:before="0" w:after="240"/>
        <w:ind w:left="0" w:right="0" w:hanging="0"/>
        <w:jc w:val="center"/>
        <w:rPr/>
      </w:pPr>
      <w:r>
        <w:rPr/>
        <w:drawing>
          <wp:inline distT="0" distB="0" distL="0" distR="0">
            <wp:extent cx="2656840" cy="2742565"/>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2656840" cy="274256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 vitro cell proliferation experiment measuring DNA content after 6-day treatment of T47D breast cancer cells with ligands in the presence of 100 pM E2. Shown are increasing concentrations of alpelisib with three different concentrations of OP-1250, mean values normalized to vehicle (+E2), and SEM from triplicate wells.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ER+/HER2+ breast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the favorable efficacy profile of OP-1250 in the Phase 1a dose-escalation portion of the ongoing Phase 1/2 clinical trial of OP-1250 for the treatment of ER+/HER2- breast cancer, we have shown that OP-1250 can also function in combination with HER2 inhibition in ER+/HER2+ breast cancer cell lines and patient-derived xenograft models. The HER2 oncogene is overexpressed in approximately 25% of breast cancer tumors, about half of which also express ER, and HER2+ tumors have a high rate of brain metastasis. In three ER+/HER2+ cell lines, treatment with OP-1250 reversed the increase in cellular growth induced by treatment with E2 and combined effectively at some dose ranges with the HER2 inhibitor tucatinib.</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24. OP-1250 inhibits estrogen receptor-driven proliferation in ER+/HER2+ breast cancer cell lines</w:t>
      </w:r>
    </w:p>
    <w:p>
      <w:pPr>
        <w:pStyle w:val="TextBody"/>
        <w:spacing w:before="0" w:after="240"/>
        <w:ind w:left="0" w:right="0" w:hanging="0"/>
        <w:jc w:val="center"/>
        <w:rPr/>
      </w:pPr>
      <w:r>
        <w:rPr/>
        <w:drawing>
          <wp:inline distT="0" distB="0" distL="0" distR="0">
            <wp:extent cx="5714365" cy="1381125"/>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5714365" cy="1381125"/>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Proliferation assays of three ER+/HER2+ cell lines treated for 7 days with OP-1250, tucatinib, or the equimolar combination in stripped serum media supplemented with 500 pM estradiol. All cell lines demonstrate reduction in proliferation with OP-1250 treatment and efficacy of combined compound treatment.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also reduced growth of ER+/HER2+ cell lines or patient-derived xenograft models in mouse xenograft studies. Cells were implanted either subcutaneously or in the mammary fat pad and allowed to establish a tumor prior to dosing with OP-1250 and/or HER2 inhibitors tucatinib and trastuzumab. OP-1250 treatment demonstrated reduced tumor growth in combination with both individual HER2 inhibitors and dual HER2 therapy using both tucatinib and trastuzumab.</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Figure 25. The addition of OP-1250 to HER2 inhibitors Tucatinib and Trastuzumab enhances tumor growth inhibition in ER+/HER2+ cell line or patient-derived xenograft models</w:t>
      </w:r>
    </w:p>
    <w:p>
      <w:pPr>
        <w:pStyle w:val="TextBody"/>
        <w:spacing w:before="0" w:after="240"/>
        <w:ind w:left="0" w:right="0" w:hanging="0"/>
        <w:jc w:val="center"/>
        <w:rPr/>
      </w:pPr>
      <w:r>
        <w:rPr/>
        <w:drawing>
          <wp:inline distT="0" distB="0" distL="0" distR="0">
            <wp:extent cx="6163310" cy="149225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6163310" cy="1492250"/>
                    </a:xfrm>
                    <a:prstGeom prst="rect">
                      <a:avLst/>
                    </a:prstGeom>
                  </pic:spPr>
                </pic:pic>
              </a:graphicData>
            </a:graphic>
          </wp:inline>
        </w:drawing>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Xenograft studies of ER+/HER2+ cell line or patient-derived xenograft (PDX) treated with OP-1250 and HER2 inhibitors. Left, tumor volume of BT-474 cell line implanted into the mammary fat pad of NSG mice. Right, tumor growth of CTG-3266 PDX model implanted subcutaneously into nude mice. OP-1250 treatment inhibited growth in both models in combination with HER2 inhibitors. Animals were dosed orally with OP-1250 and tucatinib, and by intraperitoneal injection with trastuzumab at the doses listed.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Summary of nonclinical properties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believe OP-1250’s oral formulation and dual mechanism of action directly address the limitations of current endocrine therapies, such as fulvestrant and tamoxifen, and position OP-1250 as a potential endocrine therapy of choice for the treatment of ER+ breast cancers. We have demonstrated in nonclinical studies that OP-1250 functions both as a CERAN and a SERD, but is distinguished from fulvestrant in several noteworthy ways,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OP-1250 has favorable biodistribution properties leading to higher drug concentrations in the plasma and tumor than those achieved with fulvestrant, as shown in a head-to-head mouse xenograft study;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OP-1250 has demonstrated the ability to shrink tumors in head-to-head nonclinical studies with fulvestrant, in contrast to fulvestrant, which has only been shown to inhibit tumor growth.</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believe OP-1250 has the potential to improve clinical outcomes for patients with metastatic breast cancer, initially for patients who have previously received endocrine therapy, as well as those who are treatment naïve in the metastatic setting. Additionally, given the differentiated product profile, we believe that OP-1250 has the potential to advance into the adjuvant setting for early-stage ER+ breast cancer.</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Clinical Trial Collaboration and Supply Agreement with Novartis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July 2020, we entered into a non-exclusive Clinical Collaboration and Supply Agreement, or the Novartis Agreement, with Novartis. The collaboration is focused on the evaluation of the safety, tolerability and efficacy of OP-1250 in combination with Novartis’ proprietary CDK4/6 inhibitor KISQALI® (ribociclib) and/or Novartis’ proprietary phosphatidylinositol 3-kinase inhibitor PIQRAY® (alpelisib), or collectively the Novartis Study Drugs, as part of our planned Phase 1b clinical trial of OP-1250 in patients with metastatic ER+ breast cancer. We will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responsible for manufacturing, packaging and labeling OP-1250, and for packaging and labeling all drugs used in the clinical trials for the combined therapies (other than the Novartis Study Drugs). Novartis is responsible for manufacturing and delivering to us the Novartis Study Drugs in such quantities as reasonably needed for the clinical trials for the combined therapies. In accordance with an agreed budget, Novartis will reimburse us for a majority of the direct outside costs, but no more than an amount in the low single digit millions of U.S. dollars, that we incur related to conducting the activities under the agreed development plan in conducting the clinical trials for the combined therapies.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we may terminate the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Novartis Agreement in the event we terminate all clinical trials of the combined therapies other than due to a material safety issue or upon a clinical hold.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Novartis Agreement does not grant any right of first negotiation to participate in future clinical trials, and each of the parties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or with other parties.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Clinical Trial Agreement with Pfizer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November 2020, we entered into a non-exclusive clinical trial agreement with Pfizer , or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we will be responsible for conducting the clinical trial for the combined therapies and Pfizer is responsible for supplying IBRANCE® to us at no cost to us.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are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 </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are not resolved after following the applicable dispute resolution procedures or if either party determines to discontinue clinical development for medical, scientific, legal or other reasons.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does not grant any right of first negotiation to participate in future clinical trials, and each of the parties retains all rights and ability to evaluate their respective compounds.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Intellectual Property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success depends, in part, on our ability to obtain, maintain and protect our intellectual property and other proprietary rights for OP-1250 and any future product candidates and other discoveries, inventions, trade secrets and know-how that are critical to our business operations. Our success also depends in part on our ability to operate without infringing, misappropriating or otherwise violating the intellectual property and proprietary rights of others, and in part, on our ability to prevent others from infringing, misappropriating or otherwise violating our intellectual property and proprietary rights. A comprehensive discussion on risks relating to intellectual property is provided under the section titled “Risk Factors—Risks Related to Our Intellectual Property.”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Intellectual property rights relevant to pharmaceutical companies typically include a combination of patent rights, regulatory exclusivities, trademark rights, and trade secret protection. Our success depends, in part, on our ability to secure and enforce each of these types of intellectual property rights.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utility patents have a presumptive term of 20 years from their effective filing date (which is the earliest non-provisional filing date to which the patent claims priority). However, many jurisdictions, including the United States, require the payment of periodic annuities or maintenance fees for patents to remain in force for the full 20-year term. The United States also has provisions that require a patent term to be shortened if its claims are too similar to another patent owned by the same party that has a shorter term. The term of a patent, and the protection it affords, is therefore limited and once the patent term of our issued patents has expired, we may face competition. Because of the extensive time required for clinical development and regulatory review of the drugs we develop, it is possible that, before OP-1250 or any future product candidates we may develop can be commercialized, any related patent may expire or remain in force for only a short period following commercialization, thereby reducing any advantage of any such patent.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United States and certain other jurisdictions also have provisions that permit extension of patent term for patents that claim a drug or drug product, or its approved use, if the patent was issued before clinical trials and were completed and regulatory approval secured, so long as certain specific requirements were satisfied. In the United States, such extension associated with regulatory approval is called a Patent Term Extension, 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PTE, and it is limited to a maximum of five years, or less if the extended patent term would exceed 14 years after the date of regulatory approval. Only one patent can receive regulatory extension (e.g., PTE) per product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provisional patent application can establish a priority date for a patent, but only if certain deadlines and procedures are met. Specifically, a non-provisional application must be filed within 12 months of the provisional filing date, and such non-provisional filing must be made by an applicant who has properly documented its right to claim priority. Furthermore, if any changes are made to the application between the provisional and the non- provisional filings, the changed material may not be entitled to the priority filing date. Still further, in the biopharmaceutical industry, it is common for applicants to file a so-called “international” patent application under the Patent Cooperation Treaty, or PCT, as a non-provisional filing. Such an international application, often referred to as a “PCT application,” like a provisional application, cannot itself issue as a patent but rather preserves the applicant’s right to pursue patent filings in individual countries, which patent filings are referred to as “national applications” or “national phase filings” and can claim the benefit of priority to the prior PCT application (which may in turn claim priority to the prior provisional filing). For most jurisdictions, national phase applications claiming priority to a PCT application must be filed within 30 to 32 months of the PCT’s earliest priority date. If we fail to meet the deadline for filing non-provisional or national phase applications, or fail to complete all procedural requirements associated with such filings, we may lose our right to claim priority. Moreover, even if we comply with all deadlines and requirements, we may not be able to issue patents in relevant jurisdictions, and furthermore cannot predict whether any patents that might issue will provide us with any competitive advantage.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January 31, 2022 we have granted patents and pending applications relating to OP-1250, including granted claims that encompass the OP-1250 compound, pharmaceutical compositions that include OP-1250, and certain methods of using OP-1250, including in treatment which may involve combination therapy.  The 20- year term for these patents expires in 2036. In the United States, it is uncertain whether any PTE will be available, and if so, how much. Additional applications are pending, including ones that relate to dosing regimens and treatment of particular cancers and patient populations, and have 20-year terms that expire as late as 2042.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Certain patents related to OP-1250 may be eligible for PTE in certain jurisdictions, including the United States and Europe, upon approval of a commercial use of the corresponding product by a regulatory agency in the jurisdiction where the patent was granted. However, there can be no assurance that we will receive or benefit from any PTE with respect to such patents.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patent term extension regulatory exclusivities, pharmaceutical marketing approval agencies such as the FDA and the European Medicines Agency, or the EMA, offer certain data exclusivities for first-approved products with a new chemical entity, or NCE, exclusivity, and/or for approvals related to orphan indications, or Orphan Drug designation, and/or pediatric approvals, or Pediatric Exclusivity.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Furthermore, as OP-1250 has not previously been approved in the United States for any indication, OP-1250 may be eligible for five years of NCE exclusivity upon its first approval. Should that approval be for an orphan indication for which we have received Orphan Drug designation, the NCE and Orphan Drug exclusivity would run concurrently.</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With respect to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OP-1250 or any future product candidates and the methods used to manufacture them. Moreover, any issued patents and those that may issue in the future may not guarantee us the right to practice our technology in relation to the commercialization of OP-1250 or any future product candidates. Any patents and those that may issue in the future may be challenged, narrowed, circumvented or invalidated, which could limit our ability to stop competitors from marketing related product candidates or limit the length of the term of patent protection that we may have for OP-1250 or any future product candidates. In addition, the rights granted under any issued patents may not provide us with complete protection or competitive advantages against competitors with similar products to ours. For information regarding risks related to intellectual property, see the section titled “Risk Factors—Risks Related to Our Intellectual Property.”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also applied to register the “Olema,” “Olema Oncology,” “Olema Oncology and design,” and “Olema Therapeutics” trademarks with the USPTO. We do not currently own any U.S. registered trademarks for our brand or trade names.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patent, regulatory exclusivity, and trademark, we rely on trade secret and know-how protection to secure our proprietary position around our chemistry, technology and other discoveries and inventions that we consider important to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also seek to protect our intellectual property, including our trade secrets and know-how,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 However, trade secrets and know-how can be difficult to protect. We cannot guarantee that we have entered into such agreements with each party that may have or have had access to our trade secrets or proprietary technology and processes or that these agreements will afford us adequate protection of our intellectual property and proprietary rights. Despite these efforts, any of these parties may breach the agreements and disclose our proprietary information, including our trade secrets, and we may not be able to obtain adequate remedies for such breaches. In addition, our trade secrets may otherwise become known or be independently discovered by competitors. For information regarding risks related to intellectual property, see the section titled “Risk Factors—Risks Related to Our Intellectual Property.”</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Sales and Marketing</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Given our stage of development, we have not yet established a commercial organization or distribution capabilities. We intend to build a commercial infrastructure to support sales of any approved products. We intend to continue evaluating opportunities to work with partners that enhance our capabilities with respect to the development and commercialization of OP-1250. In addition, we intend to commercialize our product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candidates, if approved, in key markets either alone or with partners in order to maximize the worldwide commercial potential of our programs.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Manufacturing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currently do not own or operate any manufacturing facilities. We rely, and expect to continue to rely for the foreseeable future, on third-party contract manufacturing organizations, or CMOs, to produce OP-1250 for nonclinical and clinical testing, as well as for commercial manufacture if OP-1250 receives marketing approval. We require that our CMOs produce bulk drug substances and finished drug products in accordance with current Good Manufacturing Practices, or cGMPs, and all other applicable laws and regulations. We maintain agreements with our manufacturers that include confidentiality and intellectual property provisions to protect our proprietary rights related to OP-1250.</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engaged CMOs to manufacture and package OP-1250 for nonclinical and clinical use. Additional CMOs are used to label and distribute OP-1250 for clinical use. We obtain our supplies from these CMOs on a purchase order basis and do not have long-term supply arrangements in place. Although we do not currently have contractual arrangements in place for redundant supply for OP-1250, it is our goal to identify and contract with at least two manufacturers for active pharmaceutical ingredient and two manufacturers for drug product. More broadly, for OP-1250 and any other product candidates we may develop, we intend to identify and qualify additional manufacturers to provide the active pharmaceutical ingredient and fill-and-finish services prior to seeking regulatory approval.</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Competition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Many of the companies against which we may compete have significantly greater financial resources and expertise in research and development, manufacturing, nonclinical testing, conducting clinical trials, obtaining regulatory approvals and marketing approved products than we do. Mergers and acquisitions in the pharmaceutical, biotechnology and oncology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commercial opportunity could be reduced or eliminated if our competitors develop and commercialize products that are safer, more effective, have fewer or less severe side effects, are more convenient or less expensive than any products we may develop. Our competitors also may obtain FDA or other regulatory approval for their product candidates more rapidly than we may obtain approval for ours, which could result in competitors establishing a strong market position before we are able to enter the market. We believe that the key competitive factors affecting the success of any of our product candidates, if approved, will include efficacy, combinability, safety profile, convenience, cost, level of promotional activity devoted to them and intellectual property protection.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If the product candidates for our priority programs are approved for the indications we are currently targeting, they will compete with the products discussed below. Furthermore, it is possible that other companies are also engaged in discovery or nonclinical development of product candidates for the same indications. These competitors, if successful in clinical development, may achieve regulatory approval and market adoption in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advance of our product candidates, constraining our ability to gain significant market share for such product candidates. In addition, our product candidates, if approved, will complete with multiple approved products or products that may be approved for future indications for which we develop such product candidate.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are several currently marketed drugs and product candidates currently in development for the treatment of ER+ breast cancer that may compete with OP-1250 if approved, including: certain CERAN therapies, such as giredestrant (GDC-9545) being developed by Roche Holding AG/Genentech, Inc., fulvestrant, marketed as Faslodex® by AstraZeneca PLC, or any generic equivalents of Faslodex® that are marketed or in development, camizestrant (AZD9833) being developed by AstraZeneca PLC, amcenestrant (SAR439859) being developed by Sanofi S.A. and imlunestrant (LY3484356) being developed by Eli Lilly and Co., ZN-c5 being developed by Zentalis Pharmaceuticals, Inc., elacestrant being developed by Radius Health, Inc., ARV-471 being developed by Arvinas, Inc., rintodestrant (G1T48) being developed by G1 Therapeutics, Inc. H3B-6545 being developed by H3 Biomedicines, a subsidiary of Eisai Co., Ltd, D-0502 being developed by InvestisBio Co., Ltd, and lasofoxifene being developed by Sermonix Pharmaceutials.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Government Regulation and Product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U.S. Drug development process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completion of extensive nonclinical laboratory tests, nonclinical animal studies and formulation studies in accordance with applicable regulations, including the FDA’s Good Laboratory Practices, or GLP, regulations and other applicable regulations;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submission to the FDA of an investigational new drug application, or IND, which must become effective before human clinical trials may begin;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by an independent institutional review board, or IRB, at each clinical site before each trial may be initiated;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of adequate and well-controlled human clinical trials in accordance with applicable regulations, including the FDA’s current good clinical practice, or GCP, regulations to establish the safety and efficacy of the proposed drug for its proposed indication;</w:t>
            </w:r>
          </w:p>
        </w:tc>
      </w:tr>
    </w:tbl>
    <w:tbl>
      <w:tblPr>
        <w:tblW w:w="7101" w:type="dxa"/>
        <w:jc w:val="left"/>
        <w:tblInd w:w="0" w:type="dxa"/>
        <w:tblCellMar>
          <w:top w:w="28" w:type="dxa"/>
          <w:left w:w="28" w:type="dxa"/>
          <w:bottom w:w="28" w:type="dxa"/>
          <w:right w:w="28" w:type="dxa"/>
        </w:tblCellMar>
      </w:tblPr>
      <w:tblGrid>
        <w:gridCol w:w="124"/>
        <w:gridCol w:w="256"/>
        <w:gridCol w:w="6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submission to the FDA of an New Drug Application, or NDA, for a new drug;</w:t>
            </w:r>
          </w:p>
        </w:tc>
      </w:tr>
    </w:tbl>
    <w:tbl>
      <w:tblPr>
        <w:tblW w:w="8616" w:type="dxa"/>
        <w:jc w:val="left"/>
        <w:tblInd w:w="0" w:type="dxa"/>
        <w:tblCellMar>
          <w:top w:w="28" w:type="dxa"/>
          <w:left w:w="28" w:type="dxa"/>
          <w:bottom w:w="28" w:type="dxa"/>
          <w:right w:w="28" w:type="dxa"/>
        </w:tblCellMar>
      </w:tblPr>
      <w:tblGrid>
        <w:gridCol w:w="124"/>
        <w:gridCol w:w="25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determination by the FDA within 60 days of its receipt of an NDA to file the NDA for review;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tc>
      </w:tr>
    </w:tbl>
    <w:tbl>
      <w:tblPr>
        <w:tblW w:w="9906" w:type="dxa"/>
        <w:jc w:val="left"/>
        <w:tblInd w:w="0" w:type="dxa"/>
        <w:tblCellMar>
          <w:top w:w="28" w:type="dxa"/>
          <w:left w:w="28" w:type="dxa"/>
          <w:bottom w:w="28" w:type="dxa"/>
          <w:right w:w="28" w:type="dxa"/>
        </w:tblCellMar>
      </w:tblPr>
      <w:tblGrid>
        <w:gridCol w:w="124"/>
        <w:gridCol w:w="256"/>
        <w:gridCol w:w="9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 FDA audit of the nonclinical and/or clinical trial sites that generated the data in support of the NDA;</w:t>
            </w:r>
          </w:p>
        </w:tc>
      </w:tr>
    </w:tbl>
    <w:tbl>
      <w:tblPr>
        <w:tblW w:w="7476" w:type="dxa"/>
        <w:jc w:val="left"/>
        <w:tblInd w:w="0" w:type="dxa"/>
        <w:tblCellMar>
          <w:top w:w="28" w:type="dxa"/>
          <w:left w:w="28" w:type="dxa"/>
          <w:bottom w:w="28" w:type="dxa"/>
          <w:right w:w="28" w:type="dxa"/>
        </w:tblCellMar>
      </w:tblPr>
      <w:tblGrid>
        <w:gridCol w:w="124"/>
        <w:gridCol w:w="256"/>
        <w:gridCol w:w="7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satisfactory completion of an FDA advisory committee review, if applicable;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FDA review and approval of the NDA prior to any commercial marketing or sale of the drug in the United States.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Before testing any compounds with potential therapeutic value in humans, the drug candidate enters the nonclinical testing stage. Nonclinical tests include laboratory evaluations of product chemistry, toxicity and formulation, as well as animal studies, to assess the characteristics and potential safety and activity of the drug candidate. The conduct of the nonclinical tests must comply with federal regulations and requirements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nonclinical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may be placed on clinical hold and the IND sponsor and the FDA must resolve any outstanding concerns or questions before the clinical trial can begin. The FDA may also impose clinical holds on a drug candidate at any time before or during clinical trials due to safety concerns or non-compliance.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Human clinical trials are typically conducted in three sequential phases that may overlap or be combined:</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Phase 1. The drug is initially introduced into healthy human subjects and tested for safety, dosage tolerance, absorption, 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Phase 2. 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Phase 3. Clinical trials are undertaken to further evaluate dosage, clinical efficacy and safety in an expanded patient population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Post-approval studies, or Phase 4 clinical trials, may be conducted after initial marketing approval. These trials are used to gain additional experience from the treatment of patients in the intended therapeutic indication. In certain instances, FDA may mandate the performance of Phase 4 trials. In certain instances, the FDA may mandate the performance of Phase 4 clinical trials as a condition of approval of an NDA.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U.S. Review and Approval Processes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Assuming successful completion of all required testing in accordance with all applicable regulatory requirements, 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Orphan drug designation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a product that has orphan designation subsequently receives the first FDA approval for the disease or condition for which it has such designation, the product is entitled to orphan product exclusivity, which means that the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European Union has similar but not identical benefits in that jurisdiction.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Expedited development and review programs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for a serious condition where no satisfactory alternative therapy exists or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 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sponsor may seek FDA designation of a drug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clinical development. The designation includes intensive FDA interaction and guidance. If a drug is designated as breakthrough therapy, FDA will expedite the development and review of such drug. Breakthrough therapy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Even if a product qualifies for one or more of these programs, the FDA may later decide that the product no longer meets the conditions for qualification or decide that the time period for FDA review or approval will not be shortened. In addition, this designation may not provide a material commercial advantage.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Post-approval requirements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direct- 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quality control and manufacturing procedures must continue to conform to applicable manufacturing requirements after approval to ensure the long 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U.S. Patent term restoration and marketing exclusivity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Depending upon the timing, duration and specifics of the FDA approval of the use of our product candidates, some of our U.S. patents, if granted, may be eligible for limited PTE under the Drug Price Competition and Patent Term Restoration Act of 1984, commonly referred to as the Hatch-Waxman Amendments. As compensation for patent term lost during product development and the FDA regulatory review process, the Hatch-Waxman Amendments permit a patent restoration term, or PTE, which is limited to a maximum of five years, or less if the extended patent term would exceed 14 years after the date of the regulatory approval of the product. The patent term restoration period is generally one-half the time between the effective date of an IND and the submission date of an NDA plus the time between the submission date of an NDA and the approval of that application. Only one patent applicable to an approved drug or drug product, or its approved use,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a patent term for one of our currently owned or licensed patents to add patent life beyond its current expiration date, depending on the expected length of the clinical trials and other factors involved in the filing of the relevant NDA.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PTE or favorable adjustment to the term of any of our patents.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Other U.S. Healthcare laws and compliance requirements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privacy and security, price reporting, and provider transparency laws and regulations.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but the exceptions and safe harbors are drawn narrowly and require strict compliance in order to offer protection.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Additionally, the intent standard under the Anti-Kickback Statute and the criminal healthcare fraud statutes (discussed below) was amended by the Patient Protection and Affordable Care Act of 2010, as amended by the Health Care and Education Reconciliation Act of 2010, together with subsequent amendments and regulations,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allegedly providing free product to customers with the expectation that the customers would bill federal programs for the product and for causing false claims to be submitted because of the companies’ marketing of the product for unapproved, and thus non- covered, uses.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federal Health Insurance Portability and Accountability Act of 1996, or 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pStyle w:val="TextBody"/>
        <w:spacing w:before="0" w:after="240"/>
        <w:ind w:left="0" w:right="0" w:hanging="0"/>
        <w:jc w:val="both"/>
        <w:rPr>
          <w:rFonts w:ascii="Arial;Helvetica;sans-serif" w:hAnsi="Arial;Helvetica;sans-serif"/>
          <w:sz w:val="20"/>
        </w:rPr>
      </w:pPr>
      <w:bookmarkStart w:id="51" w:name="_Hlk64229224"/>
      <w:bookmarkEnd w:id="51"/>
      <w:r>
        <w:rPr>
          <w:rFonts w:ascii="Arial;Helvetica;sans-serif" w:hAnsi="Arial;Helvetica;sans-serif"/>
          <w:sz w:val="20"/>
        </w:rPr>
        <w:t xml:space="preserve">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certain ownership and investment interests held by these healthcare providers and their immediate family members.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also be subject to data privacy and security regulations promulgated by both the federal government and the states in which we conduct our business. HIPAA, as amended by the Health Information Technology for Economic and Clinical Health Act, or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also are or will become subject to privacy laws in the jurisdictions in which we are established or in which we sell or market our products or run clinical trials. For example, in Europe we are subject to Regulation (EU) 2016/679, the General Data Protection Regulation, or GDPR, in relation to our collection, control, processing and other use of personal data (i.e. data relating to an identified or  identifiable living individual). We process personal data in relation to participants in our clinical trials in the European Economic Area, or EEA, including the health and medical information of these participants. The GDPR is directly applicable in each European Union Member State, however, it provides that European Union Member States may introduce further conditions, including limitations which could limit our ability to collect, use and share personal data (including health and medical information), or could cause our compliance costs to increase, ultimately having an adverse impact on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pseudonymized (i.e., key-coded) data; introduces mandatory data breach notification requirements; and sets higher standards for data controllers to demonstrate that they have obtained valid consent for certain data processing activities. 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following the withdrawal of the United Kingdom from the European Union on January 31, 2020, , we must comply with the GDPR and separately the GDPR as implemented in the United Kingdom, each regime having the ability to fine up to the greater of €20 million/ £17 million or 4% of global turnover. In addition, as of January 1, 2021, the United Kingdom Information Commissioner’s Office is not able to be our ‘lead supervisory authority’ in respect of any ‘cross border processing’ for the purposes of the GDPR.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 type litigation.</w:t>
      </w:r>
    </w:p>
    <w:p>
      <w:pPr>
        <w:pStyle w:val="TextBody"/>
        <w:spacing w:before="0" w:after="240"/>
        <w:ind w:left="0" w:right="0" w:hanging="0"/>
        <w:jc w:val="both"/>
        <w:rPr>
          <w:rFonts w:ascii="Arial;Helvetica;sans-serif" w:hAnsi="Arial;Helvetica;sans-serif"/>
          <w:sz w:val="20"/>
        </w:rPr>
      </w:pPr>
      <w:bookmarkStart w:id="52" w:name="_Hlk94642714"/>
      <w:bookmarkEnd w:id="52"/>
      <w:r>
        <w:rPr>
          <w:rFonts w:ascii="Arial;Helvetica;sans-serif" w:hAnsi="Arial;Helvetica;sans-serif"/>
          <w:sz w:val="20"/>
        </w:rPr>
        <w:t>In addition, the GDPR includes restrictions on cross-border data transfers. The European Commission, however, released a set of “Standard Contractual Clauses” in June 2021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GDPR will increase our responsibility and liability in relation to personal data that we process where such processing is subject to the GDPR, and we may be required to put in place additional mechanisms to ensure compliance with the GDPR, including as implemented by individual countries. We are also subject to European Union rules with respect to cross-border transfers of personal data out of the European Union and EEA.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the United States,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became effective on January 1, 2020, and (a) allows enforcement by the California Attorney General, with fines set at $2,500 per violation (i.e., per person) or $7,500 per intentional violation and (b) authorizes private lawsuits to recover statutory damages for certain data breaches.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For example, Virginia passed the Consumer Data Protection Act, and Colorado passed the Colorado Privacy Act.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 For information regarding risks related to these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compliance requirements, see the section titled “Risk Factors—Risks Related to Regulatory Approval and Other Legal Compliance Matters.”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Pharmaceutical coverage, pricing and reimbursement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managed care providers, private health insurers and other organizations.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or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Across the European Union, member states carry out assessments of new pharmaceutical products from an economic, public health, and therapeutic perspective, through a Health Technology Assessment, or HTA, process, which is currently governed by the national laws of member states. In December 2021, the European Parliament voted to implement a regulation regarding HTAs, or the HTA Regulation. The HTA Regulation is scheduled to apply as of January 2025, and will provide a framework for pan-EU clinical assessments, scientific consultations, identification of emerging health technologies, and further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cooperation. Entry into application of the Regulation could impose stricter and more detailed procedures to be followed by marketing authorization holders concerning conduct of HTAs in relation to their products which may influence related pricing and reimbursement decisions.  However, under the HTA Regulation, member states will still be free to make their own pricing and reimbursement decisions. Moreover, member states may, and do, choose to restrict the range of products for which their national health insurance systems or national healthcare systems provide reimbursement and to control the prices of such products.  Member states may impose direct controls on pricing, or otherwise adopt a system of direct or indirect controls on the profitability of the companies placing such products on the market.  Other member states allow companies to set their own prices, but monitor and control prescription volumes and issue guidance to medical professionals to limit prescriptions of such products.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Healthcare reform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ACA was enacted, which affected existing government healthcare programs and resulted in the development of new programs.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Among the ACA’s provisions of importance to the pharmaceutical industry, in addition to those otherwise described above, are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annual, nondeductible fee on any entity that manufactures or imports certain specified branded prescription drugs and biologic agents apportioned among these entities according to their market share in some government healthcare programs;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or AMP;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new Medicare Part D coverage gap discount program, in which manufacturers must agree to offer 70% point- of-sale discounts off negotiated prices of applicable brand drugs to eligible beneficiaries during their coverage gap period, as a condition for the manufacturers’ outpatient drugs to be covered under Medicare Part 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extension of manufacturers’ Medicaid rebate liability to covered drugs dispensed to individuals who are enrolled in Medicaid managed care organizations;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expansion of the entities eligible for discounts under the Public Health Service pharmaceutical pricing program;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new Patient-Centered Outcomes Research Institute to oversee, identify priorities in, and conduct comparative clinical effectiveness research, along with funding for such research.</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have been executive, judicial and Congressional challenges to certain aspects of the ACA.  For example, the Tax Cuts and Jobs Act, or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to initiate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pStyle w:val="TextBody"/>
        <w:spacing w:before="0" w:after="240"/>
        <w:ind w:left="0" w:right="0" w:hanging="0"/>
        <w:jc w:val="both"/>
        <w:rPr>
          <w:rFonts w:ascii="Arial;Helvetica;sans-serif" w:hAnsi="Arial;Helvetica;sans-serif"/>
          <w:sz w:val="20"/>
        </w:rPr>
      </w:pPr>
      <w:bookmarkStart w:id="53" w:name="_Hlk87257574"/>
      <w:bookmarkStart w:id="54" w:name="_Hlk71558261"/>
      <w:bookmarkEnd w:id="53"/>
      <w:bookmarkEnd w:id="54"/>
      <w:r>
        <w:rPr>
          <w:rFonts w:ascii="Arial;Helvetica;sans-serif" w:hAnsi="Arial;Helvetica;sans-serif"/>
          <w:sz w:val="20"/>
        </w:rPr>
        <w:t>Other legislative changes have also been proposed and adopted in the United States since the ACA was enacted. On August 2, 2011, the Budget Control Act of 2011, among other things, included aggregate reductions to Medicare payments to providers of 2% per fiscal year, which went into effect on April 1, 2013. However, COVID-19 relief legislation suspended the 2% Medicare sequester from May 1, 2020 through March 31, 2022. Under current legislation, the actual reduction in Medicare payments will vary from 1% in 2022 to up to 3% in the final fiscal year of this sequester.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w:t>
      </w:r>
    </w:p>
    <w:p>
      <w:pPr>
        <w:pStyle w:val="TextBody"/>
        <w:spacing w:before="0" w:after="0"/>
        <w:ind w:left="0" w:right="0" w:hanging="0"/>
        <w:jc w:val="both"/>
        <w:rPr>
          <w:rFonts w:ascii="Arial;Helvetica;sans-serif" w:hAnsi="Arial;Helvetica;sans-serif"/>
          <w:sz w:val="20"/>
        </w:rPr>
      </w:pPr>
      <w:bookmarkStart w:id="55" w:name="_Hlk64540183"/>
      <w:bookmarkStart w:id="56" w:name="_Hlk64229787"/>
      <w:bookmarkStart w:id="57" w:name="_Hlk63689237"/>
      <w:bookmarkEnd w:id="55"/>
      <w:bookmarkEnd w:id="56"/>
      <w:bookmarkEnd w:id="57"/>
      <w:r>
        <w:rPr>
          <w:rFonts w:ascii="Arial;Helvetica;sans-serif" w:hAnsi="Arial;Helvetica;sans-serif"/>
          <w:sz w:val="20"/>
        </w:rPr>
        <w:t xml:space="preserve">There has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The Trump administration used several means to propose or implement drug pricing reform, including through federal budget proposals, executive orders and policy initiatives. For example, on July 24, 2020 and September 13, 2020, President Trump announced several executive orders related to prescription drug pricing that attempt to implement several of the Administration’s proposals. The FDA concurrently released a final rule and guidance, implementing a portion of the importation executive order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58" w:name="_Hlk64540116"/>
      <w:bookmarkEnd w:id="58"/>
      <w:r>
        <w:rPr>
          <w:rFonts w:ascii="Arial;Helvetica;sans-serif" w:hAnsi="Arial;Helvetica;sans-serif"/>
          <w:sz w:val="20"/>
        </w:rPr>
        <w:t>rule implementing President Trump’s Most Favored Nation executive order, which would tie Medicare Part B payments for certain physician-administered drugs to the lowest price paid in other economically advanced countries, effective January 1, 2021. On December 27, 2021, CMS published a final rule that rescinds the Most Favored Nation model interim final rule.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anticipate that these new laws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(if approved). In addition, it is possible that there will be further legislation or regulation that could harm our business, financial condition, and results of operations. For example, it is possible that additional governmental action is taken in response to the COVID-19 pandemic.</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U.S. Foreign Corrupt Practices Act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U.S. Foreign Corrupt Practices Act of 1977,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Europe / rest of world government regulation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Certain countries outside of the United States have a similar process that requires the submission of a clinical trial application much like the IND prior to the commencement of human clinical trials. In the European Union, for example, pursuant to the Clinical Trials Regulation, which came into application on January 31, 2022, a clinical trial application, or CTA, must be submitted to via the European Medicine Agency's, or EMA's, Clinical Trials Information System, which will cover all regulatory and ethics assessments from the member states concerned. Once the CTA is approved in accordance with a country’s requirements, clinical trial development may proceed. Approval and monitoring of clinical trials in the European Union is the responsibility of individual member states, but compared to the position prior to the applicability of the Clinical Trials Regulation there is likely to be more collaboration, information-sharing, and decision-making between member states.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requirements and process governing the conduct of clinical trials, product licensing, pricing and reimbursement vary from country to country. In all major territories, including the European Union, clinical trials must be conducted in accordance with GCP and the applicable regulatory requirements and the ethical principles that have their origin in the Declaration of Helsinki.</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European Union and the European Economic Area consist, at the time of writing, of the twenty-seven Member States of the European Union, plus Norway, Iceland and Liechtenstein which are Member States of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European Economic Area. To obtain regulatory approval of an investigational drug or biological product under European Union regulatory systems, we must submit a marketing authorization application either under the so-called centralized or national authorization procedures. There are three procedures for a marketing authorization to be obtained:</w:t>
      </w:r>
    </w:p>
    <w:p>
      <w:pPr>
        <w:pStyle w:val="Normal"/>
        <w:spacing w:before="0" w:after="0"/>
        <w:rPr>
          <w:sz w:val="4"/>
          <w:szCs w:val="4"/>
        </w:rPr>
      </w:pPr>
      <w:r>
        <w:rPr>
          <w:sz w:val="4"/>
          <w:szCs w:val="4"/>
        </w:rPr>
      </w:r>
      <w:bookmarkStart w:id="59" w:name="_cp_text_1_165"/>
      <w:bookmarkStart w:id="60" w:name="_cp_text_1_163"/>
      <w:bookmarkStart w:id="61" w:name="_cp_text_1_55"/>
      <w:bookmarkStart w:id="62" w:name="_cp_text_1_165"/>
      <w:bookmarkStart w:id="63" w:name="_cp_text_1_163"/>
      <w:bookmarkStart w:id="64" w:name="_cp_text_1_55"/>
      <w:bookmarkEnd w:id="62"/>
      <w:bookmarkEnd w:id="63"/>
      <w:bookmarkEnd w:id="64"/>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Centralized marketing authorization, which is issued by the European Commission through the Centralized Procedure, based on the scientific opinion of the European Medicine Agency’s Committee for Medicinal Products for Human Use, and which is valid throughout the entire territory of the 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Decentralized Procedure marketing authorizations are available for products not falling within the mandatory scope of the Centralized Procedure.  An identical dossier is submitted to the competent authorities of each of the Member States in which the marketing authorization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marketing authorization in conformity with the approved assessment report, SmPC and the labeling and package leaflet as approved.  Where a product has already been authorized for marketing in a Member State of the European Economic Area, the granted national marketing authorization can be used for mutual recognition in other Member States through the Mutual Recognition Procedure, or MRP, resulting in progressive national approval of the product in the European Economic Area.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National marketing authorizations, which are issued by a single competent authority of the Member States of the European Economic Area and only covers such authority’s respective territory, are also available for products not falling within the mandatory scope of the Centralized Procedure.  Once a product has been authorized for marketing in a Member State of the European Economic Area through the National Procedure, this National marketing authorization can also be recognized in other Member States through the Mutual Recognition Procedure.</w:t>
            </w:r>
          </w:p>
        </w:tc>
      </w:tr>
    </w:tbl>
    <w:p>
      <w:pPr>
        <w:pStyle w:val="TextBody"/>
        <w:spacing w:before="0" w:after="0"/>
        <w:ind w:left="936" w:right="0" w:hanging="0"/>
        <w:jc w:val="both"/>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EMA grants orphan drug designation to promote the development of products that may offer therapeutic benefits for life-threatening or chronically debilitating conditions affecting not more than five in 10,000 people in the European Union. In addition, orphan drug designation can be granted if the drug is intended for a life threatening, seriously debilitating or serious and chronic condition in the European Union and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other countries outside of the European Union, such as countries in Eastern Europe, Latin America or Asia, the requirements governing the conduct of clinical trials, product licensing, pricing and reimbursement vary from country to country. In all major territories, clinical trials must be conducted in accordance with GCP and the applicable regulatory requirements and the ethical principles that have their origin in the Declaration of Helsinki. 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 xml:space="preserve">Employees and Human Capital </w:t>
      </w:r>
    </w:p>
    <w:p>
      <w:pPr>
        <w:pStyle w:val="TextBody"/>
        <w:spacing w:before="0" w:after="240"/>
        <w:ind w:left="0" w:right="0" w:hanging="0"/>
        <w:jc w:val="both"/>
        <w:rPr>
          <w:rFonts w:ascii="Arial;Helvetica;sans-serif" w:hAnsi="Arial;Helvetica;sans-serif"/>
          <w:sz w:val="20"/>
        </w:rPr>
      </w:pPr>
      <w:bookmarkStart w:id="65" w:name="_Hlk93927793"/>
      <w:bookmarkEnd w:id="65"/>
      <w:r>
        <w:rPr>
          <w:rFonts w:ascii="Arial;Helvetica;sans-serif" w:hAnsi="Arial;Helvetica;sans-serif"/>
          <w:sz w:val="20"/>
        </w:rPr>
        <w:t>As of January 31, 2022, we had 74 employees, 73 of whom were full time, consisting of clinical, research, operations, regulatory, finance and business development personnel. 25 of our employees hold Ph.D. or M.D. degrees. None of our employees is subject to a collective bargaining agreement. We consider our relationship with our employees to be good.</w:t>
      </w:r>
    </w:p>
    <w:p>
      <w:pPr>
        <w:pStyle w:val="TextBody"/>
        <w:spacing w:before="0" w:after="240"/>
        <w:ind w:left="0" w:right="0" w:hanging="0"/>
        <w:jc w:val="both"/>
        <w:rPr>
          <w:rFonts w:ascii="Arial;Helvetica;sans-serif" w:hAnsi="Arial;Helvetica;sans-serif"/>
          <w:color w:val="222222"/>
          <w:sz w:val="20"/>
          <w:highlight w:val="white"/>
        </w:rPr>
      </w:pPr>
      <w:r>
        <w:rPr>
          <w:rFonts w:ascii="Arial;Helvetica;sans-serif" w:hAnsi="Arial;Helvetica;sans-serif"/>
          <w:color w:val="222222"/>
          <w:sz w:val="20"/>
          <w:highlight w:val="white"/>
        </w:rPr>
        <w:t>Olema’s commitment to innovation begins with the commitment to creating an environment with the ability to attract and retain highly skilled people, including top scientific talent, as a critical factor for us to deliver on our mission and create value.</w:t>
      </w:r>
    </w:p>
    <w:p>
      <w:pPr>
        <w:pStyle w:val="TextBody"/>
        <w:spacing w:before="0" w:after="240"/>
        <w:ind w:left="0" w:right="0" w:hanging="0"/>
        <w:jc w:val="both"/>
        <w:rPr>
          <w:rFonts w:ascii="Arial;Helvetica;sans-serif" w:hAnsi="Arial;Helvetica;sans-serif"/>
          <w:color w:val="222222"/>
          <w:sz w:val="20"/>
          <w:highlight w:val="white"/>
        </w:rPr>
      </w:pPr>
      <w:r>
        <w:rPr>
          <w:rFonts w:ascii="Arial;Helvetica;sans-serif" w:hAnsi="Arial;Helvetica;sans-serif"/>
          <w:color w:val="222222"/>
          <w:sz w:val="20"/>
          <w:highlight w:val="white"/>
        </w:rPr>
        <w:t>As we have grown significantly since our initial public offering in November 2020, we have focused on diversity, inclusion and belonging both at the Board level, where we appointed three global biotech female leaders to our Board, and for all employees, including with the appointment of Naseem Zojwalla, M.D., as our Chief Medical Officer in January 2022.  We have been successful in hiring employees with a broad diversity of experiences and backgrounds. Olema faces significant competition for biotechnology talent from both established and early-stage biotechnology companies.  Further, we are headquartered in the San Francisco Bay Area, a global biotechnology hub with many employment choices.  Despite our early stage, we have been successful in hiring highly qualified staff to join Olema.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color w:val="222222"/>
          <w:sz w:val="20"/>
          <w:highlight w:val="white"/>
        </w:rPr>
        <w:t>We strive to create a positive employee experience by fostering an inclusive and equitable culture. We are committed to the health, safety, and well-being of our employees, with a particular focus on COVID-19 related protections and precautions for our workforce. This commitment is reflected in our ability to attract and retain the best and we have a robust employment package that promotes well-being across all aspects of our employees’ lives, including healthcare, paid time-off, retirement savings with a company match through a 401(k) plan, our equity incentive plans, and our employee stock purchase plan.   The principal purposes of our equity incentive plans are to attract, motivate and retain our employees, consultants, and directors through the granting of stock-based compensation awards. From time to time, including during the first quarter of 2022, we may offer additional stock-based compensation awards to our employees to continue to motivate employees and assist with retention, particularly at times when our stock price, or the stock price of biotechnology companies generally, is volatile. Olema grants stock options to all full-time employees to foster alignment and promote a spirit of ownership</w:t>
      </w:r>
      <w:r>
        <w:rPr>
          <w:rFonts w:ascii="Arial;Helvetica;sans-serif" w:hAnsi="Arial;Helvetica;sans-serif"/>
          <w:color w:val="222222"/>
          <w:sz w:val="20"/>
        </w:rPr>
        <w: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Legal Proceedings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Corporate Information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were incorporated in Delaware on August 7, 2006 under the legal name of CombiThera, Inc. and on March 25, 2009 were renamed Olema Pharmaceuticals, Inc.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Available Information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the Investors section of our website, www.olema.com,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pStyle w:val="TextBody"/>
        <w:spacing w:before="0" w:after="240"/>
        <w:ind w:left="0" w:right="0" w:hanging="0"/>
        <w:jc w:val="both"/>
        <w:rPr/>
      </w:pPr>
      <w:r>
        <w:rPr/>
        <w:t>​</w:t>
      </w:r>
    </w:p>
    <w:p>
      <w:pPr>
        <w:pStyle w:val="TextBody"/>
        <w:spacing w:before="0" w:after="240"/>
        <w:ind w:left="0" w:right="0" w:hanging="0"/>
        <w:jc w:val="both"/>
        <w:rPr>
          <w:rFonts w:ascii="Arial;Helvetica;sans-serif" w:hAnsi="Arial;Helvetica;sans-serif"/>
          <w:b/>
          <w:sz w:val="20"/>
        </w:rPr>
      </w:pPr>
      <w:bookmarkStart w:id="66" w:name="Item1ARiskFactors_288716"/>
      <w:bookmarkStart w:id="67" w:name="_e2729edd_4cb5_4e5c_9e15_a44174c50cb4"/>
      <w:bookmarkEnd w:id="66"/>
      <w:bookmarkEnd w:id="67"/>
      <w:r>
        <w:rPr>
          <w:rFonts w:ascii="Arial;Helvetica;sans-serif" w:hAnsi="Arial;Helvetica;sans-serif"/>
          <w:b/>
          <w:sz w:val="20"/>
        </w:rPr>
        <w:t>Item 1A.   Risk Factors.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Risks related to our financial position and the need for additional capital</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not completed any clinical trials and have no products approved for commercial sale, which may make it difficult for you to evaluate our current business and predict our future success and viability.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Developing pharmaceutical products, including conducting nonclinical studies and clinical trials, is a very time- 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With only one product candidate in development, we anticipate incurring significant costs associated with the development of OP-1250.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December 31, 2021, we had $287.3 million in cash, cash equivalents, and marketable securities. Based on our current operating plans, we believe that our existing cash and cash equivalents, will be sufficient to fund our operating expenses and capital expenditures requirements into 2024.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incurred net losses since inception, and we expect to continue to incur net losses for the foreseeable future. In addition, we may be unable to continue as a going concern over the long-term.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incurred net losses in each reporting period since our inception, have not generated any revenue from product sales to date and have financed our operations principally through our initial public offering and private financings. We have incurred net losses of $71.1 million, $22.1 million and $4.3 million for the years ended December 31, 2021, 2020 and 2019, respectively. We had an accumulated deficit of $104.2 million as of December 31, 2021.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working capital. In any particular period, our operating results could be below the expectations of securities analysts or investors, which could cause our stock price to decline.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our consolidated financial statements for the year ended December 31, 2021, included elsewhere in this Annual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never generated revenue from product sales and may never be profitable.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completing clinical and nonclinical development of product candidates and programs and identifying and developing new product candidates;</w:t>
            </w:r>
          </w:p>
        </w:tc>
      </w:tr>
    </w:tbl>
    <w:tbl>
      <w:tblPr>
        <w:tblW w:w="8091" w:type="dxa"/>
        <w:jc w:val="left"/>
        <w:tblInd w:w="0" w:type="dxa"/>
        <w:tblCellMar>
          <w:top w:w="28" w:type="dxa"/>
          <w:left w:w="28" w:type="dxa"/>
          <w:bottom w:w="28" w:type="dxa"/>
          <w:right w:w="28" w:type="dxa"/>
        </w:tblCellMar>
      </w:tblPr>
      <w:tblGrid>
        <w:gridCol w:w="124"/>
        <w:gridCol w:w="256"/>
        <w:gridCol w:w="7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seeking and obtaining marketing approvals for any product candidates that we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achieving adequate access and reimbursement by government and third-party payors for product candidates that we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tc>
      </w:tr>
    </w:tbl>
    <w:tbl>
      <w:tblPr>
        <w:tblW w:w="8871" w:type="dxa"/>
        <w:jc w:val="left"/>
        <w:tblInd w:w="0" w:type="dxa"/>
        <w:tblCellMar>
          <w:top w:w="28" w:type="dxa"/>
          <w:left w:w="28" w:type="dxa"/>
          <w:bottom w:w="28" w:type="dxa"/>
          <w:right w:w="28" w:type="dxa"/>
        </w:tblCellMar>
      </w:tblPr>
      <w:tblGrid>
        <w:gridCol w:w="124"/>
        <w:gridCol w:w="256"/>
        <w:gridCol w:w="8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market acceptance of product candidates that we develop as viable treatment options;</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addressing any competing technological and market developments;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negotiating favorable terms in any collaboration, licensing or other arrangements into which we may enter and performing our obligations in such collaborations;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protecting, enforcing and expanding our portfolio of intellectual property rights, including patents, trade secrets and know-how;</w:t>
            </w:r>
          </w:p>
        </w:tc>
      </w:tr>
    </w:tbl>
    <w:tbl>
      <w:tblPr>
        <w:tblW w:w="10041" w:type="dxa"/>
        <w:jc w:val="left"/>
        <w:tblInd w:w="0" w:type="dxa"/>
        <w:tblCellMar>
          <w:top w:w="28" w:type="dxa"/>
          <w:left w:w="28" w:type="dxa"/>
          <w:bottom w:w="28" w:type="dxa"/>
          <w:right w:w="28" w:type="dxa"/>
        </w:tblCellMar>
      </w:tblPr>
      <w:tblGrid>
        <w:gridCol w:w="124"/>
        <w:gridCol w:w="256"/>
        <w:gridCol w:w="96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defending against third-party interference, infringement or other intellectual property-related claims, if any; and</w:t>
            </w:r>
          </w:p>
        </w:tc>
      </w:tr>
    </w:tbl>
    <w:tbl>
      <w:tblPr>
        <w:tblW w:w="4836" w:type="dxa"/>
        <w:jc w:val="left"/>
        <w:tblInd w:w="0" w:type="dxa"/>
        <w:tblCellMar>
          <w:top w:w="28" w:type="dxa"/>
          <w:left w:w="28" w:type="dxa"/>
          <w:bottom w:w="28" w:type="dxa"/>
          <w:right w:w="28" w:type="dxa"/>
        </w:tblCellMar>
      </w:tblPr>
      <w:tblGrid>
        <w:gridCol w:w="124"/>
        <w:gridCol w:w="256"/>
        <w:gridCol w:w="4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attracting, hiring and retaining qualified personnel.</w:t>
            </w:r>
          </w:p>
        </w:tc>
      </w:tr>
    </w:tbl>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anticipate. Even if we are able to generate revenue from the sale of any approved products, we may not become profitable and may need to obtain additional funding to continue operations.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the discovery, development and commercialization of our product candidate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cannot assure you that our planned clinical development programs for OP-1250 will be completed in a timely manner, or at all, or that we will be able to obtain approval for OP-1250 from the FDA, EMA,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may be unable to generate product revenue and our business, financial condition, results of operations and prospects will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may rely in part on nonclinical, clinical and quality data generated by contract research organizations, or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Applications for OP-1250 could fail to receive regulatory approval for many reasons,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the design, implementation or results of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population studied in the clinical trial may not be sufficiently broad or representative to assure efficacy and safety in the full population for which we seek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disagree with our interpretation of data from nonclinical studies or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data collected from clinical trials of OP-1250 may not be sufficient to support the submission of a NDA, or other submission or to obtain regulatory approval in the United States or elsewhere;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be unable to demonstrate to the FDA, EMA or other comparable foreign regulatory authorities that OP- 1250’s risk-benefit ratio for its proposed indication is acceptable;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policies or regulations of the FDA, EMA or other comparable foreign regulatory authorities may significantly change in a manner rendering our clinical data insufficient for approval.</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Delays in clinical trials are common and have many causes, and any delay could result in increased costs to us and jeopardize or delay our ability to obtain regulatory approval and commence product sales.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FDA, EMA or comparable foreign regulatory authorities disagreeing as to the design or implementation of our clinical trials;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regulatory authorizations to commence a trial or reaching a consensus with regulatory authorities on trial design;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failure or delay in reaching an agreement with CROs and clinical trial sites, the terms of which can be subject to extensive negotiation and may vary significantly among different CROs and trial sites;</w:t>
            </w:r>
          </w:p>
        </w:tc>
      </w:tr>
    </w:tbl>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approval from one or more institutional review boards, or IRBs;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IRBs refusing to approve, suspending or terminating the trial at an investigational site, precluding enrollment of additional subjects, or withdrawing their approval of the trial;</w:t>
            </w:r>
          </w:p>
        </w:tc>
      </w:tr>
    </w:tbl>
    <w:tbl>
      <w:tblPr>
        <w:tblW w:w="3336" w:type="dxa"/>
        <w:jc w:val="left"/>
        <w:tblInd w:w="0" w:type="dxa"/>
        <w:tblCellMar>
          <w:top w:w="28" w:type="dxa"/>
          <w:left w:w="28" w:type="dxa"/>
          <w:bottom w:w="28" w:type="dxa"/>
          <w:right w:w="28" w:type="dxa"/>
        </w:tblCellMar>
      </w:tblPr>
      <w:tblGrid>
        <w:gridCol w:w="124"/>
        <w:gridCol w:w="256"/>
        <w:gridCol w:w="2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to clinical trial protocol;</w:t>
            </w:r>
          </w:p>
        </w:tc>
      </w:tr>
    </w:tbl>
    <w:tbl>
      <w:tblPr>
        <w:tblW w:w="6201" w:type="dxa"/>
        <w:jc w:val="left"/>
        <w:tblInd w:w="0" w:type="dxa"/>
        <w:tblCellMar>
          <w:top w:w="28" w:type="dxa"/>
          <w:left w:w="28" w:type="dxa"/>
          <w:bottom w:w="28" w:type="dxa"/>
          <w:right w:w="28" w:type="dxa"/>
        </w:tblCellMar>
      </w:tblPr>
      <w:tblGrid>
        <w:gridCol w:w="124"/>
        <w:gridCol w:w="256"/>
        <w:gridCol w:w="5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sites deviating from trial protocol or dropping out of a trial;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manufacturing sufficient quantities of product candidate or obtaining sufficient quantities of combination therapies for use in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failing to enroll or remain in our trial at the rate we expect, or failing to return for post- treatment follow- up;</w:t>
            </w:r>
          </w:p>
        </w:tc>
      </w:tr>
    </w:tbl>
    <w:tbl>
      <w:tblPr>
        <w:tblW w:w="9516" w:type="dxa"/>
        <w:jc w:val="left"/>
        <w:tblInd w:w="0" w:type="dxa"/>
        <w:tblCellMar>
          <w:top w:w="28" w:type="dxa"/>
          <w:left w:w="28" w:type="dxa"/>
          <w:bottom w:w="28" w:type="dxa"/>
          <w:right w:w="28" w:type="dxa"/>
        </w:tblCellMar>
      </w:tblPr>
      <w:tblGrid>
        <w:gridCol w:w="124"/>
        <w:gridCol w:w="256"/>
        <w:gridCol w:w="9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in enrollment by subjects, or completion of the trial by subjects, due to the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choosing an alternative treatment for the indication for which we are developing OP-1250, or participating in competing clinical trials;</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lack of adequate funding to continue the clinical trial;</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subjects experiencing severe or unexpected drug-related adverse effects;</w:t>
            </w:r>
          </w:p>
        </w:tc>
      </w:tr>
    </w:tbl>
    <w:tbl>
      <w:tblPr>
        <w:tblW w:w="4491" w:type="dxa"/>
        <w:jc w:val="left"/>
        <w:tblInd w:w="0" w:type="dxa"/>
        <w:tblCellMar>
          <w:top w:w="28" w:type="dxa"/>
          <w:left w:w="28" w:type="dxa"/>
          <w:bottom w:w="28" w:type="dxa"/>
          <w:right w:w="28" w:type="dxa"/>
        </w:tblCellMar>
      </w:tblPr>
      <w:tblGrid>
        <w:gridCol w:w="124"/>
        <w:gridCol w:w="256"/>
        <w:gridCol w:w="4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authorities imposing a clinical hold;</w:t>
            </w:r>
          </w:p>
        </w:tc>
      </w:tr>
    </w:tbl>
    <w:tbl>
      <w:tblPr>
        <w:tblW w:w="9771" w:type="dxa"/>
        <w:jc w:val="left"/>
        <w:tblInd w:w="0" w:type="dxa"/>
        <w:tblCellMar>
          <w:top w:w="28" w:type="dxa"/>
          <w:left w:w="28" w:type="dxa"/>
          <w:bottom w:w="28" w:type="dxa"/>
          <w:right w:w="28" w:type="dxa"/>
        </w:tblCellMar>
      </w:tblPr>
      <w:tblGrid>
        <w:gridCol w:w="124"/>
        <w:gridCol w:w="256"/>
        <w:gridCol w:w="93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occurrence of serious adverse events in trials of the same class of agents conducted by other companies;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selection of clinical end points that require prolonged periods of clinical observation or analysis of the resulting data;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shutdowns, either temporarily or permanently, of any facility manufacturing OP-1250 or any future product candidate we may develop or any of their components, including by order from the FDA, EMA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tc>
      </w:tr>
    </w:tbl>
    <w:tbl>
      <w:tblPr>
        <w:tblW w:w="7266" w:type="dxa"/>
        <w:jc w:val="left"/>
        <w:tblInd w:w="0" w:type="dxa"/>
        <w:tblCellMar>
          <w:top w:w="28" w:type="dxa"/>
          <w:left w:w="28" w:type="dxa"/>
          <w:bottom w:w="28" w:type="dxa"/>
          <w:right w:w="28" w:type="dxa"/>
        </w:tblCellMar>
      </w:tblPr>
      <w:tblGrid>
        <w:gridCol w:w="124"/>
        <w:gridCol w:w="256"/>
        <w:gridCol w:w="6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changes to our manufacturing process that may be necessary or desired;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tc>
      </w:tr>
    </w:tbl>
    <w:tbl>
      <w:tblPr>
        <w:tblW w:w="9051" w:type="dxa"/>
        <w:jc w:val="left"/>
        <w:tblInd w:w="0" w:type="dxa"/>
        <w:tblCellMar>
          <w:top w:w="28" w:type="dxa"/>
          <w:left w:w="28" w:type="dxa"/>
          <w:bottom w:w="28" w:type="dxa"/>
          <w:right w:w="28" w:type="dxa"/>
        </w:tblCellMar>
      </w:tblPr>
      <w:tblGrid>
        <w:gridCol w:w="124"/>
        <w:gridCol w:w="256"/>
        <w:gridCol w:w="8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not performing data collection or analysis in a timely or accurate manner; or</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approved, OP-1250 may not achieve adequate market acceptance among physicians, patients, healthcare payors and others in the medical community necessary for commercial success.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Even if OP-1250 receives regulatory approval, it may not gain adequate market acceptance among physicians, patients, healthcare payors and others in the medical community. The degree of market acceptance would depend on a number of factors, including:</w:t>
      </w:r>
    </w:p>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efficacy and safety profile as demonstrated in clinical trials compared to alternative treatments;</w:t>
            </w:r>
          </w:p>
        </w:tc>
      </w:tr>
    </w:tbl>
    <w:tbl>
      <w:tblPr>
        <w:tblW w:w="8361" w:type="dxa"/>
        <w:jc w:val="left"/>
        <w:tblInd w:w="0" w:type="dxa"/>
        <w:tblCellMar>
          <w:top w:w="28" w:type="dxa"/>
          <w:left w:w="28" w:type="dxa"/>
          <w:bottom w:w="28" w:type="dxa"/>
          <w:right w:w="28" w:type="dxa"/>
        </w:tblCellMar>
      </w:tblPr>
      <w:tblGrid>
        <w:gridCol w:w="124"/>
        <w:gridCol w:w="256"/>
        <w:gridCol w:w="7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of market introduction of the product candidate as well as competitive products;</w:t>
            </w:r>
          </w:p>
        </w:tc>
      </w:tr>
    </w:tbl>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clinical indications for which the product candidate is approved;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use of OP-1250, such as boxed warnings or contraindications in labeling, or a REMS, if any, which may not be required of alternative treatments and competitor products;</w:t>
            </w:r>
          </w:p>
        </w:tc>
      </w:tr>
    </w:tbl>
    <w:tbl>
      <w:tblPr>
        <w:tblW w:w="8316" w:type="dxa"/>
        <w:jc w:val="left"/>
        <w:tblInd w:w="0" w:type="dxa"/>
        <w:tblCellMar>
          <w:top w:w="28" w:type="dxa"/>
          <w:left w:w="28" w:type="dxa"/>
          <w:bottom w:w="28" w:type="dxa"/>
          <w:right w:w="28" w:type="dxa"/>
        </w:tblCellMar>
      </w:tblPr>
      <w:tblGrid>
        <w:gridCol w:w="124"/>
        <w:gridCol w:w="256"/>
        <w:gridCol w:w="7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potential and perceived advantages of product candidates over alternative treatments;</w:t>
            </w:r>
          </w:p>
        </w:tc>
      </w:tr>
    </w:tbl>
    <w:tbl>
      <w:tblPr>
        <w:tblW w:w="5481" w:type="dxa"/>
        <w:jc w:val="left"/>
        <w:tblInd w:w="0" w:type="dxa"/>
        <w:tblCellMar>
          <w:top w:w="28" w:type="dxa"/>
          <w:left w:w="28" w:type="dxa"/>
          <w:bottom w:w="28" w:type="dxa"/>
          <w:right w:w="28" w:type="dxa"/>
        </w:tblCellMar>
      </w:tblPr>
      <w:tblGrid>
        <w:gridCol w:w="124"/>
        <w:gridCol w:w="256"/>
        <w:gridCol w:w="5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 of treatment in relation to alternative treatments;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pricing and the availability of coverage and adequate reimbursement by third-party payors, including government authorities;</w:t>
            </w:r>
          </w:p>
        </w:tc>
      </w:tr>
    </w:tbl>
    <w:tbl>
      <w:tblPr>
        <w:tblW w:w="5796" w:type="dxa"/>
        <w:jc w:val="left"/>
        <w:tblInd w:w="0" w:type="dxa"/>
        <w:tblCellMar>
          <w:top w:w="28" w:type="dxa"/>
          <w:left w:w="28" w:type="dxa"/>
          <w:bottom w:w="28" w:type="dxa"/>
          <w:right w:w="28" w:type="dxa"/>
        </w:tblCellMar>
      </w:tblPr>
      <w:tblGrid>
        <w:gridCol w:w="124"/>
        <w:gridCol w:w="256"/>
        <w:gridCol w:w="5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availability of OP-1250 for use as a combination therapy;</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relative convenience and ease of administration;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willingness of the target patient population to try new therapies and of physicians to prescribe these therapies;</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effectiveness of sales and marketing efforts;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unfavorable publicity relating to OP-1250 or similar approved products or product candidates in development by third parties; and</w:t>
            </w:r>
          </w:p>
        </w:tc>
      </w:tr>
    </w:tbl>
    <w:tbl>
      <w:tblPr>
        <w:tblW w:w="5781" w:type="dxa"/>
        <w:jc w:val="left"/>
        <w:tblInd w:w="0" w:type="dxa"/>
        <w:tblCellMar>
          <w:top w:w="28" w:type="dxa"/>
          <w:left w:w="28" w:type="dxa"/>
          <w:bottom w:w="28" w:type="dxa"/>
          <w:right w:w="28" w:type="dxa"/>
        </w:tblCellMar>
      </w:tblPr>
      <w:tblGrid>
        <w:gridCol w:w="124"/>
        <w:gridCol w:w="256"/>
        <w:gridCol w:w="5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approval of other new therapies for the same indications.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experience delays or difficulties in the enrollment and/or maintenance of patients in clinical trials, our clinical development activities could be delayed or otherwise adversely affected.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Patient enrollment is a significant factor in the timing of clinical trials, and the timing of our clinical trials depends, in part, on the speed at which we can recruit patients to participate in our trials, as well as completion of required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Enrollment of patients in our clinical trials and maintaining patients in our ongoing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ultimately delay future regulatory submissions.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tbl>
      <w:tblPr>
        <w:tblW w:w="4071" w:type="dxa"/>
        <w:jc w:val="left"/>
        <w:tblInd w:w="0" w:type="dxa"/>
        <w:tblCellMar>
          <w:top w:w="28" w:type="dxa"/>
          <w:left w:w="28" w:type="dxa"/>
          <w:bottom w:w="28" w:type="dxa"/>
          <w:right w:w="28" w:type="dxa"/>
        </w:tblCellMar>
      </w:tblPr>
      <w:tblGrid>
        <w:gridCol w:w="124"/>
        <w:gridCol w:w="256"/>
        <w:gridCol w:w="3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size and nature of the patient population;</w:t>
            </w:r>
          </w:p>
        </w:tc>
      </w:tr>
    </w:tbl>
    <w:tbl>
      <w:tblPr>
        <w:tblW w:w="4266" w:type="dxa"/>
        <w:jc w:val="left"/>
        <w:tblInd w:w="0" w:type="dxa"/>
        <w:tblCellMar>
          <w:top w:w="28" w:type="dxa"/>
          <w:left w:w="28" w:type="dxa"/>
          <w:bottom w:w="28" w:type="dxa"/>
          <w:right w:w="28" w:type="dxa"/>
        </w:tblCellMar>
      </w:tblPr>
      <w:tblGrid>
        <w:gridCol w:w="124"/>
        <w:gridCol w:w="256"/>
        <w:gridCol w:w="38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severity of the disease under investigation;</w:t>
            </w:r>
          </w:p>
        </w:tc>
      </w:tr>
    </w:tbl>
    <w:tbl>
      <w:tblPr>
        <w:tblW w:w="7296" w:type="dxa"/>
        <w:jc w:val="left"/>
        <w:tblInd w:w="0" w:type="dxa"/>
        <w:tblCellMar>
          <w:top w:w="28" w:type="dxa"/>
          <w:left w:w="28" w:type="dxa"/>
          <w:bottom w:w="28" w:type="dxa"/>
          <w:right w:w="28" w:type="dxa"/>
        </w:tblCellMar>
      </w:tblPr>
      <w:tblGrid>
        <w:gridCol w:w="124"/>
        <w:gridCol w:w="256"/>
        <w:gridCol w:w="69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availability and efficacy of approved drugs for the disease under investigation;</w:t>
            </w:r>
          </w:p>
        </w:tc>
      </w:tr>
    </w:tbl>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eligibility criteria for the trial in question as defined in the protocol;</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perceived risks and benefits of the product candidate under study;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tc>
      </w:tr>
    </w:tbl>
    <w:tbl>
      <w:tblPr>
        <w:tblW w:w="5061" w:type="dxa"/>
        <w:jc w:val="left"/>
        <w:tblInd w:w="0" w:type="dxa"/>
        <w:tblCellMar>
          <w:top w:w="28" w:type="dxa"/>
          <w:left w:w="28" w:type="dxa"/>
          <w:bottom w:w="28" w:type="dxa"/>
          <w:right w:w="28" w:type="dxa"/>
        </w:tblCellMar>
      </w:tblPr>
      <w:tblGrid>
        <w:gridCol w:w="124"/>
        <w:gridCol w:w="256"/>
        <w:gridCol w:w="4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efforts to facilitate timely enrollment in clinical trials;</w:t>
            </w:r>
          </w:p>
        </w:tc>
      </w:tr>
    </w:tbl>
    <w:tbl>
      <w:tblPr>
        <w:tblW w:w="3906" w:type="dxa"/>
        <w:jc w:val="left"/>
        <w:tblInd w:w="0" w:type="dxa"/>
        <w:tblCellMar>
          <w:top w:w="28" w:type="dxa"/>
          <w:left w:w="28" w:type="dxa"/>
          <w:bottom w:w="28" w:type="dxa"/>
          <w:right w:w="28" w:type="dxa"/>
        </w:tblCellMar>
      </w:tblPr>
      <w:tblGrid>
        <w:gridCol w:w="124"/>
        <w:gridCol w:w="256"/>
        <w:gridCol w:w="3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patient referral practices of physicians;</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ability to monitor patients adequately during and after treatment;</w:t>
            </w:r>
          </w:p>
        </w:tc>
      </w:tr>
    </w:tbl>
    <w:tbl>
      <w:tblPr>
        <w:tblW w:w="6576" w:type="dxa"/>
        <w:jc w:val="left"/>
        <w:tblInd w:w="0" w:type="dxa"/>
        <w:tblCellMar>
          <w:top w:w="28" w:type="dxa"/>
          <w:left w:w="28" w:type="dxa"/>
          <w:bottom w:w="28" w:type="dxa"/>
          <w:right w:w="28" w:type="dxa"/>
        </w:tblCellMar>
      </w:tblPr>
      <w:tblGrid>
        <w:gridCol w:w="124"/>
        <w:gridCol w:w="256"/>
        <w:gridCol w:w="6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proximity and availability of clinical trial sites for prospective patients;</w:t>
            </w:r>
          </w:p>
        </w:tc>
      </w:tr>
    </w:tbl>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continued enrollment of prospective patients by clinical trial sites;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risk that patients enrolled in clinical trials will drop out of the trials before completion or, because they may be late-stage cancer patients, will not survive the full terms of the clinical trials.</w:t>
            </w:r>
          </w:p>
        </w:tc>
      </w:tr>
    </w:tbl>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develop in the future. Furthermore, even if we are able to enroll a sufficient number of patients for our clinical trials, we may have difficulty maintaining enrollment of such patients in our clinical trials.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intend to develop OP-1250, and may develop future product candidates, in combination with other therapies, which exposes us to additional risks.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intend to develop OP-1250, and may develop other future product candidates, in combination with one or more other approved or unapproved therapies to treat cancer or other diseases. For example, in December 2021, we initiated a Phase 1b clinical trial of OP-1250 in a combination trial with a cyclin-dependent kinase 4 and 6 inhibitor, and we plan to initiate additional combinations trials of OP-1250 as part of combination therapy with independent arms investigating its potential with a cyclin-dependent kinase 4 and 6 inhibitor and with a phosphatidylinositol 3-kinase alpha inhibitor.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spacing w:before="0" w:after="160"/>
        <w:ind w:left="0" w:right="0" w:hanging="0"/>
        <w:jc w:val="both"/>
        <w:rPr>
          <w:rFonts w:ascii="Arial;Helvetica;sans-serif" w:hAnsi="Arial;Helvetica;sans-serif"/>
          <w:sz w:val="20"/>
        </w:rPr>
      </w:pPr>
      <w:r>
        <w:rPr>
          <w:rFonts w:ascii="Arial;Helvetica;sans-serif" w:hAnsi="Arial;Helvetica;sans-serif"/>
          <w:sz w:val="20"/>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face significant competition, and if our competitors develop and market technologies or products more rapidly than we do or that are more effective, safer or less expensive than OP-1250, or product candidates we may develop in the future, our commercial opportunities may be negatively impacted.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OP- 1250.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are successful in developing OP-1250, it may compete against existing products and product candidates in development, to the extent any such product candidates are approved, for the treatment of estrogen receptor- 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amcenestrant (SAR439859) being developed by Sanofi S.A., LY3484356 being developed by Eli Lilly and Co., ZN-c5 being developed by Zentalis Pharmaceuticals, Inc., elacestrant (RAD1901) being developed by Radius Health, Inc., ARV-471 being developed by Arvinas, Inc., rintodestrant (G1T48) being developed by G1 Therapeutics, Inc., H3B-6545 being developed by H3 Biomedicines, a subsidiary of Eisai Co., Ltd., D-0502 being developed by InventisBio Co., Ltd., and lasofoxifene being developed by Sermonix Pharmaceuticals.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methods of OP-1250 manufacturing or formulation may result in additional costs or delay.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Any product candidate we develop may become subject to unfavorable third-party coverage and reimbursement practices, as well as pricing regulations.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Guidelines and recommendations published by various organizations can reduce the use of OP-1250 or any future product candidates we may develop.</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pStyle w:val="TextBody"/>
        <w:pBdr/>
        <w:spacing w:before="0" w:after="240"/>
        <w:ind w:left="0" w:right="0" w:hanging="720"/>
        <w:rPr>
          <w:rFonts w:ascii="Arial;Helvetica;sans-serif" w:hAnsi="Arial;Helvetica;sans-serif"/>
          <w:b/>
          <w:sz w:val="20"/>
        </w:rPr>
      </w:pPr>
      <w:r>
        <w:rPr>
          <w:rFonts w:ascii="Arial;Helvetica;sans-serif" w:hAnsi="Arial;Helvetica;sans-serif"/>
          <w:b/>
          <w:sz w:val="20"/>
        </w:rPr>
        <w:t>Risks related to regulatory approval and other legal compliance matters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unable to obtain U.S. or foreign regulatory approvals and, as a result, may be unable to commercialize OP-1250 or any future product candidate we may develop.</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provisionally applied from January 1, 2021, and formally entered into force on May 1, 2021.</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Great Britain (made up of England, Scotland, and Wales) is no longer covered by the EMA’s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regulatory authority investigation of the safety and effectiveness of our product, our manufacturing processes 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is the case with pharmaceuticals generally, it is likely that there may be side effects and adverse events associated with the use of OP-1250 or any future product candidates we may develop. For example, during the Phase 1a portion of our Phase 1/2 clinical trial, three</w:t>
      </w:r>
      <w:r>
        <w:rPr>
          <w:rFonts w:ascii="Arial;Helvetica;sans-serif" w:hAnsi="Arial;Helvetica;sans-serif"/>
          <w:color w:val="0A0A0A"/>
          <w:sz w:val="20"/>
        </w:rPr>
        <w:t xml:space="preserve"> patients had grade 4 neutropenia attributed to study drug by the investigator, and two of these patients presented with fever and neutropenia.  </w:t>
      </w:r>
      <w:r>
        <w:rPr>
          <w:rFonts w:ascii="Arial;Helvetica;sans-serif" w:hAnsi="Arial;Helvetica;sans-serif"/>
          <w:sz w:val="20"/>
        </w:rPr>
        <w:t>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EMA and other comparable foreign regulatory authorities may not accept data from trials conducted in locations outside of their jurisdiction.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Even if OP-1250, or any product candidate we develop in the future, receives regulatory approval, it will be subject to significant post-marketing regulatory requirements and oversight.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tbl>
      <w:tblPr>
        <w:tblW w:w="4551" w:type="dxa"/>
        <w:jc w:val="left"/>
        <w:tblInd w:w="0" w:type="dxa"/>
        <w:tblCellMar>
          <w:top w:w="28" w:type="dxa"/>
          <w:left w:w="28" w:type="dxa"/>
          <w:bottom w:w="28" w:type="dxa"/>
          <w:right w:w="28" w:type="dxa"/>
        </w:tblCellMar>
      </w:tblPr>
      <w:tblGrid>
        <w:gridCol w:w="124"/>
        <w:gridCol w:w="256"/>
        <w:gridCol w:w="41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in or the rejection of product approvals;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our ability to conduct clinical trials, including full or partial clinical holds on ongoing or planned trials;</w:t>
            </w:r>
          </w:p>
        </w:tc>
      </w:tr>
    </w:tbl>
    <w:tbl>
      <w:tblPr>
        <w:tblW w:w="6591" w:type="dxa"/>
        <w:jc w:val="left"/>
        <w:tblInd w:w="0" w:type="dxa"/>
        <w:tblCellMar>
          <w:top w:w="28" w:type="dxa"/>
          <w:left w:w="28" w:type="dxa"/>
          <w:bottom w:w="28" w:type="dxa"/>
          <w:right w:w="28" w:type="dxa"/>
        </w:tblCellMar>
      </w:tblPr>
      <w:tblGrid>
        <w:gridCol w:w="124"/>
        <w:gridCol w:w="256"/>
        <w:gridCol w:w="62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restrictions on the products, manufacturers or manufacturing process;</w:t>
            </w:r>
          </w:p>
        </w:tc>
      </w:tr>
    </w:tbl>
    <w:tbl>
      <w:tblPr>
        <w:tblW w:w="1851" w:type="dxa"/>
        <w:jc w:val="left"/>
        <w:tblInd w:w="0" w:type="dxa"/>
        <w:tblCellMar>
          <w:top w:w="28" w:type="dxa"/>
          <w:left w:w="28" w:type="dxa"/>
          <w:bottom w:w="28" w:type="dxa"/>
          <w:right w:w="28" w:type="dxa"/>
        </w:tblCellMar>
      </w:tblPr>
      <w:tblGrid>
        <w:gridCol w:w="124"/>
        <w:gridCol w:w="256"/>
        <w:gridCol w:w="1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4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warning letters;</w:t>
            </w:r>
          </w:p>
        </w:tc>
      </w:tr>
    </w:tbl>
    <w:tbl>
      <w:tblPr>
        <w:tblW w:w="2886" w:type="dxa"/>
        <w:jc w:val="left"/>
        <w:tblInd w:w="0" w:type="dxa"/>
        <w:tblCellMar>
          <w:top w:w="28" w:type="dxa"/>
          <w:left w:w="28" w:type="dxa"/>
          <w:bottom w:w="28" w:type="dxa"/>
          <w:right w:w="28" w:type="dxa"/>
        </w:tblCellMar>
      </w:tblPr>
      <w:tblGrid>
        <w:gridCol w:w="124"/>
        <w:gridCol w:w="25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civil and criminal penalties;</w:t>
            </w:r>
          </w:p>
        </w:tc>
      </w:tr>
    </w:tbl>
    <w:tbl>
      <w:tblPr>
        <w:tblW w:w="1521" w:type="dxa"/>
        <w:jc w:val="left"/>
        <w:tblInd w:w="0" w:type="dxa"/>
        <w:tblCellMar>
          <w:top w:w="28" w:type="dxa"/>
          <w:left w:w="28" w:type="dxa"/>
          <w:bottom w:w="28" w:type="dxa"/>
          <w:right w:w="28" w:type="dxa"/>
        </w:tblCellMar>
      </w:tblPr>
      <w:tblGrid>
        <w:gridCol w:w="124"/>
        <w:gridCol w:w="256"/>
        <w:gridCol w:w="1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1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injunctions;</w:t>
            </w:r>
          </w:p>
        </w:tc>
      </w:tr>
    </w:tbl>
    <w:tbl>
      <w:tblPr>
        <w:tblW w:w="4806" w:type="dxa"/>
        <w:jc w:val="left"/>
        <w:tblInd w:w="0" w:type="dxa"/>
        <w:tblCellMar>
          <w:top w:w="28" w:type="dxa"/>
          <w:left w:w="28" w:type="dxa"/>
          <w:bottom w:w="28" w:type="dxa"/>
          <w:right w:w="28" w:type="dxa"/>
        </w:tblCellMar>
      </w:tblPr>
      <w:tblGrid>
        <w:gridCol w:w="124"/>
        <w:gridCol w:w="256"/>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suspension or withdrawal of regulatory approvals;</w:t>
            </w:r>
          </w:p>
        </w:tc>
      </w:tr>
    </w:tbl>
    <w:tbl>
      <w:tblPr>
        <w:tblW w:w="4356" w:type="dxa"/>
        <w:jc w:val="left"/>
        <w:tblInd w:w="0" w:type="dxa"/>
        <w:tblCellMar>
          <w:top w:w="28" w:type="dxa"/>
          <w:left w:w="28" w:type="dxa"/>
          <w:bottom w:w="28" w:type="dxa"/>
          <w:right w:w="28" w:type="dxa"/>
        </w:tblCellMar>
      </w:tblPr>
      <w:tblGrid>
        <w:gridCol w:w="124"/>
        <w:gridCol w:w="256"/>
        <w:gridCol w:w="3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 seizures, detentions or import bans;</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voluntary or mandatory product recalls and publicity requirements;</w:t>
            </w:r>
          </w:p>
        </w:tc>
      </w:tr>
    </w:tbl>
    <w:tbl>
      <w:tblPr>
        <w:tblW w:w="4386" w:type="dxa"/>
        <w:jc w:val="left"/>
        <w:tblInd w:w="0" w:type="dxa"/>
        <w:tblCellMar>
          <w:top w:w="28" w:type="dxa"/>
          <w:left w:w="28" w:type="dxa"/>
          <w:bottom w:w="28" w:type="dxa"/>
          <w:right w:w="28" w:type="dxa"/>
        </w:tblCellMar>
      </w:tblPr>
      <w:tblGrid>
        <w:gridCol w:w="124"/>
        <w:gridCol w:w="256"/>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total or partial suspension of production; and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imposition of restrictions on operations, including costly new manufacturing requirements.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FDA and other regulatory agencies actively enforce the laws and regulations prohibiting the promotion of off-label uses.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in July 2020 only restarted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face difficulties from changes to current regulations and future legislation.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example, in March 2010, the Patient Protection and Affordable Care Act of 2010, as amended by the Health Care and Education Reconciliation Act of 2010, or collectively the ACA, was passed, which substantially changes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except for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example,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As a result of litigation challenging the Most Favored Nation model. On December 27, 2021, CMS published a final rule that rescinds the Most Favored Nation model interim final rule.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 It is possible that additional governmental action is taken in response to the COVID-19 pandemic.</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Healthcare providers and third-party payors play a primary role in the recommendation and prescription of our product candidate for which we obtain marketing approval. Our current and future arrangements with healthcare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Helvetica;sans-serif" w:hAnsi="Arial;Helvetica;sans-serif"/>
                <w:b w:val="false"/>
                <w:i w:val="false"/>
                <w:caps w:val="false"/>
                <w:smallCaps w:val="false"/>
                <w:sz w:val="20"/>
              </w:rPr>
              <w:t>doctors, dentists, optometrists, podiatrists and chiropractors) , other healthcare professionals (such as physician assistants and nurse practitioners),</w:t>
            </w:r>
            <w:r>
              <w:rPr>
                <w:caps w:val="false"/>
                <w:smallCaps w:val="false"/>
                <w:color w:val="231F20"/>
              </w:rPr>
              <w:t xml:space="preserve">  </w:t>
            </w:r>
            <w:r>
              <w:rPr>
                <w:rFonts w:ascii="Arial;Helvetica;sans-serif" w:hAnsi="Arial;Helvetica;sans-serif"/>
                <w:b w:val="false"/>
                <w:i w:val="false"/>
                <w:caps w:val="false"/>
                <w:smallCaps w:val="false"/>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tc>
      </w:tr>
    </w:tbl>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to report information on the pricing of certain drug products. Some state and local laws require the registration of pharmaceutical sales representatives.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invalidated by a decision of the European Union’s highest court. The European Commission, however, released a set of “Standard Contractual Clauses” in June 2021 that are designed to be a valid mechanism by which entities can transfer personal data out of the EEA to jurisdictions that the European Commission has not found to provide an adequate level of protection.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Further,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CDPA, 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comply with these laws, regulations, or other obligations may lead to significant fines, penalties, regulatory investigations, lawsuits, significant costs for remediation, damage to our reputation, or other liabilities.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that there will continue to be newly proposed health-related, privacy, and security laws and regulations,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though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research and development activities could be affected or delayed as a result of possible restrictions on animal testing.</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Certain laws and regulations require us to test our product candidate on animals before initiating clinical trials involving humans. Animal testing activities have been the subject of controversy and adverse publicity. Animal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employee matters, managing our growth and other risks related to our business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COVID-19 pandemic could adversely impact our business, including our nonclinical studies and clinical trials.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ongoing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such as medical services and supplies, has spiked, while demand for other goods and services, such as travel, has fallen. In response to the spread of COVID-19, we closed our offices with our administrative employees working outside of our offices and limited the number of staff in any given research and development laboratory. In October 2021, we re-opened our offices to administrative employees, however due to the resurgence of cases relating to the spread of the Delta and Omicron variants, we have continued to limit access to our offices and we may close our offices again in the future as the COVID-19 pandemic continues to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delays or difficulties in enrolling and retaining patients in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difficulties in clinical site initiation, including difficulties in recruiting clinical site investigators and clinical site staff;</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diversion of healthcare resources away from the conduct of clinical trials, including the diversion of hospitals serving as our clinical trial sites and hospital staff supporting the conduct of our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interruption or delays in the operations of the FDA or other regulatory authorities, which may impact review and approval timelines;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interruption of, or delays in receiving, supplies of OP-1250 from our contract manufacturing organizations, or CMO, due to staffing shortages, production slowdowns or stoppages and disruptions in delivery systems;</w:t>
            </w:r>
          </w:p>
        </w:tc>
      </w:tr>
    </w:tbl>
    <w:tbl>
      <w:tblPr>
        <w:tblW w:w="8916" w:type="dxa"/>
        <w:jc w:val="left"/>
        <w:tblInd w:w="0" w:type="dxa"/>
        <w:tblCellMar>
          <w:top w:w="28" w:type="dxa"/>
          <w:left w:w="28" w:type="dxa"/>
          <w:bottom w:w="28" w:type="dxa"/>
          <w:right w:w="28" w:type="dxa"/>
        </w:tblCellMar>
      </w:tblPr>
      <w:tblGrid>
        <w:gridCol w:w="124"/>
        <w:gridCol w:w="256"/>
        <w:gridCol w:w="8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interruptions in nonclinical studies due to restricted or limited operations at our laboratory facility;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interruption or delays to our sourced discovery and clinical activities.</w:t>
            </w:r>
          </w:p>
        </w:tc>
      </w:tr>
    </w:tbl>
    <w:p>
      <w:pPr>
        <w:pStyle w:val="TextBody"/>
        <w:spacing w:before="0" w:after="240"/>
        <w:ind w:left="0" w:right="0" w:hanging="0"/>
        <w:jc w:val="both"/>
        <w:rPr>
          <w:rFonts w:ascii="Arial;Helvetica;sans-serif" w:hAnsi="Arial;Helvetica;sans-serif"/>
          <w:color w:val="231F20"/>
          <w:sz w:val="20"/>
        </w:rPr>
      </w:pPr>
      <w:r>
        <w:rPr>
          <w:rFonts w:ascii="Arial;Helvetica;sans-serif" w:hAnsi="Arial;Helvetica;sans-serif"/>
          <w:color w:val="231F20"/>
          <w:sz w:val="20"/>
        </w:rPr>
        <w:t>The COVID-19 pandemic continues to rapidly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is highly dependent on our ability to attract and retain highly skilled executive officers and employees.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Establishing an internal sales or marketing team with technical expertise and supporting distribution capabilities to commercialize OP-1250 or any product candidate we may develop in the future will be expensive and time- 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never commercialized a product candidate before and may lack the necessary expertise, personnel and resources to successfully commercialize any products on our own or together with suitable collaborators.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retain commercialization rights, we will have to develop our own sales, marketing and supply organization or outsource these activities to a third party.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In order to successfully implement our plans and strategies, we will need to grow the size of our organization, and we may experience difficulties in managing this growth.</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January 31, 2021, we had 74 employees, 73 of whom were full-time, including 41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identifying, recruiting, integrating, maintaining and motivating additional employees;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tc>
      </w:tr>
    </w:tbl>
    <w:tbl>
      <w:tblPr>
        <w:tblW w:w="8991" w:type="dxa"/>
        <w:jc w:val="left"/>
        <w:tblInd w:w="0" w:type="dxa"/>
        <w:tblCellMar>
          <w:top w:w="28" w:type="dxa"/>
          <w:left w:w="28" w:type="dxa"/>
          <w:bottom w:w="28" w:type="dxa"/>
          <w:right w:w="28" w:type="dxa"/>
        </w:tblCellMar>
      </w:tblPr>
      <w:tblGrid>
        <w:gridCol w:w="124"/>
        <w:gridCol w:w="256"/>
        <w:gridCol w:w="8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improving our operational, financial and management controls, reporting systems and procedures.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If we are not able to effectively expand our organization by hiring new employees and/or engaging additional third-party service providers, we may not be able to successfully implement the tasks necessary to further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develop and commercialize OP-1250 and any other future product candidates we may develop and, accordingly, may not achieve our research, development and commercialization goals.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w:t>
      </w:r>
      <w:r>
        <w:rPr>
          <w:rFonts w:ascii="Arial;Helvetica;sans-serif" w:hAnsi="Arial;Helvetica;sans-serif"/>
          <w:sz w:val="20"/>
          <w:highlight w:val="white"/>
        </w:rPr>
        <w:t>alerted to falsified information circulating on social media relating to our planned poster presentation for the Phase 1 dose-escalation portion of the ongoing Phase 1/2 clinical trial of OP-1250 at the San Antonio Breast Cancer Symposium.</w:t>
      </w:r>
      <w:r>
        <w:rPr>
          <w:rFonts w:ascii="Arial;Helvetica;sans-serif" w:hAnsi="Arial;Helvetica;sans-serif"/>
          <w:sz w:val="20"/>
        </w:rPr>
        <w:t xml:space="preserve">  Additionally, the loss of clinical trial data from completed or future clinical trials could result in delays or revocation of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could have high deductibles in any event, and defending a suit, regardless of its merit, could be costly and divert management attention.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EU drug marketing and reimbursement regulations may materially affect our ability to market and receive coverage for our product in the European member states.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Business disruptions could seriously harm our future revenue and financial condition and increase our costs and expenses.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predominantly self- insured. The occurrence of any of these business disruptions could seriously harm our operations, increase our costs and expenses and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ability to utilize our net operating loss carryforwards and certain other tax attributes may be limited.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signed into law on March 27, 2020. Moreover, under the Tax Act as modified by the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New or future changes to tax laws could materially adversely affect our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The impact of the Tax Act and CARES Act and any future changes in tax laws on holders of our common stock is also uncertain and could be adverse.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A variety of risks associated with marketing OP-1250 or any future product candidate we may develop internationally could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tbl>
      <w:tblPr>
        <w:tblW w:w="7566" w:type="dxa"/>
        <w:jc w:val="left"/>
        <w:tblInd w:w="0" w:type="dxa"/>
        <w:tblCellMar>
          <w:top w:w="28" w:type="dxa"/>
          <w:left w:w="28" w:type="dxa"/>
          <w:bottom w:w="28" w:type="dxa"/>
          <w:right w:w="28" w:type="dxa"/>
        </w:tblCellMar>
      </w:tblPr>
      <w:tblGrid>
        <w:gridCol w:w="124"/>
        <w:gridCol w:w="256"/>
        <w:gridCol w:w="71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differing regulatory requirements and reimbursement regimes in foreign countries;</w:t>
            </w:r>
          </w:p>
        </w:tc>
      </w:tr>
    </w:tbl>
    <w:tbl>
      <w:tblPr>
        <w:tblW w:w="9951" w:type="dxa"/>
        <w:jc w:val="left"/>
        <w:tblInd w:w="0" w:type="dxa"/>
        <w:tblCellMar>
          <w:top w:w="28" w:type="dxa"/>
          <w:left w:w="28" w:type="dxa"/>
          <w:bottom w:w="28" w:type="dxa"/>
          <w:right w:w="28" w:type="dxa"/>
        </w:tblCellMar>
      </w:tblPr>
      <w:tblGrid>
        <w:gridCol w:w="124"/>
        <w:gridCol w:w="256"/>
        <w:gridCol w:w="9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unexpected changes in tariffs, trade barriers, price and exchange controls and other regulatory requirements;</w:t>
            </w:r>
          </w:p>
        </w:tc>
      </w:tr>
    </w:tbl>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economic weakness, including inflation, or political instability in particular foreign economies and markets;</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compliance with tax, employment, immigration and labor laws for employees living or traveling abroad;</w:t>
            </w:r>
          </w:p>
        </w:tc>
      </w:tr>
    </w:tbl>
    <w:tbl>
      <w:tblPr>
        <w:tblW w:w="5016" w:type="dxa"/>
        <w:jc w:val="left"/>
        <w:tblInd w:w="0" w:type="dxa"/>
        <w:tblCellMar>
          <w:top w:w="28" w:type="dxa"/>
          <w:left w:w="28" w:type="dxa"/>
          <w:bottom w:w="28" w:type="dxa"/>
          <w:right w:w="28" w:type="dxa"/>
        </w:tblCellMar>
      </w:tblPr>
      <w:tblGrid>
        <w:gridCol w:w="124"/>
        <w:gridCol w:w="256"/>
        <w:gridCol w:w="4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taxes, including withholding of payroll taxes;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foreign currency fluctuations, which could result in increased operating expenses and reduced revenue, and other obligations incident to doing business in another country;</w:t>
            </w:r>
          </w:p>
        </w:tc>
      </w:tr>
    </w:tbl>
    <w:tbl>
      <w:tblPr>
        <w:tblW w:w="5061" w:type="dxa"/>
        <w:jc w:val="left"/>
        <w:tblInd w:w="0" w:type="dxa"/>
        <w:tblCellMar>
          <w:top w:w="28" w:type="dxa"/>
          <w:left w:w="28" w:type="dxa"/>
          <w:bottom w:w="28" w:type="dxa"/>
          <w:right w:w="28" w:type="dxa"/>
        </w:tblCellMar>
      </w:tblPr>
      <w:tblGrid>
        <w:gridCol w:w="124"/>
        <w:gridCol w:w="256"/>
        <w:gridCol w:w="4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difficulties staffing and managing foreign operations;</w:t>
            </w:r>
          </w:p>
        </w:tc>
      </w:tr>
    </w:tbl>
    <w:tbl>
      <w:tblPr>
        <w:tblW w:w="8901" w:type="dxa"/>
        <w:jc w:val="left"/>
        <w:tblInd w:w="0" w:type="dxa"/>
        <w:tblCellMar>
          <w:top w:w="28" w:type="dxa"/>
          <w:left w:w="28" w:type="dxa"/>
          <w:bottom w:w="28" w:type="dxa"/>
          <w:right w:w="28" w:type="dxa"/>
        </w:tblCellMar>
      </w:tblPr>
      <w:tblGrid>
        <w:gridCol w:w="124"/>
        <w:gridCol w:w="256"/>
        <w:gridCol w:w="8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workforce uncertainty in countries where labor unrest is more common than in the United States;</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potential liability under the FCPA or comparable foreign regulations;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challenges enforcing our contractual and intellectual property rights, especially in those foreign countries that do not respect and protect intellectual property rights to the same extent as the United States;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production shortages resulting from any events affecting raw material supply or manufacturing capabilities abroad; and</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business interruptions resulting from geo-political actions, including war and terrorism.</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These and other risks associated with our international operations may significantly harm our business, financial condition, results of operations and prospects.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intellectual property</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success depends on our ability to protect our intellectual property and our proprietary technologies.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val="false"/>
                <w:caps w:val="false"/>
                <w:smallCaps w:val="false"/>
                <w:color w:val="231F20"/>
                <w:sz w:val="20"/>
              </w:rPr>
              <w:t>patent applications must be filed in advance of certain events (</w:t>
            </w:r>
            <w:r>
              <w:rPr>
                <w:rFonts w:ascii="Arial;Helvetica;sans-serif" w:hAnsi="Arial;Helvetica;sans-serif"/>
                <w:b w:val="false"/>
                <w:i/>
                <w:color w:val="231F20"/>
                <w:sz w:val="20"/>
              </w:rPr>
              <w:t xml:space="preserve">e.g., </w:t>
            </w:r>
            <w:r>
              <w:rPr>
                <w:rFonts w:ascii="Arial;Helvetica;sans-serif" w:hAnsi="Arial;Helvetica;sans-serif"/>
                <w:b w:val="false"/>
                <w:i w:val="false"/>
                <w:caps w:val="false"/>
                <w:smallCaps w:val="false"/>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 applications may not result in any patents being issued;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patents may be challenged, invalidated, modified, revoked, circumvented, found to be unenforceable or otherwise may not provide any competitive advantage;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there may be significant pressure on the U.S. government and international governmental bodies to limit the scope of patent protection both inside and outside the United States; and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alternative technologies or products in a non-infringing manner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issuance of a patent is not conclusive as to its inventorship, scope, validity or enforceability, and our patents may be challenged in the courts or patent offices in the United States and abroad.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be subject to a third-party pre-issuance submission of prior art to the USPTO or other jurisdictions, or become involved in post-grant challenges such as opposition, derivation, revocation, reexamination, post-grant review, or PGR, and </w:t>
      </w:r>
      <w:r>
        <w:rPr>
          <w:rFonts w:ascii="Arial;Helvetica;sans-serif" w:hAnsi="Arial;Helvetica;sans-serif"/>
          <w:i/>
          <w:sz w:val="20"/>
        </w:rPr>
        <w:t>inter partes </w:t>
      </w:r>
      <w:r>
        <w:rPr>
          <w:rFonts w:ascii="Arial;Helvetica;sans-serif" w:hAnsi="Arial;Helvetica;sans-serif"/>
          <w:sz w:val="20"/>
        </w:rPr>
        <w:t>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competitive advantage.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6126" w:type="dxa"/>
        <w:jc w:val="left"/>
        <w:tblInd w:w="0" w:type="dxa"/>
        <w:tblCellMar>
          <w:top w:w="28" w:type="dxa"/>
          <w:left w:w="28" w:type="dxa"/>
          <w:bottom w:w="28" w:type="dxa"/>
          <w:right w:w="28" w:type="dxa"/>
        </w:tblCellMar>
      </w:tblPr>
      <w:tblGrid>
        <w:gridCol w:w="124"/>
        <w:gridCol w:w="256"/>
        <w:gridCol w:w="5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be able to detect infringement of our issued patents;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be able to develop products that are similar to OP-1250, or any future product candidates we may develop, but that are not covered by the claims of the patents that we may in-license in the future or own;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may seek or may have already obtained patents that will limit, interfere with or eliminate our ability to make, use and sell OP-1250 or any future product candidates we may develop;</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not have been the first to make the inventions covered by the issued patents or patent application that we may in-license in the future or own;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or our current or future collaborators or license partners, might be found not have been the first to file patent applications covering certain of our or their inventions;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others may independently develop similar or alternative technologies or duplicate any of our technologies without infringing our intellectual property rights;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 pending patent applications we may in-license in the future or own will not lead to issued patents;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it is possible that there are prior public disclosures that could invalidate our patents, or parts of our patents, for which we are not aware;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that we hold rights to may be held invalid or unenforceable, as a result of legal challenges by our competitors;</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issued patents may not have sufficient term or geographic scope to provide meaningful protection;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26" w:type="dxa"/>
        <w:jc w:val="left"/>
        <w:tblInd w:w="0" w:type="dxa"/>
        <w:tblCellMar>
          <w:top w:w="28" w:type="dxa"/>
          <w:left w:w="28" w:type="dxa"/>
          <w:bottom w:w="28" w:type="dxa"/>
          <w:right w:w="28" w:type="dxa"/>
        </w:tblCellMar>
      </w:tblPr>
      <w:tblGrid>
        <w:gridCol w:w="124"/>
        <w:gridCol w:w="256"/>
        <w:gridCol w:w="6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not develop additional proprietary technologies that are patentable;</w:t>
            </w:r>
          </w:p>
        </w:tc>
      </w:tr>
    </w:tbl>
    <w:tbl>
      <w:tblPr>
        <w:tblW w:w="6696" w:type="dxa"/>
        <w:jc w:val="left"/>
        <w:tblInd w:w="0" w:type="dxa"/>
        <w:tblCellMar>
          <w:top w:w="28" w:type="dxa"/>
          <w:left w:w="28" w:type="dxa"/>
          <w:bottom w:w="28" w:type="dxa"/>
          <w:right w:w="28" w:type="dxa"/>
        </w:tblCellMar>
      </w:tblPr>
      <w:tblGrid>
        <w:gridCol w:w="124"/>
        <w:gridCol w:w="256"/>
        <w:gridCol w:w="6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patents of others may have an adverse effect on our business;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we may choose not to file a patent in order to maintain certain trade secrets, and a third party may subsequently file a patent covering such intellectual property.</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claims of patent infringement, misappropriation or other violations asserted by third parties would be time consuming and could:</w:t>
      </w:r>
    </w:p>
    <w:tbl>
      <w:tblPr>
        <w:tblW w:w="5631" w:type="dxa"/>
        <w:jc w:val="left"/>
        <w:tblInd w:w="0" w:type="dxa"/>
        <w:tblCellMar>
          <w:top w:w="28" w:type="dxa"/>
          <w:left w:w="28" w:type="dxa"/>
          <w:bottom w:w="28" w:type="dxa"/>
          <w:right w:w="28" w:type="dxa"/>
        </w:tblCellMar>
      </w:tblPr>
      <w:tblGrid>
        <w:gridCol w:w="124"/>
        <w:gridCol w:w="256"/>
        <w:gridCol w:w="5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 in costly litigation that may cause negative publicity;</w:t>
            </w:r>
          </w:p>
        </w:tc>
      </w:tr>
    </w:tbl>
    <w:tbl>
      <w:tblPr>
        <w:tblW w:w="2916" w:type="dxa"/>
        <w:jc w:val="left"/>
        <w:tblInd w:w="0" w:type="dxa"/>
        <w:tblCellMar>
          <w:top w:w="28" w:type="dxa"/>
          <w:left w:w="28" w:type="dxa"/>
          <w:bottom w:w="28" w:type="dxa"/>
          <w:right w:w="28" w:type="dxa"/>
        </w:tblCellMar>
      </w:tblPr>
      <w:tblGrid>
        <w:gridCol w:w="124"/>
        <w:gridCol w:w="256"/>
        <w:gridCol w:w="2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cause development delays;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586" w:type="dxa"/>
        <w:jc w:val="left"/>
        <w:tblInd w:w="0" w:type="dxa"/>
        <w:tblCellMar>
          <w:top w:w="28" w:type="dxa"/>
          <w:left w:w="28" w:type="dxa"/>
          <w:bottom w:w="28" w:type="dxa"/>
          <w:right w:w="28" w:type="dxa"/>
        </w:tblCellMar>
      </w:tblPr>
      <w:tblGrid>
        <w:gridCol w:w="124"/>
        <w:gridCol w:w="256"/>
        <w:gridCol w:w="8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prevent us from commercializing OP-1250 or any future product candidates we may develop;</w:t>
            </w:r>
          </w:p>
        </w:tc>
      </w:tr>
    </w:tbl>
    <w:tbl>
      <w:tblPr>
        <w:tblW w:w="9261" w:type="dxa"/>
        <w:jc w:val="left"/>
        <w:tblInd w:w="0" w:type="dxa"/>
        <w:tblCellMar>
          <w:top w:w="28" w:type="dxa"/>
          <w:left w:w="28" w:type="dxa"/>
          <w:bottom w:w="28" w:type="dxa"/>
          <w:right w:w="28" w:type="dxa"/>
        </w:tblCellMar>
      </w:tblPr>
      <w:tblGrid>
        <w:gridCol w:w="124"/>
        <w:gridCol w:w="256"/>
        <w:gridCol w:w="8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develop non-infringing technology, which may not be possible on a cost-effective basis;</w:t>
            </w:r>
          </w:p>
        </w:tc>
      </w:tr>
    </w:tbl>
    <w:tbl>
      <w:tblPr>
        <w:tblW w:w="4851" w:type="dxa"/>
        <w:jc w:val="left"/>
        <w:tblInd w:w="0" w:type="dxa"/>
        <w:tblCellMar>
          <w:top w:w="28" w:type="dxa"/>
          <w:left w:w="28" w:type="dxa"/>
          <w:bottom w:w="28" w:type="dxa"/>
          <w:right w:w="28" w:type="dxa"/>
        </w:tblCellMar>
      </w:tblPr>
      <w:tblGrid>
        <w:gridCol w:w="124"/>
        <w:gridCol w:w="256"/>
        <w:gridCol w:w="4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subject us to significant liability to third parties;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not be successful in obtaining or maintaining necessary rights from third parties for that we identify as necessary for OP-1250 through acquisitions and in-licenses.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While we may have issued patents that cover OP-1250, it is possible that third parties may have blocking patents that prevent us from marketing, manufacturing or commercializing our own patented products and practicing our own patented technology.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involved in lawsuits to protect or enforce our patents, which could be expensive, time consuming and unsuccessful. Further, our issued patents could be found invalid or unenforceable if challenged in court.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Should any of these events occur, it could significantly harm our business, financial condition, results of operations and prospects.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litigation may lead to unfavorable publicity that harms our reputation and causes the market price of our common shares to decline.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Derivation proceedings may be necessary to determine priority of inventions, and an unfavorable outcome may require us to cease using the related technology or to attempt to license rights from the prevailing party.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Changes in U.S. patent law, or laws in other countries, could diminish the value of patents in general, thereby impairing our ability to protect OP-1250 or any future product candidates we may develop.</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challenging the inventorship or ownership of our patents and other intellectual property.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Patent terms may be inadequate to protect our competitive position on OP-1250 or any future product candidates we may develop for an adequate amount of time.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do not obtain patent term extension for OP-1250 or any future product candidates we may develop, our business, financial condition, results of operations and prospects may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will not be able to protect our intellectual property rights throughout the world.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are unable to protect the confidentiality of our trade secrets, our business, financial condition, results of operations, prospects and competitive position would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claims that we or our employees have wrongfully used or disclosed alleged confidential information or trade secrets.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rights to develop and commercialize our technology and product candidate may be subject, in part, to the terms and conditions of licenses granted to us by others.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7of,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Disputes may arise between us and our past, current or future licensors regarding intellectual property subject to a license agreement, including:</w:t>
      </w:r>
    </w:p>
    <w:tbl>
      <w:tblPr>
        <w:tblW w:w="8766" w:type="dxa"/>
        <w:jc w:val="left"/>
        <w:tblInd w:w="0" w:type="dxa"/>
        <w:tblCellMar>
          <w:top w:w="28" w:type="dxa"/>
          <w:left w:w="28" w:type="dxa"/>
          <w:bottom w:w="28" w:type="dxa"/>
          <w:right w:w="28" w:type="dxa"/>
        </w:tblCellMar>
      </w:tblPr>
      <w:tblGrid>
        <w:gridCol w:w="124"/>
        <w:gridCol w:w="256"/>
        <w:gridCol w:w="8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of rights granted under the license agreement and other interpretation-related issues;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whether and the extent to which our technology and processes infringe on intellectual property of the licensor that is not subject to the licensing agreement;</w:t>
            </w:r>
          </w:p>
        </w:tc>
      </w:tr>
    </w:tbl>
    <w:tbl>
      <w:tblPr>
        <w:tblW w:w="5931" w:type="dxa"/>
        <w:jc w:val="left"/>
        <w:tblInd w:w="0" w:type="dxa"/>
        <w:tblCellMar>
          <w:top w:w="28" w:type="dxa"/>
          <w:left w:w="28" w:type="dxa"/>
          <w:bottom w:w="28" w:type="dxa"/>
          <w:right w:w="28" w:type="dxa"/>
        </w:tblCellMar>
      </w:tblPr>
      <w:tblGrid>
        <w:gridCol w:w="124"/>
        <w:gridCol w:w="256"/>
        <w:gridCol w:w="5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sublicense patents and other rights to third parties;</w:t>
            </w:r>
          </w:p>
        </w:tc>
      </w:tr>
    </w:tbl>
    <w:tbl>
      <w:tblPr>
        <w:tblW w:w="9876" w:type="dxa"/>
        <w:jc w:val="left"/>
        <w:tblInd w:w="0" w:type="dxa"/>
        <w:tblCellMar>
          <w:top w:w="28" w:type="dxa"/>
          <w:left w:w="28" w:type="dxa"/>
          <w:bottom w:w="28" w:type="dxa"/>
          <w:right w:w="28" w:type="dxa"/>
        </w:tblCellMar>
      </w:tblPr>
      <w:tblGrid>
        <w:gridCol w:w="124"/>
        <w:gridCol w:w="256"/>
        <w:gridCol w:w="9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diligence obligations under the license agreement and what activities satisfy those diligence obligations;</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right to transfer or assign the license;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inventorship and ownership of inventions and know-how resulting from the joint creation or use of intellectual property by our licensors and us and our partners; and</w:t>
            </w:r>
          </w:p>
        </w:tc>
      </w:tr>
    </w:tbl>
    <w:tbl>
      <w:tblPr>
        <w:tblW w:w="4611" w:type="dxa"/>
        <w:jc w:val="left"/>
        <w:tblInd w:w="0" w:type="dxa"/>
        <w:tblCellMar>
          <w:top w:w="28" w:type="dxa"/>
          <w:left w:w="28" w:type="dxa"/>
          <w:bottom w:w="28" w:type="dxa"/>
          <w:right w:w="28" w:type="dxa"/>
        </w:tblCellMar>
      </w:tblPr>
      <w:tblGrid>
        <w:gridCol w:w="124"/>
        <w:gridCol w:w="256"/>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priority of invention of patented technology.</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dependence on third parties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If any of our relationships with these third-party CROs terminate, we may not be able to enter into arrangements with alternative CROs or do so on commercially reasonable terms. Switching or adding additional CROs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disruptions resulting from the impact of public health pandemics or epidemics (including, for example, the ongoing COVID-19 pandemic;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reduction or termination of production or deliveries by suppliers, or the raising of prices or renegotiation of terms;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termination or nonrenewal of arrangements or agreements by our third-party contractors at a time that is costly or inconvenient for us;</w:t>
            </w:r>
          </w:p>
        </w:tc>
      </w:tr>
    </w:tbl>
    <w:tbl>
      <w:tblPr>
        <w:tblW w:w="6606" w:type="dxa"/>
        <w:jc w:val="left"/>
        <w:tblInd w:w="0" w:type="dxa"/>
        <w:tblCellMar>
          <w:top w:w="28" w:type="dxa"/>
          <w:left w:w="28" w:type="dxa"/>
          <w:bottom w:w="28" w:type="dxa"/>
          <w:right w:w="28" w:type="dxa"/>
        </w:tblCellMar>
      </w:tblPr>
      <w:tblGrid>
        <w:gridCol w:w="124"/>
        <w:gridCol w:w="256"/>
        <w:gridCol w:w="62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breach by the third-party contractors of our agreements with them;</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third-party contractors to comply with applicable regulatory requirements;</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failure of the third party to manufacture OP-1250 according to our specifications;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mislabeling of clinical supplies, potentially resulting in the wrong dose amounts being supplied or active drug or placebo not being properly identified;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clinical supplies not being delivered to clinical sites on time, leading to clinical trial interruptions, or of drug supplies not being distributed to commercial vendors in a timely manner, resulting in lost sales; and</w:t>
            </w:r>
          </w:p>
        </w:tc>
      </w:tr>
    </w:tbl>
    <w:tbl>
      <w:tblPr>
        <w:tblW w:w="8601" w:type="dxa"/>
        <w:jc w:val="left"/>
        <w:tblInd w:w="0" w:type="dxa"/>
        <w:tblCellMar>
          <w:top w:w="28" w:type="dxa"/>
          <w:left w:w="28" w:type="dxa"/>
          <w:bottom w:w="28" w:type="dxa"/>
          <w:right w:w="28" w:type="dxa"/>
        </w:tblCellMar>
      </w:tblPr>
      <w:tblGrid>
        <w:gridCol w:w="124"/>
        <w:gridCol w:w="256"/>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misappropriation of our proprietary information, including our trade secrets and know-how.</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 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tbl>
      <w:tblPr>
        <w:tblW w:w="5226" w:type="dxa"/>
        <w:jc w:val="left"/>
        <w:tblInd w:w="0" w:type="dxa"/>
        <w:tblCellMar>
          <w:top w:w="28" w:type="dxa"/>
          <w:left w:w="28" w:type="dxa"/>
          <w:bottom w:w="28" w:type="dxa"/>
          <w:right w:w="28" w:type="dxa"/>
        </w:tblCellMar>
      </w:tblPr>
      <w:tblGrid>
        <w:gridCol w:w="124"/>
        <w:gridCol w:w="256"/>
        <w:gridCol w:w="4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increased operating expenses and cash requirements;</w:t>
            </w:r>
          </w:p>
        </w:tc>
      </w:tr>
    </w:tbl>
    <w:tbl>
      <w:tblPr>
        <w:tblW w:w="3921" w:type="dxa"/>
        <w:jc w:val="left"/>
        <w:tblInd w:w="0" w:type="dxa"/>
        <w:tblCellMar>
          <w:top w:w="28" w:type="dxa"/>
          <w:left w:w="28" w:type="dxa"/>
          <w:bottom w:w="28" w:type="dxa"/>
          <w:right w:w="28" w:type="dxa"/>
        </w:tblCellMar>
      </w:tblPr>
      <w:tblGrid>
        <w:gridCol w:w="124"/>
        <w:gridCol w:w="256"/>
        <w:gridCol w:w="3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assumption of contingent liabilities;</w:t>
            </w:r>
          </w:p>
        </w:tc>
      </w:tr>
    </w:tbl>
    <w:tbl>
      <w:tblPr>
        <w:tblW w:w="3741" w:type="dxa"/>
        <w:jc w:val="left"/>
        <w:tblInd w:w="0" w:type="dxa"/>
        <w:tblCellMar>
          <w:top w:w="28" w:type="dxa"/>
          <w:left w:w="28" w:type="dxa"/>
          <w:bottom w:w="28" w:type="dxa"/>
          <w:right w:w="28" w:type="dxa"/>
        </w:tblCellMar>
      </w:tblPr>
      <w:tblGrid>
        <w:gridCol w:w="124"/>
        <w:gridCol w:w="256"/>
        <w:gridCol w:w="3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issuance of our equity securities;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assimilation of operations, intellectual property and products of an acquired company, including difficulties associated with integrating new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diversion of our management’s attention from our existing programs and initiatives in pursuing such a strategic merger or acquisition;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retention of key employees, the loss of key personnel and uncertainties in our ability to maintain key business relationships;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risks and uncertainties associated with the other party to such a transaction, including the prospects of that party and their existing products or product candidates and marketing approvals;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inability to generate revenue from acquired technology and/or products sufficient to meet our objectives in undertaking the acquisition or even to offset the associated acquisition and maintenance costs.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have entered into collaborations with third parties for the development and commercialization of OP-1250. If those collaborations are not successful, we may not be able to capitalize on the market potential of OP-1250.</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have significant discretion in determining the efforts and resources that they will apply to these collaborations and may not perform their obligations as expected;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 collaborator with marketing and distribution rights to multiple products may not commit sufficient resources to the marketing and distribution of our product relative to other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disputes may arise between the collaborators and us that result in the delay or termination of the research, development or commercialization of OP-1250 or that result in costly litigation or arbitration that diverts management attention and resources;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collaborations may be terminated and, if terminated, may result in a need for additional capital to pursue further development or commercialization of the applicable product candidates;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collaboration agreements may not lead to development or commercialization of product candidates in the most efficient manner or at all; and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a collaborator of ours were to be involved in a business combination, the continued pursuit and emphasis on our drug development or commercialization program could be delayed, diminished or terminated.</w:t>
            </w:r>
          </w:p>
        </w:tc>
      </w:tr>
    </w:tbl>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decide to establish collaborations in the future, but are not able to establish those collaborations on commercially reasonable terms, we may have to alter our development and commercialization plans.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ownership of our common stock</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An active trading market for our common stock may not be sustained.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ability to raise capital by selling our common stock and may impair our ability to enter into strategic partnerships or acquire businesses, products, or technologies using our common stock as consideration.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price of our stock has been and may continue to be volatile, and you could lose all or part of your investment.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trading price of our common stock has been and may continue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results of nonclinical studies and clinical trials of OP-1250 or any future product candidates we may develop or those of our competitors;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 of competitive products or announcements by potential competitors of their product development efforts;</w:t>
            </w:r>
          </w:p>
        </w:tc>
      </w:tr>
    </w:tbl>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actions with respect to our product candidate or our competitors’ products;</w:t>
            </w:r>
          </w:p>
        </w:tc>
      </w:tr>
    </w:tbl>
    <w:tbl>
      <w:tblPr>
        <w:tblW w:w="7026" w:type="dxa"/>
        <w:jc w:val="left"/>
        <w:tblInd w:w="0" w:type="dxa"/>
        <w:tblCellMar>
          <w:top w:w="28" w:type="dxa"/>
          <w:left w:w="28" w:type="dxa"/>
          <w:bottom w:w="28" w:type="dxa"/>
          <w:right w:w="28" w:type="dxa"/>
        </w:tblCellMar>
      </w:tblPr>
      <w:tblGrid>
        <w:gridCol w:w="124"/>
        <w:gridCol w:w="256"/>
        <w:gridCol w:w="6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4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our growth rate relative to our competitors;</w:t>
            </w:r>
          </w:p>
        </w:tc>
      </w:tr>
    </w:tbl>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or legal developments in the United States and other countries;</w:t>
            </w:r>
          </w:p>
        </w:tc>
      </w:tr>
    </w:tbl>
    <w:tbl>
      <w:tblPr>
        <w:tblW w:w="9156" w:type="dxa"/>
        <w:jc w:val="left"/>
        <w:tblInd w:w="0" w:type="dxa"/>
        <w:tblCellMar>
          <w:top w:w="28" w:type="dxa"/>
          <w:left w:w="28" w:type="dxa"/>
          <w:bottom w:w="28" w:type="dxa"/>
          <w:right w:w="28" w:type="dxa"/>
        </w:tblCellMar>
      </w:tblPr>
      <w:tblGrid>
        <w:gridCol w:w="124"/>
        <w:gridCol w:w="256"/>
        <w:gridCol w:w="87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7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developments or disputes concerning patent applications, issued patents or other proprietary rights;</w:t>
            </w:r>
          </w:p>
        </w:tc>
      </w:tr>
    </w:tbl>
    <w:tbl>
      <w:tblPr>
        <w:tblW w:w="4491" w:type="dxa"/>
        <w:jc w:val="left"/>
        <w:tblInd w:w="0" w:type="dxa"/>
        <w:tblCellMar>
          <w:top w:w="28" w:type="dxa"/>
          <w:left w:w="28" w:type="dxa"/>
          <w:bottom w:w="28" w:type="dxa"/>
          <w:right w:w="28" w:type="dxa"/>
        </w:tblCellMar>
      </w:tblPr>
      <w:tblGrid>
        <w:gridCol w:w="124"/>
        <w:gridCol w:w="256"/>
        <w:gridCol w:w="4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recruitment or departure of key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announcements by us or our competitors of significant acquisitions, strategic collaborations, joint ventures, collaborations or capital commitments;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actual or anticipated changes in estimates as to financial results, development timelines or recommendations by securities analysts;</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fluctuations in the valuation of companies perceived by investors to be comparable to us;</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market conditions in the pharmaceutical and biotechnology sector;</w:t>
            </w:r>
          </w:p>
        </w:tc>
      </w:tr>
    </w:tbl>
    <w:tbl>
      <w:tblPr>
        <w:tblW w:w="5496" w:type="dxa"/>
        <w:jc w:val="left"/>
        <w:tblInd w:w="0" w:type="dxa"/>
        <w:tblCellMar>
          <w:top w:w="28" w:type="dxa"/>
          <w:left w:w="28" w:type="dxa"/>
          <w:bottom w:w="28" w:type="dxa"/>
          <w:right w:w="28" w:type="dxa"/>
        </w:tblCellMar>
      </w:tblPr>
      <w:tblGrid>
        <w:gridCol w:w="124"/>
        <w:gridCol w:w="256"/>
        <w:gridCol w:w="5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the structure of healthcare payment systems;</w:t>
            </w:r>
          </w:p>
        </w:tc>
      </w:tr>
    </w:tbl>
    <w:tbl>
      <w:tblPr>
        <w:tblW w:w="9141" w:type="dxa"/>
        <w:jc w:val="left"/>
        <w:tblInd w:w="0" w:type="dxa"/>
        <w:tblCellMar>
          <w:top w:w="28" w:type="dxa"/>
          <w:left w:w="28" w:type="dxa"/>
          <w:bottom w:w="28" w:type="dxa"/>
          <w:right w:w="28" w:type="dxa"/>
        </w:tblCellMar>
      </w:tblPr>
      <w:tblGrid>
        <w:gridCol w:w="124"/>
        <w:gridCol w:w="256"/>
        <w:gridCol w:w="87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share price and volume fluctuations attributable to inconsistent trading volume levels of our shares;</w:t>
            </w:r>
          </w:p>
        </w:tc>
      </w:tr>
    </w:tbl>
    <w:tbl>
      <w:tblPr>
        <w:tblW w:w="5721" w:type="dxa"/>
        <w:jc w:val="left"/>
        <w:tblInd w:w="0" w:type="dxa"/>
        <w:tblCellMar>
          <w:top w:w="28" w:type="dxa"/>
          <w:left w:w="28" w:type="dxa"/>
          <w:bottom w:w="28" w:type="dxa"/>
          <w:right w:w="28" w:type="dxa"/>
        </w:tblCellMar>
      </w:tblPr>
      <w:tblGrid>
        <w:gridCol w:w="124"/>
        <w:gridCol w:w="256"/>
        <w:gridCol w:w="5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announcement or expectation of additional financing efforts;</w:t>
            </w:r>
          </w:p>
        </w:tc>
      </w:tr>
    </w:tbl>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sales of our common stock by us, our insiders or our other stockholders; and</w:t>
            </w:r>
          </w:p>
        </w:tc>
      </w:tr>
    </w:tbl>
    <w:tbl>
      <w:tblPr>
        <w:tblW w:w="4911" w:type="dxa"/>
        <w:jc w:val="left"/>
        <w:tblInd w:w="0" w:type="dxa"/>
        <w:tblCellMar>
          <w:top w:w="28" w:type="dxa"/>
          <w:left w:w="28" w:type="dxa"/>
          <w:bottom w:w="28" w:type="dxa"/>
          <w:right w:w="28" w:type="dxa"/>
        </w:tblCellMar>
      </w:tblPr>
      <w:tblGrid>
        <w:gridCol w:w="124"/>
        <w:gridCol w:w="256"/>
        <w:gridCol w:w="4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general economic, industry and market conditions.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the trading prices for common stock of other biopharmaceutical companies have been highly volatile as a result of factors unrelated to the specific company or its technology, as well as due to the COVID-19 pandemic. The COVID-19 pandemic continues to rapidly evolve and the extent to which it may impact our business, nonclinical studies and clinical trials will depend on future developments, which are highly uncertain and cannot be predicted with confidence.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realization of any of the above risks or any of a broad range of other risks, including those described in this “Risk Factors” section, could have a dramatic and adverse impact on the market price of our common stock.</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securities or industry analysts do not publish research or reports, or if they publish adverse or misleading research or reports, regarding us, our business or our market, our stock price and trading volume could decline.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quarterly operating results may fluctuate significantly or may fall below the expectations of investors or securities analysts, each of which may cause our stock price to fluctuate or decline.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our operating results to be subject to quarterly fluctuations. Our net loss and other operating results will be affected by numerous factors,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variations in the level of expense related to the ongoing development of OP-1250 or future development programs;</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timing and status of enrollment for our clinical trials;</w:t>
            </w:r>
          </w:p>
        </w:tc>
      </w:tr>
    </w:tbl>
    <w:tbl>
      <w:tblPr>
        <w:tblW w:w="7701" w:type="dxa"/>
        <w:jc w:val="left"/>
        <w:tblInd w:w="0" w:type="dxa"/>
        <w:tblCellMar>
          <w:top w:w="28" w:type="dxa"/>
          <w:left w:w="28" w:type="dxa"/>
          <w:bottom w:w="28" w:type="dxa"/>
          <w:right w:w="28" w:type="dxa"/>
        </w:tblCellMar>
      </w:tblPr>
      <w:tblGrid>
        <w:gridCol w:w="124"/>
        <w:gridCol w:w="25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impacts from the COVID-19 pandemic on us or third parties with which we engage;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results of clinical trials, or the addition or termination of clinical trials or funding support by us or potential future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execution of any collaboration, licensing or similar arrangements, and the timing of payments we may make or receive under potential future arrangements or the termination or modification of any such potential future arrangements;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intellectual property infringement, misappropriation or violation lawsuit or opposition, interference or cancellation proceeding in which we may become involved;</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additions and departures of key personnel;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strategic decisions by us or our competitors, such as acquisitions, divestitures, spin-offs, joint ventures, strategic investments or changes in business strategy;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if OP-1250 or any future product candidate we may develop receive regulatory approval, the timing and terms of such approval and market acceptance and demand for such product candidates;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regulatory developments affecting OP-1250 or any future product candidate we may develop or those of our competitors; and</w:t>
            </w:r>
          </w:p>
        </w:tc>
      </w:tr>
    </w:tbl>
    <w:tbl>
      <w:tblPr>
        <w:tblW w:w="5106" w:type="dxa"/>
        <w:jc w:val="left"/>
        <w:tblInd w:w="0" w:type="dxa"/>
        <w:tblCellMar>
          <w:top w:w="28" w:type="dxa"/>
          <w:left w:w="28" w:type="dxa"/>
          <w:bottom w:w="28" w:type="dxa"/>
          <w:right w:w="28" w:type="dxa"/>
        </w:tblCellMar>
      </w:tblPr>
      <w:tblGrid>
        <w:gridCol w:w="124"/>
        <w:gridCol w:w="256"/>
        <w:gridCol w:w="47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changes in general market and economic conditions.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principal stockholders and management own a significant percentage of our stock and will be able to exert significant control over matters subject to stockholder approval.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Sales of a substantial number of shares of our common stock in the public market could cause our stock price to fall.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December 31, 2021, we had 40,337,046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Raising additional capital may cause dilution to our existing stockholders, restrict our operations or require us to relinquish rights to OP-1250 or future product candidates we may develop on unfavorable terms to us.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spacing w:before="0" w:after="120"/>
        <w:ind w:left="0" w:right="0" w:hanging="0"/>
        <w:jc w:val="both"/>
        <w:rPr>
          <w:rFonts w:ascii="Arial;Helvetica;sans-serif" w:hAnsi="Arial;Helvetica;sans-serif"/>
          <w:b/>
          <w:i/>
          <w:sz w:val="20"/>
        </w:rPr>
      </w:pPr>
      <w:r>
        <w:rPr>
          <w:rFonts w:ascii="Arial;Helvetica;sans-serif" w:hAnsi="Arial;Helvetica;sans-serif"/>
          <w:b/>
          <w:i/>
          <w:sz w:val="20"/>
        </w:rPr>
        <w:t>Effective December 31, 2021, we are no longer an “emerging growth company,” and the reduced reporting requirements applicable to “emerging growth companies” no longer apply, which increases our costs as a result of being a public company and places additional demands on management.</w:t>
      </w:r>
    </w:p>
    <w:p>
      <w:pPr>
        <w:pStyle w:val="TextBody"/>
        <w:spacing w:before="0" w:after="120"/>
        <w:ind w:left="0" w:right="0" w:hanging="0"/>
        <w:jc w:val="both"/>
        <w:rPr>
          <w:rFonts w:ascii="Arial;Helvetica;sans-serif" w:hAnsi="Arial;Helvetica;sans-serif"/>
          <w:sz w:val="20"/>
        </w:rPr>
      </w:pPr>
      <w:r>
        <w:rPr>
          <w:rFonts w:ascii="Arial;Helvetica;sans-serif" w:hAnsi="Arial;Helvetica;sans-serif"/>
          <w:sz w:val="20"/>
        </w:rPr>
        <w:t>Effective December 31, 2021, we are no longer classified as an “emerging growth company” as defined in the Jumpstart Our Business Startups Act, or the JOBS Act. As such, we will incur significant additional expenses that we did not previously incur in complying with the Sarbanes-Oxley Act and rules implemented by the SEC. Because we are no longer being classified as an “emerging growth company,” the cost of compliance with Section 404 has required, and will continue to require,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pStyle w:val="TextBody"/>
        <w:spacing w:before="0" w:after="120"/>
        <w:ind w:left="0" w:right="0" w:hanging="0"/>
        <w:jc w:val="both"/>
        <w:rPr>
          <w:rFonts w:ascii="Arial;Helvetica;sans-serif" w:hAnsi="Arial;Helvetica;sans-serif"/>
          <w:sz w:val="20"/>
        </w:rPr>
      </w:pPr>
      <w:r>
        <w:rPr>
          <w:rFonts w:ascii="Arial;Helvetica;sans-serif" w:hAnsi="Arial;Helvetica;sans-serif"/>
          <w:sz w:val="20"/>
        </w:rPr>
        <w:t>Furthermore, investor perceptions of our company may suffer if, in the future, material weaknesses are found, and this could cause a decline in the market price of our stock. Irrespective of compliance with Section 404, any failure of our internal control over financial reporting could have a material effect on our stated operating results. If we are unable to implement these changes effectively or efficiently, it could harm our operations, financial reporting or financial results and could result in an adverse opinion on internal control from our independent registered public accounting firm.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we have previously taken advantage of the JOBS Act’s reduced disclosure requirements applicable to “emerging growth companies” regarding executive compensation and exemptions from the requirements of holding advisory say-on-pay votes on executive compensation. Since we are no longer classified as an “emerging growth company,” we are no longer eligible for such reduced disclosure requirements and exemptions. As a result, we expect that because we are no longer classified as an “emerging growth company,” we will require additional attention from management with respect to our disclosures and will incur increased costs, which could include higher legal fees, accounting fees, consultant fees and fees associated with investor relations activities, among others.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The requirements of being a public company may strain our resources, result in more litigation and divert management’s attention.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For example, during August 2020, in connection with the preparation of our financial statements as of and for the years ended December 31, 2019 and 2018, we identified material weaknesses in our control over financial reporting. While we have remediated these material weaknesses and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We may be subject to securities litigation, which is expensive and could divert management attention.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pStyle w:val="TextBody"/>
        <w:spacing w:before="0" w:after="0"/>
        <w:ind w:left="0" w:right="0" w:hanging="0"/>
        <w:rPr>
          <w:rFonts w:ascii="Arial;Helvetica;sans-serif" w:hAnsi="Arial;Helvetica;sans-serif"/>
          <w:b/>
          <w:i/>
          <w:sz w:val="20"/>
        </w:rPr>
      </w:pPr>
      <w:r>
        <w:rPr>
          <w:rFonts w:ascii="Arial;Helvetica;sans-serif" w:hAnsi="Arial;Helvetica;sans-serif"/>
          <w:b/>
          <w:i/>
          <w:sz w:val="20"/>
        </w:rPr>
        <w:t>We do not currently intend to pay dividends on our common stock and, consequently, your ability to achieve a return on your investment will depend on appreciation of the value of our common stock.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tbl>
      <w:tblPr>
        <w:tblW w:w="9471" w:type="dxa"/>
        <w:jc w:val="left"/>
        <w:tblInd w:w="0" w:type="dxa"/>
        <w:tblCellMar>
          <w:top w:w="28" w:type="dxa"/>
          <w:left w:w="28" w:type="dxa"/>
          <w:bottom w:w="28" w:type="dxa"/>
          <w:right w:w="28" w:type="dxa"/>
        </w:tblCellMar>
      </w:tblPr>
      <w:tblGrid>
        <w:gridCol w:w="124"/>
        <w:gridCol w:w="256"/>
        <w:gridCol w:w="9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 a classified board of directors such that not all members of the board are elected at one time;</w:t>
            </w:r>
          </w:p>
        </w:tc>
      </w:tr>
    </w:tbl>
    <w:tbl>
      <w:tblPr>
        <w:tblW w:w="9396" w:type="dxa"/>
        <w:jc w:val="left"/>
        <w:tblInd w:w="0" w:type="dxa"/>
        <w:tblCellMar>
          <w:top w:w="28" w:type="dxa"/>
          <w:left w:w="28" w:type="dxa"/>
          <w:bottom w:w="28" w:type="dxa"/>
          <w:right w:w="28" w:type="dxa"/>
        </w:tblCellMar>
      </w:tblPr>
      <w:tblGrid>
        <w:gridCol w:w="124"/>
        <w:gridCol w:w="256"/>
        <w:gridCol w:w="9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1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allow the authorized number of our directors to be changed only by resolution of our board of directors;</w:t>
            </w:r>
          </w:p>
        </w:tc>
      </w:tr>
    </w:tbl>
    <w:tbl>
      <w:tblPr>
        <w:tblW w:w="7131" w:type="dxa"/>
        <w:jc w:val="left"/>
        <w:tblInd w:w="0" w:type="dxa"/>
        <w:tblCellMar>
          <w:top w:w="28" w:type="dxa"/>
          <w:left w:w="28" w:type="dxa"/>
          <w:bottom w:w="28" w:type="dxa"/>
          <w:right w:w="28" w:type="dxa"/>
        </w:tblCellMar>
      </w:tblPr>
      <w:tblGrid>
        <w:gridCol w:w="124"/>
        <w:gridCol w:w="256"/>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limit the manner in which stockholders can remove directors from the board;</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 advance notice requirements for stockholder proposals that can be acted on at stockholder meetings and nominations to our board of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require that stockholder actions must be effected at a duly called stockholder meeting and prohibit actions by our stockholders by written consent;</w:t>
            </w:r>
          </w:p>
        </w:tc>
      </w:tr>
    </w:tbl>
    <w:tbl>
      <w:tblPr>
        <w:tblW w:w="7101" w:type="dxa"/>
        <w:jc w:val="left"/>
        <w:tblInd w:w="0" w:type="dxa"/>
        <w:tblCellMar>
          <w:top w:w="28" w:type="dxa"/>
          <w:left w:w="28" w:type="dxa"/>
          <w:bottom w:w="28" w:type="dxa"/>
          <w:right w:w="28" w:type="dxa"/>
        </w:tblCellMar>
      </w:tblPr>
      <w:tblGrid>
        <w:gridCol w:w="124"/>
        <w:gridCol w:w="256"/>
        <w:gridCol w:w="6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prohibit our stockholders from calling a special meeting of our stockholders;</w:t>
            </w:r>
          </w:p>
        </w:tc>
      </w:tr>
    </w:tbl>
    <w:tbl>
      <w:tblPr>
        <w:tblW w:w="2811" w:type="dxa"/>
        <w:jc w:val="left"/>
        <w:tblInd w:w="0" w:type="dxa"/>
        <w:tblCellMar>
          <w:top w:w="28" w:type="dxa"/>
          <w:left w:w="28" w:type="dxa"/>
          <w:bottom w:w="28" w:type="dxa"/>
          <w:right w:w="28" w:type="dxa"/>
        </w:tblCellMar>
      </w:tblPr>
      <w:tblGrid>
        <w:gridCol w:w="124"/>
        <w:gridCol w:w="256"/>
        <w:gridCol w:w="24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prohibit cumulative voting;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Arial;Helvetica;sans-serif" w:hAnsi="Arial;Helvetica;sans-serif"/>
                <w:b w:val="false"/>
                <w:i w:val="false"/>
                <w:caps w:val="false"/>
                <w:smallCaps w:val="false"/>
                <w:color w:val="231F20"/>
                <w:sz w:val="20"/>
              </w:rPr>
              <w:t>require the approval of the holders of at least 66</w:t>
            </w:r>
            <w:r>
              <w:rPr>
                <w:rFonts w:ascii="Arial;Helvetica;sans-serif" w:hAnsi="Arial;Helvetica;sans-serif"/>
                <w:b w:val="false"/>
                <w:i w:val="false"/>
                <w:caps w:val="false"/>
                <w:smallCaps w:val="false"/>
                <w:color w:val="231F20"/>
                <w:sz w:val="11"/>
              </w:rPr>
              <w:t>2⁄3</w:t>
            </w:r>
            <w:r>
              <w:rPr>
                <w:rFonts w:ascii="Arial;Helvetica;sans-serif" w:hAnsi="Arial;Helvetica;sans-serif"/>
                <w:b w:val="false"/>
                <w:i w:val="false"/>
                <w:caps w:val="false"/>
                <w:smallCaps w:val="false"/>
                <w:color w:val="231F20"/>
                <w:sz w:val="20"/>
              </w:rPr>
              <w:t>% of the votes that all our stockholders would be entitled to cast to amend or repeal certain provisions of our amended and restated certificate of incorporations or amended and restated bylaws.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amended and restated certificate of incorporation provides that the Court of Chancery of the State of Delaware is the exclusive forum for the following types of actions or proceedings under Delaware statutory or common law:</w:t>
      </w:r>
    </w:p>
    <w:tbl>
      <w:tblPr>
        <w:tblW w:w="5511" w:type="dxa"/>
        <w:jc w:val="left"/>
        <w:tblInd w:w="0" w:type="dxa"/>
        <w:tblCellMar>
          <w:top w:w="28" w:type="dxa"/>
          <w:left w:w="28" w:type="dxa"/>
          <w:bottom w:w="28" w:type="dxa"/>
          <w:right w:w="28" w:type="dxa"/>
        </w:tblCellMar>
      </w:tblPr>
      <w:tblGrid>
        <w:gridCol w:w="124"/>
        <w:gridCol w:w="256"/>
        <w:gridCol w:w="51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derivative action or proceeding brought on our behalf;</w:t>
            </w:r>
          </w:p>
        </w:tc>
      </w:tr>
    </w:tbl>
    <w:tbl>
      <w:tblPr>
        <w:tblW w:w="5361" w:type="dxa"/>
        <w:jc w:val="left"/>
        <w:tblInd w:w="0" w:type="dxa"/>
        <w:tblCellMar>
          <w:top w:w="28" w:type="dxa"/>
          <w:left w:w="28" w:type="dxa"/>
          <w:bottom w:w="28" w:type="dxa"/>
          <w:right w:w="28" w:type="dxa"/>
        </w:tblCellMar>
      </w:tblPr>
      <w:tblGrid>
        <w:gridCol w:w="124"/>
        <w:gridCol w:w="256"/>
        <w:gridCol w:w="49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8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action asserting a claim of breach of fiduciary duty;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action asserting a claim against us arising under the DGCL, our amended and restated certificate of incorporation or our amended and restated bylaws;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any action asserting a claim against us that is governed by the internal-affairs doctrine or otherwise related to our internal affairs.</w:t>
            </w:r>
          </w:p>
        </w:tc>
      </w:tr>
    </w:tbl>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spacing w:before="0" w:after="240"/>
        <w:ind w:left="0" w:right="0" w:hanging="0"/>
        <w:jc w:val="both"/>
        <w:rPr>
          <w:rFonts w:ascii="Arial;Helvetica;sans-serif" w:hAnsi="Arial;Helvetica;sans-serif"/>
          <w:b/>
          <w:sz w:val="20"/>
        </w:rPr>
      </w:pPr>
      <w:bookmarkStart w:id="68" w:name="Item1BUnresolvedStaffComments_880672"/>
      <w:bookmarkStart w:id="69" w:name="_bee12338_16cf_4a7b_8169_e7264d9a3a62"/>
      <w:bookmarkEnd w:id="68"/>
      <w:bookmarkEnd w:id="69"/>
      <w:r>
        <w:rPr>
          <w:rFonts w:ascii="Arial;Helvetica;sans-serif" w:hAnsi="Arial;Helvetica;sans-serif"/>
          <w:b/>
          <w:sz w:val="20"/>
        </w:rPr>
        <w:t>Item 1B.   Unresolved Staff Comments.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jc w:val="both"/>
        <w:rPr>
          <w:rFonts w:ascii="Arial;Helvetica;sans-serif" w:hAnsi="Arial;Helvetica;sans-serif"/>
          <w:b/>
          <w:sz w:val="20"/>
        </w:rPr>
      </w:pPr>
      <w:bookmarkStart w:id="70" w:name="Item2Properties_585425"/>
      <w:bookmarkStart w:id="71" w:name="_6384a3b2_3bea_4ade_b840_fdedbc77eb2e"/>
      <w:bookmarkEnd w:id="70"/>
      <w:bookmarkEnd w:id="71"/>
      <w:r>
        <w:rPr>
          <w:rFonts w:ascii="Arial;Helvetica;sans-serif" w:hAnsi="Arial;Helvetica;sans-serif"/>
          <w:b/>
          <w:sz w:val="20"/>
        </w:rPr>
        <w:t>Item 2.      Properties.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corporate headquarters are located in San Francisco, California, where we lease approximately 15,000 square feet of office and laboratory space pursuant to lease agreements that expire between August 2022 and February 2026. We also lease a co-working space in Boston, Massachusetts. We believe that these existing facilities will be adequate for our near-term needs. If required, we believe that suitable additional or alternative space would be available in the future on commercially reasonable terms.</w:t>
      </w:r>
    </w:p>
    <w:p>
      <w:pPr>
        <w:pStyle w:val="TextBody"/>
        <w:spacing w:before="0" w:after="240"/>
        <w:ind w:left="0" w:right="0" w:hanging="0"/>
        <w:jc w:val="both"/>
        <w:rPr>
          <w:rFonts w:ascii="Arial;Helvetica;sans-serif" w:hAnsi="Arial;Helvetica;sans-serif"/>
          <w:b/>
          <w:sz w:val="20"/>
        </w:rPr>
      </w:pPr>
      <w:bookmarkStart w:id="72" w:name="Item3LegalProceedings_877218"/>
      <w:bookmarkStart w:id="73" w:name="_6d832be9_5d15_45d9_994b_c5247f75f139"/>
      <w:bookmarkEnd w:id="72"/>
      <w:bookmarkEnd w:id="73"/>
      <w:r>
        <w:rPr>
          <w:rFonts w:ascii="Arial;Helvetica;sans-serif" w:hAnsi="Arial;Helvetica;sans-serif"/>
          <w:b/>
          <w:sz w:val="20"/>
        </w:rPr>
        <w:t>Item 3.      Legal Proceedings.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spacing w:before="0" w:after="240"/>
        <w:ind w:left="0" w:right="0" w:hanging="0"/>
        <w:jc w:val="both"/>
        <w:rPr>
          <w:rFonts w:ascii="Arial;Helvetica;sans-serif" w:hAnsi="Arial;Helvetica;sans-serif"/>
          <w:b/>
          <w:sz w:val="20"/>
        </w:rPr>
      </w:pPr>
      <w:bookmarkStart w:id="74" w:name="Item4MineSafetyDisclosures_134638"/>
      <w:bookmarkStart w:id="75" w:name="_457ad297_16a5_4870_a753_6dbeb6e64e6b"/>
      <w:bookmarkEnd w:id="74"/>
      <w:bookmarkEnd w:id="75"/>
      <w:r>
        <w:rPr>
          <w:rFonts w:ascii="Arial;Helvetica;sans-serif" w:hAnsi="Arial;Helvetica;sans-serif"/>
          <w:b/>
          <w:sz w:val="20"/>
        </w:rPr>
        <w:t>Item 4.      Mine Safety Disclosures.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76" w:name="PARTII_307781"/>
      <w:bookmarkStart w:id="77" w:name="_83ade80e_77d3_4448_916b_5eb6dd1c8b4f"/>
      <w:bookmarkEnd w:id="76"/>
      <w:bookmarkEnd w:id="77"/>
      <w:r>
        <w:rPr>
          <w:rFonts w:ascii="Arial;Helvetica;sans-serif" w:hAnsi="Arial;Helvetica;sans-serif"/>
          <w:b/>
          <w:sz w:val="24"/>
        </w:rPr>
        <w:t>PART II</w:t>
      </w:r>
    </w:p>
    <w:p>
      <w:pPr>
        <w:pStyle w:val="TextBody"/>
        <w:spacing w:before="0" w:after="240"/>
        <w:ind w:left="0" w:right="0" w:hanging="0"/>
        <w:jc w:val="both"/>
        <w:rPr>
          <w:rFonts w:ascii="Arial;Helvetica;sans-serif" w:hAnsi="Arial;Helvetica;sans-serif"/>
          <w:b/>
          <w:sz w:val="20"/>
        </w:rPr>
      </w:pPr>
      <w:bookmarkStart w:id="78" w:name="Item5MarketforRegistrantsCommonEquity_48"/>
      <w:bookmarkEnd w:id="78"/>
      <w:r>
        <w:rPr>
          <w:rFonts w:ascii="Arial;Helvetica;sans-serif" w:hAnsi="Arial;Helvetica;sans-serif"/>
          <w:b/>
          <w:sz w:val="20"/>
        </w:rPr>
        <w:t>Item 5.      Market for Registrant’s Common Equity, Related Stockholder Matters and Issuer Purchases of Equity Securities. Market Information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common stock has been listed on the Nasdaq Global Select Market under the symbol “OLMA” since November 19, 2020. Prior to that date, there was no public trading market for our common stock.</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Holders of Record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the close of business on February 18, 2022, there were 40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Dividends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Securities Authorized for Issuance under Equity Compensation Plans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about our equity compensation plans is incorporated herein by reference to Item 12 of Part III of this Annual Report.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Recent Sales of Unregistered Securities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Issuer Purchases of Equity Securities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Use of Proceeds from our Public Offering of Common Stock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sale and issuance of 12,650,000 shares in the IPO closed on November 23, 2020 J.P. Morgan Securities LLC, Jefferies LLC and Cowen and Company, LLC acted as joint book-running managers for the offering.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has been no material change in the planned use of proceeds from the IPO from that described in the prospectus filed with the SEC pursuant to Rule 424(b)(4) under the Securities Act on November 19, 2020.</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jc w:val="both"/>
        <w:rPr>
          <w:rFonts w:ascii="Arial;Helvetica;sans-serif" w:hAnsi="Arial;Helvetica;sans-serif"/>
          <w:b/>
          <w:sz w:val="20"/>
        </w:rPr>
      </w:pPr>
      <w:bookmarkStart w:id="79" w:name="Item6Reserved_105312"/>
      <w:bookmarkStart w:id="80" w:name="_3e3f6f57_0cd9_481e_87dc_3799e1e2d304"/>
      <w:bookmarkEnd w:id="79"/>
      <w:bookmarkEnd w:id="80"/>
      <w:r>
        <w:rPr>
          <w:rFonts w:ascii="Arial;Helvetica;sans-serif" w:hAnsi="Arial;Helvetica;sans-serif"/>
          <w:b/>
          <w:sz w:val="20"/>
        </w:rPr>
        <w:t>Item 6.      Reserved.</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20"/>
        </w:rPr>
      </w:pPr>
      <w:bookmarkStart w:id="81" w:name="Item7ManagementsDiscussionandAnalysis_44"/>
      <w:bookmarkStart w:id="82" w:name="_df91196f_b797_4f87_8f2c_fa894adbdf09"/>
      <w:bookmarkEnd w:id="81"/>
      <w:bookmarkEnd w:id="82"/>
      <w:r>
        <w:rPr>
          <w:rFonts w:ascii="Arial;Helvetica;sans-serif" w:hAnsi="Arial;Helvetica;sans-serif"/>
          <w:b/>
          <w:sz w:val="20"/>
        </w:rPr>
        <w:t>Item 7.      Management’s Discussion and Analysis of Financial Condition and Results of Operations.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The following Management’s discussion and analysis (“MD&amp;A”) of our financial condition and results of operations should be read in conjunction with the consolidated financial statements and notes thereto included as part of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Overview</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ER-positive, or ER+, human epidermal growth factor receptor 2-negative, or HER2-, breast cancer. We reported initial data from the Phase 1 dose escalation portion of this trial in November 2021, which provide proof-of-concept for OP-1250 as a monotherapy treatment for ER+/HER2- breast cancer.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Through December 31, 2021, we had received aggregate gross proceeds of $392.7 million from sales of our common stock, convertible preferred stock, issuance of convertible promissory notes since our inception, stock option exercises, and sale of stock through the employee stock purchase plan (“ESPP”). As of December 31, 2021, we had $287.3 million in cash, cash equivalents and marketable securities. In January 2020, we received proceeds of $3.0 million from the issuance of convertible promissory notes, or the 2020 Notes. From March 2020 through June 2020, we issued 10,801,277 shares of our Series B convertible preferred stock at a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price of $4.712 per share for cash proceeds of $50.9 million, and 638,270 shares of our Series B convertible preferred stock upon conversion of the 2020 Notes (including accrued interest). In September 2020, we issued 7,904,135 shares of our Series C convertible preferred stock at a price of $11.063 per share for cash proceeds of $87.4 million. In November 2020, we completed the initial public offering of our common stock, in which we issued an aggregate of 12,650,000 shares of common stock, including 1,650,000 shares of common stock issued pursuant to the over-allotment option granted to the underwriters, at a price of $19.00 per share, for gross cash proceeds of $240.4 million, before underwriting discounts and commissions. We received approximately $220.6 million in net proceeds, after deducting underwriting discounts, commissions and offering expenses. Based on our current operating plan, we believe that our existing cash and cash equivalents will be sufficient to fund our planned operating expenses and capital expenditure requirements into 2024.</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have incurred significant operating losses since the commencement of our operations. Our net losses were $71.1 million, $22.1 million, and $4.3 million for the years ended December 31, 2021, 2020 and 2019, respectively, and we expect to incur significant and increasing losses for the foreseeable future as we continue to advance our product candidate, and as we continue to operate as a public company. Our net losses may fluctuate significantly from period to period, depending on the timing of expenditures on our research and development activities. As of December 31, 2021, we had an accumulated deficit of $104.2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our ongoing and planned research and development of our lead product candidate OP-1250 for the treatment of ER+ positive breast cancer;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initiate nonclinical studies and clinical trials for any additional product candidates that we may pursue in the future;</w:t>
            </w:r>
          </w:p>
        </w:tc>
      </w:tr>
    </w:tbl>
    <w:tbl>
      <w:tblPr>
        <w:tblW w:w="9831" w:type="dxa"/>
        <w:jc w:val="left"/>
        <w:tblInd w:w="0" w:type="dxa"/>
        <w:tblCellMar>
          <w:top w:w="28" w:type="dxa"/>
          <w:left w:w="28" w:type="dxa"/>
          <w:bottom w:w="28" w:type="dxa"/>
          <w:right w:w="28" w:type="dxa"/>
        </w:tblCellMar>
      </w:tblPr>
      <w:tblGrid>
        <w:gridCol w:w="124"/>
        <w:gridCol w:w="256"/>
        <w:gridCol w:w="9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4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to discover and develop additional product candidates and further expand our clinical product pipeline;</w:t>
            </w:r>
          </w:p>
        </w:tc>
      </w:tr>
    </w:tbl>
    <w:tbl>
      <w:tblPr>
        <w:tblW w:w="8736" w:type="dxa"/>
        <w:jc w:val="left"/>
        <w:tblInd w:w="0" w:type="dxa"/>
        <w:tblCellMar>
          <w:top w:w="28" w:type="dxa"/>
          <w:left w:w="28" w:type="dxa"/>
          <w:bottom w:w="28" w:type="dxa"/>
          <w:right w:w="28" w:type="dxa"/>
        </w:tblCellMar>
      </w:tblPr>
      <w:tblGrid>
        <w:gridCol w:w="124"/>
        <w:gridCol w:w="256"/>
        <w:gridCol w:w="8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3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seek regulatory approvals for any product candidates that successfully complete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continue to scale up external manufacturing capacity with the aim of securing sufficient quantities to meet our capacity requirements for clinical trials and potential commercialization;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 a sales, marketing and distribution infrastructure to commercialize any approved product candidates and related additional commercial manufacturing costs;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 maintain, expand, protect and enforce our intellectual property portfolio, including patents, trade secrets and know how;</w:t>
            </w:r>
          </w:p>
        </w:tc>
      </w:tr>
    </w:tbl>
    <w:tbl>
      <w:tblPr>
        <w:tblW w:w="6066" w:type="dxa"/>
        <w:jc w:val="left"/>
        <w:tblInd w:w="0" w:type="dxa"/>
        <w:tblCellMar>
          <w:top w:w="28" w:type="dxa"/>
          <w:left w:w="28" w:type="dxa"/>
          <w:bottom w:w="28" w:type="dxa"/>
          <w:right w:w="28" w:type="dxa"/>
        </w:tblCellMar>
      </w:tblPr>
      <w:tblGrid>
        <w:gridCol w:w="124"/>
        <w:gridCol w:w="256"/>
        <w:gridCol w:w="5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6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acquire or in-license other product candidates and technologies;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attract, hire and retain additional clinical, scientific, quality control, and manufacturing management and administrative personnel;</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add clinical, operational, financial and management information systems and personnel, including personnel to support our product development and planned future commercialization efforts;</w:t>
            </w:r>
          </w:p>
        </w:tc>
      </w:tr>
    </w:tbl>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expand our operations in the United States and to other geographies;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incur additional legal, accounting, investor relations and other expenses associated with operating as a public company.</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COVID-19 pandemic continues to rapidly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The extent of the impact of the COVID-19 pandemic on our business, operations and development timelines and plans remains uncertain, and will depend on certain developments, including the duration of the outbreak and its impact on our development activities, planned clinical trial enrollment, future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many of our employees working remotely. We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During 2021, although we modified our operations and practices due to the COVID-19 pandemic and to comply with federal, state and local requirements, our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and may close its offices again in the future as the COVID-19 pandemic continues to evolve. The extent to which the COVID-19 pandemic may affect our business, operations and development timelines and plans in the future, including the resulting impact on our expenditures and capital needs, remains uncertain.</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Components of our results of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Revenue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To date, we have not generated any revenue from product sales and do not expect to generate any revenue from the sale of products for the foreseeable future.</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Operating expenses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Research and development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External expenses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incurred in connection with the discovery and nonclinical development of our product candidates, including under agreements with third parties, such as consultants and CROs;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manufacturing products for use in our nonclinical studies and clinical trials, including payments to CMOs and consultants;</w:t>
            </w:r>
          </w:p>
        </w:tc>
      </w:tr>
    </w:tbl>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funding research performed by third parties;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of purchasing lab supplies and non-capital equipment used in designing, developing and manufacturing nonclinical study and clinical trial materials;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costs associated with consultants for chemistry, manufacturing and controls development, regulatory, statistics and other services;</w:t>
            </w:r>
          </w:p>
        </w:tc>
      </w:tr>
    </w:tbl>
    <w:tbl>
      <w:tblPr>
        <w:tblW w:w="8616" w:type="dxa"/>
        <w:jc w:val="left"/>
        <w:tblInd w:w="0" w:type="dxa"/>
        <w:tblCellMar>
          <w:top w:w="28" w:type="dxa"/>
          <w:left w:w="28" w:type="dxa"/>
          <w:bottom w:w="28" w:type="dxa"/>
          <w:right w:w="28" w:type="dxa"/>
        </w:tblCellMar>
      </w:tblPr>
      <w:tblGrid>
        <w:gridCol w:w="124"/>
        <w:gridCol w:w="25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2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expenses related to regulatory activities, including filing fees paid to regulatory agencies; and</w:t>
            </w:r>
          </w:p>
        </w:tc>
      </w:tr>
    </w:tbl>
    <w:tbl>
      <w:tblPr>
        <w:tblW w:w="6531" w:type="dxa"/>
        <w:jc w:val="left"/>
        <w:tblInd w:w="0" w:type="dxa"/>
        <w:tblCellMar>
          <w:top w:w="28" w:type="dxa"/>
          <w:left w:w="28" w:type="dxa"/>
          <w:bottom w:w="28" w:type="dxa"/>
          <w:right w:w="28" w:type="dxa"/>
        </w:tblCellMar>
      </w:tblPr>
      <w:tblGrid>
        <w:gridCol w:w="124"/>
        <w:gridCol w:w="256"/>
        <w:gridCol w:w="61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1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facility costs including rent, depreciation and maintenance expenses.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Internal expenses include employee and personnel-related costs and expenses, including salaries, benefits and stock-based compensation expense for employees and personnel engaged in research and development functions.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to advance the development of our lead product candidate and nonclinical program were $51.1 million, $13.7 million and $3.9 million for the years ended December 31, 2021, 2020 and 2019, respectively.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tbl>
      <w:tblPr>
        <w:tblW w:w="6876" w:type="dxa"/>
        <w:jc w:val="left"/>
        <w:tblInd w:w="0" w:type="dxa"/>
        <w:tblCellMar>
          <w:top w:w="28" w:type="dxa"/>
          <w:left w:w="28" w:type="dxa"/>
          <w:bottom w:w="28" w:type="dxa"/>
          <w:right w:w="28" w:type="dxa"/>
        </w:tblCellMar>
      </w:tblPr>
      <w:tblGrid>
        <w:gridCol w:w="124"/>
        <w:gridCol w:w="256"/>
        <w:gridCol w:w="6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4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and progress of nonclinical and clinical development activities;</w:t>
            </w:r>
          </w:p>
        </w:tc>
      </w:tr>
    </w:tbl>
    <w:tbl>
      <w:tblPr>
        <w:tblW w:w="7431" w:type="dxa"/>
        <w:jc w:val="left"/>
        <w:tblInd w:w="0" w:type="dxa"/>
        <w:tblCellMar>
          <w:top w:w="28" w:type="dxa"/>
          <w:left w:w="28" w:type="dxa"/>
          <w:bottom w:w="28" w:type="dxa"/>
          <w:right w:w="28" w:type="dxa"/>
        </w:tblCellMar>
      </w:tblPr>
      <w:tblGrid>
        <w:gridCol w:w="124"/>
        <w:gridCol w:w="256"/>
        <w:gridCol w:w="7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0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number and scope of nonclinical and clinical programs we decide to pursue;</w:t>
            </w:r>
          </w:p>
        </w:tc>
      </w:tr>
    </w:tbl>
    <w:tbl>
      <w:tblPr>
        <w:tblW w:w="8991" w:type="dxa"/>
        <w:jc w:val="left"/>
        <w:tblInd w:w="0" w:type="dxa"/>
        <w:tblCellMar>
          <w:top w:w="28" w:type="dxa"/>
          <w:left w:w="28" w:type="dxa"/>
          <w:bottom w:w="28" w:type="dxa"/>
          <w:right w:w="28" w:type="dxa"/>
        </w:tblCellMar>
      </w:tblPr>
      <w:tblGrid>
        <w:gridCol w:w="124"/>
        <w:gridCol w:w="256"/>
        <w:gridCol w:w="86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1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maintain our current research and development programs and to establish new ones;</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an appropriate safety profile with investigational new drug-enabling toxicology studies;</w:t>
            </w:r>
          </w:p>
        </w:tc>
      </w:tr>
    </w:tbl>
    <w:tbl>
      <w:tblPr>
        <w:tblW w:w="7701" w:type="dxa"/>
        <w:jc w:val="left"/>
        <w:tblInd w:w="0" w:type="dxa"/>
        <w:tblCellMar>
          <w:top w:w="28" w:type="dxa"/>
          <w:left w:w="28" w:type="dxa"/>
          <w:bottom w:w="28" w:type="dxa"/>
          <w:right w:w="28" w:type="dxa"/>
        </w:tblCellMar>
      </w:tblPr>
      <w:tblGrid>
        <w:gridCol w:w="124"/>
        <w:gridCol w:w="25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32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successful patient enrollment in, and the initiation and completion of, clinical trials;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successful completion of clinical trials with safety, tolerability and efficacy profiles that are satisfactory to the FDA or any comparable foreign regulatory authority;</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43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establishing commercial manufacturing capabilities or making arrangements with third-party manufacturers;</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receipt of regulatory approvals from applicable regulatory authorities;</w:t>
            </w:r>
          </w:p>
        </w:tc>
      </w:tr>
    </w:tbl>
    <w:tbl>
      <w:tblPr>
        <w:tblW w:w="8751" w:type="dxa"/>
        <w:jc w:val="left"/>
        <w:tblInd w:w="0" w:type="dxa"/>
        <w:tblCellMar>
          <w:top w:w="28" w:type="dxa"/>
          <w:left w:w="28" w:type="dxa"/>
          <w:bottom w:w="28" w:type="dxa"/>
          <w:right w:w="28" w:type="dxa"/>
        </w:tblCellMar>
      </w:tblPr>
      <w:tblGrid>
        <w:gridCol w:w="124"/>
        <w:gridCol w:w="256"/>
        <w:gridCol w:w="8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37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timing, receipt and terms of any marketing approvals from applicable regulatory authorities;</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licensing or collaboration arrangements;</w:t>
            </w:r>
          </w:p>
        </w:tc>
      </w:tr>
    </w:tbl>
    <w:tbl>
      <w:tblPr>
        <w:tblW w:w="4881" w:type="dxa"/>
        <w:jc w:val="left"/>
        <w:tblInd w:w="0" w:type="dxa"/>
        <w:tblCellMar>
          <w:top w:w="28" w:type="dxa"/>
          <w:left w:w="28" w:type="dxa"/>
          <w:bottom w:w="28" w:type="dxa"/>
          <w:right w:w="28" w:type="dxa"/>
        </w:tblCellMar>
      </w:tblPr>
      <w:tblGrid>
        <w:gridCol w:w="124"/>
        <w:gridCol w:w="256"/>
        <w:gridCol w:w="4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450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performance of our future collaborators, if any;</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development and timely delivery of commercial-grade product formulations that can be used in our planned clinical trials and for commercial launch;</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commercializing the product candidate, if approved, whether alone or in collaboration with others;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maintaining patent and trade secret protection and regulatory exclusivity for our product candidates;</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maintaining, defending and enforcing patent claims and other intellectual property rights;</w:t>
            </w:r>
          </w:p>
        </w:tc>
      </w:tr>
    </w:tbl>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maintaining a continued acceptable safety profiles of our products following approval; and</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obtaining and retaining key research and development personnel.</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changes in the outcome of any of these factors could significantly impact the costs, timing and viability associated with the development of our product candidates.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General and administrative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benefits and stock-based compensation expense, for personnel in executive, finance, accounting, business development, legal, human resource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ongoing consolidated financial statement audit and interim-period quarterly reviews, internal control over financial reporting compliance and audit,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Total other income (expense), net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Interest income, interest expense and other expense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Total other income (expense), net consists of interest income, interest expense, and other expense. Interest income primarily consists of interest income on our cash equivalents and marketable securities. Interest expense primarily consisted of interest on our convertible promissory notes, and a non-cash interest charge related to a beneficial conversion feature on a convertible note that was issued in January 2020. Other expense consists of miscellaneous expenses not related to operating activities.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Results of operations</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val="false"/>
          <w:i/>
          <w:sz w:val="20"/>
        </w:rPr>
        <w:t>Comparison</w:t>
      </w:r>
      <w:r>
        <w:rPr>
          <w:rFonts w:ascii="Arial;Helvetica;sans-serif" w:hAnsi="Arial;Helvetica;sans-serif"/>
          <w:b/>
          <w:i/>
          <w:sz w:val="20"/>
        </w:rPr>
        <w:t xml:space="preserve"> </w:t>
      </w:r>
      <w:r>
        <w:rPr>
          <w:rFonts w:ascii="Arial;Helvetica;sans-serif" w:hAnsi="Arial;Helvetica;sans-serif"/>
          <w:b w:val="false"/>
          <w:i/>
          <w:sz w:val="20"/>
        </w:rPr>
        <w:t>of the years ended December 31, 2021 and 2020</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years ended December 31, 2021 and 2020:</w:t>
      </w:r>
    </w:p>
    <w:tbl>
      <w:tblPr>
        <w:tblW w:w="6957" w:type="dxa"/>
        <w:jc w:val="left"/>
        <w:tblInd w:w="0" w:type="dxa"/>
        <w:tblCellMar>
          <w:top w:w="0" w:type="dxa"/>
          <w:left w:w="0" w:type="dxa"/>
          <w:bottom w:w="0" w:type="dxa"/>
          <w:right w:w="0" w:type="dxa"/>
        </w:tblCellMar>
      </w:tblPr>
      <w:tblGrid>
        <w:gridCol w:w="3046"/>
        <w:gridCol w:w="109"/>
        <w:gridCol w:w="326"/>
        <w:gridCol w:w="833"/>
        <w:gridCol w:w="354"/>
        <w:gridCol w:w="229"/>
        <w:gridCol w:w="833"/>
        <w:gridCol w:w="326"/>
        <w:gridCol w:w="901"/>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934210" cy="175260"/>
                      <wp:effectExtent l="0" t="0" r="0" b="0"/>
                      <wp:wrapNone/>
                      <wp:docPr id="44" name="Frame12"/>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45" name="Frame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46"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8955" cy="175260"/>
                      <wp:effectExtent l="0" t="0" r="0" b="0"/>
                      <wp:wrapNone/>
                      <wp:docPr id="47" name="Frame15"/>
                      <a:graphic xmlns:a="http://schemas.openxmlformats.org/drawingml/2006/main">
                        <a:graphicData uri="http://schemas.microsoft.com/office/word/2010/wordprocessingShape">
                          <wps:wsp>
                            <wps:cNvSpPr txBox="1"/>
                            <wps:spPr>
                              <a:xfrm>
                                <a:off x="0" y="0"/>
                                <a:ext cx="528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4790" cy="175260"/>
                      <wp:effectExtent l="0" t="0" r="0" b="0"/>
                      <wp:wrapNone/>
                      <wp:docPr id="48" name="Frame16"/>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5415" cy="175260"/>
                      <wp:effectExtent l="0" t="0" r="0" b="0"/>
                      <wp:wrapNone/>
                      <wp:docPr id="49" name="Frame17"/>
                      <a:graphic xmlns:a="http://schemas.openxmlformats.org/drawingml/2006/main">
                        <a:graphicData uri="http://schemas.microsoft.com/office/word/2010/wordprocessingShape">
                          <wps:wsp>
                            <wps:cNvSpPr txBox="1"/>
                            <wps:spPr>
                              <a:xfrm>
                                <a:off x="0" y="0"/>
                                <a:ext cx="1454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8955" cy="175260"/>
                      <wp:effectExtent l="0" t="0" r="0" b="0"/>
                      <wp:wrapNone/>
                      <wp:docPr id="50" name="Frame18"/>
                      <a:graphic xmlns:a="http://schemas.openxmlformats.org/drawingml/2006/main">
                        <a:graphicData uri="http://schemas.microsoft.com/office/word/2010/wordprocessingShape">
                          <wps:wsp>
                            <wps:cNvSpPr txBox="1"/>
                            <wps:spPr>
                              <a:xfrm>
                                <a:off x="0" y="0"/>
                                <a:ext cx="528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51"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72135" cy="175260"/>
                      <wp:effectExtent l="0" t="0" r="0" b="0"/>
                      <wp:wrapNone/>
                      <wp:docPr id="52" name="Frame2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249" w:type="dxa"/>
            <w:gridSpan w:val="4"/>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Years Ended December 31, </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90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30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3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54"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10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30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476" w:type="dxa"/>
            <w:gridSpan w:val="6"/>
            <w:tcBorders/>
            <w:shd w:fill="auto" w:val="clear"/>
            <w:vAlign w:val="center"/>
          </w:tcPr>
          <w:p>
            <w:pPr>
              <w:pStyle w:val="TableContents"/>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0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expenses:</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33" w:type="dxa"/>
            <w:tcBorders/>
            <w:shd w:fill="CCEEFF" w:val="clear"/>
            <w:vAlign w:val="center"/>
          </w:tcPr>
          <w:p>
            <w:pPr>
              <w:pStyle w:val="TableContents"/>
              <w:spacing w:before="0" w:after="1"/>
              <w:ind w:left="0" w:right="0" w:hanging="0"/>
              <w:jc w:val="right"/>
              <w:rPr/>
            </w:pPr>
            <w:r>
              <w:rPr/>
              <w:t>  </w:t>
            </w:r>
          </w:p>
        </w:tc>
        <w:tc>
          <w:tcPr>
            <w:tcW w:w="354" w:type="dxa"/>
            <w:tcBorders/>
            <w:shd w:fill="CCEEFF" w:val="clear"/>
            <w:vAlign w:val="center"/>
          </w:tcPr>
          <w:p>
            <w:pPr>
              <w:pStyle w:val="TableContents"/>
              <w:spacing w:before="0" w:after="1"/>
              <w:ind w:left="0" w:right="0" w:hanging="0"/>
              <w:rPr/>
            </w:pPr>
            <w:r>
              <w:rPr/>
              <w:t>​</w:t>
            </w:r>
          </w:p>
        </w:tc>
        <w:tc>
          <w:tcPr>
            <w:tcW w:w="229" w:type="dxa"/>
            <w:tcBorders/>
            <w:shd w:fill="CCEEFF" w:val="clear"/>
            <w:vAlign w:val="center"/>
          </w:tcPr>
          <w:p>
            <w:pPr>
              <w:pStyle w:val="TableContents"/>
              <w:spacing w:before="0" w:after="1"/>
              <w:ind w:left="0" w:right="0" w:hanging="0"/>
              <w:rPr/>
            </w:pPr>
            <w:r>
              <w:rPr/>
              <w:t>​</w:t>
            </w:r>
          </w:p>
        </w:tc>
        <w:tc>
          <w:tcPr>
            <w:tcW w:w="833"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30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and development</w:t>
            </w:r>
          </w:p>
        </w:tc>
        <w:tc>
          <w:tcPr>
            <w:tcW w:w="10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3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51,100</w:t>
            </w:r>
          </w:p>
        </w:tc>
        <w:tc>
          <w:tcPr>
            <w:tcW w:w="354" w:type="dxa"/>
            <w:tcBorders/>
            <w:shd w:fill="auto" w:val="clear"/>
            <w:vAlign w:val="center"/>
          </w:tcPr>
          <w:p>
            <w:pPr>
              <w:pStyle w:val="TableContents"/>
              <w:spacing w:before="0" w:after="1"/>
              <w:ind w:left="0" w:right="0" w:hanging="0"/>
              <w:rPr/>
            </w:pPr>
            <w:r>
              <w:rPr/>
              <w:t>​</w:t>
            </w:r>
          </w:p>
        </w:tc>
        <w:tc>
          <w:tcPr>
            <w:tcW w:w="22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3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13,704</w:t>
            </w:r>
          </w:p>
        </w:tc>
        <w:tc>
          <w:tcPr>
            <w:tcW w:w="32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37,396</w:t>
            </w:r>
          </w:p>
        </w:tc>
      </w:tr>
      <w:tr>
        <w:trPr/>
        <w:tc>
          <w:tcPr>
            <w:tcW w:w="30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General and administrative</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20,391</w:t>
            </w:r>
          </w:p>
        </w:tc>
        <w:tc>
          <w:tcPr>
            <w:tcW w:w="35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7,824</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12,567</w:t>
            </w:r>
          </w:p>
        </w:tc>
      </w:tr>
      <w:tr>
        <w:trPr/>
        <w:tc>
          <w:tcPr>
            <w:tcW w:w="30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operating expenses</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71,491</w:t>
            </w:r>
          </w:p>
        </w:tc>
        <w:tc>
          <w:tcPr>
            <w:tcW w:w="3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2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8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21,528</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49,963</w:t>
            </w:r>
          </w:p>
        </w:tc>
      </w:tr>
      <w:tr>
        <w:trPr/>
        <w:tc>
          <w:tcPr>
            <w:tcW w:w="30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Loss from operations</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(71,491)</w:t>
            </w:r>
          </w:p>
        </w:tc>
        <w:tc>
          <w:tcPr>
            <w:tcW w:w="35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(21,528)</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(49,963)</w:t>
            </w:r>
          </w:p>
        </w:tc>
      </w:tr>
      <w:tr>
        <w:trPr/>
        <w:tc>
          <w:tcPr>
            <w:tcW w:w="30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income (expense), net: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33" w:type="dxa"/>
            <w:tcBorders/>
            <w:shd w:fill="auto" w:val="clear"/>
            <w:vAlign w:val="center"/>
          </w:tcPr>
          <w:p>
            <w:pPr>
              <w:pStyle w:val="TableContents"/>
              <w:spacing w:before="0" w:after="1"/>
              <w:ind w:left="0" w:right="0" w:hanging="0"/>
              <w:rPr/>
            </w:pPr>
            <w:r>
              <w:rPr/>
              <w:t>  </w:t>
            </w:r>
          </w:p>
        </w:tc>
        <w:tc>
          <w:tcPr>
            <w:tcW w:w="354" w:type="dxa"/>
            <w:tcBorders/>
            <w:shd w:fill="auto" w:val="clear"/>
            <w:vAlign w:val="center"/>
          </w:tcPr>
          <w:p>
            <w:pPr>
              <w:pStyle w:val="TableContents"/>
              <w:spacing w:before="0" w:after="1"/>
              <w:ind w:left="0" w:right="0" w:hanging="0"/>
              <w:rPr/>
            </w:pPr>
            <w:r>
              <w:rPr/>
              <w:t>​</w:t>
            </w:r>
          </w:p>
        </w:tc>
        <w:tc>
          <w:tcPr>
            <w:tcW w:w="229" w:type="dxa"/>
            <w:tcBorders/>
            <w:shd w:fill="auto" w:val="clear"/>
            <w:vAlign w:val="center"/>
          </w:tcPr>
          <w:p>
            <w:pPr>
              <w:pStyle w:val="TableContents"/>
              <w:spacing w:before="0" w:after="1"/>
              <w:ind w:left="0" w:right="0" w:hanging="0"/>
              <w:jc w:val="right"/>
              <w:rPr/>
            </w:pPr>
            <w:r>
              <w:rPr/>
              <w:t> </w:t>
            </w:r>
          </w:p>
        </w:tc>
        <w:tc>
          <w:tcPr>
            <w:tcW w:w="833"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rPr/>
            </w:pPr>
            <w:r>
              <w:rPr/>
              <w:t>​</w:t>
            </w:r>
          </w:p>
        </w:tc>
      </w:tr>
      <w:tr>
        <w:trPr/>
        <w:tc>
          <w:tcPr>
            <w:tcW w:w="30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income</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83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442</w:t>
            </w:r>
          </w:p>
        </w:tc>
        <w:tc>
          <w:tcPr>
            <w:tcW w:w="354" w:type="dxa"/>
            <w:tcBorders/>
            <w:shd w:fill="CCEEFF" w:val="clear"/>
            <w:vAlign w:val="center"/>
          </w:tcPr>
          <w:p>
            <w:pPr>
              <w:pStyle w:val="TableContents"/>
              <w:spacing w:before="0" w:after="1"/>
              <w:ind w:left="0" w:right="0" w:hanging="0"/>
              <w:rPr/>
            </w:pPr>
            <w:r>
              <w:rPr/>
              <w:t>​</w:t>
            </w:r>
          </w:p>
        </w:tc>
        <w:tc>
          <w:tcPr>
            <w:tcW w:w="229" w:type="dxa"/>
            <w:tcBorders/>
            <w:shd w:fill="CCEEFF" w:val="clear"/>
            <w:vAlign w:val="center"/>
          </w:tcPr>
          <w:p>
            <w:pPr>
              <w:pStyle w:val="TableContents"/>
              <w:spacing w:before="0" w:after="1"/>
              <w:ind w:left="0" w:right="0" w:hanging="0"/>
              <w:jc w:val="right"/>
              <w:rPr/>
            </w:pPr>
            <w:r>
              <w:rPr/>
              <w:t> </w:t>
            </w:r>
          </w:p>
        </w:tc>
        <w:tc>
          <w:tcPr>
            <w:tcW w:w="83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shd w:fill="CCEEFF" w:val="clear"/>
            <w:vAlign w:val="center"/>
          </w:tcPr>
          <w:p>
            <w:pPr>
              <w:pStyle w:val="TableContents"/>
              <w:spacing w:before="0" w:after="1"/>
              <w:ind w:left="0" w:right="0" w:hanging="0"/>
              <w:jc w:val="right"/>
              <w:rPr/>
            </w:pPr>
            <w:r>
              <w:rPr/>
              <w:t> </w:t>
            </w:r>
          </w:p>
        </w:tc>
        <w:tc>
          <w:tcPr>
            <w:tcW w:w="9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382</w:t>
            </w:r>
          </w:p>
        </w:tc>
      </w:tr>
      <w:tr>
        <w:trPr/>
        <w:tc>
          <w:tcPr>
            <w:tcW w:w="30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expense</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33" w:type="dxa"/>
            <w:tcBorders/>
            <w:shd w:fill="auto" w:val="clear"/>
            <w:vAlign w:val="center"/>
          </w:tcPr>
          <w:p>
            <w:pPr>
              <w:pStyle w:val="TableContents"/>
              <w:spacing w:before="0" w:after="1"/>
              <w:ind w:left="0" w:right="0" w:hanging="0"/>
              <w:jc w:val="right"/>
              <w:rPr/>
            </w:pPr>
            <w:r>
              <w:rPr/>
              <w:t>—</w:t>
            </w:r>
          </w:p>
        </w:tc>
        <w:tc>
          <w:tcPr>
            <w:tcW w:w="354" w:type="dxa"/>
            <w:tcBorders/>
            <w:shd w:fill="auto" w:val="clear"/>
            <w:vAlign w:val="center"/>
          </w:tcPr>
          <w:p>
            <w:pPr>
              <w:pStyle w:val="TableContents"/>
              <w:spacing w:before="0" w:after="1"/>
              <w:ind w:left="0" w:right="0" w:hanging="0"/>
              <w:rPr/>
            </w:pPr>
            <w:r>
              <w:rPr/>
              <w:t>​</w:t>
            </w:r>
          </w:p>
        </w:tc>
        <w:tc>
          <w:tcPr>
            <w:tcW w:w="229" w:type="dxa"/>
            <w:tcBorders/>
            <w:shd w:fill="auto" w:val="clear"/>
            <w:vAlign w:val="center"/>
          </w:tcPr>
          <w:p>
            <w:pPr>
              <w:pStyle w:val="TableContents"/>
              <w:spacing w:before="0" w:after="1"/>
              <w:ind w:left="0" w:right="0" w:hanging="0"/>
              <w:jc w:val="right"/>
              <w:rPr/>
            </w:pPr>
            <w:r>
              <w:rPr/>
              <w:t> </w:t>
            </w:r>
          </w:p>
        </w:tc>
        <w:tc>
          <w:tcPr>
            <w:tcW w:w="83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(653)</w:t>
            </w:r>
          </w:p>
        </w:tc>
        <w:tc>
          <w:tcPr>
            <w:tcW w:w="326" w:type="dxa"/>
            <w:tcBorders/>
            <w:shd w:fill="auto" w:val="clear"/>
            <w:vAlign w:val="center"/>
          </w:tcPr>
          <w:p>
            <w:pPr>
              <w:pStyle w:val="TableContents"/>
              <w:spacing w:before="0" w:after="1"/>
              <w:ind w:left="0" w:right="0" w:hanging="0"/>
              <w:jc w:val="right"/>
              <w:rPr/>
            </w:pPr>
            <w:r>
              <w:rPr/>
              <w:t> </w:t>
            </w:r>
          </w:p>
        </w:tc>
        <w:tc>
          <w:tcPr>
            <w:tcW w:w="9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653</w:t>
            </w:r>
          </w:p>
        </w:tc>
      </w:tr>
      <w:tr>
        <w:trPr/>
        <w:tc>
          <w:tcPr>
            <w:tcW w:w="30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expense</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35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83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(47)</w:t>
            </w:r>
          </w:p>
        </w:tc>
      </w:tr>
      <w:tr>
        <w:trPr/>
        <w:tc>
          <w:tcPr>
            <w:tcW w:w="30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other income (expense), net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395</w:t>
            </w:r>
          </w:p>
        </w:tc>
        <w:tc>
          <w:tcPr>
            <w:tcW w:w="3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2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8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(593)</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988</w:t>
            </w:r>
          </w:p>
        </w:tc>
      </w:tr>
      <w:tr>
        <w:trPr/>
        <w:tc>
          <w:tcPr>
            <w:tcW w:w="3046"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w:t>
            </w:r>
          </w:p>
        </w:tc>
        <w:tc>
          <w:tcPr>
            <w:tcW w:w="109"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3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(71,096)</w:t>
            </w:r>
          </w:p>
        </w:tc>
        <w:tc>
          <w:tcPr>
            <w:tcW w:w="354"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22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3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(22,121)</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(48,975)</w:t>
            </w:r>
          </w:p>
        </w:tc>
      </w:tr>
    </w:tbl>
    <w:p>
      <w:pPr>
        <w:pStyle w:val="TextBody"/>
        <w:spacing w:before="0" w:after="240"/>
        <w:ind w:left="0" w:right="0" w:hanging="0"/>
        <w:jc w:val="both"/>
        <w:rPr/>
      </w:pPr>
      <w:r>
        <w:rPr/>
        <w: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Research and development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for the year ended December 31, 2021 were $51.1 million, compared to $13.7 million for the year ended December 31, 2020. The increase of $37.4 million was primarily due to increased spending in (i) advancing the clinical study for our lead product candidate OP-1250 and the associated contract manufacturing costs, (ii) nonclinical research and discovery program costs, and (iii) personnel-related costs due to increased headcount, and an increase in non-cash stock-based compensation of $7.4 million recognized during the year ended December 31, 2021.</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General and administrative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General and administrative expenses for the year ended December 31, 2021 were $20.4 million compared to $7.8 million for the year ended December 31, 2020. The increase of $12.6 million was primarily due to increased spending in (i) personnel-related costs due to higher headcount, (ii) public company-related expenses, and (iii) other corporate costs and an increase in non-cash stock-based compensation expenses of $5.5 million recognized during the year ended December 31, 2021.</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Other income (expense), net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Other income (expense), net for the year ended December 31, 2021 was $0.4 million, compared to $0.6 million expense for the year ended December 31, 2020. The increase of $1.0 million was primarily due to non-cash interest charge incurred in connection with convertible notes issued in January 2020 that was not repeated in 2021, and an increase in interest income from our marketable securities in the year ended December 31, 2021.</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val="false"/>
          <w:i/>
          <w:sz w:val="20"/>
        </w:rPr>
      </w:pPr>
      <w:r>
        <w:rPr>
          <w:rFonts w:ascii="Arial;Helvetica;sans-serif" w:hAnsi="Arial;Helvetica;sans-serif"/>
          <w:b w:val="false"/>
          <w:i/>
          <w:sz w:val="20"/>
        </w:rPr>
        <w:t>Comparison of the years ended December 31, 2020 and 2019</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following table summarizes our results of operations for the years ended December 31, 2020 and 2019:</w:t>
      </w:r>
    </w:p>
    <w:p>
      <w:pPr>
        <w:pStyle w:val="TextBody"/>
        <w:spacing w:before="0" w:after="240"/>
        <w:ind w:left="0" w:right="0" w:hanging="0"/>
        <w:jc w:val="both"/>
        <w:rPr/>
      </w:pPr>
      <w:r>
        <w:rPr/>
        <w:t>​</w:t>
      </w:r>
    </w:p>
    <w:tbl>
      <w:tblPr>
        <w:tblW w:w="7030" w:type="dxa"/>
        <w:jc w:val="left"/>
        <w:tblInd w:w="0" w:type="dxa"/>
        <w:tblCellMar>
          <w:top w:w="0" w:type="dxa"/>
          <w:left w:w="0" w:type="dxa"/>
          <w:bottom w:w="0" w:type="dxa"/>
          <w:right w:w="0" w:type="dxa"/>
        </w:tblCellMar>
      </w:tblPr>
      <w:tblGrid>
        <w:gridCol w:w="3046"/>
        <w:gridCol w:w="326"/>
        <w:gridCol w:w="211"/>
        <w:gridCol w:w="811"/>
        <w:gridCol w:w="326"/>
        <w:gridCol w:w="211"/>
        <w:gridCol w:w="706"/>
        <w:gridCol w:w="326"/>
        <w:gridCol w:w="211"/>
        <w:gridCol w:w="856"/>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934210" cy="175260"/>
                      <wp:effectExtent l="0" t="0" r="0" b="0"/>
                      <wp:wrapNone/>
                      <wp:docPr id="53" name="Frame21"/>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4"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5"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14985" cy="175260"/>
                      <wp:effectExtent l="0" t="0" r="0" b="0"/>
                      <wp:wrapNone/>
                      <wp:docPr id="56" name="Frame2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7"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58" name="Frame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48310" cy="175260"/>
                      <wp:effectExtent l="0" t="0" r="0" b="0"/>
                      <wp:wrapNone/>
                      <wp:docPr id="59" name="Frame27"/>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0"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1" name="Frame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43560" cy="175260"/>
                      <wp:effectExtent l="0" t="0" r="0" b="0"/>
                      <wp:wrapNone/>
                      <wp:docPr id="62" name="Frame30"/>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2265" w:type="dxa"/>
            <w:gridSpan w:val="5"/>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Years Ended December 31, </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5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2019</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58" w:type="dxa"/>
            <w:gridSpan w:val="8"/>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30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0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center"/>
              <w:rPr/>
            </w:pPr>
            <w:r>
              <w:rPr/>
              <w:t>​</w:t>
            </w:r>
          </w:p>
        </w:tc>
      </w:tr>
      <w:tr>
        <w:trPr/>
        <w:tc>
          <w:tcPr>
            <w:tcW w:w="30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13,704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3,920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5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9,784</w:t>
            </w:r>
          </w:p>
        </w:tc>
      </w:tr>
      <w:tr>
        <w:trPr/>
        <w:tc>
          <w:tcPr>
            <w:tcW w:w="30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7,824</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403</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7,421</w:t>
            </w:r>
          </w:p>
        </w:tc>
      </w:tr>
      <w:tr>
        <w:trPr/>
        <w:tc>
          <w:tcPr>
            <w:tcW w:w="30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21,528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4,323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17,205</w:t>
            </w:r>
          </w:p>
        </w:tc>
      </w:tr>
      <w:tr>
        <w:trPr/>
        <w:tc>
          <w:tcPr>
            <w:tcW w:w="30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(21,528)</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(4,323)</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(17,205)</w:t>
            </w:r>
          </w:p>
        </w:tc>
      </w:tr>
      <w:tr>
        <w:trPr/>
        <w:tc>
          <w:tcPr>
            <w:tcW w:w="30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(expense)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r>
      <w:tr>
        <w:trPr/>
        <w:tc>
          <w:tcPr>
            <w:tcW w:w="30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53</w:t>
            </w:r>
          </w:p>
        </w:tc>
      </w:tr>
      <w:tr>
        <w:trPr/>
        <w:tc>
          <w:tcPr>
            <w:tcW w:w="30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(653)</w:t>
            </w:r>
          </w:p>
        </w:tc>
      </w:tr>
      <w:tr>
        <w:trPr/>
        <w:tc>
          <w:tcPr>
            <w:tcW w:w="30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other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(593)</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(600)</w:t>
            </w:r>
          </w:p>
        </w:tc>
      </w:tr>
      <w:tr>
        <w:trPr/>
        <w:tc>
          <w:tcPr>
            <w:tcW w:w="304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and comprehensive loss</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(22,121)</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(4,316)</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(17,805)</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Research and development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expenses for the year ended December 31, 2020 were $13.7 million, compared to $3.9 million for the year ended December 31, 2019. The increase of $9.8 million was primarily due to increased spending in (i) advancing our lead product candidate OP-1250 clinical study and the associated contract manufacturing costs, (ii) other nonclinical research and discovery program costs, and (iii) personnel-related costs due to increased headcount, and an increase in non-cash stock-based compensation of $2.0 million recognized during the year ended December 31, 2020.</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General and administrative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General and administrative expenses for the year ended December 31, 2020 were $7.8 million compared to $0.4 million for the year ended December 31, 2019. The increase of $7.4 million was primarily due to increased salary expense associated with our expanded executive team, fees paid to outside consultants in connection with our initial public offering and operating as a public company, and an increase in non-cash stock-based compensation of $1.1 million recognized during the year ended December 31, 2020.</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Other income (expense), net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Other income (expense), net for the year ended December 31, 2020 was $(0.6) million, which primarily consisted of a non-cash interest charge incurred in connection with convertible notes issued in January 2020.</w:t>
      </w:r>
    </w:p>
    <w:p>
      <w:pPr>
        <w:pStyle w:val="TextBody"/>
        <w:spacing w:before="0" w:after="240"/>
        <w:ind w:left="0" w:right="0" w:hanging="0"/>
        <w:jc w:val="both"/>
        <w:rPr>
          <w:rFonts w:ascii="Arial;Helvetica;sans-serif" w:hAnsi="Arial;Helvetica;sans-serif"/>
          <w:b w:val="false"/>
          <w:sz w:val="20"/>
        </w:rPr>
      </w:pPr>
      <w:r>
        <w:rPr>
          <w:rFonts w:ascii="Arial;Helvetica;sans-serif" w:hAnsi="Arial;Helvetica;sans-serif"/>
          <w:b w:val="false"/>
          <w:sz w:val="20"/>
        </w:rPr>
        <w:t>Liquidity and capital resources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Sources of liquidity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Since our inception, we have not generated any revenue from product sales and have incurred significant operating losses and negative cash flows from our operations. Our net losses were $71.1 million, $22.1 million, and $4.3 million for the years ended December 31, 2021, 2020, and 2019, respectively. As of December 31, 2021, we had $287.3 million in cash, cash equivalents and marketable securities and an accumulated deficit of $104.2 million. We had no debt outstanding as of December 31, 2021. Through December 31, 2021, we had received aggregate gross proceeds of $392.7 million from sales of our common stock, convertible preferred stock and issuance of convertible promissory notes, stock option exercises, and the sale of stock through the ESPP.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currently have no financing commitments, such as lines of credit or guarantees, that are expected to affect our liquidity over the next five years.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Future funding and material cash requirements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expect our existing cash, cash equivalents and marketable securities will enable us to fund our operating expenses and capital expenditure requirements into 2024 at which point we would need to obtain substantial additional funding in connection with our continuing operations.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presents our material cash requirements for future periods:</w:t>
      </w:r>
    </w:p>
    <w:tbl>
      <w:tblPr>
        <w:tblW w:w="5846" w:type="dxa"/>
        <w:jc w:val="left"/>
        <w:tblInd w:w="0" w:type="dxa"/>
        <w:tblCellMar>
          <w:top w:w="0" w:type="dxa"/>
          <w:left w:w="0" w:type="dxa"/>
          <w:bottom w:w="0" w:type="dxa"/>
          <w:right w:w="0" w:type="dxa"/>
        </w:tblCellMar>
      </w:tblPr>
      <w:tblGrid>
        <w:gridCol w:w="1771"/>
        <w:gridCol w:w="326"/>
        <w:gridCol w:w="270"/>
        <w:gridCol w:w="751"/>
        <w:gridCol w:w="353"/>
        <w:gridCol w:w="274"/>
        <w:gridCol w:w="761"/>
        <w:gridCol w:w="353"/>
        <w:gridCol w:w="228"/>
        <w:gridCol w:w="759"/>
      </w:tblGrid>
      <w:tr>
        <w:trPr/>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124585" cy="175260"/>
                      <wp:effectExtent l="0" t="0" r="0" b="0"/>
                      <wp:wrapNone/>
                      <wp:docPr id="63" name="Frame31"/>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4"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1450" cy="175260"/>
                      <wp:effectExtent l="0" t="0" r="0" b="0"/>
                      <wp:wrapNone/>
                      <wp:docPr id="65" name="Frame33"/>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76885" cy="175260"/>
                      <wp:effectExtent l="0" t="0" r="0" b="0"/>
                      <wp:wrapNone/>
                      <wp:docPr id="66" name="Frame34"/>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24155" cy="175260"/>
                      <wp:effectExtent l="0" t="0" r="0" b="0"/>
                      <wp:wrapNone/>
                      <wp:docPr id="67" name="Frame35"/>
                      <a:graphic xmlns:a="http://schemas.openxmlformats.org/drawingml/2006/main">
                        <a:graphicData uri="http://schemas.microsoft.com/office/word/2010/wordprocessingShape">
                          <wps:wsp>
                            <wps:cNvSpPr txBox="1"/>
                            <wps:spPr>
                              <a:xfrm>
                                <a:off x="0" y="0"/>
                                <a:ext cx="224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3990" cy="175260"/>
                      <wp:effectExtent l="0" t="0" r="0" b="0"/>
                      <wp:wrapNone/>
                      <wp:docPr id="68" name="Frame36"/>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83235" cy="175260"/>
                      <wp:effectExtent l="0" t="0" r="0" b="0"/>
                      <wp:wrapNone/>
                      <wp:docPr id="69" name="Frame37"/>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4155" cy="175260"/>
                      <wp:effectExtent l="0" t="0" r="0" b="0"/>
                      <wp:wrapNone/>
                      <wp:docPr id="70" name="Frame38"/>
                      <a:graphic xmlns:a="http://schemas.openxmlformats.org/drawingml/2006/main">
                        <a:graphicData uri="http://schemas.microsoft.com/office/word/2010/wordprocessingShape">
                          <wps:wsp>
                            <wps:cNvSpPr txBox="1"/>
                            <wps:spPr>
                              <a:xfrm>
                                <a:off x="0" y="0"/>
                                <a:ext cx="224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4780" cy="175260"/>
                      <wp:effectExtent l="0" t="0" r="0" b="0"/>
                      <wp:wrapNone/>
                      <wp:docPr id="71" name="Frame39"/>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81965" cy="175260"/>
                      <wp:effectExtent l="0" t="0" r="0" b="0"/>
                      <wp:wrapNone/>
                      <wp:docPr id="72" name="Frame40"/>
                      <a:graphic xmlns:a="http://schemas.openxmlformats.org/drawingml/2006/main">
                        <a:graphicData uri="http://schemas.microsoft.com/office/word/2010/wordprocessingShape">
                          <wps:wsp>
                            <wps:cNvSpPr txBox="1"/>
                            <wps:spPr>
                              <a:xfrm>
                                <a:off x="0" y="0"/>
                                <a:ext cx="481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7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749"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Material cash requirements due by period</w:t>
            </w:r>
          </w:p>
        </w:tc>
      </w:tr>
      <w:tr>
        <w:trPr/>
        <w:tc>
          <w:tcPr>
            <w:tcW w:w="1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Less than 1</w:t>
            </w:r>
          </w:p>
        </w:tc>
        <w:tc>
          <w:tcPr>
            <w:tcW w:w="353" w:type="dxa"/>
            <w:tcBorders/>
            <w:shd w:fill="auto" w:val="clear"/>
            <w:vAlign w:val="center"/>
          </w:tcPr>
          <w:p>
            <w:pPr>
              <w:pStyle w:val="TableContents"/>
              <w:spacing w:before="0" w:after="0"/>
              <w:ind w:left="0" w:right="0" w:hanging="0"/>
              <w:jc w:val="center"/>
              <w:rPr/>
            </w:pPr>
            <w:r>
              <w:rPr/>
              <w:t>    </w:t>
            </w:r>
          </w:p>
        </w:tc>
        <w:tc>
          <w:tcPr>
            <w:tcW w:w="1035" w:type="dxa"/>
            <w:gridSpan w:val="2"/>
            <w:tcBorders/>
            <w:shd w:fill="auto" w:val="cle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More than 1</w:t>
            </w:r>
          </w:p>
        </w:tc>
        <w:tc>
          <w:tcPr>
            <w:tcW w:w="353" w:type="dxa"/>
            <w:tcBorders/>
            <w:shd w:fill="auto" w:val="clear"/>
            <w:vAlign w:val="center"/>
          </w:tcPr>
          <w:p>
            <w:pPr>
              <w:pStyle w:val="TableContents"/>
              <w:spacing w:before="0" w:after="0"/>
              <w:ind w:left="0" w:right="0" w:hanging="0"/>
              <w:jc w:val="center"/>
              <w:rPr/>
            </w:pPr>
            <w:r>
              <w:rPr/>
              <w:t>    </w:t>
            </w:r>
          </w:p>
        </w:tc>
        <w:tc>
          <w:tcPr>
            <w:tcW w:w="987" w:type="dxa"/>
            <w:gridSpan w:val="2"/>
            <w:tcBorders/>
            <w:shd w:fill="auto" w:val="clear"/>
            <w:vAlign w:val="center"/>
          </w:tcPr>
          <w:p>
            <w:pPr>
              <w:pStyle w:val="TableContents"/>
              <w:spacing w:before="0" w:after="0"/>
              <w:ind w:left="0" w:right="0" w:hanging="0"/>
              <w:jc w:val="center"/>
              <w:rPr/>
            </w:pPr>
            <w:r>
              <w:rPr/>
              <w:t>​</w:t>
            </w:r>
          </w:p>
        </w:tc>
      </w:tr>
      <w:tr>
        <w:trPr/>
        <w:tc>
          <w:tcPr>
            <w:tcW w:w="177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 thousands)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r>
              <w:rPr>
                <w:rFonts w:ascii="Arial;Helvetica;sans-serif" w:hAnsi="Arial;Helvetica;sans-serif"/>
                <w:b/>
                <w:sz w:val="16"/>
              </w:rPr>
              <w:t>year</w:t>
            </w:r>
          </w:p>
        </w:tc>
        <w:tc>
          <w:tcPr>
            <w:tcW w:w="35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35"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year</w:t>
            </w:r>
          </w:p>
        </w:tc>
        <w:tc>
          <w:tcPr>
            <w:tcW w:w="3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87"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sz w:val="16"/>
              </w:rPr>
            </w:pPr>
            <w:r>
              <w:rPr>
                <w:rFonts w:ascii="Arial;Helvetica;sans-serif" w:hAnsi="Arial;Helvetica;sans-serif"/>
                <w:b/>
                <w:sz w:val="16"/>
              </w:rPr>
              <w:t>Total</w:t>
            </w:r>
          </w:p>
        </w:tc>
      </w:tr>
      <w:tr>
        <w:trPr/>
        <w:tc>
          <w:tcPr>
            <w:tcW w:w="1771" w:type="dxa"/>
            <w:tcBorders>
              <w:bottom w:val="double" w:sz="6" w:space="0" w:color="000000"/>
            </w:tcBorders>
            <w:shd w:fill="CCEEFF" w:val="clear"/>
            <w:tcMar>
              <w:bottom w:w="28" w:type="dxa"/>
            </w:tcM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Operating leases</w:t>
            </w:r>
            <w:r>
              <w:rPr>
                <w:rFonts w:ascii="Arial;Helvetica;sans-serif" w:hAnsi="Arial;Helvetica;sans-serif"/>
                <w:sz w:val="15"/>
              </w:rPr>
              <w:t>(1)</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1,168</w:t>
            </w:r>
          </w:p>
        </w:tc>
        <w:tc>
          <w:tcPr>
            <w:tcW w:w="353"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7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2,663</w:t>
            </w:r>
          </w:p>
        </w:tc>
        <w:tc>
          <w:tcPr>
            <w:tcW w:w="353"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59"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3,831</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907"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16"/>
              </w:rPr>
              <w:t xml:space="preserve">We conduct our research and development programs internally and through </w:t>
            </w:r>
            <w:r>
              <w:rPr>
                <w:rFonts w:ascii="Arial;Helvetica;sans-serif" w:hAnsi="Arial;Helvetica;sans-serif"/>
                <w:b w:val="false"/>
                <w:i w:val="false"/>
                <w:caps w:val="false"/>
                <w:smallCaps w:val="false"/>
                <w:sz w:val="16"/>
              </w:rPr>
              <w:t>third parties that include, among others, arrangements with vendors, consultants, CMOs, and CROs. We have contractual arrangements in the normal course of business with these parties, however, our contracts with them are cancelable generally on reasonable notice within one year and our obligations under these contracts are primarily based on services performed. We included certain contracts that have significant cancellation penalties and are material, which make the continuation of these arrangements reasonable.</w:t>
            </w:r>
          </w:p>
        </w:tc>
      </w:tr>
    </w:tbl>
    <w:p>
      <w:pPr>
        <w:pStyle w:val="TextBody"/>
        <w:spacing w:before="240" w:after="240"/>
        <w:ind w:left="0" w:right="0" w:hanging="0"/>
        <w:jc w:val="both"/>
        <w:rPr>
          <w:rFonts w:ascii="Arial;Helvetica;sans-serif" w:hAnsi="Arial;Helvetica;sans-serif"/>
          <w:sz w:val="20"/>
        </w:rPr>
      </w:pPr>
      <w:r>
        <w:rPr>
          <w:rFonts w:ascii="Arial;Helvetica;sans-serif" w:hAnsi="Arial;Helvetica;sans-serif"/>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tbl>
      <w:tblPr>
        <w:tblW w:w="9006" w:type="dxa"/>
        <w:jc w:val="left"/>
        <w:tblInd w:w="0" w:type="dxa"/>
        <w:tblCellMar>
          <w:top w:w="28" w:type="dxa"/>
          <w:left w:w="28" w:type="dxa"/>
          <w:bottom w:w="28" w:type="dxa"/>
          <w:right w:w="28" w:type="dxa"/>
        </w:tblCellMar>
      </w:tblPr>
      <w:tblGrid>
        <w:gridCol w:w="124"/>
        <w:gridCol w:w="256"/>
        <w:gridCol w:w="8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862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progress, results and costs of product discovery, nonclinical studies and clinical trials;</w:t>
            </w:r>
          </w:p>
        </w:tc>
      </w:tr>
    </w:tbl>
    <w:tbl>
      <w:tblPr>
        <w:tblW w:w="7476" w:type="dxa"/>
        <w:jc w:val="left"/>
        <w:tblInd w:w="0" w:type="dxa"/>
        <w:tblCellMar>
          <w:top w:w="28" w:type="dxa"/>
          <w:left w:w="28" w:type="dxa"/>
          <w:bottom w:w="28" w:type="dxa"/>
          <w:right w:w="28" w:type="dxa"/>
        </w:tblCellMar>
      </w:tblPr>
      <w:tblGrid>
        <w:gridCol w:w="124"/>
        <w:gridCol w:w="256"/>
        <w:gridCol w:w="70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0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scope, prioritization and number of our research and development programs;</w:t>
            </w:r>
          </w:p>
        </w:tc>
      </w:tr>
    </w:tbl>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timing and outcome of regulatory review of our product candidate;</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311" w:type="dxa"/>
        <w:jc w:val="left"/>
        <w:tblInd w:w="0" w:type="dxa"/>
        <w:tblCellMar>
          <w:top w:w="28" w:type="dxa"/>
          <w:left w:w="28" w:type="dxa"/>
          <w:bottom w:w="28" w:type="dxa"/>
          <w:right w:w="28" w:type="dxa"/>
        </w:tblCellMar>
      </w:tblPr>
      <w:tblGrid>
        <w:gridCol w:w="124"/>
        <w:gridCol w:w="256"/>
        <w:gridCol w:w="6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69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our ability to establish and maintain collaborations on favorable terms, if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achievement of milestones or occurrence of other developments that trigger payments under any collaboration agreements we enter into;</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are obligated to reimburse, or entitled to reimbursement of, clinical trial costs under collaboration agreements, if 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preparing, filing and prosecuting patent applications, maintaining and enforcing our intellectual property rights and defending intellectual property-related claims;</w:t>
            </w:r>
          </w:p>
        </w:tc>
      </w:tr>
    </w:tbl>
    <w:tbl>
      <w:tblPr>
        <w:tblW w:w="8076" w:type="dxa"/>
        <w:jc w:val="left"/>
        <w:tblInd w:w="0" w:type="dxa"/>
        <w:tblCellMar>
          <w:top w:w="28" w:type="dxa"/>
          <w:left w:w="28" w:type="dxa"/>
          <w:bottom w:w="28" w:type="dxa"/>
          <w:right w:w="28" w:type="dxa"/>
        </w:tblCellMar>
      </w:tblPr>
      <w:tblGrid>
        <w:gridCol w:w="124"/>
        <w:gridCol w:w="256"/>
        <w:gridCol w:w="7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6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extent to which we acquire or in-license other product candidates and technologies;</w:t>
            </w:r>
          </w:p>
        </w:tc>
      </w:tr>
    </w:tbl>
    <w:tbl>
      <w:tblPr>
        <w:tblW w:w="7641" w:type="dxa"/>
        <w:jc w:val="left"/>
        <w:tblInd w:w="0" w:type="dxa"/>
        <w:tblCellMar>
          <w:top w:w="28" w:type="dxa"/>
          <w:left w:w="28" w:type="dxa"/>
          <w:bottom w:w="28" w:type="dxa"/>
          <w:right w:w="28" w:type="dxa"/>
        </w:tblCellMar>
      </w:tblPr>
      <w:tblGrid>
        <w:gridCol w:w="124"/>
        <w:gridCol w:w="256"/>
        <w:gridCol w:w="7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726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securing manufacturing arrangements for commercial production;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color w:val="231F20"/>
              </w:rPr>
            </w:pPr>
            <w:r>
              <w:rPr>
                <w:color w:val="231F20"/>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the costs of establishing or contracting for sales and marketing capabilities if we obtain regulatory approvals to market our product candidates.</w:t>
            </w:r>
          </w:p>
        </w:tc>
      </w:tr>
    </w:tbl>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Cash flows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following table shows a summary of our cash flows for each of the periods presented:</w:t>
      </w:r>
    </w:p>
    <w:p>
      <w:pPr>
        <w:pStyle w:val="TextBody"/>
        <w:spacing w:before="0" w:after="240"/>
        <w:ind w:left="0" w:right="0" w:hanging="0"/>
        <w:jc w:val="both"/>
        <w:rPr/>
      </w:pPr>
      <w:r>
        <w:rPr/>
        <w:t>​</w:t>
      </w:r>
    </w:p>
    <w:tbl>
      <w:tblPr>
        <w:tblW w:w="8875" w:type="dxa"/>
        <w:jc w:val="left"/>
        <w:tblInd w:w="0" w:type="dxa"/>
        <w:tblCellMar>
          <w:top w:w="0" w:type="dxa"/>
          <w:left w:w="0" w:type="dxa"/>
          <w:bottom w:w="0" w:type="dxa"/>
          <w:right w:w="0" w:type="dxa"/>
        </w:tblCellMar>
      </w:tblPr>
      <w:tblGrid>
        <w:gridCol w:w="4786"/>
        <w:gridCol w:w="326"/>
        <w:gridCol w:w="211"/>
        <w:gridCol w:w="916"/>
        <w:gridCol w:w="326"/>
        <w:gridCol w:w="211"/>
        <w:gridCol w:w="811"/>
        <w:gridCol w:w="326"/>
        <w:gridCol w:w="211"/>
        <w:gridCol w:w="751"/>
      </w:tblGrid>
      <w:tr>
        <w:trPr/>
        <w:tc>
          <w:tcPr>
            <w:tcW w:w="4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039110" cy="175260"/>
                      <wp:effectExtent l="0" t="0" r="0" b="0"/>
                      <wp:wrapNone/>
                      <wp:docPr id="73" name="Frame41"/>
                      <a:graphic xmlns:a="http://schemas.openxmlformats.org/drawingml/2006/main">
                        <a:graphicData uri="http://schemas.microsoft.com/office/word/2010/wordprocessingShape">
                          <wps:wsp>
                            <wps:cNvSpPr txBox="1"/>
                            <wps:spPr>
                              <a:xfrm>
                                <a:off x="0" y="0"/>
                                <a:ext cx="3039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4"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5" name="Frame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81660" cy="175260"/>
                      <wp:effectExtent l="0" t="0" r="0" b="0"/>
                      <wp:wrapNone/>
                      <wp:docPr id="76" name="Frame44"/>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7"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8"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14985" cy="175260"/>
                      <wp:effectExtent l="0" t="0" r="0" b="0"/>
                      <wp:wrapNone/>
                      <wp:docPr id="79" name="Frame47"/>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0"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1" name="Frame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76885" cy="175260"/>
                      <wp:effectExtent l="0" t="0" r="0" b="0"/>
                      <wp:wrapNone/>
                      <wp:docPr id="82" name="Frame5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8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3763"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Years Ended December 31, </w:t>
            </w:r>
          </w:p>
        </w:tc>
      </w:tr>
      <w:tr>
        <w:trPr/>
        <w:tc>
          <w:tcPr>
            <w:tcW w:w="478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(in thousands)</w:t>
            </w:r>
          </w:p>
        </w:tc>
        <w:tc>
          <w:tcPr>
            <w:tcW w:w="326" w:type="dxa"/>
            <w:tcBorders/>
            <w:shd w:fill="auto" w:val="clear"/>
            <w:vAlign w:val="center"/>
          </w:tcPr>
          <w:p>
            <w:pPr>
              <w:pStyle w:val="TableContents"/>
              <w:spacing w:before="0" w:after="1"/>
              <w:ind w:left="0" w:right="0" w:hanging="0"/>
              <w:jc w:val="center"/>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2019</w:t>
            </w:r>
          </w:p>
        </w:tc>
      </w:tr>
      <w:tr>
        <w:trPr/>
        <w:tc>
          <w:tcPr>
            <w:tcW w:w="4786" w:type="dxa"/>
            <w:tcBorders/>
            <w:shd w:fill="CCEEFF" w:val="clear"/>
            <w:vAlign w:val="center"/>
          </w:tcPr>
          <w:p>
            <w:pPr>
              <w:pStyle w:val="TableContents"/>
              <w:spacing w:before="0" w:after="1"/>
              <w:ind w:left="0" w:right="0" w:hanging="0"/>
              <w:jc w:val="both"/>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(50,690)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(19,866)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(3,081)</w:t>
            </w:r>
          </w:p>
        </w:tc>
      </w:tr>
      <w:tr>
        <w:trPr/>
        <w:tc>
          <w:tcPr>
            <w:tcW w:w="4786" w:type="dxa"/>
            <w:tcBorders/>
            <w:shd w:fill="auto" w:val="clear"/>
            <w:vAlign w:val="center"/>
          </w:tcPr>
          <w:p>
            <w:pPr>
              <w:pStyle w:val="TableContents"/>
              <w:spacing w:before="0" w:after="1"/>
              <w:ind w:left="0" w:right="0" w:hanging="0"/>
              <w:jc w:val="both"/>
              <w:rPr>
                <w:rFonts w:ascii="Arial;Helvetica;sans-serif" w:hAnsi="Arial;Helvetica;sans-serif"/>
                <w:sz w:val="20"/>
              </w:rPr>
            </w:pPr>
            <w:r>
              <w:rPr>
                <w:rFonts w:ascii="Arial;Helvetica;sans-serif" w:hAnsi="Arial;Helvetica;sans-serif"/>
                <w:sz w:val="20"/>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91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(275,438)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751" w:type="dxa"/>
            <w:tcBorders/>
            <w:shd w:fill="auto" w:val="clear"/>
            <w:vAlign w:val="center"/>
          </w:tcPr>
          <w:p>
            <w:pPr>
              <w:pStyle w:val="TableContents"/>
              <w:spacing w:before="0" w:after="1"/>
              <w:ind w:left="0" w:right="0" w:hanging="0"/>
              <w:jc w:val="right"/>
              <w:rPr/>
            </w:pPr>
            <w:r>
              <w:rPr/>
              <w:t>—</w:t>
            </w:r>
          </w:p>
        </w:tc>
      </w:tr>
      <w:tr>
        <w:trPr/>
        <w:tc>
          <w:tcPr>
            <w:tcW w:w="4786" w:type="dxa"/>
            <w:tcBorders/>
            <w:shd w:fill="CCEEFF" w:val="clear"/>
            <w:vAlign w:val="center"/>
          </w:tcPr>
          <w:p>
            <w:pPr>
              <w:pStyle w:val="TableContents"/>
              <w:spacing w:before="0" w:after="1"/>
              <w:ind w:left="0" w:right="0" w:hanging="0"/>
              <w:jc w:val="both"/>
              <w:rPr>
                <w:rFonts w:ascii="Arial;Helvetica;sans-serif" w:hAnsi="Arial;Helvetica;sans-serif"/>
                <w:sz w:val="20"/>
              </w:rPr>
            </w:pPr>
            <w:r>
              <w:rPr>
                <w:rFonts w:ascii="Arial;Helvetica;sans-serif" w:hAnsi="Arial;Helvetica;sans-serif"/>
                <w:sz w:val="20"/>
              </w:rPr>
              <w:t>Net cash provided by financing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1,391</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358,403</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78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(decrease) increase in cash and cash equivalents</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(324,737)</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338,481</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(3,081)</w:t>
            </w:r>
          </w:p>
        </w:tc>
      </w:tr>
    </w:tbl>
    <w:p>
      <w:pPr>
        <w:pStyle w:val="TextBody"/>
        <w:spacing w:before="120" w:after="200"/>
        <w:ind w:left="0" w:right="0" w:hanging="0"/>
        <w:jc w:val="both"/>
        <w:rPr>
          <w:rFonts w:ascii="Arial;Helvetica;sans-serif" w:hAnsi="Arial;Helvetica;sans-serif"/>
          <w:i/>
          <w:sz w:val="20"/>
        </w:rPr>
      </w:pPr>
      <w:r>
        <w:rPr>
          <w:rFonts w:ascii="Arial;Helvetica;sans-serif" w:hAnsi="Arial;Helvetica;sans-serif"/>
          <w:i/>
          <w:sz w:val="20"/>
        </w:rPr>
        <w:t>Operating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Net cash used in operating activities during the year ended December 31, 2021 consisted primarily of our net loss of $71.1 million, partially offset by non-cash charges of $16.6 million and a net increase of $3.8 million in net operating assets and liabilities. The net loss consisted primarily of $51.1 million in research and development expenses and $20.4 million in general and administrative expenses. The non-cash charges consisted primarily of stock-based compensation of $15.9 million, depreciation and amortization expenses of $0.4 million, and non-cash lease expense of $0.2 million, net of cash payments of $1.0 million. The change in operating assets and liabilities was primarily due to a net increase of $0.1 million in other assets and prepaid expenses and other current assets related to advanced payments for corporate insurance and subscriptions and licenses, and a decrease of $0.7 million in accounts payable, partially offset by an increase of $4.6 million in accrued liabilities, primarily as a result of timing of receipts of invoices.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Net cash used in operating activities during the year ended December 31, 2020 consisted primarily of our net loss of $22.1 million, partially offset by non-cash charges of $3.8 million and a net change of $1.5 million in net operating assets and liabilities. The net loss consisted primarily of $13.7 million in research and development expenses and $7.8 million in general and administrative expenses. The non-cash charges consisted primarily of stock-based compensation of $3.1 million and non-cash interest expense of $0.6 million related to our 2020 Convertible Notes. The change in operating assets and liabilities was primarily due to an increase of $3.6 million in prepaid expenses and other current assets related to advanced payments for corporate insurance and research and development activities, an increase of $0.5 million in other assets, and a decrease of $0.2 million in accounts payable, partially offset by an increase of $2.8 million in invoices and accrued liabilities, primarily as a result of timing of invoice payment.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Net cash used in operating activities during the year ended December 31, 2019 consisted primarily of our net loss of $4.3 million, partially offset by an increase in accounts payable of $1.2 million. The net loss primarily consisted of $3.9 million in research and development expenses and $0.4 million in general and administrative expenses. The increase in accounts payable and other current liabilities was due to the timing of the posting of the invoices and the overall increase in research and development expenses in the year ended 2019.</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Investing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Net cash used in investing activities during the year ended December 31, 2021 was predominately due to purchases of marketable securities which was financed through the proceeds from the IPO and convertible preferred stock sale, and purchases of equipment, partially offset by the maturities of marketable securities.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Net cash used in investing activities during the year ended December 31, 2020 consisted of nominal purchases of equipment.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were no cash flows from investing activities during the years ended December 31, 2019.</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Financing activities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Net cash provided by financing activities during the year ended December 31, 2021 consisted of $0.7 million and $0.7 million in net proceeds from the sale of our common stock under the 2020 ESPP and the exercise of stock options, respectively.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Net cash provided by financing activities during the year ended December 31, 2020 consisted primarily of $220.6 million, $85.8 million, and $50.6 million in net proceeds from our initial public offering, sale and issuance of our Series C and B convertible preferred stock, and $3.0 million in proceeds from the sale and issuance of our convertible promissory notes, respectively. These cash inflows were partially offset by cash outflows of $2.3 million for the repurchase of Series A convertible preferred stock.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were no cash flows from financing activities during the year ended December 31, 2019.</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Critical accounting estimates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While our significant accounting policies are described in more detail in Note 2 to our consolidated financial statements elsewhere in this Annual Report, we believe that the following accounting policies are those most critical to the judgments and estimates used in the preparation of our audited consolidated financial statements.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Accrued research and development expenses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part of the process of preparing our consolidated financial statements, we are required to estimate our accrued research and development expenses. This process involves reviewing purchase orders and open contracts, communicating with our personnel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Emerging growth company status</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Until December 31, 2021, we were an “emerging growth company” as defined in the JOBS Act, and therefore, we were able to take advantage of certain exemptions from various public company reporting requirements, including, the exemption from the requirement to obtain an attestation report from our auditors on the assessment of our internal control over financial reporting pursuant to the Sarbanes-Oxley Act, less extensive disclosure about our executive compensation arrangements, and no requirement for stockholder non-binding advisory votes on executive compensation or golden parachute arrangements. Effective December 31, 2021, we are deemed a “large accelerated filer” as our public float as of June 30, 2021 was greater than $700 million, and thus we are no longer classified as an “emerging growth company”. As such, we conducted an Internal Control over Financial Reporting (“ICFR”) assessment for the year ended December 31, 2021, and have included management’s report in this Annual Report.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Recently issued accounting pronouncements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See Note 2 to our consolidated financial statements contained in this Annual Report for a description of recent accounting pronouncements applicable to our consolidated financial statements.</w:t>
      </w:r>
    </w:p>
    <w:p>
      <w:pPr>
        <w:pStyle w:val="TextBody"/>
        <w:spacing w:before="0" w:after="240"/>
        <w:ind w:left="0" w:right="0" w:hanging="0"/>
        <w:jc w:val="both"/>
        <w:rPr>
          <w:rFonts w:ascii="Arial;Helvetica;sans-serif" w:hAnsi="Arial;Helvetica;sans-serif"/>
          <w:b/>
          <w:sz w:val="20"/>
        </w:rPr>
      </w:pPr>
      <w:bookmarkStart w:id="83" w:name="Item7AQuantitativeandQualitativeDisclosu"/>
      <w:bookmarkStart w:id="84" w:name="_fa77d8ec_9636_4cb2_b620_c59565a17922"/>
      <w:bookmarkEnd w:id="83"/>
      <w:bookmarkEnd w:id="84"/>
      <w:r>
        <w:rPr>
          <w:rFonts w:ascii="Arial;Helvetica;sans-serif" w:hAnsi="Arial;Helvetica;sans-serif"/>
          <w:b/>
          <w:sz w:val="20"/>
        </w:rPr>
        <w:t>Item 7A.   Quantitative and Qualitative Disclosures About Market Risk.</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Interest rate risk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are exposed to market risks in the ordinary course of our business. These risks primarily include interest rate sensitivities. As of December 31, 2021 and 2020, we had cash, cash equivalents and marketable securities of $287.3 million and $338.5 million, respectively. We generally hold our cash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marketable securities.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Financial institution risk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Substantially all of our cash is held with a single financial institution. Due to its size, this financial institution represents a minimal credit risk. Cash amounts held at financial institutions are insured by the Federal Deposit Insurance Corporation up to $250,000.</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Foreign currency exchange risk</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Our expenses are generally denominated in U.S. dollars. To date, we have not had any significant foreign currency transactions, and we do not have a formal hedging program with respect to foreign currency. A 10.0% increase or decrease in current exchange rates would not have a material effect on our financial results.</w:t>
      </w:r>
    </w:p>
    <w:p>
      <w:pPr>
        <w:pStyle w:val="TextBody"/>
        <w:spacing w:before="0" w:after="200"/>
        <w:ind w:left="0" w:right="0" w:hanging="0"/>
        <w:jc w:val="both"/>
        <w:rPr>
          <w:rFonts w:ascii="Arial;Helvetica;sans-serif" w:hAnsi="Arial;Helvetica;sans-serif"/>
          <w:i/>
          <w:sz w:val="20"/>
        </w:rPr>
      </w:pPr>
      <w:r>
        <w:rPr>
          <w:rFonts w:ascii="Arial;Helvetica;sans-serif" w:hAnsi="Arial;Helvetica;sans-serif"/>
          <w:i/>
          <w:sz w:val="20"/>
        </w:rPr>
        <w:t>Effects of inflation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Inflation generally affects us by increasing our cost of labor and research and development costs. We do not believe that inflation has had a material effect on our results of operations during the periods presented.</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b/>
          <w:sz w:val="20"/>
        </w:rPr>
      </w:pPr>
      <w:bookmarkStart w:id="85" w:name="Item8Fi"/>
      <w:bookmarkStart w:id="86" w:name="_20dc5c40_cd90_41d6_9674_6c3b185ddc2c"/>
      <w:bookmarkEnd w:id="85"/>
      <w:bookmarkEnd w:id="86"/>
      <w:r>
        <w:rPr>
          <w:rFonts w:ascii="Arial;Helvetica;sans-serif" w:hAnsi="Arial;Helvetica;sans-serif"/>
          <w:b/>
          <w:sz w:val="20"/>
        </w:rPr>
        <w:t>Item 8.   Consolidated Financial Statements and Supplementary Data.</w:t>
      </w:r>
    </w:p>
    <w:p>
      <w:pPr>
        <w:pStyle w:val="TextBody"/>
        <w:spacing w:before="0" w:after="240"/>
        <w:ind w:left="0" w:right="0" w:hanging="0"/>
        <w:jc w:val="center"/>
        <w:rPr>
          <w:rFonts w:ascii="Arial;Helvetica;sans-serif" w:hAnsi="Arial;Helvetica;sans-serif"/>
          <w:b/>
          <w:sz w:val="24"/>
        </w:rPr>
      </w:pPr>
      <w:r>
        <w:rPr>
          <w:rFonts w:ascii="Arial;Helvetica;sans-serif" w:hAnsi="Arial;Helvetica;sans-serif"/>
          <w:b w:val="false"/>
          <w:sz w:val="24"/>
        </w:rPr>
        <w:t>Olema Pharmaceuticals, Inc.</w:t>
      </w:r>
      <w:r>
        <w:rPr>
          <w:rFonts w:ascii="Arial;Helvetica;sans-serif" w:hAnsi="Arial;Helvetica;sans-serif"/>
          <w:b/>
          <w:sz w:val="24"/>
        </w:rPr>
        <w:br/>
        <w:t>Index to consolidated financial statements</w:t>
      </w:r>
    </w:p>
    <w:tbl>
      <w:tblPr>
        <w:tblW w:w="8567" w:type="dxa"/>
        <w:jc w:val="left"/>
        <w:tblInd w:w="0" w:type="dxa"/>
        <w:tblCellMar>
          <w:top w:w="0" w:type="dxa"/>
          <w:left w:w="0" w:type="dxa"/>
          <w:bottom w:w="0" w:type="dxa"/>
          <w:right w:w="0" w:type="dxa"/>
        </w:tblCellMar>
      </w:tblPr>
      <w:tblGrid>
        <w:gridCol w:w="7966"/>
        <w:gridCol w:w="601"/>
      </w:tblGrid>
      <w:tr>
        <w:trPr/>
        <w:tc>
          <w:tcPr>
            <w:tcW w:w="7966" w:type="dxa"/>
            <w:tcBorders/>
            <w:shd w:fill="auto" w:val="clear"/>
            <w:vAlign w:val="center"/>
          </w:tcPr>
          <w:p>
            <w:pPr>
              <w:pStyle w:val="TableContents"/>
              <w:spacing w:before="40" w:after="4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40" w:after="4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7966" w:type="dxa"/>
            <w:tcBorders/>
            <w:shd w:fill="auto" w:val="clear"/>
            <w:vAlign w:val="center"/>
          </w:tcPr>
          <w:p>
            <w:pPr>
              <w:pStyle w:val="TableContents"/>
              <w:spacing w:before="40" w:after="40"/>
              <w:ind w:left="0" w:right="0" w:hanging="0"/>
              <w:rPr/>
            </w:pPr>
            <w:hyperlink w:anchor="Reportofindependentregisteredpublicaccou">
              <w:r>
                <w:rPr>
                  <w:rStyle w:val="InternetLink"/>
                  <w:rFonts w:ascii="Arial;Helvetica;sans-serif" w:hAnsi="Arial;Helvetica;sans-serif"/>
                  <w:b w:val="false"/>
                  <w:i w:val="false"/>
                  <w:caps w:val="false"/>
                  <w:smallCaps w:val="false"/>
                  <w:sz w:val="20"/>
                </w:rPr>
                <w:t>Report of Independent Registered Public Accounting Firm</w:t>
              </w:r>
            </w:hyperlink>
            <w:r>
              <w:rPr>
                <w:rFonts w:ascii="Arial;Helvetica;sans-serif" w:hAnsi="Arial;Helvetica;sans-serif"/>
                <w:sz w:val="20"/>
              </w:rPr>
              <w:t xml:space="preserve"> (PCAOB ID 42)</w:t>
            </w:r>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139</w:t>
            </w:r>
          </w:p>
        </w:tc>
      </w:tr>
      <w:tr>
        <w:trPr/>
        <w:tc>
          <w:tcPr>
            <w:tcW w:w="7966" w:type="dxa"/>
            <w:tcBorders/>
            <w:shd w:fill="auto" w:val="clear"/>
            <w:vAlign w:val="center"/>
          </w:tcPr>
          <w:p>
            <w:pPr>
              <w:pStyle w:val="TableContents"/>
              <w:spacing w:before="40" w:after="40"/>
              <w:ind w:left="0" w:right="0" w:hanging="0"/>
              <w:rPr/>
            </w:pPr>
            <w:hyperlink w:anchor="BalanceSheets_888915">
              <w:r>
                <w:rPr>
                  <w:rStyle w:val="InternetLink"/>
                  <w:rFonts w:ascii="Arial;Helvetica;sans-serif" w:hAnsi="Arial;Helvetica;sans-serif"/>
                  <w:b w:val="false"/>
                  <w:i w:val="false"/>
                  <w:caps w:val="false"/>
                  <w:smallCaps w:val="false"/>
                  <w:sz w:val="20"/>
                </w:rPr>
                <w:t>Consolidated Balance Sheets</w:t>
              </w:r>
            </w:hyperlink>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141</w:t>
            </w:r>
          </w:p>
        </w:tc>
      </w:tr>
      <w:tr>
        <w:trPr/>
        <w:tc>
          <w:tcPr>
            <w:tcW w:w="7966" w:type="dxa"/>
            <w:tcBorders/>
            <w:shd w:fill="auto" w:val="clear"/>
            <w:vAlign w:val="center"/>
          </w:tcPr>
          <w:p>
            <w:pPr>
              <w:pStyle w:val="TableContents"/>
              <w:spacing w:before="40" w:after="40"/>
              <w:ind w:left="0" w:right="0" w:hanging="0"/>
              <w:rPr/>
            </w:pPr>
            <w:hyperlink w:anchor="Statementsofoperationsandcomprehensivelo">
              <w:r>
                <w:rPr>
                  <w:rStyle w:val="InternetLink"/>
                  <w:rFonts w:ascii="Arial;Helvetica;sans-serif" w:hAnsi="Arial;Helvetica;sans-serif"/>
                  <w:b w:val="false"/>
                  <w:i w:val="false"/>
                  <w:caps w:val="false"/>
                  <w:smallCaps w:val="false"/>
                  <w:sz w:val="20"/>
                </w:rPr>
                <w:t>Consolidated Statements of Operations and Comprehensive Loss</w:t>
              </w:r>
            </w:hyperlink>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142</w:t>
            </w:r>
          </w:p>
        </w:tc>
      </w:tr>
      <w:tr>
        <w:trPr/>
        <w:tc>
          <w:tcPr>
            <w:tcW w:w="7966" w:type="dxa"/>
            <w:tcBorders/>
            <w:shd w:fill="auto" w:val="clear"/>
            <w:vAlign w:val="center"/>
          </w:tcPr>
          <w:p>
            <w:pPr>
              <w:pStyle w:val="TableContents"/>
              <w:spacing w:before="40" w:after="40"/>
              <w:ind w:left="0" w:right="0" w:hanging="0"/>
              <w:rPr/>
            </w:pPr>
            <w:hyperlink w:anchor="Statementsofconvertiblepreferredstockand">
              <w:r>
                <w:rPr>
                  <w:rStyle w:val="InternetLink"/>
                  <w:rFonts w:ascii="Arial;Helvetica;sans-serif" w:hAnsi="Arial;Helvetica;sans-serif"/>
                  <w:b w:val="false"/>
                  <w:i w:val="false"/>
                  <w:caps w:val="false"/>
                  <w:smallCaps w:val="false"/>
                  <w:sz w:val="20"/>
                </w:rPr>
                <w:t>Consolidated Statements of Convertible Preferred Stock and Stockholders’ Equity (Deficit)</w:t>
              </w:r>
            </w:hyperlink>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7966" w:type="dxa"/>
            <w:tcBorders/>
            <w:shd w:fill="auto" w:val="clear"/>
            <w:vAlign w:val="center"/>
          </w:tcPr>
          <w:p>
            <w:pPr>
              <w:pStyle w:val="TableContents"/>
              <w:spacing w:before="40" w:after="40"/>
              <w:ind w:left="0" w:right="0" w:hanging="0"/>
              <w:rPr/>
            </w:pPr>
            <w:hyperlink w:anchor="Statementsofcashflows_715120">
              <w:r>
                <w:rPr>
                  <w:rStyle w:val="InternetLink"/>
                  <w:rFonts w:ascii="Arial;Helvetica;sans-serif" w:hAnsi="Arial;Helvetica;sans-serif"/>
                  <w:b w:val="false"/>
                  <w:i w:val="false"/>
                  <w:caps w:val="false"/>
                  <w:smallCaps w:val="false"/>
                  <w:sz w:val="20"/>
                </w:rPr>
                <w:t>Consolidated Statements of Cash Flows</w:t>
              </w:r>
            </w:hyperlink>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144</w:t>
            </w:r>
          </w:p>
        </w:tc>
      </w:tr>
      <w:tr>
        <w:trPr/>
        <w:tc>
          <w:tcPr>
            <w:tcW w:w="7966" w:type="dxa"/>
            <w:tcBorders/>
            <w:shd w:fill="auto" w:val="clear"/>
            <w:vAlign w:val="center"/>
          </w:tcPr>
          <w:p>
            <w:pPr>
              <w:pStyle w:val="TableContents"/>
              <w:spacing w:before="40" w:after="40"/>
              <w:ind w:left="0" w:right="0" w:hanging="0"/>
              <w:rPr/>
            </w:pPr>
            <w:hyperlink w:anchor="Notestofinancialstatements_353872">
              <w:r>
                <w:rPr>
                  <w:rStyle w:val="InternetLink"/>
                  <w:rFonts w:ascii="Arial;Helvetica;sans-serif" w:hAnsi="Arial;Helvetica;sans-serif"/>
                  <w:b w:val="false"/>
                  <w:i w:val="false"/>
                  <w:caps w:val="false"/>
                  <w:smallCaps w:val="false"/>
                  <w:sz w:val="20"/>
                </w:rPr>
                <w:t>Notes to Consolidated Financial Statements</w:t>
              </w:r>
            </w:hyperlink>
          </w:p>
        </w:tc>
        <w:tc>
          <w:tcPr>
            <w:tcW w:w="601" w:type="dxa"/>
            <w:tcBorders/>
            <w:shd w:fill="auto" w:val="clear"/>
            <w:vAlign w:val="center"/>
          </w:tcPr>
          <w:p>
            <w:pPr>
              <w:pStyle w:val="TableContents"/>
              <w:spacing w:before="40" w:after="40"/>
              <w:ind w:left="0" w:right="0" w:hanging="0"/>
              <w:jc w:val="right"/>
              <w:rPr>
                <w:rFonts w:ascii="Arial;Helvetica;sans-serif" w:hAnsi="Arial;Helvetica;sans-serif"/>
                <w:sz w:val="20"/>
              </w:rPr>
            </w:pPr>
            <w:r>
              <w:rPr>
                <w:rFonts w:ascii="Arial;Helvetica;sans-serif" w:hAnsi="Arial;Helvetica;sans-serif"/>
                <w:sz w:val="20"/>
              </w:rPr>
              <w:t>145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hd w:fill="FFFFFF" w:val="clear"/>
        <w:spacing w:before="120" w:after="360"/>
        <w:ind w:left="0" w:right="0" w:hanging="0"/>
        <w:jc w:val="center"/>
        <w:rPr>
          <w:rFonts w:ascii="Arial;Helvetica;sans-serif" w:hAnsi="Arial;Helvetica;sans-serif"/>
          <w:b/>
          <w:sz w:val="20"/>
        </w:rPr>
      </w:pPr>
      <w:bookmarkStart w:id="87" w:name="Reportofindependentregisteredpublicaccou"/>
      <w:bookmarkStart w:id="88" w:name="_d2288a15_ab47_4107_b338_90ce5d4f72bd"/>
      <w:bookmarkEnd w:id="87"/>
      <w:bookmarkEnd w:id="88"/>
      <w:r>
        <w:rPr>
          <w:rFonts w:ascii="Arial;Helvetica;sans-serif" w:hAnsi="Arial;Helvetica;sans-serif"/>
          <w:b/>
          <w:sz w:val="20"/>
        </w:rPr>
        <w:t>Report of Independent Registered Public Accounting Firm</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To the Shareholders and the Board of Directors of Olema Pharmaceuticals, Inc.</w:t>
      </w:r>
    </w:p>
    <w:p>
      <w:pPr>
        <w:pStyle w:val="TextBody"/>
        <w:spacing w:before="240" w:after="240"/>
        <w:ind w:left="0" w:right="0" w:hanging="0"/>
        <w:jc w:val="both"/>
        <w:rPr>
          <w:rFonts w:ascii="Arial;Helvetica;sans-serif" w:hAnsi="Arial;Helvetica;sans-serif"/>
          <w:b/>
          <w:i/>
          <w:sz w:val="20"/>
        </w:rPr>
      </w:pPr>
      <w:r>
        <w:rPr>
          <w:rFonts w:ascii="Arial;Helvetica;sans-serif" w:hAnsi="Arial;Helvetica;sans-serif"/>
          <w:b/>
          <w:i/>
          <w:sz w:val="20"/>
        </w:rPr>
        <w:t>Opinion on the Financial Statements</w:t>
      </w:r>
    </w:p>
    <w:p>
      <w:pPr>
        <w:pStyle w:val="TextBody"/>
        <w:spacing w:before="0" w:after="240"/>
        <w:ind w:left="0" w:right="0" w:hanging="0"/>
        <w:jc w:val="both"/>
        <w:rPr>
          <w:rFonts w:ascii="Arial;Helvetica;sans-serif" w:hAnsi="Arial;Helvetica;sans-serif"/>
          <w:sz w:val="20"/>
        </w:rPr>
      </w:pPr>
      <w:bookmarkStart w:id="89" w:name="_Hlk33430774"/>
      <w:bookmarkEnd w:id="89"/>
      <w:r>
        <w:rPr>
          <w:rFonts w:ascii="Arial;Helvetica;sans-serif" w:hAnsi="Arial;Helvetica;sans-serif"/>
          <w:sz w:val="20"/>
        </w:rPr>
        <w:t>We have audited the accompanying consolidated balance sheets of Olema Pharmaceuticals, Inc.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Basis for Opinion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Adoption of ASU No.2016-02</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As discussed in Note 2 to the consolidated financial statements, the Company changed its method of accounting for leases in 2021 due to the adoption of Accounting Standards Update (ASU) No. 2016-02, </w:t>
      </w:r>
      <w:r>
        <w:rPr>
          <w:rFonts w:ascii="Arial;Helvetica;sans-serif" w:hAnsi="Arial;Helvetica;sans-serif"/>
          <w:i/>
          <w:sz w:val="20"/>
        </w:rPr>
        <w:t>Leases</w:t>
      </w:r>
      <w:r>
        <w:rPr>
          <w:rFonts w:ascii="Arial;Helvetica;sans-serif" w:hAnsi="Arial;Helvetica;sans-serif"/>
          <w:sz w:val="20"/>
        </w:rPr>
        <w:t xml:space="preserve"> (Topic 842), and the related amendments. </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Critical Audit Matters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communicating the critical audit matter below, providing a separate opinion on the critical audit matter or on the account or disclosure to which it relates.</w:t>
      </w:r>
    </w:p>
    <w:tbl>
      <w:tblPr>
        <w:tblW w:w="10205" w:type="dxa"/>
        <w:jc w:val="left"/>
        <w:tblInd w:w="0" w:type="dxa"/>
        <w:tblCellMar>
          <w:top w:w="0" w:type="dxa"/>
          <w:left w:w="0" w:type="dxa"/>
          <w:bottom w:w="0" w:type="dxa"/>
          <w:right w:w="0" w:type="dxa"/>
        </w:tblCellMar>
      </w:tblPr>
      <w:tblGrid>
        <w:gridCol w:w="1315"/>
        <w:gridCol w:w="8890"/>
      </w:tblGrid>
      <w:tr>
        <w:trPr/>
        <w:tc>
          <w:tcPr>
            <w:tcW w:w="1315" w:type="dxa"/>
            <w:tcBorders/>
            <w:shd w:fill="auto" w:val="clear"/>
            <w:vAlign w:val="center"/>
          </w:tcPr>
          <w:p>
            <w:pPr>
              <w:pStyle w:val="TableContents"/>
              <w:spacing w:before="0" w:after="0"/>
              <w:ind w:left="0" w:right="0" w:hanging="0"/>
              <w:rPr/>
            </w:pPr>
            <w:r>
              <w:rPr/>
              <w:t>​</w:t>
            </w:r>
          </w:p>
        </w:tc>
        <w:tc>
          <w:tcPr>
            <w:tcW w:w="8890" w:type="dxa"/>
            <w:tcBorders/>
            <w:shd w:fill="auto" w:val="clear"/>
            <w:vAlign w:val="center"/>
          </w:tcPr>
          <w:p>
            <w:pPr>
              <w:pStyle w:val="TableContents"/>
              <w:spacing w:before="0" w:after="283"/>
              <w:ind w:left="0" w:right="0" w:hanging="0"/>
              <w:rPr>
                <w:sz w:val="4"/>
                <w:szCs w:val="4"/>
              </w:rPr>
            </w:pPr>
            <w:r>
              <w:rPr>
                <w:sz w:val="4"/>
                <w:szCs w:val="4"/>
              </w:rPr>
            </w:r>
          </w:p>
        </w:tc>
      </w:tr>
      <w:tr>
        <w:trPr/>
        <w:tc>
          <w:tcPr>
            <w:tcW w:w="1315" w:type="dxa"/>
            <w:tcBorders/>
            <w:shd w:fill="auto" w:val="clear"/>
            <w:vAlign w:val="center"/>
          </w:tcPr>
          <w:p>
            <w:pPr>
              <w:pStyle w:val="TableContents"/>
              <w:spacing w:before="0" w:after="200"/>
              <w:ind w:left="0" w:right="0" w:hanging="0"/>
              <w:rPr/>
            </w:pPr>
            <w:r>
              <w:rPr/>
              <w:t>​</w:t>
            </w:r>
          </w:p>
        </w:tc>
        <w:tc>
          <w:tcPr>
            <w:tcW w:w="8890" w:type="dxa"/>
            <w:tcBorders/>
            <w:shd w:fill="auto" w:val="clear"/>
            <w:vAlign w:val="center"/>
          </w:tcPr>
          <w:p>
            <w:pPr>
              <w:pStyle w:val="TableContents"/>
              <w:spacing w:before="0" w:after="240"/>
              <w:ind w:left="0" w:right="0" w:hanging="0"/>
              <w:jc w:val="both"/>
              <w:rPr>
                <w:rFonts w:ascii="Arial;Helvetica;sans-serif" w:hAnsi="Arial;Helvetica;sans-serif"/>
                <w:b/>
                <w:i/>
                <w:sz w:val="20"/>
              </w:rPr>
            </w:pPr>
            <w:r>
              <w:rPr>
                <w:rFonts w:ascii="Arial;Helvetica;sans-serif" w:hAnsi="Arial;Helvetica;sans-serif"/>
                <w:b/>
                <w:i/>
                <w:sz w:val="20"/>
              </w:rPr>
              <w:t xml:space="preserve">Clinical Trial Accrual </w:t>
            </w:r>
          </w:p>
        </w:tc>
      </w:tr>
      <w:tr>
        <w:trPr/>
        <w:tc>
          <w:tcPr>
            <w:tcW w:w="1315" w:type="dxa"/>
            <w:tcBorders/>
            <w:shd w:fill="auto" w:val="clear"/>
            <w:vAlign w:val="center"/>
          </w:tcPr>
          <w:p>
            <w:pPr>
              <w:pStyle w:val="TableContents"/>
              <w:spacing w:before="0" w:after="240"/>
              <w:ind w:left="0" w:right="0" w:hanging="0"/>
              <w:jc w:val="both"/>
              <w:rPr>
                <w:rFonts w:ascii="Arial;Helvetica;sans-serif" w:hAnsi="Arial;Helvetica;sans-serif"/>
                <w:i/>
                <w:sz w:val="20"/>
              </w:rPr>
            </w:pPr>
            <w:r>
              <w:rPr>
                <w:rFonts w:ascii="Arial;Helvetica;sans-serif" w:hAnsi="Arial;Helvetica;sans-serif"/>
                <w:i/>
                <w:sz w:val="20"/>
              </w:rPr>
              <w:t>Description of the Matter</w:t>
            </w:r>
          </w:p>
          <w:p>
            <w:pPr>
              <w:pStyle w:val="TableContents"/>
              <w:spacing w:before="0" w:after="200"/>
              <w:ind w:left="0" w:right="0" w:hanging="0"/>
              <w:rPr/>
            </w:pPr>
            <w:r>
              <w:rPr/>
              <w:t>​</w:t>
            </w:r>
          </w:p>
        </w:tc>
        <w:tc>
          <w:tcPr>
            <w:tcW w:w="8890" w:type="dxa"/>
            <w:tcBorders/>
            <w:shd w:fill="auto" w:val="clear"/>
            <w:vAlign w:val="center"/>
          </w:tcPr>
          <w:p>
            <w:pPr>
              <w:pStyle w:val="TableContents"/>
              <w:spacing w:before="0" w:after="240"/>
              <w:ind w:left="0" w:right="0" w:hanging="0"/>
              <w:jc w:val="both"/>
              <w:rPr>
                <w:rFonts w:ascii="Arial;Helvetica;sans-serif" w:hAnsi="Arial;Helvetica;sans-serif"/>
                <w:sz w:val="20"/>
              </w:rPr>
            </w:pPr>
            <w:r>
              <w:rPr>
                <w:rFonts w:ascii="Arial;Helvetica;sans-serif" w:hAnsi="Arial;Helvetica;sans-serif"/>
                <w:sz w:val="20"/>
              </w:rPr>
              <w:t xml:space="preserve">As discussed in Note 2 in the consolidated financial statements, the Company enters into contracts with clinical research organizations (CRO) to conduct clinical services on their behalf. Judgments and estimates are required to determine the amounts accrued for estimated ongoing research and development costs. The Company analyzes the progress of the studies or clinical trials, including the phase or completion of activities, invoices received and contracted costs. </w:t>
            </w:r>
          </w:p>
          <w:p>
            <w:pPr>
              <w:pStyle w:val="TableContents"/>
              <w:spacing w:before="0" w:after="240"/>
              <w:ind w:left="0" w:right="0" w:hanging="0"/>
              <w:jc w:val="both"/>
              <w:rPr>
                <w:rFonts w:ascii="Arial;Helvetica;sans-serif" w:hAnsi="Arial;Helvetica;sans-serif"/>
                <w:sz w:val="20"/>
              </w:rPr>
            </w:pPr>
            <w:r>
              <w:rPr>
                <w:rFonts w:ascii="Arial;Helvetica;sans-serif" w:hAnsi="Arial;Helvetica;sans-serif"/>
                <w:sz w:val="20"/>
              </w:rPr>
              <w:t>Auditing the Company’s accrual for clinical trial costs is complex since the information necessary to estimate the accruals is accumulated from the CROs and the Company's assessment of that information is subject to variability and uncertainty. In addition, in certain circumstances, the determination of the nature and amounts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pStyle w:val="TableContents"/>
              <w:spacing w:before="0" w:after="200"/>
              <w:ind w:left="0" w:right="0" w:hanging="0"/>
              <w:jc w:val="both"/>
              <w:rPr/>
            </w:pPr>
            <w:r>
              <w:rPr/>
              <w:t>​</w:t>
            </w:r>
          </w:p>
        </w:tc>
      </w:tr>
      <w:tr>
        <w:trPr/>
        <w:tc>
          <w:tcPr>
            <w:tcW w:w="1315" w:type="dxa"/>
            <w:tcBorders/>
            <w:shd w:fill="auto" w:val="clear"/>
            <w:vAlign w:val="center"/>
          </w:tcPr>
          <w:p>
            <w:pPr>
              <w:pStyle w:val="TableContents"/>
              <w:spacing w:before="0" w:after="240"/>
              <w:ind w:left="0" w:right="0" w:hanging="0"/>
              <w:jc w:val="both"/>
              <w:rPr>
                <w:rFonts w:ascii="Arial;Helvetica;sans-serif" w:hAnsi="Arial;Helvetica;sans-serif"/>
                <w:i/>
                <w:sz w:val="20"/>
              </w:rPr>
            </w:pPr>
            <w:r>
              <w:rPr>
                <w:rFonts w:ascii="Arial;Helvetica;sans-serif" w:hAnsi="Arial;Helvetica;sans-serif"/>
                <w:i/>
                <w:sz w:val="20"/>
              </w:rPr>
              <w:t>How We Addressed the Matter in Our Audit</w:t>
            </w:r>
          </w:p>
          <w:p>
            <w:pPr>
              <w:pStyle w:val="TableContents"/>
              <w:spacing w:before="0" w:after="200"/>
              <w:ind w:left="0" w:right="0" w:hanging="0"/>
              <w:rPr>
                <w:highlight w:val="yellow"/>
              </w:rPr>
            </w:pPr>
            <w:r>
              <w:rPr>
                <w:highlight w:val="yellow"/>
              </w:rPr>
              <w:t>​</w:t>
            </w:r>
          </w:p>
        </w:tc>
        <w:tc>
          <w:tcPr>
            <w:tcW w:w="8890" w:type="dxa"/>
            <w:tcBorders/>
            <w:shd w:fill="auto" w:val="clear"/>
            <w:vAlign w:val="center"/>
          </w:tcPr>
          <w:p>
            <w:pPr>
              <w:pStyle w:val="TableContents"/>
              <w:spacing w:before="0" w:after="240"/>
              <w:ind w:left="0" w:right="0" w:hanging="0"/>
              <w:jc w:val="both"/>
              <w:rPr>
                <w:rFonts w:ascii="Arial;Helvetica;sans-serif" w:hAnsi="Arial;Helvetica;sans-serif"/>
                <w:sz w:val="20"/>
              </w:rPr>
            </w:pPr>
            <w:r>
              <w:rPr>
                <w:rFonts w:ascii="Arial;Helvetica;sans-serif" w:hAnsi="Arial;Helvetica;sans-serif"/>
                <w:sz w:val="20"/>
              </w:rPr>
              <w:t>We obtained an understanding, evaluated the design, and tested the operating effectiveness of internal controls that addressed the risks identified above related to the information used in the Company’s process for recording accrued clinical trial costs. For example, we tested controls over management’s review of clinical trial progress in comparison to information and invoices received from third parties and over the completeness and accuracy of data used to calculate the accrual.</w:t>
            </w:r>
          </w:p>
          <w:p>
            <w:pPr>
              <w:pStyle w:val="TableContents"/>
              <w:spacing w:before="0" w:after="240"/>
              <w:ind w:left="0" w:right="0" w:hanging="0"/>
              <w:jc w:val="both"/>
              <w:rPr>
                <w:rFonts w:ascii="Arial;Helvetica;sans-serif" w:hAnsi="Arial;Helvetica;sans-serif"/>
                <w:sz w:val="20"/>
              </w:rPr>
            </w:pPr>
            <w:r>
              <w:rPr>
                <w:rFonts w:ascii="Arial;Helvetica;sans-serif" w:hAnsi="Arial;Helvetica;sans-serif"/>
                <w:sz w:val="20"/>
              </w:rPr>
              <w:t>To test the clinical trial accrual, our audit procedures included, among others, reading a sample of the Company’s agreement contracts with the CROs to understand key financial and contractual terms and testing the accuracy and completeness of the underlying data used in the accrual computations. We also evaluated management’s estimates of the vendor’s progress for a sample of clinical trials by inquiring of the Company’s operations personnel overseeing the clinical trials and obtaining information directly from third party vendors regarding their estimate of costs that have been incurred through December 31, 2021. We analyzed the data underlying the accrual balance to evaluate the impact of reasonable changes in the data on the recorded amount of the clinical trial accrual.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tc>
      </w:tr>
    </w:tbl>
    <w:p>
      <w:pPr>
        <w:pStyle w:val="TextBody"/>
        <w:spacing w:before="0" w:after="0"/>
        <w:ind w:left="0" w:right="0" w:hanging="0"/>
        <w:rPr/>
      </w:pPr>
      <w:r>
        <w:rPr/>
        <w:t>​</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/s/ Ernst &amp; Young LLP</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We have served as the Company‘s auditor since 2020.</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Iselin, New Jersey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February 28, 2022</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val="false"/>
          <w:sz w:val="20"/>
        </w:rPr>
      </w:pPr>
      <w:bookmarkStart w:id="90" w:name="_b2ef55aa_c128_4d8f_8e54_ad6cbbb9b5dd"/>
      <w:bookmarkEnd w:id="90"/>
      <w:r>
        <w:rPr>
          <w:rFonts w:ascii="Arial;Helvetica;sans-serif" w:hAnsi="Arial;Helvetica;sans-serif"/>
          <w:b w:val="false"/>
          <w:sz w:val="20"/>
        </w:rPr>
        <w:t>Olema Pharmaceuticals, Inc.</w:t>
      </w:r>
    </w:p>
    <w:p>
      <w:pPr>
        <w:pStyle w:val="TextBody"/>
        <w:spacing w:before="0" w:after="0"/>
        <w:ind w:left="0" w:right="0" w:hanging="0"/>
        <w:jc w:val="both"/>
        <w:rPr>
          <w:rFonts w:ascii="Arial;Helvetica;sans-serif" w:hAnsi="Arial;Helvetica;sans-serif"/>
          <w:b w:val="false"/>
          <w:sz w:val="20"/>
        </w:rPr>
      </w:pPr>
      <w:bookmarkStart w:id="91" w:name="BalanceSheets_888915"/>
      <w:bookmarkEnd w:id="91"/>
      <w:r>
        <w:rPr>
          <w:rFonts w:ascii="Arial;Helvetica;sans-serif" w:hAnsi="Arial;Helvetica;sans-serif"/>
          <w:b w:val="false"/>
          <w:sz w:val="20"/>
        </w:rPr>
        <w:t>Consolidated Balance Sheets</w:t>
      </w:r>
    </w:p>
    <w:p>
      <w:pPr>
        <w:pStyle w:val="TextBody"/>
        <w:spacing w:before="0" w:after="0"/>
        <w:ind w:left="0" w:right="0" w:hanging="0"/>
        <w:jc w:val="both"/>
        <w:rPr>
          <w:rFonts w:ascii="Arial;Helvetica;sans-serif" w:hAnsi="Arial;Helvetica;sans-serif"/>
          <w:b w:val="false"/>
          <w:sz w:val="20"/>
        </w:rPr>
      </w:pPr>
      <w:r>
        <w:rPr>
          <w:rFonts w:ascii="Arial;Helvetica;sans-serif" w:hAnsi="Arial;Helvetica;sans-serif"/>
          <w:b w:val="false"/>
          <w:sz w:val="20"/>
        </w:rPr>
        <w:t>(Amounts in thousands, except share and per share amounts)</w:t>
      </w:r>
    </w:p>
    <w:p>
      <w:pPr>
        <w:pStyle w:val="TextBody"/>
        <w:pBdr>
          <w:bottom w:val="single" w:sz="12" w:space="1" w:color="000000"/>
        </w:pBdr>
        <w:spacing w:before="0" w:after="240"/>
        <w:ind w:left="0" w:right="0" w:hanging="0"/>
        <w:jc w:val="both"/>
        <w:rPr/>
      </w:pPr>
      <w:r>
        <w:rPr/>
        <w:t>​</w:t>
      </w:r>
    </w:p>
    <w:p>
      <w:pPr>
        <w:pStyle w:val="Normal"/>
        <w:spacing w:before="0" w:after="0"/>
        <w:rPr>
          <w:sz w:val="4"/>
          <w:szCs w:val="4"/>
        </w:rPr>
      </w:pPr>
      <w:r>
        <w:rPr>
          <w:sz w:val="4"/>
          <w:szCs w:val="4"/>
        </w:rPr>
      </w:r>
      <w:bookmarkStart w:id="92" w:name="Tc_59Pv0f23xk6MhbAfoIHABA_30_5"/>
      <w:bookmarkStart w:id="93" w:name="Tc_xYx6hhXX4E2Y-iu1Zz5D4A_30_2"/>
      <w:bookmarkStart w:id="94" w:name="Tc_39lB5JrCKEmLZv4T16aNxw_30_0"/>
      <w:bookmarkStart w:id="95" w:name="Tc_rqooH784jEyR-bByCqNX2Q_29_0"/>
      <w:bookmarkStart w:id="96" w:name="Tc_aWibQLpxHUWWZ4rDVw6sGg_28_0"/>
      <w:bookmarkStart w:id="97" w:name="Tc_gf7i_D6dDkGcDFJ2zdifsQ_27_6"/>
      <w:bookmarkStart w:id="98" w:name="Tc_RCLbtsq5w0W8JGmSqQECjQ_27_0"/>
      <w:bookmarkStart w:id="99" w:name="Tc_nwYhrJ1LtU2yjd7kX5TnhA_26_0"/>
      <w:bookmarkStart w:id="100" w:name="Tc_jLkjvoCL8E61IFUuCoxI5g_25_0"/>
      <w:bookmarkStart w:id="101" w:name="_b369a779_72c1_46ea_bf9f_9426fa12db1a_3"/>
      <w:bookmarkStart w:id="102" w:name="_b369a779_72c1_46ea_bf9f_9426fa12db1a_2"/>
      <w:bookmarkStart w:id="103" w:name="_b369a779_72c1_46ea_bf9f_9426fa12db1a"/>
      <w:bookmarkStart w:id="104" w:name="Tc_kIJXPQCaZUGSwBYvDN_Eog_24_0"/>
      <w:bookmarkStart w:id="105" w:name="Tc_1pfKxZFF6k6Enp38efI5og_23_0"/>
      <w:bookmarkStart w:id="106" w:name="Tc_powaZqgvrku8znX71k1oeA_22_0"/>
      <w:bookmarkStart w:id="107" w:name="Tc_ZP5NxzTX-U2wnGCmlWBK3g_21_0"/>
      <w:bookmarkStart w:id="108" w:name="Tc_NpHJf2uqWEmAZUBPuT2XZQ_20_6"/>
      <w:bookmarkStart w:id="109" w:name="Tc_Sc4nfUO6uUCAmDvNarWlMw_20_0"/>
      <w:bookmarkStart w:id="110" w:name="Tc_CIw1yL1w2EWsyXG8hTNlXw_19_0"/>
      <w:bookmarkStart w:id="111" w:name="Tc__-s0Q6E3KEGtGsQ4onJ4Sw_18_0"/>
      <w:bookmarkStart w:id="112" w:name="Tc_Ke4bUZokE02sl1IGKU-9uA_17_6"/>
      <w:bookmarkStart w:id="113" w:name="Tc_PumbyysgCUyGKNwwAZRftg_17_0"/>
      <w:bookmarkStart w:id="114" w:name="Tc_0r6qpXKTx02scrm7620AoQ_16_5"/>
      <w:bookmarkStart w:id="115" w:name="Tc_YxNlTO82MEGEYVOp1-sCrw_16_2"/>
      <w:bookmarkStart w:id="116" w:name="Tc_LbZklKX0TUOxuWPVWTJaJQ_16_0"/>
      <w:bookmarkStart w:id="117" w:name="Tc_5K5y8QbdAUG4WHFCBr6qrA_15_0"/>
      <w:bookmarkStart w:id="118" w:name="Tc_VResnCic3E6FSQHS9rdUUQ_14_0"/>
      <w:bookmarkStart w:id="119" w:name="Tc_dMAuWyk0tUKZohud2FNAKQ_12_5"/>
      <w:bookmarkStart w:id="120" w:name="Tc_P1lpMsiGb0uBDi2tej3DgQ_12_2"/>
      <w:bookmarkStart w:id="121" w:name="Tc_poEdw9VUp0OfgUFHh9n3bQ_12_0"/>
      <w:bookmarkStart w:id="122" w:name="Tc_w39UZ-zY6UWr5WYVZlY1FQ_11_0"/>
      <w:bookmarkStart w:id="123" w:name="Tc_ulwmhlsUeEGYOJdeQrh4FQ_10_6"/>
      <w:bookmarkStart w:id="124" w:name="Tc_x2A9m_56NEWrK0JBeXsE1Q_10_0"/>
      <w:bookmarkStart w:id="125" w:name="Tc_BTvbeKIPmUGkqrvCl-9jRA_9_0"/>
      <w:bookmarkStart w:id="126" w:name="Tc_3aVEbrT-hUK8EENTBHMGsA_8_0"/>
      <w:bookmarkStart w:id="127" w:name="Tc_N6V9IGPscUu-QhS8j_Xo9w_7_0"/>
      <w:bookmarkStart w:id="128" w:name="Tc_dXk8IQ6DY0uqi9yOpgwWxg_6_6"/>
      <w:bookmarkStart w:id="129" w:name="Tc_IvPc1XFjSkGoczAolrywtQ_6_0"/>
      <w:bookmarkStart w:id="130" w:name="Tc_JA5T72TTBE2bGLhtBRdhTA_5_5"/>
      <w:bookmarkStart w:id="131" w:name="Tc_txUeaTrWN0iYs0UijOJXpw_5_2"/>
      <w:bookmarkStart w:id="132" w:name="Tc_cI0phQ3cWkmNXyh9QN3LVg_5_0"/>
      <w:bookmarkStart w:id="133" w:name="Tc_G5n5eChr80Sh4ipO4W7GgQ_4_0"/>
      <w:bookmarkStart w:id="134" w:name="Tc_IpA3b_J6U0Ci1icXEzUQqA_3_0"/>
      <w:bookmarkStart w:id="135" w:name="Tc_3JaUSe16xEOPw7Ewa6ke6w_2_5"/>
      <w:bookmarkStart w:id="136" w:name="Tc_-np30iIp90yikDgXrcnYpg_2_2"/>
      <w:bookmarkStart w:id="137" w:name="Tc_Ac0ywOU610ObaYwFu6LZiw_1_6"/>
      <w:bookmarkStart w:id="138" w:name="Tc_4MarMqXIzkuCyxofXPKueA_1_3"/>
      <w:bookmarkStart w:id="139" w:name="_c56ceb40_b24f_4ff8_9eb8_53b121635cff"/>
      <w:bookmarkStart w:id="140" w:name="Tc_59Pv0f23xk6MhbAfoIHABA_30_5"/>
      <w:bookmarkStart w:id="141" w:name="Tc_xYx6hhXX4E2Y-iu1Zz5D4A_30_2"/>
      <w:bookmarkStart w:id="142" w:name="Tc_39lB5JrCKEmLZv4T16aNxw_30_0"/>
      <w:bookmarkStart w:id="143" w:name="Tc_rqooH784jEyR-bByCqNX2Q_29_0"/>
      <w:bookmarkStart w:id="144" w:name="Tc_aWibQLpxHUWWZ4rDVw6sGg_28_0"/>
      <w:bookmarkStart w:id="145" w:name="Tc_gf7i_D6dDkGcDFJ2zdifsQ_27_6"/>
      <w:bookmarkStart w:id="146" w:name="Tc_RCLbtsq5w0W8JGmSqQECjQ_27_0"/>
      <w:bookmarkStart w:id="147" w:name="Tc_nwYhrJ1LtU2yjd7kX5TnhA_26_0"/>
      <w:bookmarkStart w:id="148" w:name="Tc_jLkjvoCL8E61IFUuCoxI5g_25_0"/>
      <w:bookmarkStart w:id="149" w:name="_b369a779_72c1_46ea_bf9f_9426fa12db1a_3"/>
      <w:bookmarkStart w:id="150" w:name="_b369a779_72c1_46ea_bf9f_9426fa12db1a_2"/>
      <w:bookmarkStart w:id="151" w:name="_b369a779_72c1_46ea_bf9f_9426fa12db1a"/>
      <w:bookmarkStart w:id="152" w:name="Tc_kIJXPQCaZUGSwBYvDN_Eog_24_0"/>
      <w:bookmarkStart w:id="153" w:name="Tc_1pfKxZFF6k6Enp38efI5og_23_0"/>
      <w:bookmarkStart w:id="154" w:name="Tc_powaZqgvrku8znX71k1oeA_22_0"/>
      <w:bookmarkStart w:id="155" w:name="Tc_ZP5NxzTX-U2wnGCmlWBK3g_21_0"/>
      <w:bookmarkStart w:id="156" w:name="Tc_NpHJf2uqWEmAZUBPuT2XZQ_20_6"/>
      <w:bookmarkStart w:id="157" w:name="Tc_Sc4nfUO6uUCAmDvNarWlMw_20_0"/>
      <w:bookmarkStart w:id="158" w:name="Tc_CIw1yL1w2EWsyXG8hTNlXw_19_0"/>
      <w:bookmarkStart w:id="159" w:name="Tc__-s0Q6E3KEGtGsQ4onJ4Sw_18_0"/>
      <w:bookmarkStart w:id="160" w:name="Tc_Ke4bUZokE02sl1IGKU-9uA_17_6"/>
      <w:bookmarkStart w:id="161" w:name="Tc_PumbyysgCUyGKNwwAZRftg_17_0"/>
      <w:bookmarkStart w:id="162" w:name="Tc_0r6qpXKTx02scrm7620AoQ_16_5"/>
      <w:bookmarkStart w:id="163" w:name="Tc_YxNlTO82MEGEYVOp1-sCrw_16_2"/>
      <w:bookmarkStart w:id="164" w:name="Tc_LbZklKX0TUOxuWPVWTJaJQ_16_0"/>
      <w:bookmarkStart w:id="165" w:name="Tc_5K5y8QbdAUG4WHFCBr6qrA_15_0"/>
      <w:bookmarkStart w:id="166" w:name="Tc_VResnCic3E6FSQHS9rdUUQ_14_0"/>
      <w:bookmarkStart w:id="167" w:name="Tc_dMAuWyk0tUKZohud2FNAKQ_12_5"/>
      <w:bookmarkStart w:id="168" w:name="Tc_P1lpMsiGb0uBDi2tej3DgQ_12_2"/>
      <w:bookmarkStart w:id="169" w:name="Tc_poEdw9VUp0OfgUFHh9n3bQ_12_0"/>
      <w:bookmarkStart w:id="170" w:name="Tc_w39UZ-zY6UWr5WYVZlY1FQ_11_0"/>
      <w:bookmarkStart w:id="171" w:name="Tc_ulwmhlsUeEGYOJdeQrh4FQ_10_6"/>
      <w:bookmarkStart w:id="172" w:name="Tc_x2A9m_56NEWrK0JBeXsE1Q_10_0"/>
      <w:bookmarkStart w:id="173" w:name="Tc_BTvbeKIPmUGkqrvCl-9jRA_9_0"/>
      <w:bookmarkStart w:id="174" w:name="Tc_3aVEbrT-hUK8EENTBHMGsA_8_0"/>
      <w:bookmarkStart w:id="175" w:name="Tc_N6V9IGPscUu-QhS8j_Xo9w_7_0"/>
      <w:bookmarkStart w:id="176" w:name="Tc_dXk8IQ6DY0uqi9yOpgwWxg_6_6"/>
      <w:bookmarkStart w:id="177" w:name="Tc_IvPc1XFjSkGoczAolrywtQ_6_0"/>
      <w:bookmarkStart w:id="178" w:name="Tc_JA5T72TTBE2bGLhtBRdhTA_5_5"/>
      <w:bookmarkStart w:id="179" w:name="Tc_txUeaTrWN0iYs0UijOJXpw_5_2"/>
      <w:bookmarkStart w:id="180" w:name="Tc_cI0phQ3cWkmNXyh9QN3LVg_5_0"/>
      <w:bookmarkStart w:id="181" w:name="Tc_G5n5eChr80Sh4ipO4W7GgQ_4_0"/>
      <w:bookmarkStart w:id="182" w:name="Tc_IpA3b_J6U0Ci1icXEzUQqA_3_0"/>
      <w:bookmarkStart w:id="183" w:name="Tc_3JaUSe16xEOPw7Ewa6ke6w_2_5"/>
      <w:bookmarkStart w:id="184" w:name="Tc_-np30iIp90yikDgXrcnYpg_2_2"/>
      <w:bookmarkStart w:id="185" w:name="Tc_Ac0ywOU610ObaYwFu6LZiw_1_6"/>
      <w:bookmarkStart w:id="186" w:name="Tc_4MarMqXIzkuCyxofXPKueA_1_3"/>
      <w:bookmarkStart w:id="187" w:name="_c56ceb40_b24f_4ff8_9eb8_53b121635cff"/>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bl>
      <w:tblPr>
        <w:tblW w:w="10205" w:type="dxa"/>
        <w:jc w:val="left"/>
        <w:tblInd w:w="0" w:type="dxa"/>
        <w:tblCellMar>
          <w:top w:w="0" w:type="dxa"/>
          <w:left w:w="0" w:type="dxa"/>
          <w:bottom w:w="0" w:type="dxa"/>
          <w:right w:w="0" w:type="dxa"/>
        </w:tblCellMar>
      </w:tblPr>
      <w:tblGrid>
        <w:gridCol w:w="6799"/>
        <w:gridCol w:w="326"/>
        <w:gridCol w:w="211"/>
        <w:gridCol w:w="1143"/>
        <w:gridCol w:w="326"/>
        <w:gridCol w:w="211"/>
        <w:gridCol w:w="1189"/>
      </w:tblGrid>
      <w:tr>
        <w:trPr/>
        <w:tc>
          <w:tcPr>
            <w:tcW w:w="6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17365" cy="175260"/>
                      <wp:effectExtent l="0" t="0" r="0" b="0"/>
                      <wp:wrapNone/>
                      <wp:docPr id="83" name="Frame51"/>
                      <a:graphic xmlns:a="http://schemas.openxmlformats.org/drawingml/2006/main">
                        <a:graphicData uri="http://schemas.microsoft.com/office/word/2010/wordprocessingShape">
                          <wps:wsp>
                            <wps:cNvSpPr txBox="1"/>
                            <wps:spPr>
                              <a:xfrm>
                                <a:off x="0" y="0"/>
                                <a:ext cx="4317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4"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5"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25805" cy="175260"/>
                      <wp:effectExtent l="0" t="0" r="0" b="0"/>
                      <wp:wrapNone/>
                      <wp:docPr id="86" name="Frame54"/>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7"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88" name="Frame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55015" cy="175260"/>
                      <wp:effectExtent l="0" t="0" r="0" b="0"/>
                      <wp:wrapNone/>
                      <wp:docPr id="89" name="Frame57"/>
                      <a:graphic xmlns:a="http://schemas.openxmlformats.org/drawingml/2006/main">
                        <a:graphicData uri="http://schemas.microsoft.com/office/word/2010/wordprocessingShape">
                          <wps:wsp>
                            <wps:cNvSpPr txBox="1"/>
                            <wps:spPr>
                              <a:xfrm>
                                <a:off x="0" y="0"/>
                                <a:ext cx="755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99"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pPr>
            <w:r>
              <w:rPr/>
              <w:t>​</w:t>
            </w:r>
          </w:p>
        </w:tc>
        <w:tc>
          <w:tcPr>
            <w:tcW w:w="11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color w:val="231F20"/>
              </w:rPr>
            </w:pPr>
            <w:r>
              <w:rPr>
                <w:color w:val="231F20"/>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color w:val="231F20"/>
              </w:rPr>
            </w:pPr>
            <w:r>
              <w:rPr>
                <w:color w:val="231F20"/>
              </w:rPr>
              <w:t>​</w:t>
            </w:r>
          </w:p>
        </w:tc>
        <w:tc>
          <w:tcPr>
            <w:tcW w:w="11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79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5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4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2020</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9" w:type="dxa"/>
            <w:tcBorders/>
            <w:shd w:fill="CCEEFF" w:val="clear"/>
            <w:vAlign w:val="center"/>
          </w:tcPr>
          <w:p>
            <w:pPr>
              <w:pStyle w:val="TableContents"/>
              <w:spacing w:before="0" w:after="1"/>
              <w:ind w:left="0" w:right="0" w:hanging="0"/>
              <w:jc w:val="right"/>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9" w:type="dxa"/>
            <w:tcBorders/>
            <w:shd w:fill="auto" w:val="clear"/>
            <w:vAlign w:val="center"/>
          </w:tcPr>
          <w:p>
            <w:pPr>
              <w:pStyle w:val="TableContents"/>
              <w:spacing w:before="0" w:after="1"/>
              <w:ind w:left="0" w:right="0" w:hanging="0"/>
              <w:jc w:val="right"/>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spacing w:before="0" w:after="1"/>
              <w:ind w:left="0" w:right="0" w:hanging="0"/>
              <w:jc w:val="center"/>
              <w:rPr/>
            </w:pPr>
            <w:r>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13,812</w:t>
            </w:r>
          </w:p>
        </w:tc>
        <w:tc>
          <w:tcPr>
            <w:tcW w:w="326" w:type="dxa"/>
            <w:tcBorders/>
            <w:shd w:fill="CCEEFF" w:val="clear"/>
            <w:vAlign w:val="center"/>
          </w:tcPr>
          <w:p>
            <w:pPr>
              <w:pStyle w:val="TableContents"/>
              <w:spacing w:before="0" w:after="1"/>
              <w:ind w:left="0" w:right="0" w:hanging="0"/>
              <w:jc w:val="center"/>
              <w:rPr/>
            </w:pPr>
            <w:r>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338,549</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Marketable securities</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273,438</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89" w:type="dxa"/>
            <w:tcBorders/>
            <w:shd w:fill="auto" w:val="clear"/>
            <w:vAlign w:val="center"/>
          </w:tcPr>
          <w:p>
            <w:pPr>
              <w:pStyle w:val="TableContents"/>
              <w:spacing w:before="0" w:after="1"/>
              <w:ind w:left="0" w:right="0" w:hanging="0"/>
              <w:jc w:val="right"/>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Prepaid expenses and other current assets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231F20"/>
            </w:tcBorders>
            <w:shd w:fill="CCEEFF" w:val="clear"/>
            <w:tcMar>
              <w:bottom w:w="28" w:type="dxa"/>
            </w:tcMar>
            <w:vAlign w:val="center"/>
          </w:tcPr>
          <w:p>
            <w:pPr>
              <w:pStyle w:val="TableContents"/>
              <w:spacing w:before="0" w:after="1"/>
              <w:ind w:left="0" w:right="0" w:hanging="0"/>
              <w:jc w:val="right"/>
              <w:rPr/>
            </w:pPr>
            <w:r>
              <w:rPr/>
              <w:t> </w:t>
            </w:r>
          </w:p>
        </w:tc>
        <w:tc>
          <w:tcPr>
            <w:tcW w:w="1143" w:type="dxa"/>
            <w:tcBorders>
              <w:bottom w:val="single" w:sz="2" w:space="0" w:color="231F2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3,435</w:t>
            </w:r>
          </w:p>
        </w:tc>
        <w:tc>
          <w:tcPr>
            <w:tcW w:w="326" w:type="dxa"/>
            <w:tcBorders>
              <w:bottom w:val="single" w:sz="2" w:space="0" w:color="231F2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231F20"/>
            </w:tcBorders>
            <w:shd w:fill="CCEEFF" w:val="clear"/>
            <w:tcMar>
              <w:bottom w:w="28" w:type="dxa"/>
            </w:tcMar>
            <w:vAlign w:val="center"/>
          </w:tcPr>
          <w:p>
            <w:pPr>
              <w:pStyle w:val="TableContents"/>
              <w:spacing w:before="0" w:after="1"/>
              <w:ind w:left="0" w:right="0" w:hanging="0"/>
              <w:jc w:val="right"/>
              <w:rPr/>
            </w:pPr>
            <w:r>
              <w:rPr/>
              <w:t> </w:t>
            </w:r>
          </w:p>
        </w:tc>
        <w:tc>
          <w:tcPr>
            <w:tcW w:w="1189" w:type="dxa"/>
            <w:tcBorders>
              <w:bottom w:val="single" w:sz="2" w:space="0" w:color="231F2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3,588</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114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290,685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 </w:t>
            </w:r>
          </w:p>
        </w:tc>
        <w:tc>
          <w:tcPr>
            <w:tcW w:w="118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342,137</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 </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 </w:t>
            </w:r>
          </w:p>
        </w:tc>
        <w:tc>
          <w:tcPr>
            <w:tcW w:w="118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75</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3,246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89" w:type="dxa"/>
            <w:tcBorders/>
            <w:shd w:fill="auto" w:val="clear"/>
            <w:vAlign w:val="center"/>
          </w:tcPr>
          <w:p>
            <w:pPr>
              <w:pStyle w:val="TableContents"/>
              <w:spacing w:before="0" w:after="1"/>
              <w:ind w:left="0" w:right="0" w:hanging="0"/>
              <w:jc w:val="right"/>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Other assets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231F20"/>
            </w:tcBorders>
            <w:shd w:fill="CCEEFF" w:val="clear"/>
            <w:tcMar>
              <w:bottom w:w="28" w:type="dxa"/>
            </w:tcMar>
            <w:vAlign w:val="center"/>
          </w:tcPr>
          <w:p>
            <w:pPr>
              <w:pStyle w:val="TableContents"/>
              <w:spacing w:before="0" w:after="1"/>
              <w:ind w:left="0" w:right="0" w:hanging="0"/>
              <w:jc w:val="right"/>
              <w:rPr/>
            </w:pPr>
            <w:r>
              <w:rPr/>
              <w:t> </w:t>
            </w:r>
          </w:p>
        </w:tc>
        <w:tc>
          <w:tcPr>
            <w:tcW w:w="1143" w:type="dxa"/>
            <w:tcBorders>
              <w:bottom w:val="single" w:sz="2" w:space="0" w:color="231F2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540</w:t>
            </w:r>
          </w:p>
        </w:tc>
        <w:tc>
          <w:tcPr>
            <w:tcW w:w="326" w:type="dxa"/>
            <w:tcBorders>
              <w:bottom w:val="single" w:sz="2" w:space="0" w:color="231F2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231F20"/>
            </w:tcBorders>
            <w:shd w:fill="CCEEFF" w:val="clear"/>
            <w:tcMar>
              <w:bottom w:w="28" w:type="dxa"/>
            </w:tcMar>
            <w:vAlign w:val="center"/>
          </w:tcPr>
          <w:p>
            <w:pPr>
              <w:pStyle w:val="TableContents"/>
              <w:spacing w:before="0" w:after="1"/>
              <w:ind w:left="0" w:right="0" w:hanging="0"/>
              <w:jc w:val="right"/>
              <w:rPr/>
            </w:pPr>
            <w:r>
              <w:rPr/>
              <w:t> </w:t>
            </w:r>
          </w:p>
        </w:tc>
        <w:tc>
          <w:tcPr>
            <w:tcW w:w="1189" w:type="dxa"/>
            <w:tcBorders>
              <w:bottom w:val="single" w:sz="2" w:space="0" w:color="231F2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510</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Total assets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295,945</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342,722</w:t>
            </w:r>
          </w:p>
        </w:tc>
      </w:tr>
      <w:tr>
        <w:trPr/>
        <w:tc>
          <w:tcPr>
            <w:tcW w:w="679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89" w:type="dxa"/>
            <w:tcBorders/>
            <w:shd w:fill="CCEEFF" w:val="clear"/>
            <w:vAlign w:val="center"/>
          </w:tcPr>
          <w:p>
            <w:pPr>
              <w:pStyle w:val="TableContents"/>
              <w:spacing w:before="0" w:after="1"/>
              <w:ind w:left="0" w:right="0" w:hanging="0"/>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Liabilities and stockholders’ equity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89" w:type="dxa"/>
            <w:tcBorders/>
            <w:shd w:fill="auto" w:val="clear"/>
            <w:vAlign w:val="center"/>
          </w:tcPr>
          <w:p>
            <w:pPr>
              <w:pStyle w:val="TableContents"/>
              <w:spacing w:before="0" w:after="1"/>
              <w:ind w:left="0" w:right="0" w:hanging="0"/>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89" w:type="dxa"/>
            <w:tcBorders/>
            <w:shd w:fill="CCEEFF" w:val="clear"/>
            <w:vAlign w:val="center"/>
          </w:tcPr>
          <w:p>
            <w:pPr>
              <w:pStyle w:val="TableContents"/>
              <w:spacing w:before="0" w:after="1"/>
              <w:ind w:left="0" w:right="0" w:hanging="0"/>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Accounts payable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4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719</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Operating lease liabilities, current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89" w:type="dxa"/>
            <w:tcBorders/>
            <w:shd w:fill="CCEEFF" w:val="clear"/>
            <w:vAlign w:val="center"/>
          </w:tcPr>
          <w:p>
            <w:pPr>
              <w:pStyle w:val="TableContents"/>
              <w:spacing w:before="0" w:after="1"/>
              <w:ind w:left="0" w:right="0" w:hanging="0"/>
              <w:jc w:val="right"/>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8,065</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11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3,866</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9,019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 </w:t>
            </w:r>
          </w:p>
        </w:tc>
        <w:tc>
          <w:tcPr>
            <w:tcW w:w="118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4,585</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2,358</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18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1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11,377</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11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4,585</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Commitments and contingencies (Note 14)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89" w:type="dxa"/>
            <w:tcBorders/>
            <w:shd w:fill="auto" w:val="clear"/>
            <w:vAlign w:val="center"/>
          </w:tcPr>
          <w:p>
            <w:pPr>
              <w:pStyle w:val="TableContents"/>
              <w:spacing w:before="0" w:after="1"/>
              <w:ind w:left="0" w:right="0" w:hanging="0"/>
              <w:jc w:val="right"/>
              <w:rPr/>
            </w:pPr>
            <w:r>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89" w:type="dxa"/>
            <w:tcBorders/>
            <w:shd w:fill="CCEEFF" w:val="clear"/>
            <w:vAlign w:val="center"/>
          </w:tcPr>
          <w:p>
            <w:pPr>
              <w:pStyle w:val="TableContents"/>
              <w:spacing w:before="0" w:after="1"/>
              <w:ind w:left="0" w:right="0" w:hanging="0"/>
              <w:jc w:val="right"/>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 xml:space="preserve">Preferred stock, $0.0001 par value; 10,000,000 shares authorized as of December 31, 2021 and December 31, 2020; no shares issued and outstanding as of December 31, 2021 and December 31, 2020.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89"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Common stock, $0.0001 par value; 490,000,000 shares authorized as of December 31, 2021 and December 31, 2020; 40,337,046 and 40,169,738 shares issued as of December 31, 2021 and December 31, 2020, respectively; 39,797,263 and 39,308,238 shares outstanding as of December 31, 2021 and December 31, 2020, respectively.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color w:val="231F20"/>
              </w:rPr>
            </w:pPr>
            <w:r>
              <w:rPr>
                <w:color w:val="231F20"/>
              </w:rPr>
              <w:t> </w:t>
            </w:r>
          </w:p>
        </w:tc>
        <w:tc>
          <w:tcPr>
            <w:tcW w:w="1189"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Additional paid-in capital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114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388,904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color w:val="231F20"/>
              </w:rPr>
            </w:pPr>
            <w:r>
              <w:rPr>
                <w:color w:val="231F20"/>
              </w:rPr>
              <w:t> </w:t>
            </w:r>
          </w:p>
        </w:tc>
        <w:tc>
          <w:tcPr>
            <w:tcW w:w="1189"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371,228</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Accumulated other comprehensive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pPr>
            <w:r>
              <w:rPr/>
              <w:t>​</w:t>
            </w:r>
          </w:p>
        </w:tc>
        <w:tc>
          <w:tcPr>
            <w:tcW w:w="114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color w:val="231F20"/>
              </w:rPr>
            </w:pPr>
            <w:r>
              <w:rPr>
                <w:color w:val="231F20"/>
              </w:rPr>
              <w:t>​</w:t>
            </w:r>
          </w:p>
        </w:tc>
        <w:tc>
          <w:tcPr>
            <w:tcW w:w="1189" w:type="dxa"/>
            <w:tcBorders/>
            <w:shd w:fill="CCEEFF" w:val="clear"/>
            <w:vAlign w:val="center"/>
          </w:tcPr>
          <w:p>
            <w:pPr>
              <w:pStyle w:val="TableContents"/>
              <w:spacing w:before="0" w:after="1"/>
              <w:ind w:left="0" w:right="0" w:hanging="0"/>
              <w:jc w:val="right"/>
              <w:rPr/>
            </w:pPr>
            <w:r>
              <w:rPr/>
              <w:t>—</w:t>
            </w:r>
          </w:p>
        </w:tc>
      </w:tr>
      <w:tr>
        <w:trPr/>
        <w:tc>
          <w:tcPr>
            <w:tcW w:w="6799"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Accumulated deficit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(104,190)</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 </w:t>
            </w:r>
          </w:p>
        </w:tc>
        <w:tc>
          <w:tcPr>
            <w:tcW w:w="118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(33,094)</w:t>
            </w:r>
          </w:p>
        </w:tc>
      </w:tr>
      <w:tr>
        <w:trPr/>
        <w:tc>
          <w:tcPr>
            <w:tcW w:w="6799"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Total stockholders’ equity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1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284,568</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 </w:t>
            </w:r>
          </w:p>
        </w:tc>
        <w:tc>
          <w:tcPr>
            <w:tcW w:w="118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338,137</w:t>
            </w:r>
          </w:p>
        </w:tc>
      </w:tr>
      <w:tr>
        <w:trPr/>
        <w:tc>
          <w:tcPr>
            <w:tcW w:w="6799"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Total liabilities and stockholders’ equity</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295,945</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1189"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Arial;Helvetica;sans-serif" w:hAnsi="Arial;Helvetica;sans-serif"/>
                <w:color w:val="231F20"/>
                <w:sz w:val="20"/>
              </w:rPr>
            </w:pPr>
            <w:r>
              <w:rPr>
                <w:rFonts w:ascii="Arial;Helvetica;sans-serif" w:hAnsi="Arial;Helvetica;sans-serif"/>
                <w:color w:val="231F20"/>
                <w:sz w:val="20"/>
              </w:rPr>
              <w:t>342,722</w:t>
            </w:r>
          </w:p>
        </w:tc>
      </w:tr>
    </w:tbl>
    <w:p>
      <w:pPr>
        <w:pStyle w:val="TextBody"/>
        <w:spacing w:before="0" w:after="240"/>
        <w:ind w:left="0" w:right="0" w:hanging="0"/>
        <w:jc w:val="both"/>
        <w:rPr/>
      </w:pPr>
      <w:r>
        <w:rPr/>
        <w:t>​</w:t>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val="false"/>
          <w:sz w:val="20"/>
        </w:rPr>
      </w:pPr>
      <w:bookmarkStart w:id="188" w:name="_b1bfec6a_2bbf_419d_a356_84f3f0270c2e"/>
      <w:bookmarkEnd w:id="188"/>
      <w:r>
        <w:rPr>
          <w:rFonts w:ascii="Arial;Helvetica;sans-serif" w:hAnsi="Arial;Helvetica;sans-serif"/>
          <w:b w:val="false"/>
          <w:sz w:val="20"/>
        </w:rPr>
        <w:t>Olema Pharmaceuticals, Inc.</w:t>
      </w:r>
    </w:p>
    <w:p>
      <w:pPr>
        <w:pStyle w:val="TextBody"/>
        <w:spacing w:before="0" w:after="0"/>
        <w:ind w:left="0" w:right="0" w:hanging="0"/>
        <w:jc w:val="both"/>
        <w:rPr>
          <w:rFonts w:ascii="Arial;Helvetica;sans-serif" w:hAnsi="Arial;Helvetica;sans-serif"/>
          <w:b w:val="false"/>
          <w:sz w:val="20"/>
        </w:rPr>
      </w:pPr>
      <w:bookmarkStart w:id="189" w:name="Statementsofoperationsandcomprehensivelo"/>
      <w:bookmarkEnd w:id="189"/>
      <w:r>
        <w:rPr>
          <w:rFonts w:ascii="Arial;Helvetica;sans-serif" w:hAnsi="Arial;Helvetica;sans-serif"/>
          <w:b w:val="false"/>
          <w:sz w:val="20"/>
        </w:rPr>
        <w:t>Consolidated Statements of Operations and Comprehensive Loss</w:t>
      </w:r>
    </w:p>
    <w:p>
      <w:pPr>
        <w:pStyle w:val="TextBody"/>
        <w:spacing w:before="0" w:after="0"/>
        <w:ind w:left="0" w:right="0" w:hanging="0"/>
        <w:jc w:val="both"/>
        <w:rPr>
          <w:rFonts w:ascii="Arial;Helvetica;sans-serif" w:hAnsi="Arial;Helvetica;sans-serif"/>
          <w:b w:val="false"/>
          <w:sz w:val="20"/>
        </w:rPr>
      </w:pPr>
      <w:r>
        <w:rPr>
          <w:rFonts w:ascii="Arial;Helvetica;sans-serif" w:hAnsi="Arial;Helvetica;sans-serif"/>
          <w:b w:val="false"/>
          <w:sz w:val="20"/>
        </w:rPr>
        <w:t>(Amounts in thousands, except share and per share amounts)</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90" w:name="Tc_KIWMn48ppkOB__XwbfjgEQ_17_0"/>
      <w:bookmarkStart w:id="191" w:name="Tc_v43Z62oPFEWAMb5fGS1qVg_16_0"/>
      <w:bookmarkStart w:id="192" w:name="Tc_Tn635TxhO0mzFldja_7KhQ_15_0"/>
      <w:bookmarkStart w:id="193" w:name="Tc_0TnNdyTGcke7QZla2ipFoQ_14_9"/>
      <w:bookmarkStart w:id="194" w:name="Tc_d5BOfVD-G0eiHHT2OaHNtQ_14_3"/>
      <w:bookmarkStart w:id="195" w:name="Tc_gga7UB7cn0SVRRFeAt132g_14_0"/>
      <w:bookmarkStart w:id="196" w:name="Tc_kj3IAgOod0mqy4xAAjBPKQ_13_8"/>
      <w:bookmarkStart w:id="197" w:name="Tc_XscuUkZpnECIiDcynR-TNg_13_5"/>
      <w:bookmarkStart w:id="198" w:name="Tc_A66Qd5w_w0CLQ3rCQOYXpQ_13_2"/>
      <w:bookmarkStart w:id="199" w:name="Tc_TOs4vFNkCk61uFFkxwDOjg_13_0"/>
      <w:bookmarkStart w:id="200" w:name="Tc_0DnCMOHVbke7Qh79CAAFSA_12_0"/>
      <w:bookmarkStart w:id="201" w:name="Tc_j4Gek3q9oEmiTmNSvonqfA_11_9"/>
      <w:bookmarkStart w:id="202" w:name="Tc_KbfUokIrJ06piHqxnLssbA_11_6"/>
      <w:bookmarkStart w:id="203" w:name="Tc_8cSSLEf7UkirIV8ZULJi4A_11_0"/>
      <w:bookmarkStart w:id="204" w:name="Tc_0xbY6F8_Jk6-_4j-G8SBng_10_9"/>
      <w:bookmarkStart w:id="205" w:name="Tc_5D3XDRAahkGb_iUhlYXz5g_10_3"/>
      <w:bookmarkStart w:id="206" w:name="Tc_jjfvkxGf8UGCnelZN45Uyg_10_0"/>
      <w:bookmarkStart w:id="207" w:name="Tc_CqsK2HAPQUqJzpvhTkXiWA_9_0"/>
      <w:bookmarkStart w:id="208" w:name="Tc_fGM6h4GG0k2TGvLM4LrMKQ_8_0"/>
      <w:bookmarkStart w:id="209" w:name="Tc_vM42TltGAEG6vtunbyEXAQ_7_0"/>
      <w:bookmarkStart w:id="210" w:name="Tc_9bgDTmBCeUKDw8_CjJSc0Q_6_0"/>
      <w:bookmarkStart w:id="211" w:name="Tc_IB4xXixp70qv3d0WAPOfJw_5_0"/>
      <w:bookmarkStart w:id="212" w:name="Tc_538tha-vmU2nSipx2Ml8tg_4_8"/>
      <w:bookmarkStart w:id="213" w:name="Tc_Yhd-oGYIKE2F_MkbWGou9w_4_5"/>
      <w:bookmarkStart w:id="214" w:name="Tc_E5kuXCYWdEicL7NINIHZZA_4_2"/>
      <w:bookmarkStart w:id="215" w:name="Tc_KZ86jTpbek66Um5_X9Dz9A_4_0"/>
      <w:bookmarkStart w:id="216" w:name="Tc_1TWo5uqb80uFR6i52Huf6g_3_0"/>
      <w:bookmarkStart w:id="217" w:name="Tc_8CptwtwMqEeQfjMRnXElOA_2_8"/>
      <w:bookmarkStart w:id="218" w:name="Tc_oix0gEfHmkCvEQM3SU_G8Q_2_5"/>
      <w:bookmarkStart w:id="219" w:name="Tc_k7st3Ua24Ey01SXG9wYiWg_2_2"/>
      <w:bookmarkStart w:id="220" w:name="Tc_TSf6WFAZBkemBsHRQ-SsAw_1_2"/>
      <w:bookmarkStart w:id="221" w:name="_e898d425_b555_41cd_b9cb_f59718bdeabe"/>
      <w:bookmarkStart w:id="222" w:name="Tc_KIWMn48ppkOB__XwbfjgEQ_17_0"/>
      <w:bookmarkStart w:id="223" w:name="Tc_v43Z62oPFEWAMb5fGS1qVg_16_0"/>
      <w:bookmarkStart w:id="224" w:name="Tc_Tn635TxhO0mzFldja_7KhQ_15_0"/>
      <w:bookmarkStart w:id="225" w:name="Tc_0TnNdyTGcke7QZla2ipFoQ_14_9"/>
      <w:bookmarkStart w:id="226" w:name="Tc_d5BOfVD-G0eiHHT2OaHNtQ_14_3"/>
      <w:bookmarkStart w:id="227" w:name="Tc_gga7UB7cn0SVRRFeAt132g_14_0"/>
      <w:bookmarkStart w:id="228" w:name="Tc_kj3IAgOod0mqy4xAAjBPKQ_13_8"/>
      <w:bookmarkStart w:id="229" w:name="Tc_XscuUkZpnECIiDcynR-TNg_13_5"/>
      <w:bookmarkStart w:id="230" w:name="Tc_A66Qd5w_w0CLQ3rCQOYXpQ_13_2"/>
      <w:bookmarkStart w:id="231" w:name="Tc_TOs4vFNkCk61uFFkxwDOjg_13_0"/>
      <w:bookmarkStart w:id="232" w:name="Tc_0DnCMOHVbke7Qh79CAAFSA_12_0"/>
      <w:bookmarkStart w:id="233" w:name="Tc_j4Gek3q9oEmiTmNSvonqfA_11_9"/>
      <w:bookmarkStart w:id="234" w:name="Tc_KbfUokIrJ06piHqxnLssbA_11_6"/>
      <w:bookmarkStart w:id="235" w:name="Tc_8cSSLEf7UkirIV8ZULJi4A_11_0"/>
      <w:bookmarkStart w:id="236" w:name="Tc_0xbY6F8_Jk6-_4j-G8SBng_10_9"/>
      <w:bookmarkStart w:id="237" w:name="Tc_5D3XDRAahkGb_iUhlYXz5g_10_3"/>
      <w:bookmarkStart w:id="238" w:name="Tc_jjfvkxGf8UGCnelZN45Uyg_10_0"/>
      <w:bookmarkStart w:id="239" w:name="Tc_CqsK2HAPQUqJzpvhTkXiWA_9_0"/>
      <w:bookmarkStart w:id="240" w:name="Tc_fGM6h4GG0k2TGvLM4LrMKQ_8_0"/>
      <w:bookmarkStart w:id="241" w:name="Tc_vM42TltGAEG6vtunbyEXAQ_7_0"/>
      <w:bookmarkStart w:id="242" w:name="Tc_9bgDTmBCeUKDw8_CjJSc0Q_6_0"/>
      <w:bookmarkStart w:id="243" w:name="Tc_IB4xXixp70qv3d0WAPOfJw_5_0"/>
      <w:bookmarkStart w:id="244" w:name="Tc_538tha-vmU2nSipx2Ml8tg_4_8"/>
      <w:bookmarkStart w:id="245" w:name="Tc_Yhd-oGYIKE2F_MkbWGou9w_4_5"/>
      <w:bookmarkStart w:id="246" w:name="Tc_E5kuXCYWdEicL7NINIHZZA_4_2"/>
      <w:bookmarkStart w:id="247" w:name="Tc_KZ86jTpbek66Um5_X9Dz9A_4_0"/>
      <w:bookmarkStart w:id="248" w:name="Tc_1TWo5uqb80uFR6i52Huf6g_3_0"/>
      <w:bookmarkStart w:id="249" w:name="Tc_8CptwtwMqEeQfjMRnXElOA_2_8"/>
      <w:bookmarkStart w:id="250" w:name="Tc_oix0gEfHmkCvEQM3SU_G8Q_2_5"/>
      <w:bookmarkStart w:id="251" w:name="Tc_k7st3Ua24Ey01SXG9wYiWg_2_2"/>
      <w:bookmarkStart w:id="252" w:name="Tc_TSf6WFAZBkemBsHRQ-SsAw_1_2"/>
      <w:bookmarkStart w:id="253" w:name="_e898d425_b555_41cd_b9cb_f59718bdeabe"/>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CellMar>
          <w:top w:w="0" w:type="dxa"/>
          <w:left w:w="0" w:type="dxa"/>
          <w:bottom w:w="0" w:type="dxa"/>
          <w:right w:w="0" w:type="dxa"/>
        </w:tblCellMar>
      </w:tblPr>
      <w:tblGrid>
        <w:gridCol w:w="5976"/>
        <w:gridCol w:w="326"/>
        <w:gridCol w:w="196"/>
        <w:gridCol w:w="916"/>
        <w:gridCol w:w="326"/>
        <w:gridCol w:w="196"/>
        <w:gridCol w:w="826"/>
        <w:gridCol w:w="326"/>
        <w:gridCol w:w="196"/>
        <w:gridCol w:w="921"/>
      </w:tblGrid>
      <w:tr>
        <w:trPr/>
        <w:tc>
          <w:tcPr>
            <w:tcW w:w="5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794760" cy="175260"/>
                      <wp:effectExtent l="0" t="0" r="0" b="0"/>
                      <wp:wrapNone/>
                      <wp:docPr id="90" name="Frame58"/>
                      <a:graphic xmlns:a="http://schemas.openxmlformats.org/drawingml/2006/main">
                        <a:graphicData uri="http://schemas.microsoft.com/office/word/2010/wordprocessingShape">
                          <wps:wsp>
                            <wps:cNvSpPr txBox="1"/>
                            <wps:spPr>
                              <a:xfrm>
                                <a:off x="0" y="0"/>
                                <a:ext cx="3794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1"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2" name="Frame6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81660" cy="175260"/>
                      <wp:effectExtent l="0" t="0" r="0" b="0"/>
                      <wp:wrapNone/>
                      <wp:docPr id="93" name="Frame61"/>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4"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5" name="Frame6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4510" cy="175260"/>
                      <wp:effectExtent l="0" t="0" r="0" b="0"/>
                      <wp:wrapNone/>
                      <wp:docPr id="96" name="Frame64"/>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7"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98" name="Frame6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84835" cy="175260"/>
                      <wp:effectExtent l="0" t="0" r="0" b="0"/>
                      <wp:wrapNone/>
                      <wp:docPr id="99" name="Frame67"/>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7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903"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Years Ended December 31, </w:t>
            </w:r>
          </w:p>
        </w:tc>
      </w:tr>
      <w:tr>
        <w:trPr/>
        <w:tc>
          <w:tcPr>
            <w:tcW w:w="5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1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2019</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Operating expenses:</w:t>
            </w:r>
          </w:p>
        </w:tc>
        <w:tc>
          <w:tcPr>
            <w:tcW w:w="326" w:type="dxa"/>
            <w:tcBorders/>
            <w:shd w:fill="CCEEFF" w:val="clear"/>
            <w:vAlign w:val="center"/>
          </w:tcPr>
          <w:p>
            <w:pPr>
              <w:pStyle w:val="TableContents"/>
              <w:spacing w:before="0" w:after="0"/>
              <w:ind w:left="0" w:right="0" w:hanging="0"/>
              <w:jc w:val="center"/>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21" w:type="dxa"/>
            <w:tcBorders/>
            <w:shd w:fill="CCEEFF" w:val="clear"/>
            <w:vAlign w:val="center"/>
          </w:tcPr>
          <w:p>
            <w:pPr>
              <w:pStyle w:val="TableContents"/>
              <w:spacing w:before="0" w:after="0"/>
              <w:ind w:left="0" w:right="0" w:hanging="0"/>
              <w:jc w:val="right"/>
              <w:rPr/>
            </w:pPr>
            <w:r>
              <w:rPr/>
              <w:t>​</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Research and development</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51,100</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82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13,704</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92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3,920</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20,391</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7,824</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403</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operating expenses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71,491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21,528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4,323</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Loss from operations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(71,491)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82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(21,528)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2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(4,323)</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income (expense):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21" w:type="dxa"/>
            <w:tcBorders/>
            <w:shd w:fill="auto" w:val="clear"/>
            <w:vAlign w:val="center"/>
          </w:tcPr>
          <w:p>
            <w:pPr>
              <w:pStyle w:val="TableContents"/>
              <w:spacing w:before="0" w:after="0"/>
              <w:ind w:left="0" w:right="0" w:hanging="0"/>
              <w:jc w:val="right"/>
              <w:rPr/>
            </w:pPr>
            <w:r>
              <w:rPr/>
              <w:t>  </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Interest income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442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82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92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Interest expense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826"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921" w:type="dxa"/>
            <w:tcBorders/>
            <w:shd w:fill="auto" w:val="clear"/>
            <w:vAlign w:val="center"/>
          </w:tcPr>
          <w:p>
            <w:pPr>
              <w:pStyle w:val="TableContents"/>
              <w:spacing w:before="0" w:after="0"/>
              <w:ind w:left="0" w:right="0" w:hanging="0"/>
              <w:jc w:val="right"/>
              <w:rPr/>
            </w:pPr>
            <w:r>
              <w:rPr/>
              <w:t>—</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Other expense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(47)</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Total other income (expense), net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395</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(593)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loss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(71,096)</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(22,121)</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(4,316)</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Repurchase and retirement of Series A and Series A-1 convertible preferred stock</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(1,869)</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92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Net loss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(71,096)</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(23,990)</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(4,316)</w:t>
            </w:r>
          </w:p>
        </w:tc>
      </w:tr>
      <w:tr>
        <w:trPr/>
        <w:tc>
          <w:tcPr>
            <w:tcW w:w="5976" w:type="dxa"/>
            <w:tcBorders/>
            <w:shd w:fill="auto" w:val="cle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Net loss per share attributable to common stockholders, basic and diluted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9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(1.80)</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(3.42)</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w:t>
            </w:r>
          </w:p>
        </w:tc>
        <w:tc>
          <w:tcPr>
            <w:tcW w:w="9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16"/>
              </w:rPr>
            </w:pPr>
            <w:r>
              <w:rPr>
                <w:rFonts w:ascii="Arial;Helvetica;sans-serif" w:hAnsi="Arial;Helvetica;sans-serif"/>
                <w:color w:val="231F20"/>
                <w:sz w:val="16"/>
              </w:rPr>
              <w:t>(1.66)</w:t>
            </w:r>
          </w:p>
        </w:tc>
      </w:tr>
      <w:tr>
        <w:trPr/>
        <w:tc>
          <w:tcPr>
            <w:tcW w:w="5976" w:type="dxa"/>
            <w:tcBorders/>
            <w:shd w:fill="CCEEFF" w:val="cle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Weighted average shares used to compute net loss per share attributable to common stockholders, basic and diluted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39,524,272</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7,021,468</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921" w:type="dxa"/>
            <w:tcBorders>
              <w:bottom w:val="double" w:sz="6" w:space="0" w:color="000000"/>
            </w:tcBorders>
            <w:shd w:fill="CCEEFF" w:val="clear"/>
            <w:tcMar>
              <w:bottom w:w="28" w:type="dxa"/>
            </w:tcMar>
            <w:vAlign w:val="center"/>
          </w:tcPr>
          <w:p>
            <w:pPr>
              <w:pStyle w:val="TableContents"/>
              <w:spacing w:before="0" w:after="0"/>
              <w:ind w:left="0" w:right="50" w:hanging="0"/>
              <w:jc w:val="right"/>
              <w:rPr>
                <w:rFonts w:ascii="Arial;Helvetica;sans-serif" w:hAnsi="Arial;Helvetica;sans-serif"/>
                <w:sz w:val="16"/>
              </w:rPr>
            </w:pPr>
            <w:r>
              <w:rPr>
                <w:rFonts w:ascii="Arial;Helvetica;sans-serif" w:hAnsi="Arial;Helvetica;sans-serif"/>
                <w:sz w:val="16"/>
              </w:rPr>
              <w:t>2,593,316</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254" w:name="Tc_cRFXYF0rGEO27Hosutgx8A_6_8"/>
      <w:bookmarkStart w:id="255" w:name="Tc_feZCLCZtOUOZvKI0ks2FPg_6_5"/>
      <w:bookmarkStart w:id="256" w:name="Tc_9s6sKY4axUWL5CRgVSLFfw_6_2"/>
      <w:bookmarkStart w:id="257" w:name="Tc_zm-tybei3EuwxmpgGd7LtA_6_0"/>
      <w:bookmarkStart w:id="258" w:name="Tc_0i-_A7Ixo0WHRrnOnkPmzw_5_9"/>
      <w:bookmarkStart w:id="259" w:name="Tc_ByWOj5fYxEK-02WG8QI4Zg_5_6"/>
      <w:bookmarkStart w:id="260" w:name="Tc_qwXOQgOr7EyIOG0TIChyNQ_5_0"/>
      <w:bookmarkStart w:id="261" w:name="Tc_qx7gIhNuOkSpNYPzdIhD3w_4_0"/>
      <w:bookmarkStart w:id="262" w:name="Tc_vGv_PuAOwEKBIUDTrVTqxA_3_8"/>
      <w:bookmarkStart w:id="263" w:name="Tc_XuP3UyhgZkaXIkxqH3J9uA_3_5"/>
      <w:bookmarkStart w:id="264" w:name="Tc_bZvRKK8xSUWXmNfRcfSW0g_3_2"/>
      <w:bookmarkStart w:id="265" w:name="Tc_AItvaPo_FUKuosFSY-lYaQ_3_0"/>
      <w:bookmarkStart w:id="266" w:name="Tc_cKlx-xp0V0-u0iuy3MBAHg_2_8"/>
      <w:bookmarkStart w:id="267" w:name="Tc_3LF7RaokrESwT2mdQrwTJA_2_5"/>
      <w:bookmarkStart w:id="268" w:name="Tc_7IeQMK8r3027F4_-fv9aeQ_2_2"/>
      <w:bookmarkStart w:id="269" w:name="Tc_0rrex9-Y8EWSrGh9dduplQ_1_2"/>
      <w:bookmarkStart w:id="270" w:name="_683c8ab5_db91_4fe7_aeb0_b692eb42a136"/>
      <w:bookmarkStart w:id="271" w:name="Tc_cRFXYF0rGEO27Hosutgx8A_6_8"/>
      <w:bookmarkStart w:id="272" w:name="Tc_feZCLCZtOUOZvKI0ks2FPg_6_5"/>
      <w:bookmarkStart w:id="273" w:name="Tc_9s6sKY4axUWL5CRgVSLFfw_6_2"/>
      <w:bookmarkStart w:id="274" w:name="Tc_zm-tybei3EuwxmpgGd7LtA_6_0"/>
      <w:bookmarkStart w:id="275" w:name="Tc_0i-_A7Ixo0WHRrnOnkPmzw_5_9"/>
      <w:bookmarkStart w:id="276" w:name="Tc_ByWOj5fYxEK-02WG8QI4Zg_5_6"/>
      <w:bookmarkStart w:id="277" w:name="Tc_qwXOQgOr7EyIOG0TIChyNQ_5_0"/>
      <w:bookmarkStart w:id="278" w:name="Tc_qx7gIhNuOkSpNYPzdIhD3w_4_0"/>
      <w:bookmarkStart w:id="279" w:name="Tc_vGv_PuAOwEKBIUDTrVTqxA_3_8"/>
      <w:bookmarkStart w:id="280" w:name="Tc_XuP3UyhgZkaXIkxqH3J9uA_3_5"/>
      <w:bookmarkStart w:id="281" w:name="Tc_bZvRKK8xSUWXmNfRcfSW0g_3_2"/>
      <w:bookmarkStart w:id="282" w:name="Tc_AItvaPo_FUKuosFSY-lYaQ_3_0"/>
      <w:bookmarkStart w:id="283" w:name="Tc_cKlx-xp0V0-u0iuy3MBAHg_2_8"/>
      <w:bookmarkStart w:id="284" w:name="Tc_3LF7RaokrESwT2mdQrwTJA_2_5"/>
      <w:bookmarkStart w:id="285" w:name="Tc_7IeQMK8r3027F4_-fv9aeQ_2_2"/>
      <w:bookmarkStart w:id="286" w:name="Tc_0rrex9-Y8EWSrGh9dduplQ_1_2"/>
      <w:bookmarkStart w:id="287" w:name="_683c8ab5_db91_4fe7_aeb0_b692eb42a136"/>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tbl>
      <w:tblPr>
        <w:tblW w:w="6813" w:type="dxa"/>
        <w:jc w:val="left"/>
        <w:tblInd w:w="0" w:type="dxa"/>
        <w:tblCellMar>
          <w:top w:w="0" w:type="dxa"/>
          <w:left w:w="0" w:type="dxa"/>
          <w:bottom w:w="0" w:type="dxa"/>
          <w:right w:w="0" w:type="dxa"/>
        </w:tblCellMar>
      </w:tblPr>
      <w:tblGrid>
        <w:gridCol w:w="3346"/>
        <w:gridCol w:w="109"/>
        <w:gridCol w:w="196"/>
        <w:gridCol w:w="721"/>
        <w:gridCol w:w="326"/>
        <w:gridCol w:w="196"/>
        <w:gridCol w:w="721"/>
        <w:gridCol w:w="326"/>
        <w:gridCol w:w="196"/>
        <w:gridCol w:w="67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24710" cy="175260"/>
                      <wp:effectExtent l="0" t="0" r="0" b="0"/>
                      <wp:wrapNone/>
                      <wp:docPr id="100" name="Frame68"/>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1" name="Frame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2" name="Frame7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57835" cy="175260"/>
                      <wp:effectExtent l="0" t="0" r="0" b="0"/>
                      <wp:wrapNone/>
                      <wp:docPr id="103" name="Frame7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4"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5" name="Frame7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57835" cy="175260"/>
                      <wp:effectExtent l="0" t="0" r="0" b="0"/>
                      <wp:wrapNone/>
                      <wp:docPr id="106" name="Frame7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7"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08" name="Frame7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09" name="Frame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358"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Years Ended December 31, </w:t>
            </w:r>
          </w:p>
        </w:tc>
      </w:tr>
      <w:tr>
        <w:trPr/>
        <w:tc>
          <w:tcPr>
            <w:tcW w:w="33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8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2019</w:t>
            </w:r>
          </w:p>
        </w:tc>
      </w:tr>
      <w:tr>
        <w:trPr/>
        <w:tc>
          <w:tcPr>
            <w:tcW w:w="3346" w:type="dxa"/>
            <w:tcBorders/>
            <w:shd w:fill="CCEEFF" w:val="cle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 xml:space="preserve">Net loss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(71,096)</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(22,121)</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76"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(4,316)</w:t>
            </w:r>
          </w:p>
        </w:tc>
      </w:tr>
      <w:tr>
        <w:trPr/>
        <w:tc>
          <w:tcPr>
            <w:tcW w:w="3346" w:type="dxa"/>
            <w:tcBorders/>
            <w:shd w:fill="auto" w:val="cle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Other comprehensive loss: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pPr>
            <w:r>
              <w:rPr/>
              <w:t>​</w:t>
            </w:r>
          </w:p>
        </w:tc>
      </w:tr>
      <w:tr>
        <w:trPr/>
        <w:tc>
          <w:tcPr>
            <w:tcW w:w="3346" w:type="dxa"/>
            <w:tcBorders/>
            <w:shd w:fill="CCEEFF"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Net unrealized loss on marketable securities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(149)</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34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color w:val="231F20"/>
                <w:sz w:val="16"/>
              </w:rPr>
            </w:pPr>
            <w:r>
              <w:rPr>
                <w:rFonts w:ascii="Arial;Helvetica;sans-serif" w:hAnsi="Arial;Helvetica;sans-serif"/>
                <w:color w:val="231F20"/>
                <w:sz w:val="16"/>
              </w:rPr>
              <w:t>Total comprehensive loss</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(71,245)</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(22,121)</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(4,316)</w:t>
            </w:r>
          </w:p>
        </w:tc>
      </w:tr>
    </w:tbl>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val="false"/>
          <w:sz w:val="20"/>
        </w:rPr>
      </w:pPr>
      <w:bookmarkStart w:id="288" w:name="_d9634594_3545_4bea_9f0e_385f7e005bc8"/>
      <w:bookmarkEnd w:id="288"/>
      <w:r>
        <w:rPr>
          <w:rFonts w:ascii="Arial;Helvetica;sans-serif" w:hAnsi="Arial;Helvetica;sans-serif"/>
          <w:b w:val="false"/>
          <w:sz w:val="20"/>
        </w:rPr>
        <w:t>Olema Pharmaceuticals, Inc.</w:t>
      </w:r>
    </w:p>
    <w:p>
      <w:pPr>
        <w:pStyle w:val="TextBody"/>
        <w:spacing w:before="0" w:after="0"/>
        <w:ind w:left="0" w:right="0" w:hanging="0"/>
        <w:jc w:val="both"/>
        <w:rPr>
          <w:rFonts w:ascii="Arial;Helvetica;sans-serif" w:hAnsi="Arial;Helvetica;sans-serif"/>
          <w:b w:val="false"/>
          <w:sz w:val="20"/>
        </w:rPr>
      </w:pPr>
      <w:bookmarkStart w:id="289" w:name="Statementsofconvertiblepreferredstockand"/>
      <w:bookmarkEnd w:id="289"/>
      <w:r>
        <w:rPr>
          <w:rFonts w:ascii="Arial;Helvetica;sans-serif" w:hAnsi="Arial;Helvetica;sans-serif"/>
          <w:b w:val="false"/>
          <w:sz w:val="20"/>
        </w:rPr>
        <w:t xml:space="preserve">Consolidated Statements of Convertible Preferred Stock and Stockholders’ Equity (Deficit) </w:t>
      </w:r>
    </w:p>
    <w:p>
      <w:pPr>
        <w:pStyle w:val="TextBody"/>
        <w:spacing w:before="0" w:after="0"/>
        <w:ind w:left="0" w:right="0" w:hanging="0"/>
        <w:jc w:val="both"/>
        <w:rPr>
          <w:rFonts w:ascii="Arial;Helvetica;sans-serif" w:hAnsi="Arial;Helvetica;sans-serif"/>
          <w:b w:val="false"/>
          <w:sz w:val="20"/>
        </w:rPr>
      </w:pPr>
      <w:r>
        <w:rPr>
          <w:rFonts w:ascii="Arial;Helvetica;sans-serif" w:hAnsi="Arial;Helvetica;sans-serif"/>
          <w:b w:val="false"/>
          <w:sz w:val="20"/>
        </w:rPr>
        <w:t>(Amounts in thousands, except share amounts)</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90" w:name="Tc_naYm8yDz4E6tmzBiMOgjNw_31_21"/>
      <w:bookmarkStart w:id="291" w:name="Tc_C_4zxuKzYEu96hvCfXOxJw_31_15"/>
      <w:bookmarkStart w:id="292" w:name="Tc_AYlkcvoJXkiFoXncaU0k6A_31_12"/>
      <w:bookmarkStart w:id="293" w:name="Tc_ENkUvRdPHUSXcnkNf29OzQ_31_9"/>
      <w:bookmarkStart w:id="294" w:name="Tc_sRA9OwXx9kekKwvl3qvFIA_31_5"/>
      <w:bookmarkStart w:id="295" w:name="Tc_21VJIW9Ez0GbD-rlYpE63A_31_4"/>
      <w:bookmarkStart w:id="296" w:name="Tc_5Spm_U08x0Ot0lD51uKfqQ_31_2"/>
      <w:bookmarkStart w:id="297" w:name="Tc_3OftV9BldUe08p_iixD96g_31_0"/>
      <w:bookmarkStart w:id="298" w:name="Tc_CeVEkakB0EqsJ8kPviYRtg_30_16"/>
      <w:bookmarkStart w:id="299" w:name="Tc_ZQBz_IBHlEKKK0fIOQ_pBw_30_13"/>
      <w:bookmarkStart w:id="300" w:name="Tc_z4VTFoypKEqQ8ShbNVqhlw_30_10"/>
      <w:bookmarkStart w:id="301" w:name="Tc_7hbbKrnFXUmxz6Y9cMSP2Q_30_7"/>
      <w:bookmarkStart w:id="302" w:name="Tc_9C0fx1HOMU2b5wIjWRhBkg_30_5"/>
      <w:bookmarkStart w:id="303" w:name="Tc_l_asJ_fo6EWuwJN6IyZiLA_30_2"/>
      <w:bookmarkStart w:id="304" w:name="Tc_mflIT3_LiECWe6_VVtl87g_30_0"/>
      <w:bookmarkStart w:id="305" w:name="Tc_nbWFT2NVl0aCuxt-EeR5KQ_29_19"/>
      <w:bookmarkStart w:id="306" w:name="Tc_FshPRDHUxUG1dYXBlexWEQ_29_13"/>
      <w:bookmarkStart w:id="307" w:name="Tc_ns0L1akMzEGnHQjwOwq1Ow_29_10"/>
      <w:bookmarkStart w:id="308" w:name="Tc_Y-pihnFGkE2MtjJFfnZpCA_29_7"/>
      <w:bookmarkStart w:id="309" w:name="Tc_FkAdXqJmNEim_tDxl1O3nQ_29_5"/>
      <w:bookmarkStart w:id="310" w:name="Tc_u6QdphW4IEWBmnNl3A8EtA_29_2"/>
      <w:bookmarkStart w:id="311" w:name="Tc_QCI49bDrMEaKqDi06ocl3g_29_0"/>
      <w:bookmarkStart w:id="312" w:name="Tc_7C9QzTHa8ES1pew7VMIwLA_28_19"/>
      <w:bookmarkStart w:id="313" w:name="Tc_AFDdwyFG5kOHQiweY4s_pA_28_16"/>
      <w:bookmarkStart w:id="314" w:name="Tc_Es2wA-gItU-PVG1e14GDyA_28_10"/>
      <w:bookmarkStart w:id="315" w:name="Tc_tlEwBfB-YEOntXfi5EQUVA_28_7"/>
      <w:bookmarkStart w:id="316" w:name="Tc_oIUpTWl7wUafFXt4SwsQ4g_28_5"/>
      <w:bookmarkStart w:id="317" w:name="Tc_iOKVHtKhy0S4Rq8lbnk11Q_28_2"/>
      <w:bookmarkStart w:id="318" w:name="Tc_vqfY7d27PECqK_su0woaNQ_28_0"/>
      <w:bookmarkStart w:id="319" w:name="Tc_JEH2JfW8gEyXnXH7Rez0Zg_27_19"/>
      <w:bookmarkStart w:id="320" w:name="Tc_aXIAYPN66UWQnoHhj2ux_g_27_16"/>
      <w:bookmarkStart w:id="321" w:name="Tc_JZEzff0opE2Yn2AFoGO0bQ_27_10"/>
      <w:bookmarkStart w:id="322" w:name="Tc_ynmfN8vC2kSIO1IbRGyyLQ_27_7"/>
      <w:bookmarkStart w:id="323" w:name="Tc_AE1kLK8om0yeCu0Bqw6big_27_5"/>
      <w:bookmarkStart w:id="324" w:name="Tc_3fvxyfGx0USNR2-S2VF1pA_27_2"/>
      <w:bookmarkStart w:id="325" w:name="Tc_aORypYdU0UyJlFC77Le57w_27_0"/>
      <w:bookmarkStart w:id="326" w:name="Tc_c0hn5wLCb0yEZHcEkigmNw_26_19"/>
      <w:bookmarkStart w:id="327" w:name="Tc_brCYIWhcjUieXCwUb0-75Q_26_16"/>
      <w:bookmarkStart w:id="328" w:name="Tc_RoagZ8UVBU2gSej_qX6roQ_26_10"/>
      <w:bookmarkStart w:id="329" w:name="Tc_t3YgiNm6-UKRVkJQ1SlxGw_26_5"/>
      <w:bookmarkStart w:id="330" w:name="Tc_PVLZ3Nm_LEGfCO1D9QM1_A_26_2"/>
      <w:bookmarkStart w:id="331" w:name="Tc_aGEgzukyhk2h9Vt5e6Xz5g_26_0"/>
      <w:bookmarkStart w:id="332" w:name="Tc_2ZD7R4SSiUyHuVrxrkzWWA_25_19"/>
      <w:bookmarkStart w:id="333" w:name="Tc_s4ePf_yX6UKTZ8lW_Jilxw_25_16"/>
      <w:bookmarkStart w:id="334" w:name="Tc_Ok2KP7brhES0O2corc_PGQ_25_10"/>
      <w:bookmarkStart w:id="335" w:name="Tc_sB6KaY-dyEC_ROcJ4KauVQ_25_5"/>
      <w:bookmarkStart w:id="336" w:name="Tc_7kYRCLojTUOmaMv9RjQKcg_25_2"/>
      <w:bookmarkStart w:id="337" w:name="Tc_ryE9Y44E6kK0tnPOKS8Y0Q_25_0"/>
      <w:bookmarkStart w:id="338" w:name="Tc_LQ19UGDtQk2zZeafEIB_6g_24_22"/>
      <w:bookmarkStart w:id="339" w:name="Tc_7_TTvhNZkUK7Im8QLYaScg_24_19"/>
      <w:bookmarkStart w:id="340" w:name="Tc_fihwUCK99U6EBfvRpAJ-SQ_24_16"/>
      <w:bookmarkStart w:id="341" w:name="Tc_j6CAO-QOYUqLon195aUy0Q_24_13"/>
      <w:bookmarkStart w:id="342" w:name="Tc_9PXTfq034EC8MYNGMML19w_24_10"/>
      <w:bookmarkStart w:id="343" w:name="Tc_3F-ayaKUQk6UAZkO9j47wg_24_5"/>
      <w:bookmarkStart w:id="344" w:name="Tc_zowdBOHKuEil3UcKEkHgHQ_24_2"/>
      <w:bookmarkStart w:id="345" w:name="Tc_kRy3AzwxSEafsKLK8bSzHA_24_0"/>
      <w:bookmarkStart w:id="346" w:name="Tc_B2mUbgdokkS9eBxIb5MCRg_23_19"/>
      <w:bookmarkStart w:id="347" w:name="Tc_vXvp91ll2Ui2O6nu8_fakg_23_16"/>
      <w:bookmarkStart w:id="348" w:name="Tc_mnm1EGkgVkCut2nyqvfMeg_23_10"/>
      <w:bookmarkStart w:id="349" w:name="Tc_vqPJnX3qS0mHYzxQ31-ULA_23_5"/>
      <w:bookmarkStart w:id="350" w:name="Tc_hyb2JbHcZU-xrfgXWH86DQ_23_2"/>
      <w:bookmarkStart w:id="351" w:name="Tc_V_qatg4jqUu53orj5Ltqzw_23_0"/>
      <w:bookmarkStart w:id="352" w:name="Tc_KjJdJyJa1k2MGlTk9yD08g_22_16"/>
      <w:bookmarkStart w:id="353" w:name="Tc_OQH2h0punES7zE5iCCw3ow_22_5"/>
      <w:bookmarkStart w:id="354" w:name="Tc_BqGEs9nWTU2lm14gIlBKPA_22_2"/>
      <w:bookmarkStart w:id="355" w:name="Tc_ikpYHbm-sEq5Z2_5YoWgcg_22_0"/>
      <w:bookmarkStart w:id="356" w:name="Tc_tCg-5c_6wU2375NdcsnrxQ_21_16"/>
      <w:bookmarkStart w:id="357" w:name="Tc_FAT2aPSv9U6hOetVjqyNig_21_13"/>
      <w:bookmarkStart w:id="358" w:name="Tc_SSrd_QeSCkazkn4oFGctZw_21_10"/>
      <w:bookmarkStart w:id="359" w:name="Tc_57AX3V4fakqw0WiuChZUvA_21_7"/>
      <w:bookmarkStart w:id="360" w:name="Tc_16-Jgx8ack6cC1lQscbhHQ_21_5"/>
      <w:bookmarkStart w:id="361" w:name="Tc_Flm7vxzF7EqFVTAzD9iY3Q_21_2"/>
      <w:bookmarkStart w:id="362" w:name="Tc_hk36hhkjnkKTc9wUH6f33Q_21_0"/>
      <w:bookmarkStart w:id="363" w:name="Tc_MpclFN7Hf0Szx1O6IfJlQQ_20_19"/>
      <w:bookmarkStart w:id="364" w:name="Tc_AaC1VANihEGh-DWv14akDA_20_16"/>
      <w:bookmarkStart w:id="365" w:name="Tc_5uI6NP0nSES0D0J-HO36qQ_20_10"/>
      <w:bookmarkStart w:id="366" w:name="Tc_Sk1IcXU9SU6nACKEV7yvNA_20_7"/>
      <w:bookmarkStart w:id="367" w:name="Tc_mviuYSHJgkqIwQLt74BRsw_20_5"/>
      <w:bookmarkStart w:id="368" w:name="Tc_dWv9xCGKTk-lEe6XCBb9Yg_20_2"/>
      <w:bookmarkStart w:id="369" w:name="Tc_mgEYOM45vEKIKEIrq-lWQA_20_0"/>
      <w:bookmarkStart w:id="370" w:name="Tc_VjmQH-xhPka2zZ9yMUCGiQ_19_19"/>
      <w:bookmarkStart w:id="371" w:name="Tc_e-7lLrmXyEClRgu5AEKqgQ_19_16"/>
      <w:bookmarkStart w:id="372" w:name="Tc_jaxfx6TiWEKTTfzBlFoImQ_19_10"/>
      <w:bookmarkStart w:id="373" w:name="Tc_Bss_Woc_mk-Vg3153FZYkg_19_7"/>
      <w:bookmarkStart w:id="374" w:name="Tc_enkSDQPlX0qNkzYlo9REUQ_19_5"/>
      <w:bookmarkStart w:id="375" w:name="Tc_mmaVtOuLYkKgM7KTsStiuQ_19_2"/>
      <w:bookmarkStart w:id="376" w:name="Tc_te93V28TaE-cm60wIW3n8A_19_0"/>
      <w:bookmarkStart w:id="377" w:name="Tc_j8E12sJS3kqSGLVi5op1Wg_18_22"/>
      <w:bookmarkStart w:id="378" w:name="Tc_inoDUvI9SESpkcHPj9mPgw_18_19"/>
      <w:bookmarkStart w:id="379" w:name="Tc_QqHv4wXLlU-DJcAb193fWA_18_16"/>
      <w:bookmarkStart w:id="380" w:name="Tc_q1GHXSvoBk697eHKdspRZw_18_13"/>
      <w:bookmarkStart w:id="381" w:name="Tc_9vroV-z360iF2xW_jiAb1Q_18_10"/>
      <w:bookmarkStart w:id="382" w:name="Tc__caOgQuCRUyjpnETmR5Zqg_18_5"/>
      <w:bookmarkStart w:id="383" w:name="Tc_QUZ-AFOMeUC7eaUXjzs1pg_18_2"/>
      <w:bookmarkStart w:id="384" w:name="Tc_3TzQisXpRkeolaqAsLyJ-A_18_0"/>
      <w:bookmarkStart w:id="385" w:name="Tc_wzt2OnEIekerz-auYxXKGw_17_19"/>
      <w:bookmarkStart w:id="386" w:name="Tc_db117Bd-qUmr_1FsBlQxpw_17_16"/>
      <w:bookmarkStart w:id="387" w:name="Tc_lqur6FC2sUyiks28RNeRxA_17_10"/>
      <w:bookmarkStart w:id="388" w:name="Tc_b1HpvCwbZU6Y_LlnOZIY4g_17_5"/>
      <w:bookmarkStart w:id="389" w:name="Tc_PaMCSr_N9EiBW7UlC_o8zQ_17_2"/>
      <w:bookmarkStart w:id="390" w:name="Tc_k-pkm7brpUOlm1Intmgogw_17_0"/>
      <w:bookmarkStart w:id="391" w:name="Tc_fNRsh1-d1U66-eWHr4iRww_16_19"/>
      <w:bookmarkStart w:id="392" w:name="Tc_Gt60VtrShUyB_dqUBlZViQ_16_16"/>
      <w:bookmarkStart w:id="393" w:name="Tc_UOpdj9xafUum9nBeJ3oiKQ_16_5"/>
      <w:bookmarkStart w:id="394" w:name="Tc_MSowsFMkP0mfwn-zWCvbmw_16_2"/>
      <w:bookmarkStart w:id="395" w:name="Tc_EwIi53BAnkmHZBAao6uHnQ_16_0"/>
      <w:bookmarkStart w:id="396" w:name="Tc_Bh_JSM3dmEOu-sflxoDMpQ_15_19"/>
      <w:bookmarkStart w:id="397" w:name="Tc_E5Ev0fe5V0aYg7G6YiFvEg_15_16"/>
      <w:bookmarkStart w:id="398" w:name="Tc_5z8r5fhgiE-T78hqTqtssg_15_0"/>
      <w:bookmarkStart w:id="399" w:name="Tc_bEnA3_0NcU68iVVs5fHzIQ_14_22"/>
      <w:bookmarkStart w:id="400" w:name="Tc_mJ3iNgcQNkyiHvI6eR_sCA_14_19"/>
      <w:bookmarkStart w:id="401" w:name="Tc_Gb0W5EDNA0SqfD5ctesSjg_14_16"/>
      <w:bookmarkStart w:id="402" w:name="Tc_0lX7iX0tcUmE373Wnce9iw_14_13"/>
      <w:bookmarkStart w:id="403" w:name="Tc__MoVmCw150-iILzkuRdXlg_14_10"/>
      <w:bookmarkStart w:id="404" w:name="Tc__Pa_oaXDVk6w8yUZ9heBag_14_7"/>
      <w:bookmarkStart w:id="405" w:name="Tc_XMkBF_xQlEeKuoiEmCWtlw_14_0"/>
      <w:bookmarkStart w:id="406" w:name="Tc_oDTH_I35dkmup0eePU1F2w_13_16"/>
      <w:bookmarkStart w:id="407" w:name="Tc_g2SCogM4i0KTgG1ojeGLzg_13_10"/>
      <w:bookmarkStart w:id="408" w:name="Tc_gvkIWhzb5kW_6rO_pAiXlw_13_7"/>
      <w:bookmarkStart w:id="409" w:name="Tc_RM_gY3zx8Ua_ezfaChBQxQ_13_0"/>
      <w:bookmarkStart w:id="410" w:name="Tc_oCdNy_Eioki-11ladit6wQ_12_22"/>
      <w:bookmarkStart w:id="411" w:name="Tc_UxV_Ycl4UU2FE5vwZ05GVw_12_19"/>
      <w:bookmarkStart w:id="412" w:name="Tc_HSrGptbrCEOZxZ9n2-5WSQ_12_16"/>
      <w:bookmarkStart w:id="413" w:name="Tc_TlOz89WVkE2OKsLN15flGg_12_13"/>
      <w:bookmarkStart w:id="414" w:name="Tc_bYmwv52K1EyecKl92PKGZw_12_10"/>
      <w:bookmarkStart w:id="415" w:name="Tc_4din1jhzskqoGHS9S_5e_Q_12_7"/>
      <w:bookmarkStart w:id="416" w:name="Tc_K8wBPd1xrkWqYWRWRYOROQ_12_0"/>
      <w:bookmarkStart w:id="417" w:name="Tc_U6xak6Euykes2R5w2zf9uQ_11_22"/>
      <w:bookmarkStart w:id="418" w:name="Tc_uStxHxIAeEKqndYNVE2XKQ_11_19"/>
      <w:bookmarkStart w:id="419" w:name="Tc_c1HcyotCT0y-tSRIUktXrA_11_16"/>
      <w:bookmarkStart w:id="420" w:name="Tc_3gHtoPgRlUerdKOW8sJYCA_11_13"/>
      <w:bookmarkStart w:id="421" w:name="Tc_8d0FctTOQkqGw3kUEBiKDw_11_10"/>
      <w:bookmarkStart w:id="422" w:name="Tc_6Otg3TcH80W1ILBzX2FhGQ_11_7"/>
      <w:bookmarkStart w:id="423" w:name="Tc_O_pgcnoG-EygLEYx7BioFg_11_0"/>
      <w:bookmarkStart w:id="424" w:name="Tc_Ag7ZFYXTVkuGy2zFNQ5QUQ_10_19"/>
      <w:bookmarkStart w:id="425" w:name="Tc_clULPmV6hEap-F8gik2KuA_10_16"/>
      <w:bookmarkStart w:id="426" w:name="Tc_XvEiF85WX0KAEvVWRAQCdw_10_10"/>
      <w:bookmarkStart w:id="427" w:name="Tc_m1xztg93TkODiX6XLqJo6g_10_7"/>
      <w:bookmarkStart w:id="428" w:name="Tc_IZZU50K4EE6vcD1nkI9vaA_10_5"/>
      <w:bookmarkStart w:id="429" w:name="Tc_hPSf_jQncECE7ttnvveWMg_10_2"/>
      <w:bookmarkStart w:id="430" w:name="Tc_SkJ24iob_Ey5seTSfh0dXQ_10_0"/>
      <w:bookmarkStart w:id="431" w:name="Tc_2ocSIw05b0iYWPe_8qQGcQ_9_19"/>
      <w:bookmarkStart w:id="432" w:name="Tc_KkgOYTltaUSnhhzlliB3Xw_9_16"/>
      <w:bookmarkStart w:id="433" w:name="Tc_4t2VWz_1ekC_9fvjtZAyRA_9_10"/>
      <w:bookmarkStart w:id="434" w:name="Tc_pY6-ngdC5UWJKDjLeXIKQA_9_7"/>
      <w:bookmarkStart w:id="435" w:name="Tc_jFCuHgR_OUWusbPwtsfmCA_9_5"/>
      <w:bookmarkStart w:id="436" w:name="Tc_TcCUpwIJVk6Qj4N2tSLYag_9_2"/>
      <w:bookmarkStart w:id="437" w:name="Tc_CtLsewP3IkeMIJ2AFy2c7w_9_0"/>
      <w:bookmarkStart w:id="438" w:name="Tc_noOa4BFNbUeXotu9AREnDg_8_19"/>
      <w:bookmarkStart w:id="439" w:name="Tc_Vx0EVGOLuE-NqJGN3P49Sg_8_16"/>
      <w:bookmarkStart w:id="440" w:name="Tc_kDZ-dYdZh0KZTF1RKbF4CA_8_10"/>
      <w:bookmarkStart w:id="441" w:name="Tc_JiaovpQJvkGNUDwtORcLBA_8_7"/>
      <w:bookmarkStart w:id="442" w:name="Tc_SEk3mfzF2EClf5d_0AHr5g_8_5"/>
      <w:bookmarkStart w:id="443" w:name="Tc_nCUJMuo4OE-Mq7cjz8F8Yg_8_2"/>
      <w:bookmarkStart w:id="444" w:name="Tc_qggjuB9czEaAyUFmGO0xyg_8_0"/>
      <w:bookmarkStart w:id="445" w:name="Tc_Cy5PJ_09_EWP_nxIVnJuHg_7_10"/>
      <w:bookmarkStart w:id="446" w:name="Tc_GF21V1XGYkGQqzkX-omrhA_7_0"/>
      <w:bookmarkStart w:id="447" w:name="Tc_21hRqlNFaEOTSs9psvJ17g_6_16"/>
      <w:bookmarkStart w:id="448" w:name="Tc_ea4WGgoZz0GKyo7gKwwQ4A_6_13"/>
      <w:bookmarkStart w:id="449" w:name="Tc_pD95f5QjWUSas5BMEI0JzA_6_10"/>
      <w:bookmarkStart w:id="450" w:name="Tc_1Kz5k6Ox5EOn4L-PrQg0Cw_6_7"/>
      <w:bookmarkStart w:id="451" w:name="Tc_ShtYwL3iy0mjkoiSu6-Smg_6_5"/>
      <w:bookmarkStart w:id="452" w:name="Tc_6Ubft7gb3UWOumEG2kGmCQ_6_2"/>
      <w:bookmarkStart w:id="453" w:name="Tc_IxEtVnUJMUOP5nlZ-bmhaQ_6_0"/>
      <w:bookmarkStart w:id="454" w:name="Tc_CulH_WDHKkGe-4E51P51lw_5_21"/>
      <w:bookmarkStart w:id="455" w:name="Tc_DeW9iRt8nEeWbe0j4tZ3cA_5_18"/>
      <w:bookmarkStart w:id="456" w:name="Tc_AMMAAjp1vEu8cE_x005F_x21B0_Q_5_16"/>
      <w:bookmarkStart w:id="457" w:name="Tc_JuAW7bUaLkGZeBVB9Ye7Sw_5_15"/>
      <w:bookmarkStart w:id="458" w:name="Tc_5gxZskqwbkeXW9MYNZC9zw_5_12"/>
      <w:bookmarkStart w:id="459" w:name="Tc_BCN02n2_KkSveZVchmUz4Q_5_10"/>
      <w:bookmarkStart w:id="460" w:name="Tc_pbwnIchn8k2XMdDkgi8dMQ_5_9"/>
      <w:bookmarkStart w:id="461" w:name="Tc_qI85xPOktkCM31Mb-sf56g_5_4"/>
      <w:bookmarkStart w:id="462" w:name="Tc_hq7h6b3qXEuL2qUEEeALPg_5_0"/>
      <w:bookmarkStart w:id="463" w:name="Tc_y7q723uWvUmrUVP7lo_Osw_4_21"/>
      <w:bookmarkStart w:id="464" w:name="Tc_DDTBoz-oLk2QZnDYoNAAiA_4_19"/>
      <w:bookmarkStart w:id="465" w:name="Tc_8phgU0eiSki31DfldEdDWA_4_15"/>
      <w:bookmarkStart w:id="466" w:name="Tc_MReccQ7ACUyfPLx6iT7rPw_4_12"/>
      <w:bookmarkStart w:id="467" w:name="Tc_Ujf0JZ_hLEGpy6G3yVuBHQ_4_9"/>
      <w:bookmarkStart w:id="468" w:name="Tc_uRzIZb5bLUmhCQm8L4kS2A_4_7"/>
      <w:bookmarkStart w:id="469" w:name="Tc_E76u-Q3ZWUyoY3j0b2uhHg_4_4"/>
      <w:bookmarkStart w:id="470" w:name="Tc_PZJAa3K8yUentWOqjulJsA_4_2"/>
      <w:bookmarkStart w:id="471" w:name="Tc_R_DcD3waDEaLInxJwojTKw_3_21"/>
      <w:bookmarkStart w:id="472" w:name="Tc_ygw2cm9q6EmdfU7X7Jqmng_3_18"/>
      <w:bookmarkStart w:id="473" w:name="Tc_QndPE0JupEmZnCSZfQQAIw_3_15"/>
      <w:bookmarkStart w:id="474" w:name="Tc_lXzjrQYYG0mZsx7x47F9Jw_3_12"/>
      <w:bookmarkStart w:id="475" w:name="Tc_gixVPuYFUUGxsYvb5msfpQ_3_7"/>
      <w:bookmarkStart w:id="476" w:name="Tc_m5s7ZEXcjECuPp3pUqUdMw_3_2"/>
      <w:bookmarkStart w:id="477" w:name="Tc_68LTYg2zyE6vXAqWTQs6_Q_2_21"/>
      <w:bookmarkStart w:id="478" w:name="Tc_EZje5rw_nEq1Vs75zDT9rg_2_15"/>
      <w:bookmarkStart w:id="479" w:name="Tc_tePrR6DGtk2Ye2H6PCfhMg_2_12"/>
      <w:bookmarkStart w:id="480" w:name="Tc_lt30BhLSKk-7ZLDGUsUjPQ_2_2"/>
      <w:bookmarkStart w:id="481" w:name="Tc_s4R6qylZ10WL8Z3H3kdTQQ_1_15"/>
      <w:bookmarkStart w:id="482" w:name="_c1f4f655_ab2a_4f30_890d_1919415cf0a2"/>
      <w:bookmarkStart w:id="483" w:name="Tc_naYm8yDz4E6tmzBiMOgjNw_31_21"/>
      <w:bookmarkStart w:id="484" w:name="Tc_C_4zxuKzYEu96hvCfXOxJw_31_15"/>
      <w:bookmarkStart w:id="485" w:name="Tc_AYlkcvoJXkiFoXncaU0k6A_31_12"/>
      <w:bookmarkStart w:id="486" w:name="Tc_ENkUvRdPHUSXcnkNf29OzQ_31_9"/>
      <w:bookmarkStart w:id="487" w:name="Tc_sRA9OwXx9kekKwvl3qvFIA_31_5"/>
      <w:bookmarkStart w:id="488" w:name="Tc_21VJIW9Ez0GbD-rlYpE63A_31_4"/>
      <w:bookmarkStart w:id="489" w:name="Tc_5Spm_U08x0Ot0lD51uKfqQ_31_2"/>
      <w:bookmarkStart w:id="490" w:name="Tc_3OftV9BldUe08p_iixD96g_31_0"/>
      <w:bookmarkStart w:id="491" w:name="Tc_CeVEkakB0EqsJ8kPviYRtg_30_16"/>
      <w:bookmarkStart w:id="492" w:name="Tc_ZQBz_IBHlEKKK0fIOQ_pBw_30_13"/>
      <w:bookmarkStart w:id="493" w:name="Tc_z4VTFoypKEqQ8ShbNVqhlw_30_10"/>
      <w:bookmarkStart w:id="494" w:name="Tc_7hbbKrnFXUmxz6Y9cMSP2Q_30_7"/>
      <w:bookmarkStart w:id="495" w:name="Tc_9C0fx1HOMU2b5wIjWRhBkg_30_5"/>
      <w:bookmarkStart w:id="496" w:name="Tc_l_asJ_fo6EWuwJN6IyZiLA_30_2"/>
      <w:bookmarkStart w:id="497" w:name="Tc_mflIT3_LiECWe6_VVtl87g_30_0"/>
      <w:bookmarkStart w:id="498" w:name="Tc_nbWFT2NVl0aCuxt-EeR5KQ_29_19"/>
      <w:bookmarkStart w:id="499" w:name="Tc_FshPRDHUxUG1dYXBlexWEQ_29_13"/>
      <w:bookmarkStart w:id="500" w:name="Tc_ns0L1akMzEGnHQjwOwq1Ow_29_10"/>
      <w:bookmarkStart w:id="501" w:name="Tc_Y-pihnFGkE2MtjJFfnZpCA_29_7"/>
      <w:bookmarkStart w:id="502" w:name="Tc_FkAdXqJmNEim_tDxl1O3nQ_29_5"/>
      <w:bookmarkStart w:id="503" w:name="Tc_u6QdphW4IEWBmnNl3A8EtA_29_2"/>
      <w:bookmarkStart w:id="504" w:name="Tc_QCI49bDrMEaKqDi06ocl3g_29_0"/>
      <w:bookmarkStart w:id="505" w:name="Tc_7C9QzTHa8ES1pew7VMIwLA_28_19"/>
      <w:bookmarkStart w:id="506" w:name="Tc_AFDdwyFG5kOHQiweY4s_pA_28_16"/>
      <w:bookmarkStart w:id="507" w:name="Tc_Es2wA-gItU-PVG1e14GDyA_28_10"/>
      <w:bookmarkStart w:id="508" w:name="Tc_tlEwBfB-YEOntXfi5EQUVA_28_7"/>
      <w:bookmarkStart w:id="509" w:name="Tc_oIUpTWl7wUafFXt4SwsQ4g_28_5"/>
      <w:bookmarkStart w:id="510" w:name="Tc_iOKVHtKhy0S4Rq8lbnk11Q_28_2"/>
      <w:bookmarkStart w:id="511" w:name="Tc_vqfY7d27PECqK_su0woaNQ_28_0"/>
      <w:bookmarkStart w:id="512" w:name="Tc_JEH2JfW8gEyXnXH7Rez0Zg_27_19"/>
      <w:bookmarkStart w:id="513" w:name="Tc_aXIAYPN66UWQnoHhj2ux_g_27_16"/>
      <w:bookmarkStart w:id="514" w:name="Tc_JZEzff0opE2Yn2AFoGO0bQ_27_10"/>
      <w:bookmarkStart w:id="515" w:name="Tc_ynmfN8vC2kSIO1IbRGyyLQ_27_7"/>
      <w:bookmarkStart w:id="516" w:name="Tc_AE1kLK8om0yeCu0Bqw6big_27_5"/>
      <w:bookmarkStart w:id="517" w:name="Tc_3fvxyfGx0USNR2-S2VF1pA_27_2"/>
      <w:bookmarkStart w:id="518" w:name="Tc_aORypYdU0UyJlFC77Le57w_27_0"/>
      <w:bookmarkStart w:id="519" w:name="Tc_c0hn5wLCb0yEZHcEkigmNw_26_19"/>
      <w:bookmarkStart w:id="520" w:name="Tc_brCYIWhcjUieXCwUb0-75Q_26_16"/>
      <w:bookmarkStart w:id="521" w:name="Tc_RoagZ8UVBU2gSej_qX6roQ_26_10"/>
      <w:bookmarkStart w:id="522" w:name="Tc_t3YgiNm6-UKRVkJQ1SlxGw_26_5"/>
      <w:bookmarkStart w:id="523" w:name="Tc_PVLZ3Nm_LEGfCO1D9QM1_A_26_2"/>
      <w:bookmarkStart w:id="524" w:name="Tc_aGEgzukyhk2h9Vt5e6Xz5g_26_0"/>
      <w:bookmarkStart w:id="525" w:name="Tc_2ZD7R4SSiUyHuVrxrkzWWA_25_19"/>
      <w:bookmarkStart w:id="526" w:name="Tc_s4ePf_yX6UKTZ8lW_Jilxw_25_16"/>
      <w:bookmarkStart w:id="527" w:name="Tc_Ok2KP7brhES0O2corc_PGQ_25_10"/>
      <w:bookmarkStart w:id="528" w:name="Tc_sB6KaY-dyEC_ROcJ4KauVQ_25_5"/>
      <w:bookmarkStart w:id="529" w:name="Tc_7kYRCLojTUOmaMv9RjQKcg_25_2"/>
      <w:bookmarkStart w:id="530" w:name="Tc_ryE9Y44E6kK0tnPOKS8Y0Q_25_0"/>
      <w:bookmarkStart w:id="531" w:name="Tc_LQ19UGDtQk2zZeafEIB_6g_24_22"/>
      <w:bookmarkStart w:id="532" w:name="Tc_7_TTvhNZkUK7Im8QLYaScg_24_19"/>
      <w:bookmarkStart w:id="533" w:name="Tc_fihwUCK99U6EBfvRpAJ-SQ_24_16"/>
      <w:bookmarkStart w:id="534" w:name="Tc_j6CAO-QOYUqLon195aUy0Q_24_13"/>
      <w:bookmarkStart w:id="535" w:name="Tc_9PXTfq034EC8MYNGMML19w_24_10"/>
      <w:bookmarkStart w:id="536" w:name="Tc_3F-ayaKUQk6UAZkO9j47wg_24_5"/>
      <w:bookmarkStart w:id="537" w:name="Tc_zowdBOHKuEil3UcKEkHgHQ_24_2"/>
      <w:bookmarkStart w:id="538" w:name="Tc_kRy3AzwxSEafsKLK8bSzHA_24_0"/>
      <w:bookmarkStart w:id="539" w:name="Tc_B2mUbgdokkS9eBxIb5MCRg_23_19"/>
      <w:bookmarkStart w:id="540" w:name="Tc_vXvp91ll2Ui2O6nu8_fakg_23_16"/>
      <w:bookmarkStart w:id="541" w:name="Tc_mnm1EGkgVkCut2nyqvfMeg_23_10"/>
      <w:bookmarkStart w:id="542" w:name="Tc_vqPJnX3qS0mHYzxQ31-ULA_23_5"/>
      <w:bookmarkStart w:id="543" w:name="Tc_hyb2JbHcZU-xrfgXWH86DQ_23_2"/>
      <w:bookmarkStart w:id="544" w:name="Tc_V_qatg4jqUu53orj5Ltqzw_23_0"/>
      <w:bookmarkStart w:id="545" w:name="Tc_KjJdJyJa1k2MGlTk9yD08g_22_16"/>
      <w:bookmarkStart w:id="546" w:name="Tc_OQH2h0punES7zE5iCCw3ow_22_5"/>
      <w:bookmarkStart w:id="547" w:name="Tc_BqGEs9nWTU2lm14gIlBKPA_22_2"/>
      <w:bookmarkStart w:id="548" w:name="Tc_ikpYHbm-sEq5Z2_5YoWgcg_22_0"/>
      <w:bookmarkStart w:id="549" w:name="Tc_tCg-5c_6wU2375NdcsnrxQ_21_16"/>
      <w:bookmarkStart w:id="550" w:name="Tc_FAT2aPSv9U6hOetVjqyNig_21_13"/>
      <w:bookmarkStart w:id="551" w:name="Tc_SSrd_QeSCkazkn4oFGctZw_21_10"/>
      <w:bookmarkStart w:id="552" w:name="Tc_57AX3V4fakqw0WiuChZUvA_21_7"/>
      <w:bookmarkStart w:id="553" w:name="Tc_16-Jgx8ack6cC1lQscbhHQ_21_5"/>
      <w:bookmarkStart w:id="554" w:name="Tc_Flm7vxzF7EqFVTAzD9iY3Q_21_2"/>
      <w:bookmarkStart w:id="555" w:name="Tc_hk36hhkjnkKTc9wUH6f33Q_21_0"/>
      <w:bookmarkStart w:id="556" w:name="Tc_MpclFN7Hf0Szx1O6IfJlQQ_20_19"/>
      <w:bookmarkStart w:id="557" w:name="Tc_AaC1VANihEGh-DWv14akDA_20_16"/>
      <w:bookmarkStart w:id="558" w:name="Tc_5uI6NP0nSES0D0J-HO36qQ_20_10"/>
      <w:bookmarkStart w:id="559" w:name="Tc_Sk1IcXU9SU6nACKEV7yvNA_20_7"/>
      <w:bookmarkStart w:id="560" w:name="Tc_mviuYSHJgkqIwQLt74BRsw_20_5"/>
      <w:bookmarkStart w:id="561" w:name="Tc_dWv9xCGKTk-lEe6XCBb9Yg_20_2"/>
      <w:bookmarkStart w:id="562" w:name="Tc_mgEYOM45vEKIKEIrq-lWQA_20_0"/>
      <w:bookmarkStart w:id="563" w:name="Tc_VjmQH-xhPka2zZ9yMUCGiQ_19_19"/>
      <w:bookmarkStart w:id="564" w:name="Tc_e-7lLrmXyEClRgu5AEKqgQ_19_16"/>
      <w:bookmarkStart w:id="565" w:name="Tc_jaxfx6TiWEKTTfzBlFoImQ_19_10"/>
      <w:bookmarkStart w:id="566" w:name="Tc_Bss_Woc_mk-Vg3153FZYkg_19_7"/>
      <w:bookmarkStart w:id="567" w:name="Tc_enkSDQPlX0qNkzYlo9REUQ_19_5"/>
      <w:bookmarkStart w:id="568" w:name="Tc_mmaVtOuLYkKgM7KTsStiuQ_19_2"/>
      <w:bookmarkStart w:id="569" w:name="Tc_te93V28TaE-cm60wIW3n8A_19_0"/>
      <w:bookmarkStart w:id="570" w:name="Tc_j8E12sJS3kqSGLVi5op1Wg_18_22"/>
      <w:bookmarkStart w:id="571" w:name="Tc_inoDUvI9SESpkcHPj9mPgw_18_19"/>
      <w:bookmarkStart w:id="572" w:name="Tc_QqHv4wXLlU-DJcAb193fWA_18_16"/>
      <w:bookmarkStart w:id="573" w:name="Tc_q1GHXSvoBk697eHKdspRZw_18_13"/>
      <w:bookmarkStart w:id="574" w:name="Tc_9vroV-z360iF2xW_jiAb1Q_18_10"/>
      <w:bookmarkStart w:id="575" w:name="Tc__caOgQuCRUyjpnETmR5Zqg_18_5"/>
      <w:bookmarkStart w:id="576" w:name="Tc_QUZ-AFOMeUC7eaUXjzs1pg_18_2"/>
      <w:bookmarkStart w:id="577" w:name="Tc_3TzQisXpRkeolaqAsLyJ-A_18_0"/>
      <w:bookmarkStart w:id="578" w:name="Tc_wzt2OnEIekerz-auYxXKGw_17_19"/>
      <w:bookmarkStart w:id="579" w:name="Tc_db117Bd-qUmr_1FsBlQxpw_17_16"/>
      <w:bookmarkStart w:id="580" w:name="Tc_lqur6FC2sUyiks28RNeRxA_17_10"/>
      <w:bookmarkStart w:id="581" w:name="Tc_b1HpvCwbZU6Y_LlnOZIY4g_17_5"/>
      <w:bookmarkStart w:id="582" w:name="Tc_PaMCSr_N9EiBW7UlC_o8zQ_17_2"/>
      <w:bookmarkStart w:id="583" w:name="Tc_k-pkm7brpUOlm1Intmgogw_17_0"/>
      <w:bookmarkStart w:id="584" w:name="Tc_fNRsh1-d1U66-eWHr4iRww_16_19"/>
      <w:bookmarkStart w:id="585" w:name="Tc_Gt60VtrShUyB_dqUBlZViQ_16_16"/>
      <w:bookmarkStart w:id="586" w:name="Tc_UOpdj9xafUum9nBeJ3oiKQ_16_5"/>
      <w:bookmarkStart w:id="587" w:name="Tc_MSowsFMkP0mfwn-zWCvbmw_16_2"/>
      <w:bookmarkStart w:id="588" w:name="Tc_EwIi53BAnkmHZBAao6uHnQ_16_0"/>
      <w:bookmarkStart w:id="589" w:name="Tc_Bh_JSM3dmEOu-sflxoDMpQ_15_19"/>
      <w:bookmarkStart w:id="590" w:name="Tc_E5Ev0fe5V0aYg7G6YiFvEg_15_16"/>
      <w:bookmarkStart w:id="591" w:name="Tc_5z8r5fhgiE-T78hqTqtssg_15_0"/>
      <w:bookmarkStart w:id="592" w:name="Tc_bEnA3_0NcU68iVVs5fHzIQ_14_22"/>
      <w:bookmarkStart w:id="593" w:name="Tc_mJ3iNgcQNkyiHvI6eR_sCA_14_19"/>
      <w:bookmarkStart w:id="594" w:name="Tc_Gb0W5EDNA0SqfD5ctesSjg_14_16"/>
      <w:bookmarkStart w:id="595" w:name="Tc_0lX7iX0tcUmE373Wnce9iw_14_13"/>
      <w:bookmarkStart w:id="596" w:name="Tc__MoVmCw150-iILzkuRdXlg_14_10"/>
      <w:bookmarkStart w:id="597" w:name="Tc__Pa_oaXDVk6w8yUZ9heBag_14_7"/>
      <w:bookmarkStart w:id="598" w:name="Tc_XMkBF_xQlEeKuoiEmCWtlw_14_0"/>
      <w:bookmarkStart w:id="599" w:name="Tc_oDTH_I35dkmup0eePU1F2w_13_16"/>
      <w:bookmarkStart w:id="600" w:name="Tc_g2SCogM4i0KTgG1ojeGLzg_13_10"/>
      <w:bookmarkStart w:id="601" w:name="Tc_gvkIWhzb5kW_6rO_pAiXlw_13_7"/>
      <w:bookmarkStart w:id="602" w:name="Tc_RM_gY3zx8Ua_ezfaChBQxQ_13_0"/>
      <w:bookmarkStart w:id="603" w:name="Tc_oCdNy_Eioki-11ladit6wQ_12_22"/>
      <w:bookmarkStart w:id="604" w:name="Tc_UxV_Ycl4UU2FE5vwZ05GVw_12_19"/>
      <w:bookmarkStart w:id="605" w:name="Tc_HSrGptbrCEOZxZ9n2-5WSQ_12_16"/>
      <w:bookmarkStart w:id="606" w:name="Tc_TlOz89WVkE2OKsLN15flGg_12_13"/>
      <w:bookmarkStart w:id="607" w:name="Tc_bYmwv52K1EyecKl92PKGZw_12_10"/>
      <w:bookmarkStart w:id="608" w:name="Tc_4din1jhzskqoGHS9S_5e_Q_12_7"/>
      <w:bookmarkStart w:id="609" w:name="Tc_K8wBPd1xrkWqYWRWRYOROQ_12_0"/>
      <w:bookmarkStart w:id="610" w:name="Tc_U6xak6Euykes2R5w2zf9uQ_11_22"/>
      <w:bookmarkStart w:id="611" w:name="Tc_uStxHxIAeEKqndYNVE2XKQ_11_19"/>
      <w:bookmarkStart w:id="612" w:name="Tc_c1HcyotCT0y-tSRIUktXrA_11_16"/>
      <w:bookmarkStart w:id="613" w:name="Tc_3gHtoPgRlUerdKOW8sJYCA_11_13"/>
      <w:bookmarkStart w:id="614" w:name="Tc_8d0FctTOQkqGw3kUEBiKDw_11_10"/>
      <w:bookmarkStart w:id="615" w:name="Tc_6Otg3TcH80W1ILBzX2FhGQ_11_7"/>
      <w:bookmarkStart w:id="616" w:name="Tc_O_pgcnoG-EygLEYx7BioFg_11_0"/>
      <w:bookmarkStart w:id="617" w:name="Tc_Ag7ZFYXTVkuGy2zFNQ5QUQ_10_19"/>
      <w:bookmarkStart w:id="618" w:name="Tc_clULPmV6hEap-F8gik2KuA_10_16"/>
      <w:bookmarkStart w:id="619" w:name="Tc_XvEiF85WX0KAEvVWRAQCdw_10_10"/>
      <w:bookmarkStart w:id="620" w:name="Tc_m1xztg93TkODiX6XLqJo6g_10_7"/>
      <w:bookmarkStart w:id="621" w:name="Tc_IZZU50K4EE6vcD1nkI9vaA_10_5"/>
      <w:bookmarkStart w:id="622" w:name="Tc_hPSf_jQncECE7ttnvveWMg_10_2"/>
      <w:bookmarkStart w:id="623" w:name="Tc_SkJ24iob_Ey5seTSfh0dXQ_10_0"/>
      <w:bookmarkStart w:id="624" w:name="Tc_2ocSIw05b0iYWPe_8qQGcQ_9_19"/>
      <w:bookmarkStart w:id="625" w:name="Tc_KkgOYTltaUSnhhzlliB3Xw_9_16"/>
      <w:bookmarkStart w:id="626" w:name="Tc_4t2VWz_1ekC_9fvjtZAyRA_9_10"/>
      <w:bookmarkStart w:id="627" w:name="Tc_pY6-ngdC5UWJKDjLeXIKQA_9_7"/>
      <w:bookmarkStart w:id="628" w:name="Tc_jFCuHgR_OUWusbPwtsfmCA_9_5"/>
      <w:bookmarkStart w:id="629" w:name="Tc_TcCUpwIJVk6Qj4N2tSLYag_9_2"/>
      <w:bookmarkStart w:id="630" w:name="Tc_CtLsewP3IkeMIJ2AFy2c7w_9_0"/>
      <w:bookmarkStart w:id="631" w:name="Tc_noOa4BFNbUeXotu9AREnDg_8_19"/>
      <w:bookmarkStart w:id="632" w:name="Tc_Vx0EVGOLuE-NqJGN3P49Sg_8_16"/>
      <w:bookmarkStart w:id="633" w:name="Tc_kDZ-dYdZh0KZTF1RKbF4CA_8_10"/>
      <w:bookmarkStart w:id="634" w:name="Tc_JiaovpQJvkGNUDwtORcLBA_8_7"/>
      <w:bookmarkStart w:id="635" w:name="Tc_SEk3mfzF2EClf5d_0AHr5g_8_5"/>
      <w:bookmarkStart w:id="636" w:name="Tc_nCUJMuo4OE-Mq7cjz8F8Yg_8_2"/>
      <w:bookmarkStart w:id="637" w:name="Tc_qggjuB9czEaAyUFmGO0xyg_8_0"/>
      <w:bookmarkStart w:id="638" w:name="Tc_Cy5PJ_09_EWP_nxIVnJuHg_7_10"/>
      <w:bookmarkStart w:id="639" w:name="Tc_GF21V1XGYkGQqzkX-omrhA_7_0"/>
      <w:bookmarkStart w:id="640" w:name="Tc_21hRqlNFaEOTSs9psvJ17g_6_16"/>
      <w:bookmarkStart w:id="641" w:name="Tc_ea4WGgoZz0GKyo7gKwwQ4A_6_13"/>
      <w:bookmarkStart w:id="642" w:name="Tc_pD95f5QjWUSas5BMEI0JzA_6_10"/>
      <w:bookmarkStart w:id="643" w:name="Tc_1Kz5k6Ox5EOn4L-PrQg0Cw_6_7"/>
      <w:bookmarkStart w:id="644" w:name="Tc_ShtYwL3iy0mjkoiSu6-Smg_6_5"/>
      <w:bookmarkStart w:id="645" w:name="Tc_6Ubft7gb3UWOumEG2kGmCQ_6_2"/>
      <w:bookmarkStart w:id="646" w:name="Tc_IxEtVnUJMUOP5nlZ-bmhaQ_6_0"/>
      <w:bookmarkStart w:id="647" w:name="Tc_CulH_WDHKkGe-4E51P51lw_5_21"/>
      <w:bookmarkStart w:id="648" w:name="Tc_DeW9iRt8nEeWbe0j4tZ3cA_5_18"/>
      <w:bookmarkStart w:id="649" w:name="Tc_AMMAAjp1vEu8cE_x005F_x21B0_Q_5_16"/>
      <w:bookmarkStart w:id="650" w:name="Tc_JuAW7bUaLkGZeBVB9Ye7Sw_5_15"/>
      <w:bookmarkStart w:id="651" w:name="Tc_5gxZskqwbkeXW9MYNZC9zw_5_12"/>
      <w:bookmarkStart w:id="652" w:name="Tc_BCN02n2_KkSveZVchmUz4Q_5_10"/>
      <w:bookmarkStart w:id="653" w:name="Tc_pbwnIchn8k2XMdDkgi8dMQ_5_9"/>
      <w:bookmarkStart w:id="654" w:name="Tc_qI85xPOktkCM31Mb-sf56g_5_4"/>
      <w:bookmarkStart w:id="655" w:name="Tc_hq7h6b3qXEuL2qUEEeALPg_5_0"/>
      <w:bookmarkStart w:id="656" w:name="Tc_y7q723uWvUmrUVP7lo_Osw_4_21"/>
      <w:bookmarkStart w:id="657" w:name="Tc_DDTBoz-oLk2QZnDYoNAAiA_4_19"/>
      <w:bookmarkStart w:id="658" w:name="Tc_8phgU0eiSki31DfldEdDWA_4_15"/>
      <w:bookmarkStart w:id="659" w:name="Tc_MReccQ7ACUyfPLx6iT7rPw_4_12"/>
      <w:bookmarkStart w:id="660" w:name="Tc_Ujf0JZ_hLEGpy6G3yVuBHQ_4_9"/>
      <w:bookmarkStart w:id="661" w:name="Tc_uRzIZb5bLUmhCQm8L4kS2A_4_7"/>
      <w:bookmarkStart w:id="662" w:name="Tc_E76u-Q3ZWUyoY3j0b2uhHg_4_4"/>
      <w:bookmarkStart w:id="663" w:name="Tc_PZJAa3K8yUentWOqjulJsA_4_2"/>
      <w:bookmarkStart w:id="664" w:name="Tc_R_DcD3waDEaLInxJwojTKw_3_21"/>
      <w:bookmarkStart w:id="665" w:name="Tc_ygw2cm9q6EmdfU7X7Jqmng_3_18"/>
      <w:bookmarkStart w:id="666" w:name="Tc_QndPE0JupEmZnCSZfQQAIw_3_15"/>
      <w:bookmarkStart w:id="667" w:name="Tc_lXzjrQYYG0mZsx7x47F9Jw_3_12"/>
      <w:bookmarkStart w:id="668" w:name="Tc_gixVPuYFUUGxsYvb5msfpQ_3_7"/>
      <w:bookmarkStart w:id="669" w:name="Tc_m5s7ZEXcjECuPp3pUqUdMw_3_2"/>
      <w:bookmarkStart w:id="670" w:name="Tc_68LTYg2zyE6vXAqWTQs6_Q_2_21"/>
      <w:bookmarkStart w:id="671" w:name="Tc_EZje5rw_nEq1Vs75zDT9rg_2_15"/>
      <w:bookmarkStart w:id="672" w:name="Tc_tePrR6DGtk2Ye2H6PCfhMg_2_12"/>
      <w:bookmarkStart w:id="673" w:name="Tc_lt30BhLSKk-7ZLDGUsUjPQ_2_2"/>
      <w:bookmarkStart w:id="674" w:name="Tc_s4R6qylZ10WL8Z3H3kdTQQ_1_15"/>
      <w:bookmarkStart w:id="675" w:name="_c1f4f655_ab2a_4f30_890d_1919415cf0a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tbl>
      <w:tblPr>
        <w:tblW w:w="10562" w:type="dxa"/>
        <w:jc w:val="left"/>
        <w:tblInd w:w="0" w:type="dxa"/>
        <w:tblCellMar>
          <w:top w:w="0" w:type="dxa"/>
          <w:left w:w="0" w:type="dxa"/>
          <w:bottom w:w="0" w:type="dxa"/>
          <w:right w:w="0" w:type="dxa"/>
        </w:tblCellMar>
      </w:tblPr>
      <w:tblGrid>
        <w:gridCol w:w="1321"/>
        <w:gridCol w:w="326"/>
        <w:gridCol w:w="841"/>
        <w:gridCol w:w="326"/>
        <w:gridCol w:w="181"/>
        <w:gridCol w:w="646"/>
        <w:gridCol w:w="326"/>
        <w:gridCol w:w="796"/>
        <w:gridCol w:w="326"/>
        <w:gridCol w:w="201"/>
        <w:gridCol w:w="385"/>
        <w:gridCol w:w="326"/>
        <w:gridCol w:w="181"/>
        <w:gridCol w:w="601"/>
        <w:gridCol w:w="326"/>
        <w:gridCol w:w="355"/>
        <w:gridCol w:w="741"/>
        <w:gridCol w:w="109"/>
        <w:gridCol w:w="203"/>
        <w:gridCol w:w="728"/>
        <w:gridCol w:w="326"/>
        <w:gridCol w:w="204"/>
        <w:gridCol w:w="787"/>
      </w:tblGrid>
      <w:tr>
        <w:trPr/>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38835" cy="175260"/>
                      <wp:effectExtent l="0" t="0" r="0" b="0"/>
                      <wp:wrapNone/>
                      <wp:docPr id="110" name="Frame78"/>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1"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34035" cy="175260"/>
                      <wp:effectExtent l="0" t="0" r="0" b="0"/>
                      <wp:wrapNone/>
                      <wp:docPr id="112" name="Frame8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3"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4935" cy="175260"/>
                      <wp:effectExtent l="0" t="0" r="0" b="0"/>
                      <wp:wrapNone/>
                      <wp:docPr id="114" name="Frame82"/>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10210" cy="175260"/>
                      <wp:effectExtent l="0" t="0" r="0" b="0"/>
                      <wp:wrapNone/>
                      <wp:docPr id="115" name="Frame83"/>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6"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5460" cy="175260"/>
                      <wp:effectExtent l="0" t="0" r="0" b="0"/>
                      <wp:wrapNone/>
                      <wp:docPr id="117" name="Frame8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8"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7635" cy="175260"/>
                      <wp:effectExtent l="0" t="0" r="0" b="0"/>
                      <wp:wrapNone/>
                      <wp:docPr id="119" name="Frame87"/>
                      <a:graphic xmlns:a="http://schemas.openxmlformats.org/drawingml/2006/main">
                        <a:graphicData uri="http://schemas.microsoft.com/office/word/2010/wordprocessingShape">
                          <wps:wsp>
                            <wps:cNvSpPr txBox="1"/>
                            <wps:spPr>
                              <a:xfrm>
                                <a:off x="0" y="0"/>
                                <a:ext cx="127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4475" cy="175260"/>
                      <wp:effectExtent l="0" t="0" r="0" b="0"/>
                      <wp:wrapNone/>
                      <wp:docPr id="120" name="Frame88"/>
                      <a:graphic xmlns:a="http://schemas.openxmlformats.org/drawingml/2006/main">
                        <a:graphicData uri="http://schemas.microsoft.com/office/word/2010/wordprocessingShape">
                          <wps:wsp>
                            <wps:cNvSpPr txBox="1"/>
                            <wps:spPr>
                              <a:xfrm>
                                <a:off x="0" y="0"/>
                                <a:ext cx="244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1"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4935" cy="175260"/>
                      <wp:effectExtent l="0" t="0" r="0" b="0"/>
                      <wp:wrapNone/>
                      <wp:docPr id="122" name="Frame90"/>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1635" cy="175260"/>
                      <wp:effectExtent l="0" t="0" r="0" b="0"/>
                      <wp:wrapNone/>
                      <wp:docPr id="123" name="Frame9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4"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5425" cy="175260"/>
                      <wp:effectExtent l="0" t="0" r="0" b="0"/>
                      <wp:wrapNone/>
                      <wp:docPr id="125" name="Frame93"/>
                      <a:graphic xmlns:a="http://schemas.openxmlformats.org/drawingml/2006/main">
                        <a:graphicData uri="http://schemas.microsoft.com/office/word/2010/wordprocessingShape">
                          <wps:wsp>
                            <wps:cNvSpPr txBox="1"/>
                            <wps:spPr>
                              <a:xfrm>
                                <a:off x="0" y="0"/>
                                <a:ext cx="2254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70535" cy="175260"/>
                      <wp:effectExtent l="0" t="0" r="0" b="0"/>
                      <wp:wrapNone/>
                      <wp:docPr id="126" name="Frame94"/>
                      <a:graphic xmlns:a="http://schemas.openxmlformats.org/drawingml/2006/main">
                        <a:graphicData uri="http://schemas.microsoft.com/office/word/2010/wordprocessingShape">
                          <wps:wsp>
                            <wps:cNvSpPr txBox="1"/>
                            <wps:spPr>
                              <a:xfrm>
                                <a:off x="0" y="0"/>
                                <a:ext cx="470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7" name="Frame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8905" cy="175260"/>
                      <wp:effectExtent l="0" t="0" r="0" b="0"/>
                      <wp:wrapNone/>
                      <wp:docPr id="128" name="Frame96"/>
                      <a:graphic xmlns:a="http://schemas.openxmlformats.org/drawingml/2006/main">
                        <a:graphicData uri="http://schemas.microsoft.com/office/word/2010/wordprocessingShape">
                          <wps:wsp>
                            <wps:cNvSpPr txBox="1"/>
                            <wps:spPr>
                              <a:xfrm>
                                <a:off x="0" y="0"/>
                                <a:ext cx="128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62280" cy="175260"/>
                      <wp:effectExtent l="0" t="0" r="0" b="0"/>
                      <wp:wrapNone/>
                      <wp:docPr id="129" name="Frame97"/>
                      <a:graphic xmlns:a="http://schemas.openxmlformats.org/drawingml/2006/main">
                        <a:graphicData uri="http://schemas.microsoft.com/office/word/2010/wordprocessingShape">
                          <wps:wsp>
                            <wps:cNvSpPr txBox="1"/>
                            <wps:spPr>
                              <a:xfrm>
                                <a:off x="0" y="0"/>
                                <a:ext cx="462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0"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9540" cy="175260"/>
                      <wp:effectExtent l="0" t="0" r="0" b="0"/>
                      <wp:wrapNone/>
                      <wp:docPr id="131" name="Frame99"/>
                      <a:graphic xmlns:a="http://schemas.openxmlformats.org/drawingml/2006/main">
                        <a:graphicData uri="http://schemas.microsoft.com/office/word/2010/wordprocessingShape">
                          <wps:wsp>
                            <wps:cNvSpPr txBox="1"/>
                            <wps:spPr>
                              <a:xfrm>
                                <a:off x="0" y="0"/>
                                <a:ext cx="129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9745" cy="175260"/>
                      <wp:effectExtent l="0" t="0" r="0" b="0"/>
                      <wp:wrapNone/>
                      <wp:docPr id="132" name="Frame100"/>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2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94" w:type="dxa"/>
            <w:gridSpan w:val="4"/>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79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20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85"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18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601"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1096" w:type="dxa"/>
            <w:gridSpan w:val="2"/>
            <w:tcBorders>
              <w:top w:val="single" w:sz="2" w:space="0" w:color="000000"/>
            </w:tcBorders>
            <w:shd w:fill="auto" w:val="clear"/>
            <w:tcMar>
              <w:top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203"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728"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991" w:type="dxa"/>
            <w:gridSpan w:val="2"/>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r>
      <w:tr>
        <w:trPr/>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4" w:type="dxa"/>
            <w:gridSpan w:val="4"/>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Convertible</w:t>
            </w:r>
          </w:p>
        </w:tc>
        <w:tc>
          <w:tcPr>
            <w:tcW w:w="326" w:type="dxa"/>
            <w:tcBorders/>
            <w:shd w:fill="auto" w:val="clear"/>
            <w:vAlign w:val="center"/>
          </w:tcPr>
          <w:p>
            <w:pPr>
              <w:pStyle w:val="TableContents"/>
              <w:spacing w:before="0" w:after="1"/>
              <w:ind w:left="0" w:right="0" w:hanging="0"/>
              <w:jc w:val="right"/>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201" w:type="dxa"/>
            <w:tcBorders/>
            <w:shd w:fill="auto" w:val="clear"/>
            <w:vAlign w:val="center"/>
          </w:tcPr>
          <w:p>
            <w:pPr>
              <w:pStyle w:val="TableContents"/>
              <w:spacing w:before="0" w:after="1"/>
              <w:ind w:left="0" w:right="0" w:hanging="0"/>
              <w:jc w:val="right"/>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782"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326" w:type="dxa"/>
            <w:tcBorders/>
            <w:shd w:fill="auto" w:val="clear"/>
            <w:vAlign w:val="center"/>
          </w:tcPr>
          <w:p>
            <w:pPr>
              <w:pStyle w:val="TableContents"/>
              <w:spacing w:before="0" w:after="1"/>
              <w:ind w:left="0" w:right="0" w:hanging="0"/>
              <w:jc w:val="right"/>
              <w:rPr/>
            </w:pPr>
            <w:r>
              <w:rPr/>
              <w:t>​</w:t>
            </w:r>
          </w:p>
        </w:tc>
        <w:tc>
          <w:tcPr>
            <w:tcW w:w="1096"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Other</w:t>
            </w:r>
          </w:p>
        </w:tc>
        <w:tc>
          <w:tcPr>
            <w:tcW w:w="109" w:type="dxa"/>
            <w:tcBorders/>
            <w:shd w:fill="auto" w:val="clear"/>
            <w:vAlign w:val="center"/>
          </w:tcPr>
          <w:p>
            <w:pPr>
              <w:pStyle w:val="TableContents"/>
              <w:spacing w:before="0" w:after="1"/>
              <w:ind w:left="0" w:right="0" w:hanging="0"/>
              <w:jc w:val="right"/>
              <w:rPr/>
            </w:pPr>
            <w:r>
              <w:rPr/>
              <w:t>​</w:t>
            </w:r>
          </w:p>
        </w:tc>
        <w:tc>
          <w:tcPr>
            <w:tcW w:w="203" w:type="dxa"/>
            <w:tcBorders/>
            <w:shd w:fill="auto" w:val="clear"/>
            <w:vAlign w:val="center"/>
          </w:tcPr>
          <w:p>
            <w:pPr>
              <w:pStyle w:val="TableContents"/>
              <w:spacing w:before="0" w:after="1"/>
              <w:ind w:left="0" w:right="0" w:hanging="0"/>
              <w:jc w:val="right"/>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991"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9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Preferred Stock</w:t>
            </w:r>
          </w:p>
        </w:tc>
        <w:tc>
          <w:tcPr>
            <w:tcW w:w="326" w:type="dxa"/>
            <w:tcBorders/>
            <w:shd w:fill="auto" w:val="clear"/>
            <w:vAlign w:val="center"/>
          </w:tcPr>
          <w:p>
            <w:pPr>
              <w:pStyle w:val="TableContents"/>
              <w:spacing w:before="0" w:after="1"/>
              <w:ind w:left="0" w:right="0" w:hanging="0"/>
              <w:jc w:val="right"/>
              <w:rPr/>
            </w:pPr>
            <w:r>
              <w:rPr/>
              <w:t>​</w:t>
            </w:r>
          </w:p>
        </w:tc>
        <w:tc>
          <w:tcPr>
            <w:tcW w:w="170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Common Stock</w:t>
            </w:r>
          </w:p>
        </w:tc>
        <w:tc>
          <w:tcPr>
            <w:tcW w:w="326" w:type="dxa"/>
            <w:tcBorders/>
            <w:shd w:fill="auto" w:val="clear"/>
            <w:vAlign w:val="center"/>
          </w:tcPr>
          <w:p>
            <w:pPr>
              <w:pStyle w:val="TableContents"/>
              <w:spacing w:before="0" w:after="1"/>
              <w:ind w:left="0" w:right="0" w:hanging="0"/>
              <w:jc w:val="right"/>
              <w:rPr/>
            </w:pPr>
            <w:r>
              <w:rPr/>
              <w:t>​</w:t>
            </w:r>
          </w:p>
        </w:tc>
        <w:tc>
          <w:tcPr>
            <w:tcW w:w="782"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Paid-in</w:t>
            </w:r>
          </w:p>
        </w:tc>
        <w:tc>
          <w:tcPr>
            <w:tcW w:w="326" w:type="dxa"/>
            <w:tcBorders/>
            <w:shd w:fill="auto" w:val="clear"/>
            <w:vAlign w:val="center"/>
          </w:tcPr>
          <w:p>
            <w:pPr>
              <w:pStyle w:val="TableContents"/>
              <w:spacing w:before="0" w:after="1"/>
              <w:ind w:left="0" w:right="0" w:hanging="0"/>
              <w:jc w:val="right"/>
              <w:rPr/>
            </w:pPr>
            <w:r>
              <w:rPr/>
              <w:t>​</w:t>
            </w:r>
          </w:p>
        </w:tc>
        <w:tc>
          <w:tcPr>
            <w:tcW w:w="1096"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326" w:type="dxa"/>
            <w:tcBorders/>
            <w:shd w:fill="auto" w:val="clear"/>
            <w:vAlign w:val="center"/>
          </w:tcPr>
          <w:p>
            <w:pPr>
              <w:pStyle w:val="TableContents"/>
              <w:spacing w:before="0" w:after="1"/>
              <w:ind w:left="0" w:right="0" w:hanging="0"/>
              <w:jc w:val="right"/>
              <w:rPr/>
            </w:pPr>
            <w:r>
              <w:rPr/>
              <w:t>​</w:t>
            </w:r>
          </w:p>
        </w:tc>
        <w:tc>
          <w:tcPr>
            <w:tcW w:w="991" w:type="dxa"/>
            <w:gridSpan w:val="2"/>
            <w:tcBorders/>
            <w:shd w:fill="auto" w:val="clear"/>
            <w:vAlign w:val="center"/>
          </w:tcPr>
          <w:p>
            <w:pPr>
              <w:pStyle w:val="TableContents"/>
              <w:spacing w:before="0" w:after="1"/>
              <w:ind w:left="0" w:right="0" w:hanging="0"/>
              <w:jc w:val="center"/>
              <w:rPr>
                <w:rFonts w:ascii="Arial;Helvetica;sans-serif" w:hAnsi="Arial;Helvetica;sans-serif"/>
                <w:b/>
                <w:sz w:val="14"/>
              </w:rPr>
            </w:pPr>
            <w:r>
              <w:rPr>
                <w:rFonts w:ascii="Arial;Helvetica;sans-serif" w:hAnsi="Arial;Helvetica;sans-serif"/>
                <w:b/>
                <w:sz w:val="14"/>
              </w:rPr>
              <w:t>Stockholders'</w:t>
            </w:r>
          </w:p>
        </w:tc>
      </w:tr>
      <w:tr>
        <w:trPr/>
        <w:tc>
          <w:tcPr>
            <w:tcW w:w="1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    </w:t>
            </w:r>
          </w:p>
        </w:tc>
        <w:tc>
          <w:tcPr>
            <w:tcW w:w="8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Shares</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    </w:t>
            </w:r>
          </w:p>
        </w:tc>
        <w:tc>
          <w:tcPr>
            <w:tcW w:w="5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Amount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    </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Capital</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Loss</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203"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72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Deficit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    </w:t>
            </w:r>
          </w:p>
        </w:tc>
        <w:tc>
          <w:tcPr>
            <w:tcW w:w="9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4"/>
              </w:rPr>
            </w:pPr>
            <w:r>
              <w:rPr>
                <w:rFonts w:ascii="Arial;Helvetica;sans-serif" w:hAnsi="Arial;Helvetica;sans-serif"/>
                <w:b/>
                <w:color w:val="231F20"/>
                <w:sz w:val="14"/>
              </w:rPr>
              <w:t xml:space="preserve">Equity (Deficit) </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Balances at December 31, 2018</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4,628,215</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8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46"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9,348</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2,593,316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2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8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168</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355"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41" w:type="dxa"/>
            <w:tcBorders/>
            <w:shd w:fill="CCEEFF" w:val="clear"/>
            <w:vAlign w:val="center"/>
          </w:tcPr>
          <w:p>
            <w:pPr>
              <w:pStyle w:val="TableContents"/>
              <w:spacing w:before="0" w:after="1"/>
              <w:ind w:left="0" w:right="0" w:hanging="0"/>
              <w:jc w:val="right"/>
              <w:rPr>
                <w:color w:val="231F20"/>
              </w:rPr>
            </w:pPr>
            <w:r>
              <w:rPr>
                <w:color w:val="231F20"/>
              </w:rPr>
              <w:t>—</w:t>
            </w:r>
          </w:p>
        </w:tc>
        <w:tc>
          <w:tcPr>
            <w:tcW w:w="109" w:type="dxa"/>
            <w:tcBorders/>
            <w:shd w:fill="CCEEFF" w:val="clear"/>
            <w:vAlign w:val="center"/>
          </w:tcPr>
          <w:p>
            <w:pPr>
              <w:pStyle w:val="TableContents"/>
              <w:spacing w:before="0" w:after="1"/>
              <w:ind w:left="0" w:right="0" w:hanging="0"/>
              <w:rPr>
                <w:color w:val="231F20"/>
              </w:rPr>
            </w:pPr>
            <w:r>
              <w:rPr>
                <w:color w:val="231F20"/>
              </w:rPr>
              <w:t>​</w:t>
            </w:r>
          </w:p>
        </w:tc>
        <w:tc>
          <w:tcPr>
            <w:tcW w:w="203"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28"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(6,446)</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204"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(8,397)</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 xml:space="preserve">Net loss and comprehensive loss </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385"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355"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74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203"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7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(4,316)</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 </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(4,316)</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Balances at December 31, 2019</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4,628,215</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9,348</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2,593,316</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385" w:type="dxa"/>
            <w:tcBorders>
              <w:bottom w:val="single" w:sz="2" w:space="0" w:color="000000"/>
            </w:tcBorders>
            <w:shd w:fill="CCEEFF"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168</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355"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741"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109"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203"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7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(10,762)</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204" w:type="dxa"/>
            <w:tcBorders>
              <w:bottom w:val="single" w:sz="2"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(10,594)</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Beneficial conversion option recognized upon issuance of 2020 convertible notes</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841"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81" w:type="dxa"/>
            <w:tcBorders/>
            <w:shd w:fill="auto" w:val="clear"/>
            <w:vAlign w:val="center"/>
          </w:tcPr>
          <w:p>
            <w:pPr>
              <w:pStyle w:val="TableContents"/>
              <w:spacing w:before="0" w:after="1"/>
              <w:ind w:left="0" w:right="0" w:hanging="0"/>
              <w:rPr>
                <w:color w:val="231F20"/>
              </w:rPr>
            </w:pPr>
            <w:r>
              <w:rPr>
                <w:color w:val="231F20"/>
              </w:rPr>
              <w:t>​</w:t>
            </w:r>
          </w:p>
        </w:tc>
        <w:tc>
          <w:tcPr>
            <w:tcW w:w="646"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796"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201" w:type="dxa"/>
            <w:tcBorders/>
            <w:shd w:fill="auto" w:val="clear"/>
            <w:vAlign w:val="center"/>
          </w:tcPr>
          <w:p>
            <w:pPr>
              <w:pStyle w:val="TableContents"/>
              <w:spacing w:before="0" w:after="1"/>
              <w:ind w:left="0" w:right="0" w:hanging="0"/>
              <w:rPr>
                <w:color w:val="231F20"/>
              </w:rPr>
            </w:pPr>
            <w:r>
              <w:rPr>
                <w:color w:val="231F20"/>
              </w:rPr>
              <w:t>​</w:t>
            </w:r>
          </w:p>
        </w:tc>
        <w:tc>
          <w:tcPr>
            <w:tcW w:w="385"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181" w:type="dxa"/>
            <w:tcBorders/>
            <w:shd w:fill="auto" w:val="clear"/>
            <w:vAlign w:val="center"/>
          </w:tcPr>
          <w:p>
            <w:pPr>
              <w:pStyle w:val="TableContents"/>
              <w:spacing w:before="0" w:after="1"/>
              <w:ind w:left="0" w:right="0" w:hanging="0"/>
              <w:rPr>
                <w:color w:val="231F20"/>
              </w:rPr>
            </w:pPr>
            <w:r>
              <w:rPr>
                <w:color w:val="231F20"/>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1,054</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355" w:type="dxa"/>
            <w:tcBorders/>
            <w:shd w:fill="auto" w:val="clear"/>
            <w:vAlign w:val="center"/>
          </w:tcPr>
          <w:p>
            <w:pPr>
              <w:pStyle w:val="TableContents"/>
              <w:spacing w:before="0" w:after="1"/>
              <w:ind w:left="0" w:right="0" w:hanging="0"/>
              <w:rPr>
                <w:color w:val="231F20"/>
              </w:rPr>
            </w:pPr>
            <w:r>
              <w:rPr>
                <w:color w:val="231F20"/>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color w:val="231F20"/>
              </w:rPr>
            </w:pPr>
            <w:r>
              <w:rPr>
                <w:color w:val="231F20"/>
              </w:rPr>
              <w:t>​</w:t>
            </w:r>
          </w:p>
        </w:tc>
        <w:tc>
          <w:tcPr>
            <w:tcW w:w="203" w:type="dxa"/>
            <w:tcBorders/>
            <w:shd w:fill="auto" w:val="clear"/>
            <w:vAlign w:val="center"/>
          </w:tcPr>
          <w:p>
            <w:pPr>
              <w:pStyle w:val="TableContents"/>
              <w:spacing w:before="0" w:after="1"/>
              <w:ind w:left="0" w:right="0" w:hanging="0"/>
              <w:rPr>
                <w:color w:val="231F20"/>
              </w:rPr>
            </w:pPr>
            <w:r>
              <w:rPr>
                <w:color w:val="231F20"/>
              </w:rPr>
              <w:t>​</w:t>
            </w:r>
          </w:p>
        </w:tc>
        <w:tc>
          <w:tcPr>
            <w:tcW w:w="728" w:type="dxa"/>
            <w:tcBorders/>
            <w:shd w:fill="auto" w:val="clear"/>
            <w:vAlign w:val="center"/>
          </w:tcPr>
          <w:p>
            <w:pPr>
              <w:pStyle w:val="TableContents"/>
              <w:spacing w:before="0" w:after="1"/>
              <w:ind w:left="0" w:right="0" w:hanging="0"/>
              <w:jc w:val="right"/>
              <w:rPr>
                <w:color w:val="231F20"/>
              </w:rPr>
            </w:pPr>
            <w:r>
              <w:rPr>
                <w:color w:val="231F20"/>
              </w:rPr>
              <w:t>—</w:t>
            </w:r>
          </w:p>
        </w:tc>
        <w:tc>
          <w:tcPr>
            <w:tcW w:w="326" w:type="dxa"/>
            <w:tcBorders/>
            <w:shd w:fill="auto" w:val="clear"/>
            <w:vAlign w:val="center"/>
          </w:tcPr>
          <w:p>
            <w:pPr>
              <w:pStyle w:val="TableContents"/>
              <w:spacing w:before="0" w:after="1"/>
              <w:ind w:left="0" w:right="0" w:hanging="0"/>
              <w:rPr>
                <w:color w:val="231F20"/>
              </w:rPr>
            </w:pPr>
            <w:r>
              <w:rPr>
                <w:color w:val="231F20"/>
              </w:rPr>
              <w:t> </w:t>
            </w:r>
          </w:p>
        </w:tc>
        <w:tc>
          <w:tcPr>
            <w:tcW w:w="204" w:type="dxa"/>
            <w:tcBorders/>
            <w:shd w:fill="auto" w:val="clear"/>
            <w:vAlign w:val="center"/>
          </w:tcPr>
          <w:p>
            <w:pPr>
              <w:pStyle w:val="TableContents"/>
              <w:spacing w:before="0" w:after="1"/>
              <w:ind w:left="0" w:right="0" w:hanging="0"/>
              <w:rPr>
                <w:color w:val="231F20"/>
              </w:rPr>
            </w:pPr>
            <w:r>
              <w:rPr>
                <w:color w:val="231F20"/>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1,054</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Beneficial conversion option recognized upon repurchase of 2020 convertible notes on settlement date</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841"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81" w:type="dxa"/>
            <w:tcBorders/>
            <w:shd w:fill="CCEEFF" w:val="clear"/>
            <w:vAlign w:val="center"/>
          </w:tcPr>
          <w:p>
            <w:pPr>
              <w:pStyle w:val="TableContents"/>
              <w:spacing w:before="0" w:after="1"/>
              <w:ind w:left="0" w:right="0" w:hanging="0"/>
              <w:rPr>
                <w:color w:val="231F20"/>
              </w:rPr>
            </w:pPr>
            <w:r>
              <w:rPr>
                <w:color w:val="231F20"/>
              </w:rPr>
              <w:t>​</w:t>
            </w:r>
          </w:p>
        </w:tc>
        <w:tc>
          <w:tcPr>
            <w:tcW w:w="646"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796"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201" w:type="dxa"/>
            <w:tcBorders/>
            <w:shd w:fill="CCEEFF" w:val="clear"/>
            <w:vAlign w:val="center"/>
          </w:tcPr>
          <w:p>
            <w:pPr>
              <w:pStyle w:val="TableContents"/>
              <w:spacing w:before="0" w:after="1"/>
              <w:ind w:left="0" w:right="0" w:hanging="0"/>
              <w:rPr>
                <w:color w:val="231F20"/>
              </w:rPr>
            </w:pPr>
            <w:r>
              <w:rPr>
                <w:color w:val="231F20"/>
              </w:rPr>
              <w:t>​</w:t>
            </w:r>
          </w:p>
        </w:tc>
        <w:tc>
          <w:tcPr>
            <w:tcW w:w="385"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181" w:type="dxa"/>
            <w:tcBorders/>
            <w:shd w:fill="CCEEFF" w:val="clear"/>
            <w:vAlign w:val="center"/>
          </w:tcPr>
          <w:p>
            <w:pPr>
              <w:pStyle w:val="TableContents"/>
              <w:spacing w:before="0" w:after="1"/>
              <w:ind w:left="0" w:right="0" w:hanging="0"/>
              <w:rPr>
                <w:color w:val="231F20"/>
              </w:rPr>
            </w:pPr>
            <w:r>
              <w:rPr>
                <w:color w:val="231F20"/>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(2,568)</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355" w:type="dxa"/>
            <w:tcBorders/>
            <w:shd w:fill="CCEEFF" w:val="clear"/>
            <w:vAlign w:val="center"/>
          </w:tcPr>
          <w:p>
            <w:pPr>
              <w:pStyle w:val="TableContents"/>
              <w:spacing w:before="0" w:after="1"/>
              <w:ind w:left="0" w:right="0" w:hanging="0"/>
              <w:rPr>
                <w:color w:val="231F20"/>
              </w:rPr>
            </w:pPr>
            <w:r>
              <w:rPr>
                <w:color w:val="231F20"/>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color w:val="231F20"/>
              </w:rPr>
            </w:pPr>
            <w:r>
              <w:rPr>
                <w:color w:val="231F20"/>
              </w:rPr>
              <w:t>​</w:t>
            </w:r>
          </w:p>
        </w:tc>
        <w:tc>
          <w:tcPr>
            <w:tcW w:w="203" w:type="dxa"/>
            <w:tcBorders/>
            <w:shd w:fill="CCEEFF" w:val="clear"/>
            <w:vAlign w:val="center"/>
          </w:tcPr>
          <w:p>
            <w:pPr>
              <w:pStyle w:val="TableContents"/>
              <w:spacing w:before="0" w:after="1"/>
              <w:ind w:left="0" w:right="0" w:hanging="0"/>
              <w:rPr>
                <w:color w:val="231F20"/>
              </w:rPr>
            </w:pPr>
            <w:r>
              <w:rPr>
                <w:color w:val="231F20"/>
              </w:rPr>
              <w:t>​</w:t>
            </w:r>
          </w:p>
        </w:tc>
        <w:tc>
          <w:tcPr>
            <w:tcW w:w="728"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rPr>
                <w:color w:val="231F20"/>
              </w:rPr>
            </w:pPr>
            <w:r>
              <w:rPr>
                <w:color w:val="231F20"/>
              </w:rPr>
              <w:t> </w:t>
            </w:r>
          </w:p>
        </w:tc>
        <w:tc>
          <w:tcPr>
            <w:tcW w:w="204" w:type="dxa"/>
            <w:tcBorders/>
            <w:shd w:fill="CCEEFF" w:val="clear"/>
            <w:vAlign w:val="center"/>
          </w:tcPr>
          <w:p>
            <w:pPr>
              <w:pStyle w:val="TableContents"/>
              <w:spacing w:before="0" w:after="1"/>
              <w:ind w:left="0" w:right="0" w:hanging="0"/>
              <w:rPr>
                <w:color w:val="231F20"/>
              </w:rPr>
            </w:pPr>
            <w:r>
              <w:rPr>
                <w:color w:val="231F20"/>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(2,568)</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Extinguishment of 2020 convertible notes</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2,148</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2,148</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Issuance of Series B convertible preferred stock, net of issuance costs of $286</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10,801,277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50,607</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Issuance of Series B convertible preferred stock in connection with the conversion of convertible notes</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638,270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3,007</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Repurchase and retirement of Series A and Series A-1 convertible preferred stock</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(206,822)</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(420)</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(1,658)</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(211)</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(1,869)</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Issuance of Series C convertible preferred stock, net of issuance costs of $1,662</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7,904,135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85,776</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Conversion of convertible preferred units to common stock</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(23,765,075)</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(148,318)</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23,765,075</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148,316</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148,318</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Issuance of common stock in connection with initial public offering, net of underwriting discounts, commissions and offering costs of $19,840</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12,650,000</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220,509</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220,510</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Exercise of stock options</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246,046</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151</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151</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53,801</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3,078</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3,078</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ESPP expense</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30</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30</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Net loss and comprehensive loss</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0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8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5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0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(22,121)</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0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(22,121)</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color w:val="231F20"/>
                <w:sz w:val="14"/>
              </w:rPr>
            </w:pPr>
            <w:r>
              <w:rPr>
                <w:rFonts w:ascii="Arial;Helvetica;sans-serif" w:hAnsi="Arial;Helvetica;sans-serif"/>
                <w:color w:val="231F20"/>
                <w:sz w:val="14"/>
              </w:rPr>
              <w:t>Balances at December 31, 2020</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39,308,238</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8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371,228</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(33,094)</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338,137</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Vesting of early exercised stock options</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79,608</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372</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372</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Vesting of restricted stock awards</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242,109</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color w:val="231F20"/>
              </w:rPr>
            </w:pPr>
            <w:r>
              <w:rPr>
                <w:color w:val="231F20"/>
              </w:rPr>
              <w:t>—</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Exercise of stock options</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126,937</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670</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670</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Issuance of shares under the ESPP plan</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40,371</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721</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3" w:type="dxa"/>
            <w:tcBorders/>
            <w:shd w:fill="auto" w:val="clear"/>
            <w:vAlign w:val="center"/>
          </w:tcPr>
          <w:p>
            <w:pPr>
              <w:pStyle w:val="TableContents"/>
              <w:spacing w:before="0" w:after="1"/>
              <w:ind w:left="0" w:right="0" w:hanging="0"/>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721</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15,680</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3" w:type="dxa"/>
            <w:tcBorders/>
            <w:shd w:fill="CCEEFF" w:val="clear"/>
            <w:vAlign w:val="center"/>
          </w:tcPr>
          <w:p>
            <w:pPr>
              <w:pStyle w:val="TableContents"/>
              <w:spacing w:before="0" w:after="1"/>
              <w:ind w:left="0" w:right="0" w:hanging="0"/>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15,680</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ESPP expense</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1" w:type="dxa"/>
            <w:tcBorders/>
            <w:shd w:fill="auto" w:val="clear"/>
            <w:vAlign w:val="center"/>
          </w:tcPr>
          <w:p>
            <w:pPr>
              <w:pStyle w:val="TableContents"/>
              <w:spacing w:before="0" w:after="1"/>
              <w:ind w:left="0" w:right="0" w:hanging="0"/>
              <w:rPr/>
            </w:pPr>
            <w:r>
              <w:rPr/>
              <w:t>​</w:t>
            </w:r>
          </w:p>
        </w:tc>
        <w:tc>
          <w:tcPr>
            <w:tcW w:w="3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233</w:t>
            </w:r>
          </w:p>
        </w:tc>
        <w:tc>
          <w:tcPr>
            <w:tcW w:w="326"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74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jc w:val="right"/>
              <w:rPr/>
            </w:pPr>
            <w:r>
              <w:rPr/>
              <w:t>​</w:t>
            </w:r>
          </w:p>
        </w:tc>
        <w:tc>
          <w:tcPr>
            <w:tcW w:w="203" w:type="dxa"/>
            <w:tcBorders/>
            <w:shd w:fill="auto" w:val="clear"/>
            <w:vAlign w:val="center"/>
          </w:tcPr>
          <w:p>
            <w:pPr>
              <w:pStyle w:val="TableContents"/>
              <w:spacing w:before="0" w:after="1"/>
              <w:ind w:left="0" w:right="0" w:hanging="0"/>
              <w:jc w:val="right"/>
              <w:rPr/>
            </w:pPr>
            <w:r>
              <w:rPr/>
              <w:t>​</w:t>
            </w:r>
          </w:p>
        </w:tc>
        <w:tc>
          <w:tcPr>
            <w:tcW w:w="72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04" w:type="dxa"/>
            <w:tcBorders/>
            <w:shd w:fill="auto" w:val="clear"/>
            <w:vAlign w:val="center"/>
          </w:tcPr>
          <w:p>
            <w:pPr>
              <w:pStyle w:val="TableContents"/>
              <w:spacing w:before="0" w:after="1"/>
              <w:ind w:left="0" w:right="0" w:hanging="0"/>
              <w:rPr/>
            </w:pPr>
            <w:r>
              <w:rPr/>
              <w:t>​</w:t>
            </w:r>
          </w:p>
        </w:tc>
        <w:tc>
          <w:tcPr>
            <w:tcW w:w="787" w:type="dxa"/>
            <w:tcBorders/>
            <w:shd w:fill="auto"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233</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Net unrealized loss on marketable securities</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1" w:type="dxa"/>
            <w:tcBorders/>
            <w:shd w:fill="CCEEFF" w:val="clear"/>
            <w:vAlign w:val="center"/>
          </w:tcPr>
          <w:p>
            <w:pPr>
              <w:pStyle w:val="TableContents"/>
              <w:spacing w:before="0" w:after="1"/>
              <w:ind w:left="0" w:right="0" w:hanging="0"/>
              <w:rPr/>
            </w:pPr>
            <w:r>
              <w:rPr/>
              <w:t>​</w:t>
            </w:r>
          </w:p>
        </w:tc>
        <w:tc>
          <w:tcPr>
            <w:tcW w:w="3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55" w:type="dxa"/>
            <w:tcBorders/>
            <w:shd w:fill="CCEEFF" w:val="clear"/>
            <w:vAlign w:val="center"/>
          </w:tcPr>
          <w:p>
            <w:pPr>
              <w:pStyle w:val="TableContents"/>
              <w:spacing w:before="0" w:after="1"/>
              <w:ind w:left="0" w:right="0" w:hanging="0"/>
              <w:rPr/>
            </w:pPr>
            <w:r>
              <w:rPr/>
              <w:t>​</w:t>
            </w:r>
          </w:p>
        </w:tc>
        <w:tc>
          <w:tcPr>
            <w:tcW w:w="741" w:type="dxa"/>
            <w:tcBorders/>
            <w:shd w:fill="CCEEFF" w:val="cle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(149)</w:t>
            </w:r>
          </w:p>
        </w:tc>
        <w:tc>
          <w:tcPr>
            <w:tcW w:w="109" w:type="dxa"/>
            <w:tcBorders/>
            <w:shd w:fill="CCEEFF" w:val="clear"/>
            <w:vAlign w:val="center"/>
          </w:tcPr>
          <w:p>
            <w:pPr>
              <w:pStyle w:val="TableContents"/>
              <w:spacing w:before="0" w:after="1"/>
              <w:ind w:left="0" w:right="0" w:hanging="0"/>
              <w:jc w:val="right"/>
              <w:rPr/>
            </w:pPr>
            <w:r>
              <w:rPr/>
              <w:t>​</w:t>
            </w:r>
          </w:p>
        </w:tc>
        <w:tc>
          <w:tcPr>
            <w:tcW w:w="203" w:type="dxa"/>
            <w:tcBorders/>
            <w:shd w:fill="CCEEFF" w:val="clear"/>
            <w:vAlign w:val="center"/>
          </w:tcPr>
          <w:p>
            <w:pPr>
              <w:pStyle w:val="TableContents"/>
              <w:spacing w:before="0" w:after="1"/>
              <w:ind w:left="0" w:right="0" w:hanging="0"/>
              <w:jc w:val="right"/>
              <w:rPr/>
            </w:pPr>
            <w:r>
              <w:rPr/>
              <w:t>​</w:t>
            </w:r>
          </w:p>
        </w:tc>
        <w:tc>
          <w:tcPr>
            <w:tcW w:w="72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04" w:type="dxa"/>
            <w:tcBorders/>
            <w:shd w:fill="CCEEFF" w:val="clear"/>
            <w:vAlign w:val="center"/>
          </w:tcPr>
          <w:p>
            <w:pPr>
              <w:pStyle w:val="TableContents"/>
              <w:spacing w:before="0" w:after="1"/>
              <w:ind w:left="0" w:right="0" w:hanging="0"/>
              <w:rPr/>
            </w:pPr>
            <w:r>
              <w:rPr/>
              <w:t>​</w:t>
            </w:r>
          </w:p>
        </w:tc>
        <w:tc>
          <w:tcPr>
            <w:tcW w:w="787" w:type="dxa"/>
            <w:tcBorders/>
            <w:shd w:fill="CCEEFF" w:val="cle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(149)</w:t>
            </w:r>
          </w:p>
        </w:tc>
      </w:tr>
      <w:tr>
        <w:trPr/>
        <w:tc>
          <w:tcPr>
            <w:tcW w:w="1321" w:type="dxa"/>
            <w:tcBorders/>
            <w:shd w:fill="auto"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 xml:space="preserve">Net loss </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8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0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72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(71,096)</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14"/>
              </w:rPr>
            </w:pPr>
            <w:r>
              <w:rPr>
                <w:rFonts w:ascii="Arial;Helvetica;sans-serif" w:hAnsi="Arial;Helvetica;sans-serif"/>
                <w:color w:val="231F20"/>
                <w:sz w:val="14"/>
              </w:rPr>
              <w:t>(71,096)</w:t>
            </w:r>
          </w:p>
        </w:tc>
      </w:tr>
      <w:tr>
        <w:trPr/>
        <w:tc>
          <w:tcPr>
            <w:tcW w:w="1321" w:type="dxa"/>
            <w:tcBorders/>
            <w:shd w:fill="CCEEFF" w:val="clear"/>
            <w:vAlign w:val="center"/>
          </w:tcPr>
          <w:p>
            <w:pPr>
              <w:pStyle w:val="TableContents"/>
              <w:spacing w:before="0" w:after="1"/>
              <w:ind w:left="0" w:right="0" w:hanging="0"/>
              <w:rPr>
                <w:rFonts w:ascii="Arial;Helvetica;sans-serif" w:hAnsi="Arial;Helvetica;sans-serif"/>
                <w:sz w:val="14"/>
              </w:rPr>
            </w:pPr>
            <w:r>
              <w:rPr>
                <w:rFonts w:ascii="Arial;Helvetica;sans-serif" w:hAnsi="Arial;Helvetica;sans-serif"/>
                <w:sz w:val="14"/>
              </w:rPr>
              <w:t>Balances at December 31, 2021</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39,797,263</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38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388,904</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35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(149)</w:t>
            </w:r>
          </w:p>
        </w:tc>
        <w:tc>
          <w:tcPr>
            <w:tcW w:w="109"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203"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72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(104,190)</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20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4"/>
              </w:rPr>
            </w:pPr>
            <w:r>
              <w:rPr>
                <w:rFonts w:ascii="Arial;Helvetica;sans-serif" w:hAnsi="Arial;Helvetica;sans-serif"/>
                <w:sz w:val="14"/>
              </w:rPr>
              <w:t>$</w:t>
            </w:r>
          </w:p>
        </w:tc>
        <w:tc>
          <w:tcPr>
            <w:tcW w:w="787" w:type="dxa"/>
            <w:tcBorders>
              <w:bottom w:val="double" w:sz="6" w:space="0" w:color="000000"/>
            </w:tcBorders>
            <w:shd w:fill="CCEEFF" w:val="clear"/>
            <w:tcMar>
              <w:bottom w:w="28" w:type="dxa"/>
            </w:tcMar>
            <w:vAlign w:val="center"/>
          </w:tcPr>
          <w:p>
            <w:pPr>
              <w:pStyle w:val="TableContents"/>
              <w:spacing w:before="0" w:after="1"/>
              <w:ind w:left="0" w:right="50" w:hanging="0"/>
              <w:jc w:val="right"/>
              <w:rPr>
                <w:rFonts w:ascii="Arial;Helvetica;sans-serif" w:hAnsi="Arial;Helvetica;sans-serif"/>
                <w:sz w:val="14"/>
              </w:rPr>
            </w:pPr>
            <w:r>
              <w:rPr>
                <w:rFonts w:ascii="Arial;Helvetica;sans-serif" w:hAnsi="Arial;Helvetica;sans-serif"/>
                <w:sz w:val="14"/>
              </w:rPr>
              <w:t>284,568</w:t>
            </w:r>
          </w:p>
        </w:tc>
      </w:tr>
    </w:tbl>
    <w:p>
      <w:pPr>
        <w:pStyle w:val="TextBody"/>
        <w:spacing w:before="80" w:after="120"/>
        <w:ind w:left="0" w:right="0" w:hanging="0"/>
        <w:jc w:val="center"/>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val="false"/>
          <w:sz w:val="20"/>
        </w:rPr>
      </w:pPr>
      <w:bookmarkStart w:id="676" w:name="_be6fd184_b9c3_4fe9_a5bb_1fecdcce3f0e"/>
      <w:bookmarkEnd w:id="676"/>
      <w:r>
        <w:rPr>
          <w:rFonts w:ascii="Arial;Helvetica;sans-serif" w:hAnsi="Arial;Helvetica;sans-serif"/>
          <w:b w:val="false"/>
          <w:sz w:val="20"/>
        </w:rPr>
        <w:t>Olema Pharmaceuticals, Inc.</w:t>
      </w:r>
    </w:p>
    <w:p>
      <w:pPr>
        <w:pStyle w:val="TextBody"/>
        <w:spacing w:before="0" w:after="0"/>
        <w:ind w:left="0" w:right="0" w:hanging="0"/>
        <w:jc w:val="both"/>
        <w:rPr>
          <w:rFonts w:ascii="Arial;Helvetica;sans-serif" w:hAnsi="Arial;Helvetica;sans-serif"/>
          <w:b w:val="false"/>
          <w:sz w:val="20"/>
        </w:rPr>
      </w:pPr>
      <w:bookmarkStart w:id="677" w:name="Statementsofcashflows_715120"/>
      <w:bookmarkEnd w:id="677"/>
      <w:r>
        <w:rPr>
          <w:rFonts w:ascii="Arial;Helvetica;sans-serif" w:hAnsi="Arial;Helvetica;sans-serif"/>
          <w:b w:val="false"/>
          <w:sz w:val="20"/>
        </w:rPr>
        <w:t xml:space="preserve">Consolidated Statements of Cash Flows </w:t>
      </w:r>
    </w:p>
    <w:p>
      <w:pPr>
        <w:pStyle w:val="TextBody"/>
        <w:spacing w:before="0" w:after="0"/>
        <w:ind w:left="0" w:right="0" w:hanging="0"/>
        <w:jc w:val="both"/>
        <w:rPr>
          <w:rFonts w:ascii="Arial;Helvetica;sans-serif" w:hAnsi="Arial;Helvetica;sans-serif"/>
          <w:b w:val="false"/>
          <w:sz w:val="20"/>
        </w:rPr>
      </w:pPr>
      <w:r>
        <w:rPr>
          <w:rFonts w:ascii="Arial;Helvetica;sans-serif" w:hAnsi="Arial;Helvetica;sans-serif"/>
          <w:b w:val="false"/>
          <w:sz w:val="20"/>
        </w:rPr>
        <w:t>(Amounts in thousands)</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678" w:name="Tc_xHHEckrkF0GZZmvbzhBFgw_40_9"/>
      <w:bookmarkStart w:id="679" w:name="Tc_kYxufllNdECvdErGxgQQYg_40_8"/>
      <w:bookmarkStart w:id="680" w:name="Tc_x3WqRy7yTkqX0UOkJv6qEg_40_5"/>
      <w:bookmarkStart w:id="681" w:name="Tc_1YD5YV1wrUKHk7hUMNTAYg_40_2"/>
      <w:bookmarkStart w:id="682" w:name="Tc_EuyklJP7wkOGhxSvMVQOaA_40_0"/>
      <w:bookmarkStart w:id="683" w:name="Tc_vlQGHv2tqk2wadfXzm5COQ_39_9"/>
      <w:bookmarkStart w:id="684" w:name="Tc_wKeIIou5BU6HBv2vfi9h3w_39_8"/>
      <w:bookmarkStart w:id="685" w:name="Tc_Hb0OZm-6-0-T05m9tsuztQ_39_5"/>
      <w:bookmarkStart w:id="686" w:name="Tc_-yDr9uSbIUauoBgjNh_RGA_39_3"/>
      <w:bookmarkStart w:id="687" w:name="Tc_O_NMhSP2k0iiMg_-fis6Og_39_2"/>
      <w:bookmarkStart w:id="688" w:name="Tc_6yJtU1xzPEuLvX43m4e_oQ_39_0"/>
      <w:bookmarkStart w:id="689" w:name="Tc_y_K-XlkHO0SDEilgVxWQ1Q_38_9"/>
      <w:bookmarkStart w:id="690" w:name="Tc_noaxXrwa_Eqn2UWoqK_HqA_38_8"/>
      <w:bookmarkStart w:id="691" w:name="Tc_V9GQbw0bgE-fRrQ51hSTIA_38_5"/>
      <w:bookmarkStart w:id="692" w:name="Tc_qMSQ9gZbMkGqBXG8riSrkw_38_3"/>
      <w:bookmarkStart w:id="693" w:name="Tc__9HHwaajyEyTJdExwjwxWg_38_2"/>
      <w:bookmarkStart w:id="694" w:name="Tc_UXJnPIStnEK-MVRgf0Fj3Q_38_0"/>
      <w:bookmarkStart w:id="695" w:name="Tc_OuCvzsU0wkulyjGo_PmLKg_37_9"/>
      <w:bookmarkStart w:id="696" w:name="Tc_J-suAJrgFEubEjhjRdHsqA_37_8"/>
      <w:bookmarkStart w:id="697" w:name="Tc_koVs8yj3L0qDUn_i-eFdLg_37_5"/>
      <w:bookmarkStart w:id="698" w:name="Tc_na3rtuod10eutGGDux8mPg_37_3"/>
      <w:bookmarkStart w:id="699" w:name="Tc_r21LV2e17EuVVmI6cixdlg_37_2"/>
      <w:bookmarkStart w:id="700" w:name="Tc_j2Hop99dS0KozVxiZdElYA_37_0"/>
      <w:bookmarkStart w:id="701" w:name="Tc_vofpM1dCVk-jpPug417Zdw_36_0"/>
      <w:bookmarkStart w:id="702" w:name="Tc_NIqLUQEdvEqFhVjl8Nafyg_35_8"/>
      <w:bookmarkStart w:id="703" w:name="Tc_1rRgk4UuSki5VbSNSc08Sw_35_5"/>
      <w:bookmarkStart w:id="704" w:name="Tc_A4aqca_wWEmgJS5JXOuNRw_35_2"/>
      <w:bookmarkStart w:id="705" w:name="Tc_MrxfA1jOTkecHC5SOGJerQ_35_0"/>
      <w:bookmarkStart w:id="706" w:name="Tc_pioYCOHm-E6qhbm__AG0QA_34_0"/>
      <w:bookmarkStart w:id="707" w:name="Tc_mTwWE28_bU-REyQL9OcbcA_33_0"/>
      <w:bookmarkStart w:id="708" w:name="Tc_k3lbiz03OUitBmAFpT0tHA_32_9"/>
      <w:bookmarkStart w:id="709" w:name="Tc_ilAIPYgXaUKfB0S-WEnjug_32_0"/>
      <w:bookmarkStart w:id="710" w:name="Tc_iP4IITW3kkWte8F5AmimFw_31_9"/>
      <w:bookmarkStart w:id="711" w:name="Tc_bwGDRZevX0yApzltWnrIWA_31_3"/>
      <w:bookmarkStart w:id="712" w:name="Tc_JKl5kK7m3Eml_irAe1uIkg_31_0"/>
      <w:bookmarkStart w:id="713" w:name="Tc_SPHHazRk4k-zTgQBe1ck-g_30_9"/>
      <w:bookmarkStart w:id="714" w:name="Tc_L5lf7VWJsEeNM0_W4s6Zcw_30_3"/>
      <w:bookmarkStart w:id="715" w:name="Tc_HXuJRmlJtECvRST_cqpNLw_30_0"/>
      <w:bookmarkStart w:id="716" w:name="Tc_v_wF3h_8yka87QQjPuDC9A_29_9"/>
      <w:bookmarkStart w:id="717" w:name="Tc_wyUwdtCi3kq8S8H3UXeplQ_29_3"/>
      <w:bookmarkStart w:id="718" w:name="Tc_s9cUAaCoMUyR0akwXDTpRQ_29_0"/>
      <w:bookmarkStart w:id="719" w:name="Tc_o2aNY7rv_EaLCTYZXU-RvA_28_9"/>
      <w:bookmarkStart w:id="720" w:name="Tc_ZjSLsWGNMEaqXKGve-byUQ_28_3"/>
      <w:bookmarkStart w:id="721" w:name="Tc_HuM3O0IrdEyzP6AD5_UBlw_28_0"/>
      <w:bookmarkStart w:id="722" w:name="Tc_dxddZf1NXkuYsh6_XTjVOQ_27_9"/>
      <w:bookmarkStart w:id="723" w:name="Tc_PduViSh_GES1v79WtmYboA_27_3"/>
      <w:bookmarkStart w:id="724" w:name="Tc_UY4575GR702T8_SJM4Uo5Q_27_0"/>
      <w:bookmarkStart w:id="725" w:name="Tc_6J2njripCEGk7TvVEecBvQ_26_9"/>
      <w:bookmarkStart w:id="726" w:name="Tc_chjrxEfUQUaRl7KAqxSGLw_26_3"/>
      <w:bookmarkStart w:id="727" w:name="Tc_SYc0htDvGUWglgjxJeM8aw_26_0"/>
      <w:bookmarkStart w:id="728" w:name="Tc__FnU1aoJPEOp2THre920Dw_25_9"/>
      <w:bookmarkStart w:id="729" w:name="Tc_eAaX_FRUa0eb4n-YAROGiA_25_6"/>
      <w:bookmarkStart w:id="730" w:name="Tc_H_3YWJlaBkiBFS7mHVcRNA_25_0"/>
      <w:bookmarkStart w:id="731" w:name="Tc_ulFeI7tzc0m7gekonbOepg_24_9"/>
      <w:bookmarkStart w:id="732" w:name="Tc_VZtt36CXQU2B4M-e-XpkJQ_24_0"/>
      <w:bookmarkStart w:id="733" w:name="Tc_2J5vx-1XakeQ0Blzz446xQ_23_0"/>
      <w:bookmarkStart w:id="734" w:name="Tc_Fl3AhDZreUqB_jBaADPV9A_22_9"/>
      <w:bookmarkStart w:id="735" w:name="Tc_fQGrQRjkQU61uNLhGCu18Q_22_0"/>
      <w:bookmarkStart w:id="736" w:name="Tc_z_JuMe96sU-Li1XkyDWjDw_21_9"/>
      <w:bookmarkStart w:id="737" w:name="Tc_UuiaDNbg-ECEpexJOuxPAQ_21_6"/>
      <w:bookmarkStart w:id="738" w:name="Tc_LeVvWIZ4KEWGudSeeoE3LQ_21_0"/>
      <w:bookmarkStart w:id="739" w:name="Tc_k1QPJ09hAE-0XY-PlR1VwQ_20_9"/>
      <w:bookmarkStart w:id="740" w:name="Tc_eNnzxO-ctU6KCqOI5uYZRA_20_6"/>
      <w:bookmarkStart w:id="741" w:name="Tc_cZQaqncLlUGQOfSny-wSog_20_0"/>
      <w:bookmarkStart w:id="742" w:name="Tc_iT8BgaBpZke7m7Zdawiltg_19_9"/>
      <w:bookmarkStart w:id="743" w:name="Tc_7cARjjpHtU6TrqHqmP9uqQ_19_0"/>
      <w:bookmarkStart w:id="744" w:name="Tc_KzgKYCsfHUO1OY3mEN715A_18_0"/>
      <w:bookmarkStart w:id="745" w:name="Tc_u9V2n7OR9UyWG7d863Y5-g_17_0"/>
      <w:bookmarkStart w:id="746" w:name="Tc_dXmwzSuoJUWkIhDqyKDdXw_16_9"/>
      <w:bookmarkStart w:id="747" w:name="Tc_SvLEM2KGA02wpctk7NIBfw_16_6"/>
      <w:bookmarkStart w:id="748" w:name="Tc_KyHPOd_Yo02TCXSImpxc-w_16_0"/>
      <w:bookmarkStart w:id="749" w:name="Tc_uVnhbi194k6oM1gK0hPepQ_15_0"/>
      <w:bookmarkStart w:id="750" w:name="Tc_5qb6h39vykClab_Av7Qn-Q_14_0"/>
      <w:bookmarkStart w:id="751" w:name="Tc_TOSxBWLoLUO2J6JJo83vPg_13_9"/>
      <w:bookmarkStart w:id="752" w:name="Tc_NjeioR8NT0K-sq--7Ay3Lg_13_0"/>
      <w:bookmarkStart w:id="753" w:name="Tc_GJjb7tNR_0iQU9Kt3-xKbQ_12_0"/>
      <w:bookmarkStart w:id="754" w:name="Tc_lU3Hh-FMUUGBkM3fhoReJQ_11_0"/>
      <w:bookmarkStart w:id="755" w:name="Tc_mHMLczBmZ06fMANru2WFPg_10_9"/>
      <w:bookmarkStart w:id="756" w:name="Tc_A2JUOg0oEUWrwptcTA8owA_10_0"/>
      <w:bookmarkStart w:id="757" w:name="Tc_dyroB7DZ4UuU6XEn1E78QA_9_9"/>
      <w:bookmarkStart w:id="758" w:name="Tc_I_ErNF_2k029l_yFRCY83A_9_6"/>
      <w:bookmarkStart w:id="759" w:name="Tc_2E9BR2MZSEiGAuIcdxN3PQ_9_0"/>
      <w:bookmarkStart w:id="760" w:name="Tc_bVA-XtDK10OsMiivBPwVWA_8_9"/>
      <w:bookmarkStart w:id="761" w:name="Tc_PU-3qciT0Ua1W574tkh4xA_8_6"/>
      <w:bookmarkStart w:id="762" w:name="Tc_FHsqqA7BWESuG6-fGI3rgA_8_0"/>
      <w:bookmarkStart w:id="763" w:name="Tc_-KyBZptTY0ec0hRgcJeRLw_7_9"/>
      <w:bookmarkStart w:id="764" w:name="Tc_T47e4omTvU27p6fXhlOizA_7_3"/>
      <w:bookmarkStart w:id="765" w:name="Tc_kye_8HB1I0iJ1TNwIFZiUQ_7_0"/>
      <w:bookmarkStart w:id="766" w:name="Tc_ajrdxZJYr0GiGb8Ptr3rtw_6_0"/>
      <w:bookmarkStart w:id="767" w:name="Tc_v8f605dcAUuBFmz-6V1cgw_5_0"/>
      <w:bookmarkStart w:id="768" w:name="Tc_lU7bS-Tg506zuselNLhzlA_4_8"/>
      <w:bookmarkStart w:id="769" w:name="Tc_LZq8CN4gs0C8vyvw60oniA_4_5"/>
      <w:bookmarkStart w:id="770" w:name="Tc_XT6I-aZKokCxvaFPOr9o2g_4_2"/>
      <w:bookmarkStart w:id="771" w:name="Tc_XbZYAGl6BkCpmmwU7EvPfw_4_0"/>
      <w:bookmarkStart w:id="772" w:name="Tc_rbyopT_zHEeljUOZjivkPw_3_0"/>
      <w:bookmarkStart w:id="773" w:name="Tc_ovkWl-7G20Gh-jc5NZZEzw_2_8"/>
      <w:bookmarkStart w:id="774" w:name="Tc_c2SMothV6Ei0thaC0RUvRw_2_5"/>
      <w:bookmarkStart w:id="775" w:name="Tc_E4b2AU05gk60XIfFvjGPVg_2_2"/>
      <w:bookmarkStart w:id="776" w:name="Tc_Hi84mbF36Uyr_jeQ_uPDbQ_1_2"/>
      <w:bookmarkStart w:id="777" w:name="_2911bacc_b9c4_470a_b2c6_330634647f46"/>
      <w:bookmarkStart w:id="778" w:name="Tc_xHHEckrkF0GZZmvbzhBFgw_40_9"/>
      <w:bookmarkStart w:id="779" w:name="Tc_kYxufllNdECvdErGxgQQYg_40_8"/>
      <w:bookmarkStart w:id="780" w:name="Tc_x3WqRy7yTkqX0UOkJv6qEg_40_5"/>
      <w:bookmarkStart w:id="781" w:name="Tc_1YD5YV1wrUKHk7hUMNTAYg_40_2"/>
      <w:bookmarkStart w:id="782" w:name="Tc_EuyklJP7wkOGhxSvMVQOaA_40_0"/>
      <w:bookmarkStart w:id="783" w:name="Tc_vlQGHv2tqk2wadfXzm5COQ_39_9"/>
      <w:bookmarkStart w:id="784" w:name="Tc_wKeIIou5BU6HBv2vfi9h3w_39_8"/>
      <w:bookmarkStart w:id="785" w:name="Tc_Hb0OZm-6-0-T05m9tsuztQ_39_5"/>
      <w:bookmarkStart w:id="786" w:name="Tc_-yDr9uSbIUauoBgjNh_RGA_39_3"/>
      <w:bookmarkStart w:id="787" w:name="Tc_O_NMhSP2k0iiMg_-fis6Og_39_2"/>
      <w:bookmarkStart w:id="788" w:name="Tc_6yJtU1xzPEuLvX43m4e_oQ_39_0"/>
      <w:bookmarkStart w:id="789" w:name="Tc_y_K-XlkHO0SDEilgVxWQ1Q_38_9"/>
      <w:bookmarkStart w:id="790" w:name="Tc_noaxXrwa_Eqn2UWoqK_HqA_38_8"/>
      <w:bookmarkStart w:id="791" w:name="Tc_V9GQbw0bgE-fRrQ51hSTIA_38_5"/>
      <w:bookmarkStart w:id="792" w:name="Tc_qMSQ9gZbMkGqBXG8riSrkw_38_3"/>
      <w:bookmarkStart w:id="793" w:name="Tc__9HHwaajyEyTJdExwjwxWg_38_2"/>
      <w:bookmarkStart w:id="794" w:name="Tc_UXJnPIStnEK-MVRgf0Fj3Q_38_0"/>
      <w:bookmarkStart w:id="795" w:name="Tc_OuCvzsU0wkulyjGo_PmLKg_37_9"/>
      <w:bookmarkStart w:id="796" w:name="Tc_J-suAJrgFEubEjhjRdHsqA_37_8"/>
      <w:bookmarkStart w:id="797" w:name="Tc_koVs8yj3L0qDUn_i-eFdLg_37_5"/>
      <w:bookmarkStart w:id="798" w:name="Tc_na3rtuod10eutGGDux8mPg_37_3"/>
      <w:bookmarkStart w:id="799" w:name="Tc_r21LV2e17EuVVmI6cixdlg_37_2"/>
      <w:bookmarkStart w:id="800" w:name="Tc_j2Hop99dS0KozVxiZdElYA_37_0"/>
      <w:bookmarkStart w:id="801" w:name="Tc_vofpM1dCVk-jpPug417Zdw_36_0"/>
      <w:bookmarkStart w:id="802" w:name="Tc_NIqLUQEdvEqFhVjl8Nafyg_35_8"/>
      <w:bookmarkStart w:id="803" w:name="Tc_1rRgk4UuSki5VbSNSc08Sw_35_5"/>
      <w:bookmarkStart w:id="804" w:name="Tc_A4aqca_wWEmgJS5JXOuNRw_35_2"/>
      <w:bookmarkStart w:id="805" w:name="Tc_MrxfA1jOTkecHC5SOGJerQ_35_0"/>
      <w:bookmarkStart w:id="806" w:name="Tc_pioYCOHm-E6qhbm__AG0QA_34_0"/>
      <w:bookmarkStart w:id="807" w:name="Tc_mTwWE28_bU-REyQL9OcbcA_33_0"/>
      <w:bookmarkStart w:id="808" w:name="Tc_k3lbiz03OUitBmAFpT0tHA_32_9"/>
      <w:bookmarkStart w:id="809" w:name="Tc_ilAIPYgXaUKfB0S-WEnjug_32_0"/>
      <w:bookmarkStart w:id="810" w:name="Tc_iP4IITW3kkWte8F5AmimFw_31_9"/>
      <w:bookmarkStart w:id="811" w:name="Tc_bwGDRZevX0yApzltWnrIWA_31_3"/>
      <w:bookmarkStart w:id="812" w:name="Tc_JKl5kK7m3Eml_irAe1uIkg_31_0"/>
      <w:bookmarkStart w:id="813" w:name="Tc_SPHHazRk4k-zTgQBe1ck-g_30_9"/>
      <w:bookmarkStart w:id="814" w:name="Tc_L5lf7VWJsEeNM0_W4s6Zcw_30_3"/>
      <w:bookmarkStart w:id="815" w:name="Tc_HXuJRmlJtECvRST_cqpNLw_30_0"/>
      <w:bookmarkStart w:id="816" w:name="Tc_v_wF3h_8yka87QQjPuDC9A_29_9"/>
      <w:bookmarkStart w:id="817" w:name="Tc_wyUwdtCi3kq8S8H3UXeplQ_29_3"/>
      <w:bookmarkStart w:id="818" w:name="Tc_s9cUAaCoMUyR0akwXDTpRQ_29_0"/>
      <w:bookmarkStart w:id="819" w:name="Tc_o2aNY7rv_EaLCTYZXU-RvA_28_9"/>
      <w:bookmarkStart w:id="820" w:name="Tc_ZjSLsWGNMEaqXKGve-byUQ_28_3"/>
      <w:bookmarkStart w:id="821" w:name="Tc_HuM3O0IrdEyzP6AD5_UBlw_28_0"/>
      <w:bookmarkStart w:id="822" w:name="Tc_dxddZf1NXkuYsh6_XTjVOQ_27_9"/>
      <w:bookmarkStart w:id="823" w:name="Tc_PduViSh_GES1v79WtmYboA_27_3"/>
      <w:bookmarkStart w:id="824" w:name="Tc_UY4575GR702T8_SJM4Uo5Q_27_0"/>
      <w:bookmarkStart w:id="825" w:name="Tc_6J2njripCEGk7TvVEecBvQ_26_9"/>
      <w:bookmarkStart w:id="826" w:name="Tc_chjrxEfUQUaRl7KAqxSGLw_26_3"/>
      <w:bookmarkStart w:id="827" w:name="Tc_SYc0htDvGUWglgjxJeM8aw_26_0"/>
      <w:bookmarkStart w:id="828" w:name="Tc__FnU1aoJPEOp2THre920Dw_25_9"/>
      <w:bookmarkStart w:id="829" w:name="Tc_eAaX_FRUa0eb4n-YAROGiA_25_6"/>
      <w:bookmarkStart w:id="830" w:name="Tc_H_3YWJlaBkiBFS7mHVcRNA_25_0"/>
      <w:bookmarkStart w:id="831" w:name="Tc_ulFeI7tzc0m7gekonbOepg_24_9"/>
      <w:bookmarkStart w:id="832" w:name="Tc_VZtt36CXQU2B4M-e-XpkJQ_24_0"/>
      <w:bookmarkStart w:id="833" w:name="Tc_2J5vx-1XakeQ0Blzz446xQ_23_0"/>
      <w:bookmarkStart w:id="834" w:name="Tc_Fl3AhDZreUqB_jBaADPV9A_22_9"/>
      <w:bookmarkStart w:id="835" w:name="Tc_fQGrQRjkQU61uNLhGCu18Q_22_0"/>
      <w:bookmarkStart w:id="836" w:name="Tc_z_JuMe96sU-Li1XkyDWjDw_21_9"/>
      <w:bookmarkStart w:id="837" w:name="Tc_UuiaDNbg-ECEpexJOuxPAQ_21_6"/>
      <w:bookmarkStart w:id="838" w:name="Tc_LeVvWIZ4KEWGudSeeoE3LQ_21_0"/>
      <w:bookmarkStart w:id="839" w:name="Tc_k1QPJ09hAE-0XY-PlR1VwQ_20_9"/>
      <w:bookmarkStart w:id="840" w:name="Tc_eNnzxO-ctU6KCqOI5uYZRA_20_6"/>
      <w:bookmarkStart w:id="841" w:name="Tc_cZQaqncLlUGQOfSny-wSog_20_0"/>
      <w:bookmarkStart w:id="842" w:name="Tc_iT8BgaBpZke7m7Zdawiltg_19_9"/>
      <w:bookmarkStart w:id="843" w:name="Tc_7cARjjpHtU6TrqHqmP9uqQ_19_0"/>
      <w:bookmarkStart w:id="844" w:name="Tc_KzgKYCsfHUO1OY3mEN715A_18_0"/>
      <w:bookmarkStart w:id="845" w:name="Tc_u9V2n7OR9UyWG7d863Y5-g_17_0"/>
      <w:bookmarkStart w:id="846" w:name="Tc_dXmwzSuoJUWkIhDqyKDdXw_16_9"/>
      <w:bookmarkStart w:id="847" w:name="Tc_SvLEM2KGA02wpctk7NIBfw_16_6"/>
      <w:bookmarkStart w:id="848" w:name="Tc_KyHPOd_Yo02TCXSImpxc-w_16_0"/>
      <w:bookmarkStart w:id="849" w:name="Tc_uVnhbi194k6oM1gK0hPepQ_15_0"/>
      <w:bookmarkStart w:id="850" w:name="Tc_5qb6h39vykClab_Av7Qn-Q_14_0"/>
      <w:bookmarkStart w:id="851" w:name="Tc_TOSxBWLoLUO2J6JJo83vPg_13_9"/>
      <w:bookmarkStart w:id="852" w:name="Tc_NjeioR8NT0K-sq--7Ay3Lg_13_0"/>
      <w:bookmarkStart w:id="853" w:name="Tc_GJjb7tNR_0iQU9Kt3-xKbQ_12_0"/>
      <w:bookmarkStart w:id="854" w:name="Tc_lU3Hh-FMUUGBkM3fhoReJQ_11_0"/>
      <w:bookmarkStart w:id="855" w:name="Tc_mHMLczBmZ06fMANru2WFPg_10_9"/>
      <w:bookmarkStart w:id="856" w:name="Tc_A2JUOg0oEUWrwptcTA8owA_10_0"/>
      <w:bookmarkStart w:id="857" w:name="Tc_dyroB7DZ4UuU6XEn1E78QA_9_9"/>
      <w:bookmarkStart w:id="858" w:name="Tc_I_ErNF_2k029l_yFRCY83A_9_6"/>
      <w:bookmarkStart w:id="859" w:name="Tc_2E9BR2MZSEiGAuIcdxN3PQ_9_0"/>
      <w:bookmarkStart w:id="860" w:name="Tc_bVA-XtDK10OsMiivBPwVWA_8_9"/>
      <w:bookmarkStart w:id="861" w:name="Tc_PU-3qciT0Ua1W574tkh4xA_8_6"/>
      <w:bookmarkStart w:id="862" w:name="Tc_FHsqqA7BWESuG6-fGI3rgA_8_0"/>
      <w:bookmarkStart w:id="863" w:name="Tc_-KyBZptTY0ec0hRgcJeRLw_7_9"/>
      <w:bookmarkStart w:id="864" w:name="Tc_T47e4omTvU27p6fXhlOizA_7_3"/>
      <w:bookmarkStart w:id="865" w:name="Tc_kye_8HB1I0iJ1TNwIFZiUQ_7_0"/>
      <w:bookmarkStart w:id="866" w:name="Tc_ajrdxZJYr0GiGb8Ptr3rtw_6_0"/>
      <w:bookmarkStart w:id="867" w:name="Tc_v8f605dcAUuBFmz-6V1cgw_5_0"/>
      <w:bookmarkStart w:id="868" w:name="Tc_lU7bS-Tg506zuselNLhzlA_4_8"/>
      <w:bookmarkStart w:id="869" w:name="Tc_LZq8CN4gs0C8vyvw60oniA_4_5"/>
      <w:bookmarkStart w:id="870" w:name="Tc_XT6I-aZKokCxvaFPOr9o2g_4_2"/>
      <w:bookmarkStart w:id="871" w:name="Tc_XbZYAGl6BkCpmmwU7EvPfw_4_0"/>
      <w:bookmarkStart w:id="872" w:name="Tc_rbyopT_zHEeljUOZjivkPw_3_0"/>
      <w:bookmarkStart w:id="873" w:name="Tc_ovkWl-7G20Gh-jc5NZZEzw_2_8"/>
      <w:bookmarkStart w:id="874" w:name="Tc_c2SMothV6Ei0thaC0RUvRw_2_5"/>
      <w:bookmarkStart w:id="875" w:name="Tc_E4b2AU05gk60XIfFvjGPVg_2_2"/>
      <w:bookmarkStart w:id="876" w:name="Tc_Hi84mbF36Uyr_jeQ_uPDbQ_1_2"/>
      <w:bookmarkStart w:id="877" w:name="_2911bacc_b9c4_470a_b2c6_330634647f46"/>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tbl>
      <w:tblPr>
        <w:tblW w:w="10205" w:type="dxa"/>
        <w:jc w:val="left"/>
        <w:tblInd w:w="0" w:type="dxa"/>
        <w:tblCellMar>
          <w:top w:w="0" w:type="dxa"/>
          <w:left w:w="0" w:type="dxa"/>
          <w:bottom w:w="0" w:type="dxa"/>
          <w:right w:w="0" w:type="dxa"/>
        </w:tblCellMar>
      </w:tblPr>
      <w:tblGrid>
        <w:gridCol w:w="6188"/>
        <w:gridCol w:w="326"/>
        <w:gridCol w:w="211"/>
        <w:gridCol w:w="888"/>
        <w:gridCol w:w="326"/>
        <w:gridCol w:w="211"/>
        <w:gridCol w:w="792"/>
        <w:gridCol w:w="326"/>
        <w:gridCol w:w="211"/>
        <w:gridCol w:w="726"/>
      </w:tblGrid>
      <w:tr>
        <w:trPr/>
        <w:tc>
          <w:tcPr>
            <w:tcW w:w="61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929380" cy="175260"/>
                      <wp:effectExtent l="0" t="0" r="0" b="0"/>
                      <wp:wrapNone/>
                      <wp:docPr id="133" name="Frame101"/>
                      <a:graphic xmlns:a="http://schemas.openxmlformats.org/drawingml/2006/main">
                        <a:graphicData uri="http://schemas.microsoft.com/office/word/2010/wordprocessingShape">
                          <wps:wsp>
                            <wps:cNvSpPr txBox="1"/>
                            <wps:spPr>
                              <a:xfrm>
                                <a:off x="0" y="0"/>
                                <a:ext cx="3929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4"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5"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63880" cy="175260"/>
                      <wp:effectExtent l="0" t="0" r="0" b="0"/>
                      <wp:wrapNone/>
                      <wp:docPr id="136" name="Frame104"/>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7"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8" name="Frame1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2920" cy="175260"/>
                      <wp:effectExtent l="0" t="0" r="0" b="0"/>
                      <wp:wrapNone/>
                      <wp:docPr id="139" name="Frame107"/>
                      <a:graphic xmlns:a="http://schemas.openxmlformats.org/drawingml/2006/main">
                        <a:graphicData uri="http://schemas.microsoft.com/office/word/2010/wordprocessingShape">
                          <wps:wsp>
                            <wps:cNvSpPr txBox="1"/>
                            <wps:spPr>
                              <a:xfrm>
                                <a:off x="0" y="0"/>
                                <a:ext cx="502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0"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1" name="Frame1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1010" cy="175260"/>
                      <wp:effectExtent l="0" t="0" r="0" b="0"/>
                      <wp:wrapNone/>
                      <wp:docPr id="142" name="Frame110"/>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88"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91"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Years Ended December 31,</w:t>
            </w:r>
          </w:p>
        </w:tc>
      </w:tr>
      <w:tr>
        <w:trPr/>
        <w:tc>
          <w:tcPr>
            <w:tcW w:w="618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10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2020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9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8"/>
              </w:rPr>
            </w:pPr>
            <w:r>
              <w:rPr>
                <w:rFonts w:ascii="Arial;Helvetica;sans-serif" w:hAnsi="Arial;Helvetica;sans-serif"/>
                <w:b/>
                <w:sz w:val="18"/>
              </w:rPr>
              <w:t>2019</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Cash flows from operating activities: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center"/>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Net loss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(71,096)</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(22,121)</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(4,316)</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Depreciation and amortization expense</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163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9</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Non-cash interest expense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641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Non-cash lease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1,224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Premium amortization and discount accretion on marketable securities,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276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Stock-based compensation expense, including ESPP expense</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15,913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3,108</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Changes in operating assets and liabilities: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(40)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(3,553)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58</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810</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Other current liabilities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4,571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2,775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358</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(988)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(50,690)</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(19,866)</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(3,081)</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Cash flows from investing activities: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Purchase of equipment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(1,575)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Maturities of 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213,104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Purchases of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(486,967)</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(275,438)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(56)</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Cash flows from financing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exercise of stock options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670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issuance of common stock under the ESPP plan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721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the issuance of convertible notes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3,000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issuance of Series B convertible preferred stock, net of issuance costs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50,637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issuance of Series C convertible preferred stock, net of issuance costs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85,776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Repurchase of shares of Series A and Series A-1 convertible preferred stock</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(2,289)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the settlement of non-recourse notes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88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Proceeds from issuance of common stock upon initial public offering, net of issuance costs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220,550</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Net cash provided by financing activities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1,391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358,403</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b/>
                <w:sz w:val="18"/>
              </w:rPr>
            </w:pPr>
            <w:r>
              <w:rPr>
                <w:rFonts w:ascii="Arial;Helvetica;sans-serif" w:hAnsi="Arial;Helvetica;sans-serif"/>
                <w:b/>
                <w:sz w:val="18"/>
              </w:rPr>
              <w:t>Net (decrease) increase in cash and cash equivalents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88"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(324,737)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338,481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26"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(3,081)</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Cash and cash equivalents at beginning of period</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338,549</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3,149</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sz w:val="18"/>
              </w:rPr>
            </w:pPr>
            <w:r>
              <w:rPr>
                <w:rFonts w:ascii="Arial;Helvetica;sans-serif" w:hAnsi="Arial;Helvetica;sans-serif"/>
                <w:sz w:val="18"/>
              </w:rPr>
              <w:t>Cash and cash equivalents at end of period</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13,812</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338,549</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68</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b/>
                <w:color w:val="231F20"/>
                <w:sz w:val="18"/>
              </w:rPr>
            </w:pPr>
            <w:r>
              <w:rPr>
                <w:rFonts w:ascii="Arial;Helvetica;sans-serif" w:hAnsi="Arial;Helvetica;sans-serif"/>
                <w:b/>
                <w:color w:val="231F20"/>
                <w:sz w:val="18"/>
              </w:rPr>
              <w:t>Supplemental disclosure of non-cash investing and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color w:val="231F20"/>
                <w:sz w:val="18"/>
              </w:rPr>
            </w:pPr>
            <w:r>
              <w:rPr>
                <w:rFonts w:ascii="Arial;Helvetica;sans-serif" w:hAnsi="Arial;Helvetica;sans-serif"/>
                <w:color w:val="231F20"/>
                <w:sz w:val="18"/>
              </w:rPr>
              <w:t>Conversion of convertible notes into Series B convertible preferred stock</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3,007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color w:val="231F20"/>
                <w:sz w:val="18"/>
              </w:rPr>
            </w:pPr>
            <w:r>
              <w:rPr>
                <w:rFonts w:ascii="Arial;Helvetica;sans-serif" w:hAnsi="Arial;Helvetica;sans-serif"/>
                <w:color w:val="231F20"/>
                <w:sz w:val="18"/>
              </w:rPr>
              <w:t>Conversion of series A, Series A-1, Series B and Series C stock into 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148,318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shd w:fill="auto" w:val="clear"/>
            <w:vAlign w:val="center"/>
          </w:tcPr>
          <w:p>
            <w:pPr>
              <w:pStyle w:val="TableContents"/>
              <w:spacing w:before="0" w:after="0"/>
              <w:ind w:left="0" w:right="0" w:hanging="0"/>
              <w:jc w:val="right"/>
              <w:rPr/>
            </w:pPr>
            <w:r>
              <w:rPr/>
              <w:t>—</w:t>
            </w:r>
          </w:p>
        </w:tc>
      </w:tr>
      <w:tr>
        <w:trPr/>
        <w:tc>
          <w:tcPr>
            <w:tcW w:w="6188" w:type="dxa"/>
            <w:tcBorders/>
            <w:shd w:fill="CCEEFF" w:val="clear"/>
            <w:vAlign w:val="center"/>
          </w:tcPr>
          <w:p>
            <w:pPr>
              <w:pStyle w:val="TableContents"/>
              <w:spacing w:before="0" w:after="0"/>
              <w:ind w:left="0" w:right="0" w:hanging="0"/>
              <w:rPr>
                <w:rFonts w:ascii="Arial;Helvetica;sans-serif" w:hAnsi="Arial;Helvetica;sans-serif"/>
                <w:color w:val="231F20"/>
                <w:sz w:val="18"/>
              </w:rPr>
            </w:pPr>
            <w:r>
              <w:rPr>
                <w:rFonts w:ascii="Arial;Helvetica;sans-serif" w:hAnsi="Arial;Helvetica;sans-serif"/>
                <w:color w:val="231F20"/>
                <w:sz w:val="18"/>
              </w:rPr>
              <w:t>Deferred offering costs included in other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shd w:fill="CCEEFF" w:val="clear"/>
            <w:vAlign w:val="center"/>
          </w:tcPr>
          <w:p>
            <w:pPr>
              <w:pStyle w:val="TableContents"/>
              <w:spacing w:before="0" w:after="0"/>
              <w:ind w:left="0" w:right="0" w:hanging="0"/>
              <w:jc w:val="right"/>
              <w:rPr/>
            </w:pPr>
            <w:r>
              <w:rPr/>
              <w:t>—</w:t>
            </w:r>
          </w:p>
        </w:tc>
      </w:tr>
      <w:tr>
        <w:trPr/>
        <w:tc>
          <w:tcPr>
            <w:tcW w:w="6188" w:type="dxa"/>
            <w:tcBorders/>
            <w:shd w:fill="auto" w:val="clear"/>
            <w:vAlign w:val="center"/>
          </w:tcPr>
          <w:p>
            <w:pPr>
              <w:pStyle w:val="TableContents"/>
              <w:spacing w:before="0" w:after="0"/>
              <w:ind w:left="0" w:right="0" w:hanging="0"/>
              <w:rPr>
                <w:rFonts w:ascii="Arial;Helvetica;sans-serif" w:hAnsi="Arial;Helvetica;sans-serif"/>
                <w:color w:val="231F20"/>
                <w:sz w:val="18"/>
              </w:rPr>
            </w:pPr>
            <w:r>
              <w:rPr>
                <w:rFonts w:ascii="Arial;Helvetica;sans-serif" w:hAnsi="Arial;Helvetica;sans-serif"/>
                <w:color w:val="231F20"/>
                <w:sz w:val="18"/>
              </w:rPr>
              <w:t>Vesting of early exercised stock options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88"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372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92"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26"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val="false"/>
          <w:sz w:val="24"/>
        </w:rPr>
      </w:pPr>
      <w:bookmarkStart w:id="878" w:name="_10608652_da97_4a49_b14c_aa6d781eb309"/>
      <w:bookmarkEnd w:id="878"/>
      <w:r>
        <w:rPr>
          <w:rFonts w:ascii="Arial;Helvetica;sans-serif" w:hAnsi="Arial;Helvetica;sans-serif"/>
          <w:b w:val="false"/>
          <w:sz w:val="24"/>
        </w:rPr>
        <w:t>Olema Pharmaceuticals, Inc.</w:t>
      </w:r>
    </w:p>
    <w:p>
      <w:pPr>
        <w:pStyle w:val="TextBody"/>
        <w:spacing w:before="0" w:after="240"/>
        <w:ind w:left="0" w:right="0" w:hanging="0"/>
        <w:jc w:val="center"/>
        <w:rPr>
          <w:rFonts w:ascii="Arial;Helvetica;sans-serif" w:hAnsi="Arial;Helvetica;sans-serif"/>
          <w:b w:val="false"/>
          <w:sz w:val="24"/>
        </w:rPr>
      </w:pPr>
      <w:bookmarkStart w:id="879" w:name="Notestofinancialstatements_353872"/>
      <w:bookmarkEnd w:id="879"/>
      <w:r>
        <w:rPr>
          <w:rFonts w:ascii="Arial;Helvetica;sans-serif" w:hAnsi="Arial;Helvetica;sans-serif"/>
          <w:b w:val="false"/>
          <w:sz w:val="24"/>
        </w:rPr>
        <w:t>Notes to consolidated financial statements</w:t>
      </w:r>
    </w:p>
    <w:p>
      <w:pPr>
        <w:pStyle w:val="TextBody"/>
        <w:pBdr/>
        <w:spacing w:before="0" w:after="240"/>
        <w:ind w:left="0" w:right="0" w:hanging="360"/>
        <w:jc w:val="both"/>
        <w:rPr>
          <w:rFonts w:ascii="Arial;Helvetica;sans-serif" w:hAnsi="Arial;Helvetica;sans-serif"/>
          <w:b w:val="false"/>
          <w:sz w:val="20"/>
        </w:rPr>
      </w:pPr>
      <w:bookmarkStart w:id="880" w:name="Narr_TxCFUkfPH0-fL8LDHXI1AA"/>
      <w:bookmarkEnd w:id="880"/>
      <w:r>
        <w:rPr>
          <w:rFonts w:ascii="Arial;Helvetica;sans-serif" w:hAnsi="Arial;Helvetica;sans-serif"/>
          <w:b w:val="false"/>
          <w:sz w:val="20"/>
        </w:rPr>
        <w:t>1.    Nature of the Business and Basis of Presentation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The Company is currently evaluating OP-1250 in a Phase 1/2 dose escalation and expansion trial for the treatment of recurrent, locally advanced or metastatic estrogen receptor-positive (“ER+”), human epidermal growth factor receptor 2-negative (“HER2-”) breast cancer.</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Initial Public Offering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November 2020, the Company completed its initial public offering (“IPO”) of its common stock. In connection with its IPO, the Company issued and sold 12,650,000 shares of its common stock, at a price to the public of $19.00 per share. As a result of the IPO, the Company received $220.6 million in net proceeds, after deducting underwriting discounts and commissions and offering costs of $19.8 million.</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val="false"/>
          <w:caps w:val="false"/>
          <w:smallCaps w:val="false"/>
          <w:sz w:val="20"/>
        </w:rPr>
        <w:t>Upon the closing of the IPO, 23,765,075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of outstanding convertible preferred stock were automatically converted into 23,765,075</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of common stock with the related carrying value of $148.3</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million reclassified to common stock and additional paid-in capital. In connection with the IPO, the Company amended and restated its amended and restated certificate of incorporation to change the authorized capital stock to 490,000,000</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designated as common stock and 10,000,000</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shares designated as preferred stock, all with a par value of $0.0001</w:t>
      </w:r>
      <w:r>
        <w:rPr>
          <w:rFonts w:ascii="Arial;Helvetica;sans-serif" w:hAnsi="Arial;Helvetica;sans-serif"/>
          <w:i/>
          <w:caps w:val="false"/>
          <w:smallCaps w:val="false"/>
          <w:sz w:val="20"/>
        </w:rPr>
        <w:t xml:space="preserve"> </w:t>
      </w:r>
      <w:r>
        <w:rPr>
          <w:rFonts w:ascii="Arial;Helvetica;sans-serif" w:hAnsi="Arial;Helvetica;sans-serif"/>
          <w:b w:val="false"/>
          <w:i w:val="false"/>
          <w:caps w:val="false"/>
          <w:smallCaps w:val="false"/>
          <w:sz w:val="20"/>
        </w:rPr>
        <w:t>per</w:t>
      </w:r>
      <w:r>
        <w:rPr>
          <w:rFonts w:ascii="Arial;Helvetica;sans-serif" w:hAnsi="Arial;Helvetica;sans-serif"/>
          <w:i/>
          <w:caps w:val="false"/>
          <w:smallCaps w:val="false"/>
          <w:sz w:val="20"/>
        </w:rPr>
        <w:t xml:space="preserve"> </w:t>
      </w:r>
      <w:r>
        <w:rPr>
          <w:rFonts w:ascii="Arial;Helvetica;sans-serif" w:hAnsi="Arial;Helvetica;sans-serif"/>
          <w:i w:val="false"/>
          <w:caps w:val="false"/>
          <w:smallCaps w:val="false"/>
          <w:sz w:val="20"/>
        </w:rPr>
        <w:t>share.</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Liquidity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had $287.3 million of cash, cash equivalents and marketable securities at December 31, 2021, which management believes is sufficient to fund its operating expenses and capital expenditure requirements for at least the next 12 months from the filing date of these consolidated financial statements.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Impact of COVID-19</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clinical research organizations (“CROs”), third-party manufacturers, and other third parties with whom the Company does business, as well as its impact on regulatory authorities and the Company’s key scientific and management personnel. During 2021, although the Company modified its operations and practices due to the COVID-19 pandemic and to comply with federal, state and local requirements, its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and may close its offices again in the future as the COVID-19 pandemic continues to evolve. The extent to which the COVID-19 pandemic may affect the Company’s business, operations and development timelines and plans in the future, including the resulting impact on its expenditures and capital needs, remains uncertain.</w:t>
      </w:r>
    </w:p>
    <w:p>
      <w:pPr>
        <w:pStyle w:val="TextBody"/>
        <w:pBdr/>
        <w:spacing w:before="0" w:after="240"/>
        <w:ind w:left="0" w:right="0" w:hanging="360"/>
        <w:jc w:val="both"/>
        <w:rPr>
          <w:rFonts w:ascii="Arial;Helvetica;sans-serif" w:hAnsi="Arial;Helvetica;sans-serif"/>
          <w:b w:val="false"/>
          <w:sz w:val="20"/>
        </w:rPr>
      </w:pPr>
      <w:r>
        <w:rPr>
          <w:rFonts w:ascii="Arial;Helvetica;sans-serif" w:hAnsi="Arial;Helvetica;sans-serif"/>
          <w:b w:val="false"/>
          <w:sz w:val="20"/>
        </w:rPr>
        <w:t>2.    Summary of Significant Accounting Policies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Basis of Presentation and Consolidation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accompanying consolidated financial statements have been prepared in accordance with generally accepted accounting principles in the United States (“GAAP”) and applicable rules and regulations of the Securities and Exchange Commission (the “SEC”) regarding financial reporting, and the instructions to Form 10-K and Article 10 of Regulation S-X. These consolidated financial statements include the accounts of Olema Pharmaceuticals, Inc. and its wholly owned subsidiary, Olema Oncology Australia Pty Ltd incorporated on January 6, 2021. All intercompany balances and transactions have been eliminated upon consolidation.</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Use of Estimates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accompanying consolidated financial statements are prepared in accordance with GAAP. The preparation of the consolidated financial statements in conformity with GAAP requires management to make estimates and assumptions that affect the reported amounts of assets and liabilities at the date of the consolidated financial statements and reported amounts of expenses during the reporting period. Significant areas that require management’s estimates include accruals of research and development expenses, including accrual of research contract costs, share-based compensation assumptions, and fair value of common stock and convertible preferred stock prior to the IPO.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Cash and Cash Equivalents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Cash and cash equivalents are defined as short-term, highly liquid investments with original maturities of 90 days or less at the date of purchase. Cash deposits are all in reputable financial institutions in the United States and as of December 31, 2021 and 2020, cash and cash equivalents consisted of cash on deposit with U.S. banks, including the Company’s bank account for its Australia subsidiary, denominated in U.S. dollars and Australian dollars and investments in interest bearing money market funds.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Marketable Securities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earnings and are reported as a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0"/>
        <w:jc w:val="both"/>
        <w:rPr>
          <w:rFonts w:ascii="Arial;Helvetica;sans-serif" w:hAnsi="Arial;Helvetica;sans-serif"/>
          <w:sz w:val="20"/>
        </w:rPr>
      </w:pPr>
      <w:r>
        <w:rPr>
          <w:rFonts w:ascii="Arial;Helvetica;sans-serif" w:hAnsi="Arial;Helvetica;sans-serif"/>
          <w:sz w:val="20"/>
        </w:rPr>
        <w:t xml:space="preserve">component of comprehensive loss. Realized gains and losses and declines in fair value judged to be other than temporary, if any, on available-for-sale securities are included in other expense. The cost of securities sold is based on the specific-identification method. Interest earned on marketable securities is included in interest income. </w:t>
      </w:r>
    </w:p>
    <w:p>
      <w:pPr>
        <w:pStyle w:val="TextBody"/>
        <w:pBdr/>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shd w:fill="FFFFFF" w:val="clear"/>
        <w:spacing w:before="0" w:after="240"/>
        <w:ind w:left="0" w:right="0" w:hanging="0"/>
        <w:jc w:val="both"/>
        <w:rPr>
          <w:rFonts w:ascii="Arial;Helvetica;sans-serif" w:hAnsi="Arial;Helvetica;sans-serif"/>
          <w:sz w:val="20"/>
        </w:rPr>
      </w:pPr>
      <w:r>
        <w:rPr>
          <w:rFonts w:ascii="Arial;Helvetica;sans-serif" w:hAnsi="Arial;Helvetica;sans-serif"/>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Concentration of Credit Risk and Other Risks and Uncertainties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pBdr/>
        <w:spacing w:before="0" w:after="0"/>
        <w:ind w:left="0" w:right="0" w:hanging="0"/>
        <w:jc w:val="both"/>
        <w:rPr>
          <w:rFonts w:ascii="Arial;Helvetica;sans-serif" w:hAnsi="Arial;Helvetica;sans-serif"/>
          <w:i/>
          <w:sz w:val="20"/>
        </w:rPr>
      </w:pPr>
      <w:r>
        <w:rPr>
          <w:rFonts w:ascii="Arial;Helvetica;sans-serif" w:hAnsi="Arial;Helvetica;sans-serif"/>
          <w:i/>
          <w:sz w:val="20"/>
        </w:rPr>
        <w:t>Leases</w:t>
      </w:r>
    </w:p>
    <w:p>
      <w:pPr>
        <w:pStyle w:val="TextBody"/>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In February 2016, the Financial Accounting Standards Board (“FASB”) issued new lease accounting guidance in Accounting Standard Update (“ASU”) 2016-02, </w:t>
      </w:r>
      <w:r>
        <w:rPr>
          <w:rFonts w:ascii="Arial;Helvetica;sans-serif" w:hAnsi="Arial;Helvetica;sans-serif"/>
          <w:i/>
          <w:sz w:val="20"/>
        </w:rPr>
        <w:t>Leases</w:t>
      </w:r>
      <w:r>
        <w:rPr>
          <w:rFonts w:ascii="Arial;Helvetica;sans-serif" w:hAnsi="Arial;Helvetica;sans-serif"/>
          <w:sz w:val="20"/>
        </w:rPr>
        <w:t>, and in July 2018 issued ASU 2018-10, </w:t>
      </w:r>
      <w:r>
        <w:rPr>
          <w:rFonts w:ascii="Arial;Helvetica;sans-serif" w:hAnsi="Arial;Helvetica;sans-serif"/>
          <w:i/>
          <w:sz w:val="20"/>
        </w:rPr>
        <w:t>Codification Improvements to Topic 842, Leases</w:t>
      </w:r>
      <w:r>
        <w:rPr>
          <w:rFonts w:ascii="Arial;Helvetica;sans-serif" w:hAnsi="Arial;Helvetica;sans-serif"/>
          <w:sz w:val="20"/>
        </w:rPr>
        <w:t>, and ASU 2018-11, </w:t>
      </w:r>
      <w:r>
        <w:rPr>
          <w:rFonts w:ascii="Arial;Helvetica;sans-serif" w:hAnsi="Arial;Helvetica;sans-serif"/>
          <w:i/>
          <w:sz w:val="20"/>
        </w:rPr>
        <w:t>Leases</w:t>
      </w:r>
      <w:r>
        <w:rPr>
          <w:rFonts w:ascii="Arial;Helvetica;sans-serif" w:hAnsi="Arial;Helvetica;sans-serif"/>
          <w:sz w:val="20"/>
        </w:rPr>
        <w:t xml:space="preserve"> </w:t>
      </w:r>
      <w:r>
        <w:rPr>
          <w:rFonts w:ascii="Arial;Helvetica;sans-serif" w:hAnsi="Arial;Helvetica;sans-serif"/>
          <w:i/>
          <w:sz w:val="20"/>
        </w:rPr>
        <w:t xml:space="preserve">(Topic 842): Targeted Improvements </w:t>
      </w:r>
      <w:r>
        <w:rPr>
          <w:rFonts w:ascii="Arial;Helvetica;sans-serif" w:hAnsi="Arial;Helvetica;sans-serif"/>
          <w:sz w:val="20"/>
        </w:rPr>
        <w:t xml:space="preserve">(the foregoing ASUs collectively referred to as “Topic 842”). Under the new guidance, lessees are required to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pStyle w:val="TextBody"/>
        <w:pBdr/>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pBdr/>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w:t>
      </w:r>
    </w:p>
    <w:p>
      <w:pPr>
        <w:pStyle w:val="TextBody"/>
        <w:pBdr/>
        <w:shd w:fill="FFFFFF" w:val="clear"/>
        <w:spacing w:before="0" w:after="0"/>
        <w:ind w:left="0" w:right="0" w:hanging="0"/>
        <w:jc w:val="both"/>
        <w:rPr>
          <w:rFonts w:ascii="Arial;Helvetica;sans-serif" w:hAnsi="Arial;Helvetica;sans-serif"/>
          <w:sz w:val="20"/>
        </w:rPr>
      </w:pPr>
      <w:r>
        <w:rPr>
          <w:rFonts w:ascii="Arial;Helvetica;sans-serif" w:hAnsi="Arial;Helvetica;sans-serif"/>
          <w:sz w:val="20"/>
        </w:rPr>
        <w:t>The Company has operating leases for its manufacturing,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consolidated statements of operations and comprehensive loss.</w:t>
      </w:r>
    </w:p>
    <w:p>
      <w:pPr>
        <w:pStyle w:val="TextBody"/>
        <w:pBdr/>
        <w:shd w:fill="FFFFFF" w:val="clear"/>
        <w:spacing w:before="0" w:after="240"/>
        <w:ind w:left="0" w:right="0" w:hanging="0"/>
        <w:jc w:val="both"/>
        <w:rPr>
          <w:rFonts w:ascii="Arial;Helvetica;sans-serif" w:hAnsi="Arial;Helvetica;sans-serif"/>
          <w:sz w:val="20"/>
        </w:rPr>
      </w:pPr>
      <w:r>
        <w:rPr>
          <w:rFonts w:ascii="Arial;Helvetica;sans-serif" w:hAnsi="Arial;Helvetica;sans-serif"/>
          <w:sz w:val="20"/>
        </w:rPr>
        <w:t>The Company elected to not apply the recognition requirements of Topic 842 to short-term leases with terms of 12 months or less. Additional information and disclosures required by Topic 842 are contained in Note 13 “Lease”.</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Research and Development Costs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Research and development costs are expensed as incurred. Research and development expenses consist of costs incurred to discover, research and develop product candidates. These costs are recorded within research and development expenses in the consolidated statements of operations and comprehensive loss and include personnel expenses, stock-based compensation expenses, allocated general and administrative expenses, and external costs including fees paid to consultants,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Such amounts are recognized as an expense as the goods are delivered or the related services are performed.</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Research Contract Costs and Accruals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881" w:name="Tc_Iz0EDmhK7EOaRFYJNDq9xw_3_0"/>
      <w:bookmarkStart w:id="882" w:name="Tc_R2vFQQl020Gxxb-vTExO7Q_2_2"/>
      <w:bookmarkStart w:id="883" w:name="Tc_fFf7MaP9XUmhhiJ1kD5niQ_2_0"/>
      <w:bookmarkStart w:id="884" w:name="Tc_yR9XyYsxcUOzFOT1NC2G6A_1_2"/>
      <w:bookmarkEnd w:id="881"/>
      <w:bookmarkEnd w:id="882"/>
      <w:bookmarkEnd w:id="883"/>
      <w:bookmarkEnd w:id="884"/>
      <w:r>
        <w:rPr>
          <w:rFonts w:ascii="Arial;Helvetica;sans-serif" w:hAnsi="Arial;Helvetica;sans-serif"/>
          <w:sz w:val="20"/>
        </w:rPr>
        <w:t>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Patent Costs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Property and Equipment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Property and equipment are stated at cost, net of accumulated depreciation, and insignificant for all periods presented. Depreciation is computed using the straight-line method over the estimated useful lives. The useful lives of equipment are as follows:</w:t>
      </w:r>
    </w:p>
    <w:p>
      <w:pPr>
        <w:pStyle w:val="TextBody"/>
        <w:spacing w:before="0" w:after="240"/>
        <w:ind w:left="0" w:right="0" w:hanging="0"/>
        <w:jc w:val="both"/>
        <w:rPr/>
      </w:pPr>
      <w:r>
        <w:rPr/>
        <w:t>​</w:t>
      </w:r>
    </w:p>
    <w:tbl>
      <w:tblPr>
        <w:tblW w:w="4213" w:type="dxa"/>
        <w:jc w:val="left"/>
        <w:tblInd w:w="0" w:type="dxa"/>
        <w:tblCellMar>
          <w:top w:w="0" w:type="dxa"/>
          <w:left w:w="0" w:type="dxa"/>
          <w:bottom w:w="0" w:type="dxa"/>
          <w:right w:w="0" w:type="dxa"/>
        </w:tblCellMar>
      </w:tblPr>
      <w:tblGrid>
        <w:gridCol w:w="1921"/>
        <w:gridCol w:w="326"/>
        <w:gridCol w:w="1966"/>
      </w:tblGrid>
      <w:tr>
        <w:trPr/>
        <w:tc>
          <w:tcPr>
            <w:tcW w:w="19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6" w:type="dxa"/>
            <w:tcBorders/>
            <w:shd w:fill="auto" w:val="clear"/>
            <w:vAlign w:val="center"/>
          </w:tcPr>
          <w:p>
            <w:pPr>
              <w:pStyle w:val="TableContents"/>
              <w:spacing w:before="0" w:after="1"/>
              <w:ind w:left="0" w:right="0" w:hanging="0"/>
              <w:rPr/>
            </w:pPr>
            <w:r>
              <w:rPr/>
              <w:t>​</w:t>
            </w:r>
          </w:p>
        </w:tc>
      </w:tr>
      <w:tr>
        <w:trPr/>
        <w:tc>
          <w:tcPr>
            <w:tcW w:w="192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    </w:t>
            </w:r>
          </w:p>
        </w:tc>
        <w:tc>
          <w:tcPr>
            <w:tcW w:w="196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right"/>
              <w:rPr>
                <w:rFonts w:ascii="Arial;Helvetica;sans-serif" w:hAnsi="Arial;Helvetica;sans-serif"/>
                <w:b/>
                <w:sz w:val="16"/>
              </w:rPr>
            </w:pPr>
            <w:r>
              <w:rPr>
                <w:rFonts w:ascii="Arial;Helvetica;sans-serif" w:hAnsi="Arial;Helvetica;sans-serif"/>
                <w:b/>
                <w:sz w:val="16"/>
              </w:rPr>
              <w:t>Estimated Useful Lives</w:t>
            </w:r>
          </w:p>
        </w:tc>
      </w:tr>
      <w:tr>
        <w:trPr/>
        <w:tc>
          <w:tcPr>
            <w:tcW w:w="192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Lab equipment</w:t>
            </w:r>
          </w:p>
        </w:tc>
        <w:tc>
          <w:tcPr>
            <w:tcW w:w="326" w:type="dxa"/>
            <w:tcBorders/>
            <w:shd w:fill="CCEEFF" w:val="clear"/>
            <w:vAlign w:val="center"/>
          </w:tcPr>
          <w:p>
            <w:pPr>
              <w:pStyle w:val="TableContents"/>
              <w:spacing w:before="0" w:after="1"/>
              <w:ind w:left="0" w:right="0" w:hanging="0"/>
              <w:rPr/>
            </w:pPr>
            <w:r>
              <w:rPr/>
              <w:t> </w:t>
            </w:r>
          </w:p>
        </w:tc>
        <w:tc>
          <w:tcPr>
            <w:tcW w:w="196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 – 7 years</w:t>
            </w:r>
          </w:p>
        </w:tc>
      </w:tr>
      <w:tr>
        <w:trPr/>
        <w:tc>
          <w:tcPr>
            <w:tcW w:w="192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Computer equipment</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966"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5 years</w:t>
            </w:r>
          </w:p>
        </w:tc>
      </w:tr>
    </w:tbl>
    <w:p>
      <w:pPr>
        <w:pStyle w:val="TextBody"/>
        <w:spacing w:before="0" w:after="240"/>
        <w:ind w:left="0" w:right="0" w:hanging="0"/>
        <w:jc w:val="both"/>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When assets are sold or retired, the cost and related accumulated depreciation are removed from the balance sheets, with any resulting gain or loss recorded in operating expenses in the statements of operations and comprehensive loss. Costs of repairs and maintenance are expensed as incurred.</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Income Taxes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Income taxes are computed using the asset and liability approach that requires the recognition of deferred tax assets and liabilities for the expected future tax consequences of events that have been recognized in the Company’s consolidated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2021 and 2020, the Company has recorded full valuation allowance against its net deferred tax assets.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had no unrecognized tax benefits for the years ended December 31, 2021 and 2020, respectively. The Company may be subject to U.S. Federal, state, and local tax examinations by tax authorities for years before 2021, which may include adjustments to carry-forward attributes (see Note 11, “Income Taxes”).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Company’s policy is to recognize interest and penalties related to uncertain tax positions in the provision for income taxes. As of December 31, 2021 and 2020, the Company had no accrued interest or penalties related to uncertain tax positions.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Common Stock Valuation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Due to the absence of an active market for the Company’s common stock prior to its IPO,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fair value of options granted prior to the IPO, the Company estimated fair value of its common stock as of each measurement date. Significant changes to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key assumptions underlying the factors used could have resulted in different fair values of common stock at each valuation date.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Follow the Company’s initial public offering, the fair market value of its common stock is determined based on the closing price of its common stock as reported by the Nasdaq Global Select Market on the date of grant.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Comprehensive Loss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Comprehensive loss includes net loss and other comprehensive loss for each period presented. Other comprehensive loss represents net unrealized loss on marketable securities.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Stock-Based Compensation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All 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The Company recognizes stock compensation in accordance with ASC 718, Compensation — Stock Compensation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Net Loss Per Common Share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contingently issuable common stock related to the 2020 Employee Stock Purchase Plan (the “ESPP”), and convertible preferred stock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securities. In periods in which the Company reported a net loss, diluted net loss per common share is the same as basic net loss per common share, since dilutive common shares are not assumed to have been issued if their effect is anti-dilutive. The Company reported a net loss for all periods presented.</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bookmarkStart w:id="885" w:name="Narr_JxB4HgmX10mMCjBb21pcRw"/>
      <w:bookmarkStart w:id="886" w:name="Narr_qIYiuxlpj0CvB6xv6pFjSw"/>
      <w:bookmarkEnd w:id="885"/>
      <w:bookmarkEnd w:id="886"/>
      <w:r>
        <w:rPr>
          <w:rFonts w:ascii="Arial;Helvetica;sans-serif" w:hAnsi="Arial;Helvetica;sans-serif"/>
          <w:i/>
          <w:sz w:val="20"/>
        </w:rPr>
        <w:t>Recent Accounting Pronouncements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lost its status as an emerging growth company on December 31, 2021, when it qualified as a large accelerated filer based on its market capitalization as of June 30, 2021, according to Rule 12b-2 of the Securities Exchange Act of 1934, as amended. As a result, the Company adopted all accounting pronouncements formerly deferred under the extended transition period available for emerging growth companies according to public company standards at December 31, 2021. The adoption dates for the new accounting pronouncements disclosed below have been presented as such. Where allowable, the Company has early adopted certain standards as described below.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Recently Adopted Accounting Pronouncements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adopted ASU No. 2016-02, </w:t>
      </w:r>
      <w:r>
        <w:rPr>
          <w:rFonts w:ascii="Arial;Helvetica;sans-serif" w:hAnsi="Arial;Helvetica;sans-serif"/>
          <w:i/>
          <w:sz w:val="20"/>
        </w:rPr>
        <w:t>Leases, Topic 842,</w:t>
      </w:r>
      <w:r>
        <w:rPr>
          <w:rFonts w:ascii="Arial;Helvetica;sans-serif" w:hAnsi="Arial;Helvetica;sans-serif"/>
          <w:sz w:val="20"/>
        </w:rPr>
        <w:t xml:space="preserve"> or ASU 842 as of January 1, 2021 and recorded adoption entries during the fourth quarter of 2021 using the modified retrospective approach as required. The Company elected to apply the transition method that allows companies to continue applying the guidance under the lease standard in effect at that time in the comparative periods presented in the consolidated financial statements and recognize a cumulative-effect adjustment to the opening balance of accumulated deficit on the date of adoption. The Company elected to combine lease components (for example fixed rent payments) with non-lease components (for example, common-area maintenance costs) on the Company’s research and development and office facilities asset classes. The Company also elected the “package of practical expedients”, which permits the Company not to reassess under the new standard the Company’s prior conclusions about lease identification, lease classification and initial direct costs. Lastly, the Company elected the hindsight expedient to determine the lease terms for existing leases. The election of the hindsight expedient did not have a significant impact on the calculation of the expected lease term.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Upon the adoption of ASU 842 as of January 1, 2021 (recorded in the fourth quarter of 2021), the Company recorded operating lease right-of-use assets of $1.0 million, including the derecognition of prepaid rent of $0.1 million, with the corresponding operating lease liabilities of $0.9 million. There was no material impact to the opening balance of accumulated deficit upon the adoption.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In June 2016, the FASB issued ASU No. 2016-13, </w:t>
      </w:r>
      <w:r>
        <w:rPr>
          <w:rFonts w:ascii="Arial;Helvetica;sans-serif" w:hAnsi="Arial;Helvetica;sans-serif"/>
          <w:i/>
          <w:sz w:val="20"/>
        </w:rPr>
        <w:t>Financial Instruments — Credit Losses</w:t>
      </w:r>
      <w:r>
        <w:rPr>
          <w:rFonts w:ascii="Arial;Helvetica;sans-serif" w:hAnsi="Arial;Helvetica;sans-serif"/>
          <w:sz w:val="20"/>
        </w:rPr>
        <w:t xml:space="preserve"> (Topic 326), or ASU 2016-13: Measurement of Credit Losses on Financial Instruments. This standard requires financial assets measured at amortized cost basis to be presented at the net amount expected to be collected. The measurement of current expected credit losses (“CECL”)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public companies who are SEC filers for fiscal years beginning after December 15, 2019, including interim periods within those years. These standards require using a modified retrospective approach with the cumulative effect recognized as an adjustment to retained earnings. The Company adopted the new guidance under ASU 2016-13 as of January 1, 2021 at December 31, 2021. The adoption did not have an impact on the Company’s consolidated financial position or results of operations.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August 2018, the FASB issued ASU No. 2018-15, </w:t>
      </w:r>
      <w:r>
        <w:rPr>
          <w:rFonts w:ascii="Arial;Helvetica;sans-serif" w:hAnsi="Arial;Helvetica;sans-serif"/>
          <w:i/>
          <w:sz w:val="20"/>
        </w:rPr>
        <w:t xml:space="preserve">Customer’s Accounting for Implementation Costs Incurred in a Cloud Computing Arrangement that is a Service Contract, </w:t>
      </w:r>
      <w:r>
        <w:rPr>
          <w:rFonts w:ascii="Arial;Helvetica;sans-serif" w:hAnsi="Arial;Helvetica;sans-serif"/>
          <w:sz w:val="20"/>
        </w:rPr>
        <w:t xml:space="preserve">or ASU 2018-15. ASU 2018-15 requires a customer in a cloud computing arrangement that is a service contract to follow the internal-use software guidance in ASC 350-40, Intangibles—Goodwill and Other—Internal Use Software (ASC 350-40), to determine which implementation costs to capitalize as assets or expense as incurred. The internal-use software guidance in ASC 350-40 requires that certain costs incurred during the application development stage be capitalized and other costs incurred during the preliminary project and post-implementation stages be expensed as they are incurred. A customer’s accounting for the hosting component of the arrangement is not affected by this guidance. The amendments in ASU No. 2018-15 are effective for fiscal years beginning after December 15,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2019 for public entities. For all other entities, the guidance is effective for annual reporting periods beginning after December 15, 2020 and interim periods within annual periods beginning after December 15, 2021. Early adoption permitted. The Company early adopted this guidance effective on January 1, 2021. The adoption did not have a material impact on the Company’s consolidated financial statements and related disclosures.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November 2018, the FASB issued ASU No. 2018-18, </w:t>
      </w:r>
      <w:r>
        <w:rPr>
          <w:rFonts w:ascii="Arial;Helvetica;sans-serif" w:hAnsi="Arial;Helvetica;sans-serif"/>
          <w:i/>
          <w:sz w:val="20"/>
        </w:rPr>
        <w:t>Collaborative Arrangements (Topic 808): Clarifying the Interaction between Topic 808 and Topic 606</w:t>
      </w:r>
      <w:r>
        <w:rPr>
          <w:rFonts w:ascii="Arial;Helvetica;sans-serif" w:hAnsi="Arial;Helvetica;sans-serif"/>
          <w:sz w:val="20"/>
        </w:rPr>
        <w:t>, or ASU 2018-18. This standard provides guidance on the interaction between Revenue Recognition (Topic 606) and Collaborative Arrangements (Topic 808) by aligning the unit of account guidance between the two topics and clarifying whether certain transactions between collaborative participants should be accounted for as revenue under Topic 606. ASU 2018-18 is effective for fiscal years beginning after December 15, 2019, and interim periods within those fiscal years. Early adoption is permitted. The Company adopted this guidance effective on January 1, 2021. The adoption did not have a material impact on the Company’s consolidated financial statements and related disclosures.</w:t>
      </w:r>
    </w:p>
    <w:p>
      <w:pPr>
        <w:pStyle w:val="TextBody"/>
        <w:pBdr/>
        <w:spacing w:before="0" w:after="240"/>
        <w:ind w:left="0" w:right="0" w:hanging="360"/>
        <w:jc w:val="both"/>
        <w:rPr/>
      </w:pPr>
      <w:r>
        <w:rPr/>
        <w:t>​</w:t>
      </w:r>
    </w:p>
    <w:p>
      <w:pPr>
        <w:pStyle w:val="TextBody"/>
        <w:pBdr/>
        <w:spacing w:before="0" w:after="240"/>
        <w:ind w:left="0" w:right="0" w:hanging="360"/>
        <w:jc w:val="both"/>
        <w:rPr>
          <w:rFonts w:ascii="Arial;Helvetica;sans-serif" w:hAnsi="Arial;Helvetica;sans-serif"/>
          <w:b w:val="false"/>
          <w:sz w:val="20"/>
        </w:rPr>
      </w:pPr>
      <w:bookmarkStart w:id="887" w:name="Tc_IkuYPVTUx0eNc5R4kJVH_Q_10_11"/>
      <w:bookmarkStart w:id="888" w:name="Tc_tUtnfmqFGE61AS778-EYlA_10_9"/>
      <w:bookmarkStart w:id="889" w:name="Tc_FV6199OEIUq9nzYJt7NX0A_10_8"/>
      <w:bookmarkStart w:id="890" w:name="Tc_NA46MPcwykixi8MxyqRmeQ_10_5"/>
      <w:bookmarkStart w:id="891" w:name="Tc_jpI9TdJ0e0KanABiQasYjw_10_2"/>
      <w:bookmarkStart w:id="892" w:name="Tc_WFPcFEMuHUOlCHaDAXrc_A_10_0"/>
      <w:bookmarkStart w:id="893" w:name="Tc_g8aABkyHR0qQvDMY2vPOCA_9_9"/>
      <w:bookmarkStart w:id="894" w:name="Tc_7YNvlRZUUUmQXO1E6c_CQg_9_3"/>
      <w:bookmarkStart w:id="895" w:name="Tc_VWdalNDv2E-jANqZeLX1Kw_9_0"/>
      <w:bookmarkStart w:id="896" w:name="Tc_SVqMHc7J2UC5LO2S2iN2HQ_8_9"/>
      <w:bookmarkStart w:id="897" w:name="Tc_1ydB8Qr8kUWJpxyXwSj_Ew_8_6"/>
      <w:bookmarkStart w:id="898" w:name="Tc_QVkyzWla90WHqgHzl-F9oA_8_0"/>
      <w:bookmarkStart w:id="899" w:name="Tc_WGsWwamK4EqbeIXc_qWFZA_7_9"/>
      <w:bookmarkStart w:id="900" w:name="Tc_t1mlqI44iEeyEmtT7cbB4Q_7_3"/>
      <w:bookmarkStart w:id="901" w:name="Tc_leHYtTWELUahL2NPLBYijw_7_0"/>
      <w:bookmarkStart w:id="902" w:name="Tc_s_cvjocW4kqLvS8kZBmTaQ_6_9"/>
      <w:bookmarkStart w:id="903" w:name="Tc_CH2P8HFweUCXVkDnUtLpVA_6_3"/>
      <w:bookmarkStart w:id="904" w:name="Tc_CDqOYynBJUS1umEa3eTXpw_6_0"/>
      <w:bookmarkStart w:id="905" w:name="Tc_VIJ74Ki1j0m8fu8xIVjE3w_5_9"/>
      <w:bookmarkStart w:id="906" w:name="Tc_xMaUdUGJ-Eyk39iZlef4zQ_5_6"/>
      <w:bookmarkStart w:id="907" w:name="Tc_eqhe3KxdUU-YyfXMRzPvng_5_0"/>
      <w:bookmarkStart w:id="908" w:name="Tc_M98GTkybK0y7i8ux6HgjPQ_4_11"/>
      <w:bookmarkStart w:id="909" w:name="Tc_5zUumIWy2kCD4WWGR7iaqw_4_9"/>
      <w:bookmarkStart w:id="910" w:name="Tc_dZZMh_rlqU20MO6jiXellw_4_8"/>
      <w:bookmarkStart w:id="911" w:name="Tc_c_Eh7I7qoki888jPdjkAxA_4_6"/>
      <w:bookmarkStart w:id="912" w:name="Tc_J3gu0LHPQUm-dcSRyuip4w_4_5"/>
      <w:bookmarkStart w:id="913" w:name="Tc_zfYvWN5AWES0bBGByGodSA_4_2"/>
      <w:bookmarkStart w:id="914" w:name="Tc_Mk8Lpvw-LkKqERW97u5pQA_4_0"/>
      <w:bookmarkStart w:id="915" w:name="Tc_EzsA_lgZ9UOh4maeHvqJyw_3_0"/>
      <w:bookmarkStart w:id="916" w:name="Tc_uCW8e06hq0qrMJGcp9D_Mg_2_11"/>
      <w:bookmarkStart w:id="917" w:name="Tc_STaa6Zu71ECTp5M7l29nIg_2_8"/>
      <w:bookmarkStart w:id="918" w:name="Tc__AdFralK8UiFx0sTGtiegw_2_5"/>
      <w:bookmarkStart w:id="919" w:name="Tc_kQT9tE0vS0Sb1brnIM4n6Q_2_2"/>
      <w:bookmarkStart w:id="920" w:name="Tc_hy8y7kpRKUy9E0w0czYB1g_2_0"/>
      <w:bookmarkStart w:id="921" w:name="Tc_si2Hb1sZbk6UNmV-Ervb2A_1_3"/>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Arial;Helvetica;sans-serif" w:hAnsi="Arial;Helvetica;sans-serif"/>
          <w:b w:val="false"/>
          <w:sz w:val="20"/>
        </w:rPr>
        <w:t>3.    Fair Value Measurement</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color w:val="231F20"/>
              </w:rPr>
            </w:pPr>
            <w:r>
              <w:rPr>
                <w:color w:val="231F20"/>
              </w:rPr>
              <w:t>●</w:t>
            </w:r>
          </w:p>
        </w:tc>
        <w:tc>
          <w:tcPr>
            <w:tcW w:w="9934"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20"/>
              </w:rPr>
              <w:t>Level 1</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are unadjusted quoted prices in active markets for identical assets or liabilities accessible to the reporting entity at the measurement date.</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color w:val="231F20"/>
              </w:rPr>
            </w:pPr>
            <w:r>
              <w:rPr>
                <w:color w:val="231F20"/>
              </w:rPr>
              <w:t>●</w:t>
            </w:r>
          </w:p>
        </w:tc>
        <w:tc>
          <w:tcPr>
            <w:tcW w:w="9934"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20"/>
              </w:rPr>
              <w:t>Level 2</w:t>
            </w:r>
            <w:r>
              <w:rPr>
                <w:caps w:val="false"/>
                <w:smallCaps w:val="false"/>
                <w:color w:val="231F20"/>
              </w:rPr>
              <w:t xml:space="preserve"> — </w:t>
            </w:r>
            <w:r>
              <w:rPr>
                <w:rFonts w:ascii="Arial;Helvetica;sans-serif" w:hAnsi="Arial;Helvetica;sans-serif"/>
                <w:b w:val="false"/>
                <w:i w:val="false"/>
                <w:caps w:val="false"/>
                <w:smallCaps w:val="false"/>
                <w:color w:val="231F20"/>
                <w:sz w:val="20"/>
              </w:rPr>
              <w:t>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color w:val="231F20"/>
              </w:rPr>
            </w:pPr>
            <w:r>
              <w:rPr>
                <w:color w:val="231F20"/>
              </w:rPr>
              <w:t>●</w:t>
            </w:r>
          </w:p>
        </w:tc>
        <w:tc>
          <w:tcPr>
            <w:tcW w:w="9934"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spacing w:before="0" w:after="0"/>
        <w:ind w:left="0" w:right="0" w:hanging="0"/>
        <w:rPr/>
      </w:pPr>
      <w:r>
        <w:rPr/>
        <w:t>​</w:t>
      </w:r>
    </w:p>
    <w:tbl>
      <w:tblPr>
        <w:tblW w:w="8306" w:type="dxa"/>
        <w:jc w:val="left"/>
        <w:tblInd w:w="0" w:type="dxa"/>
        <w:tblCellMar>
          <w:top w:w="0" w:type="dxa"/>
          <w:left w:w="0" w:type="dxa"/>
          <w:bottom w:w="0" w:type="dxa"/>
          <w:right w:w="0" w:type="dxa"/>
        </w:tblCellMar>
      </w:tblPr>
      <w:tblGrid>
        <w:gridCol w:w="3961"/>
        <w:gridCol w:w="326"/>
        <w:gridCol w:w="211"/>
        <w:gridCol w:w="691"/>
        <w:gridCol w:w="109"/>
        <w:gridCol w:w="211"/>
        <w:gridCol w:w="796"/>
        <w:gridCol w:w="109"/>
        <w:gridCol w:w="250"/>
        <w:gridCol w:w="411"/>
        <w:gridCol w:w="109"/>
        <w:gridCol w:w="211"/>
        <w:gridCol w:w="911"/>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15235" cy="175260"/>
                      <wp:effectExtent l="0" t="0" r="0" b="0"/>
                      <wp:wrapNone/>
                      <wp:docPr id="143" name="Frame111"/>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4"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5" name="Frame1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6" name="Frame11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7" name="Frame1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8" name="Frame1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5460" cy="175260"/>
                      <wp:effectExtent l="0" t="0" r="0" b="0"/>
                      <wp:wrapNone/>
                      <wp:docPr id="149" name="Frame11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0" name="Frame1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8750" cy="175260"/>
                      <wp:effectExtent l="0" t="0" r="0" b="0"/>
                      <wp:wrapNone/>
                      <wp:docPr id="151" name="Frame119"/>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0985" cy="175260"/>
                      <wp:effectExtent l="0" t="0" r="0" b="0"/>
                      <wp:wrapNone/>
                      <wp:docPr id="152" name="Frame120"/>
                      <a:graphic xmlns:a="http://schemas.openxmlformats.org/drawingml/2006/main">
                        <a:graphicData uri="http://schemas.microsoft.com/office/word/2010/wordprocessingShape">
                          <wps:wsp>
                            <wps:cNvSpPr txBox="1"/>
                            <wps:spPr>
                              <a:xfrm>
                                <a:off x="0" y="0"/>
                                <a:ext cx="260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3" name="Frame1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4" name="Frame1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78485" cy="175260"/>
                      <wp:effectExtent l="0" t="0" r="0" b="0"/>
                      <wp:wrapNone/>
                      <wp:docPr id="155" name="Frame123"/>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pPr>
            <w:r>
              <w:rPr/>
              <w:t>​</w:t>
            </w:r>
          </w:p>
        </w:tc>
        <w:tc>
          <w:tcPr>
            <w:tcW w:w="3808" w:type="dxa"/>
            <w:gridSpan w:val="10"/>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2021</w:t>
            </w:r>
          </w:p>
        </w:tc>
      </w:tr>
      <w:tr>
        <w:trPr/>
        <w:tc>
          <w:tcPr>
            <w:tcW w:w="3961"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 thousands)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Total </w:t>
            </w:r>
          </w:p>
        </w:tc>
      </w:tr>
      <w:tr>
        <w:trPr/>
        <w:tc>
          <w:tcPr>
            <w:tcW w:w="3961" w:type="dxa"/>
            <w:tcBorders/>
            <w:shd w:fill="CCEEFF"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jc w:val="right"/>
              <w:rPr/>
            </w:pPr>
            <w:r>
              <w:rPr/>
              <w:t>​</w:t>
            </w:r>
          </w:p>
        </w:tc>
        <w:tc>
          <w:tcPr>
            <w:tcW w:w="41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11"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Cash</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7,289</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7,289</w:t>
            </w:r>
          </w:p>
        </w:tc>
      </w:tr>
      <w:tr>
        <w:trPr/>
        <w:tc>
          <w:tcPr>
            <w:tcW w:w="396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Money market funds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6,523</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50" w:type="dxa"/>
            <w:tcBorders/>
            <w:shd w:fill="CCEEFF" w:val="clear"/>
            <w:vAlign w:val="center"/>
          </w:tcPr>
          <w:p>
            <w:pPr>
              <w:pStyle w:val="TableContents"/>
              <w:spacing w:before="0" w:after="0"/>
              <w:ind w:left="0" w:right="0" w:hanging="0"/>
              <w:rPr/>
            </w:pPr>
            <w:r>
              <w:rPr/>
              <w:t>​</w:t>
            </w:r>
          </w:p>
        </w:tc>
        <w:tc>
          <w:tcPr>
            <w:tcW w:w="41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w:t>
            </w:r>
          </w:p>
        </w:tc>
        <w:tc>
          <w:tcPr>
            <w:tcW w:w="9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6,523</w:t>
            </w:r>
          </w:p>
        </w:tc>
      </w:tr>
      <w:tr>
        <w:trPr/>
        <w:tc>
          <w:tcPr>
            <w:tcW w:w="39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3,001</w:t>
            </w:r>
          </w:p>
        </w:tc>
        <w:tc>
          <w:tcPr>
            <w:tcW w:w="109" w:type="dxa"/>
            <w:tcBorders/>
            <w:shd w:fill="auto" w:val="clear"/>
            <w:vAlign w:val="center"/>
          </w:tcPr>
          <w:p>
            <w:pPr>
              <w:pStyle w:val="TableContents"/>
              <w:spacing w:before="0" w:after="0"/>
              <w:ind w:left="0" w:right="0" w:hanging="0"/>
              <w:jc w:val="right"/>
              <w:rPr/>
            </w:pPr>
            <w:r>
              <w:rPr/>
              <w:t>​</w:t>
            </w:r>
          </w:p>
        </w:tc>
        <w:tc>
          <w:tcPr>
            <w:tcW w:w="250"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3,001</w:t>
            </w:r>
          </w:p>
        </w:tc>
      </w:tr>
      <w:tr>
        <w:trPr/>
        <w:tc>
          <w:tcPr>
            <w:tcW w:w="396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Commercial paper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185,921</w:t>
            </w:r>
          </w:p>
        </w:tc>
        <w:tc>
          <w:tcPr>
            <w:tcW w:w="109" w:type="dxa"/>
            <w:tcBorders/>
            <w:shd w:fill="CCEEFF" w:val="clear"/>
            <w:vAlign w:val="center"/>
          </w:tcPr>
          <w:p>
            <w:pPr>
              <w:pStyle w:val="TableContents"/>
              <w:spacing w:before="0" w:after="0"/>
              <w:ind w:left="0" w:right="0" w:hanging="0"/>
              <w:jc w:val="right"/>
              <w:rPr/>
            </w:pPr>
            <w:r>
              <w:rPr/>
              <w:t>​</w:t>
            </w:r>
          </w:p>
        </w:tc>
        <w:tc>
          <w:tcPr>
            <w:tcW w:w="250" w:type="dxa"/>
            <w:tcBorders/>
            <w:shd w:fill="CCEEFF" w:val="clear"/>
            <w:vAlign w:val="center"/>
          </w:tcPr>
          <w:p>
            <w:pPr>
              <w:pStyle w:val="TableContents"/>
              <w:spacing w:before="0" w:after="0"/>
              <w:ind w:left="0" w:right="0" w:hanging="0"/>
              <w:jc w:val="right"/>
              <w:rPr/>
            </w:pPr>
            <w:r>
              <w:rPr/>
              <w:t>​</w:t>
            </w:r>
          </w:p>
        </w:tc>
        <w:tc>
          <w:tcPr>
            <w:tcW w:w="41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185,921</w:t>
            </w:r>
          </w:p>
        </w:tc>
      </w:tr>
      <w:tr>
        <w:trPr/>
        <w:tc>
          <w:tcPr>
            <w:tcW w:w="39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U.S. government treasury bills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23,915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23,915</w:t>
            </w:r>
          </w:p>
        </w:tc>
      </w:tr>
      <w:tr>
        <w:trPr/>
        <w:tc>
          <w:tcPr>
            <w:tcW w:w="396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Government-sponsored enterprise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60,601</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9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60,601</w:t>
            </w:r>
          </w:p>
        </w:tc>
      </w:tr>
      <w:tr>
        <w:trPr/>
        <w:tc>
          <w:tcPr>
            <w:tcW w:w="396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37,727</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249,523</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41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287,250</w:t>
            </w:r>
          </w:p>
        </w:tc>
      </w:tr>
    </w:tbl>
    <w:p>
      <w:pPr>
        <w:pStyle w:val="TextBody"/>
        <w:spacing w:before="240" w:after="240"/>
        <w:ind w:left="0" w:right="0" w:hanging="0"/>
        <w:jc w:val="both"/>
        <w:rPr>
          <w:highlight w:val="white"/>
        </w:rPr>
      </w:pPr>
      <w:r>
        <w:rPr>
          <w:highlight w:val="white"/>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922" w:name="Tc_CcizaWZsIUuZMry5bCriuw_9_11"/>
      <w:bookmarkStart w:id="923" w:name="Tc_gRwAwPqQzkqkve60I4DNzg_9_8"/>
      <w:bookmarkStart w:id="924" w:name="Tc_qV0-0lN6hUyhaJ7E8NOSzQ_9_5"/>
      <w:bookmarkStart w:id="925" w:name="Tc_hs5hzU0lA0O4wHRhHTAH5A_9_2"/>
      <w:bookmarkStart w:id="926" w:name="Tc_MnogOUJhm0ajQc6OdlRA2g_9_0"/>
      <w:bookmarkStart w:id="927" w:name="Tc_1yd1jOCSd0CQmoRhWCnM_w_8_6"/>
      <w:bookmarkStart w:id="928" w:name="Tc_wwGzPS8FXkyBr3vaGbx7rw_8_0"/>
      <w:bookmarkStart w:id="929" w:name="Tc_w-In5Y2zcEaQXDy_aCe3vQ_7_0"/>
      <w:bookmarkStart w:id="930" w:name="Tc_iTqXb0yFR0KLsxHVcc7Row_6_11"/>
      <w:bookmarkStart w:id="931" w:name="Tc_8o0Zu6dmnk6gy_jZbpV8VQ_6_9"/>
      <w:bookmarkStart w:id="932" w:name="Tc_NJnE_SI_jkmx291mQBWzSg_6_8"/>
      <w:bookmarkStart w:id="933" w:name="Tc_EDy8f5TAe0qaSHqfMIjszQ_6_6"/>
      <w:bookmarkStart w:id="934" w:name="Tc_q7YlT8ikU0yUYQ7Sd0uxBA_6_5"/>
      <w:bookmarkStart w:id="935" w:name="Tc_frPthapgFkWmGnQnBA9o1g_6_2"/>
      <w:bookmarkStart w:id="936" w:name="Tc_LD9KCAGRIUKHGNQaTlDnHQ_6_0"/>
      <w:bookmarkStart w:id="937" w:name="Tc_3lOLaPJ3z0O0-r0mxfE45A_5_0"/>
      <w:bookmarkStart w:id="938" w:name="Tc_wrpGLcBBukSlSvyCD10trg_4_11"/>
      <w:bookmarkStart w:id="939" w:name="Tc_RQ46ga9tuUaqB9jTmiDPiw_4_8"/>
      <w:bookmarkStart w:id="940" w:name="Tc_lMjLHz-01U-h07PRk9biDg_4_5"/>
      <w:bookmarkStart w:id="941" w:name="Tc_FMkRA8noTEC9Jb4p6tlw7A_4_2"/>
      <w:bookmarkStart w:id="942" w:name="Tc_vCyLLXrodE69l-NRjMY9SA_4_0"/>
      <w:bookmarkStart w:id="943" w:name="Tc_Fph5-0vKjUie7V9qVYy02Q_3_11"/>
      <w:bookmarkStart w:id="944" w:name="Tc_HpicYkj65EGkzvszFqumfw_3_8"/>
      <w:bookmarkStart w:id="945" w:name="Tc_maBUVqrbgk-r00YDG_7mHw_3_5"/>
      <w:bookmarkStart w:id="946" w:name="Tc_cnrL9BhmHEuy5AiFhLL1Kw_3_2"/>
      <w:bookmarkStart w:id="947" w:name="Tc_x0bTQdA_bkGfww2zjVioQA_2_8"/>
      <w:bookmarkStart w:id="948" w:name="Tc_Tc7KXSNM00SHaOjahYTFcA_2_5"/>
      <w:bookmarkStart w:id="949" w:name="Tc_mfo1DF5BYkynLXJCgpVLTQ_1_2"/>
      <w:bookmarkStart w:id="950" w:name="Tc_CcizaWZsIUuZMry5bCriuw_9_11"/>
      <w:bookmarkStart w:id="951" w:name="Tc_gRwAwPqQzkqkve60I4DNzg_9_8"/>
      <w:bookmarkStart w:id="952" w:name="Tc_qV0-0lN6hUyhaJ7E8NOSzQ_9_5"/>
      <w:bookmarkStart w:id="953" w:name="Tc_hs5hzU0lA0O4wHRhHTAH5A_9_2"/>
      <w:bookmarkStart w:id="954" w:name="Tc_MnogOUJhm0ajQc6OdlRA2g_9_0"/>
      <w:bookmarkStart w:id="955" w:name="Tc_1yd1jOCSd0CQmoRhWCnM_w_8_6"/>
      <w:bookmarkStart w:id="956" w:name="Tc_wwGzPS8FXkyBr3vaGbx7rw_8_0"/>
      <w:bookmarkStart w:id="957" w:name="Tc_w-In5Y2zcEaQXDy_aCe3vQ_7_0"/>
      <w:bookmarkStart w:id="958" w:name="Tc_iTqXb0yFR0KLsxHVcc7Row_6_11"/>
      <w:bookmarkStart w:id="959" w:name="Tc_8o0Zu6dmnk6gy_jZbpV8VQ_6_9"/>
      <w:bookmarkStart w:id="960" w:name="Tc_NJnE_SI_jkmx291mQBWzSg_6_8"/>
      <w:bookmarkStart w:id="961" w:name="Tc_EDy8f5TAe0qaSHqfMIjszQ_6_6"/>
      <w:bookmarkStart w:id="962" w:name="Tc_q7YlT8ikU0yUYQ7Sd0uxBA_6_5"/>
      <w:bookmarkStart w:id="963" w:name="Tc_frPthapgFkWmGnQnBA9o1g_6_2"/>
      <w:bookmarkStart w:id="964" w:name="Tc_LD9KCAGRIUKHGNQaTlDnHQ_6_0"/>
      <w:bookmarkStart w:id="965" w:name="Tc_3lOLaPJ3z0O0-r0mxfE45A_5_0"/>
      <w:bookmarkStart w:id="966" w:name="Tc_wrpGLcBBukSlSvyCD10trg_4_11"/>
      <w:bookmarkStart w:id="967" w:name="Tc_RQ46ga9tuUaqB9jTmiDPiw_4_8"/>
      <w:bookmarkStart w:id="968" w:name="Tc_lMjLHz-01U-h07PRk9biDg_4_5"/>
      <w:bookmarkStart w:id="969" w:name="Tc_FMkRA8noTEC9Jb4p6tlw7A_4_2"/>
      <w:bookmarkStart w:id="970" w:name="Tc_vCyLLXrodE69l-NRjMY9SA_4_0"/>
      <w:bookmarkStart w:id="971" w:name="Tc_Fph5-0vKjUie7V9qVYy02Q_3_11"/>
      <w:bookmarkStart w:id="972" w:name="Tc_HpicYkj65EGkzvszFqumfw_3_8"/>
      <w:bookmarkStart w:id="973" w:name="Tc_maBUVqrbgk-r00YDG_7mHw_3_5"/>
      <w:bookmarkStart w:id="974" w:name="Tc_cnrL9BhmHEuy5AiFhLL1Kw_3_2"/>
      <w:bookmarkStart w:id="975" w:name="Tc_x0bTQdA_bkGfww2zjVioQA_2_8"/>
      <w:bookmarkStart w:id="976" w:name="Tc_Tc7KXSNM00SHaOjahYTFcA_2_5"/>
      <w:bookmarkStart w:id="977" w:name="Tc_mfo1DF5BYkynLXJCgpVLTQ_1_2"/>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tbl>
      <w:tblPr>
        <w:tblW w:w="10205" w:type="dxa"/>
        <w:jc w:val="left"/>
        <w:tblInd w:w="0" w:type="dxa"/>
        <w:tblCellMar>
          <w:top w:w="0" w:type="dxa"/>
          <w:left w:w="0" w:type="dxa"/>
          <w:bottom w:w="0" w:type="dxa"/>
          <w:right w:w="0" w:type="dxa"/>
        </w:tblCellMar>
      </w:tblPr>
      <w:tblGrid>
        <w:gridCol w:w="4880"/>
        <w:gridCol w:w="326"/>
        <w:gridCol w:w="211"/>
        <w:gridCol w:w="796"/>
        <w:gridCol w:w="326"/>
        <w:gridCol w:w="356"/>
        <w:gridCol w:w="590"/>
        <w:gridCol w:w="326"/>
        <w:gridCol w:w="288"/>
        <w:gridCol w:w="658"/>
        <w:gridCol w:w="326"/>
        <w:gridCol w:w="211"/>
        <w:gridCol w:w="911"/>
      </w:tblGrid>
      <w:tr>
        <w:trPr/>
        <w:tc>
          <w:tcPr>
            <w:tcW w:w="4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098800" cy="175260"/>
                      <wp:effectExtent l="0" t="0" r="0" b="0"/>
                      <wp:wrapNone/>
                      <wp:docPr id="156" name="Frame124"/>
                      <a:graphic xmlns:a="http://schemas.openxmlformats.org/drawingml/2006/main">
                        <a:graphicData uri="http://schemas.microsoft.com/office/word/2010/wordprocessingShape">
                          <wps:wsp>
                            <wps:cNvSpPr txBox="1"/>
                            <wps:spPr>
                              <a:xfrm>
                                <a:off x="0" y="0"/>
                                <a:ext cx="3098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7"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8" name="Frame1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5460" cy="175260"/>
                      <wp:effectExtent l="0" t="0" r="0" b="0"/>
                      <wp:wrapNone/>
                      <wp:docPr id="159" name="Frame12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0"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26060" cy="175260"/>
                      <wp:effectExtent l="0" t="0" r="0" b="0"/>
                      <wp:wrapNone/>
                      <wp:docPr id="161" name="Frame129"/>
                      <a:graphic xmlns:a="http://schemas.openxmlformats.org/drawingml/2006/main">
                        <a:graphicData uri="http://schemas.microsoft.com/office/word/2010/wordprocessingShape">
                          <wps:wsp>
                            <wps:cNvSpPr txBox="1"/>
                            <wps:spPr>
                              <a:xfrm>
                                <a:off x="0" y="0"/>
                                <a:ext cx="22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4650" cy="175260"/>
                      <wp:effectExtent l="0" t="0" r="0" b="0"/>
                      <wp:wrapNone/>
                      <wp:docPr id="162" name="Frame130"/>
                      <a:graphic xmlns:a="http://schemas.openxmlformats.org/drawingml/2006/main">
                        <a:graphicData uri="http://schemas.microsoft.com/office/word/2010/wordprocessingShape">
                          <wps:wsp>
                            <wps:cNvSpPr txBox="1"/>
                            <wps:spPr>
                              <a:xfrm>
                                <a:off x="0" y="0"/>
                                <a:ext cx="374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3"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2880" cy="175260"/>
                      <wp:effectExtent l="0" t="0" r="0" b="0"/>
                      <wp:wrapNone/>
                      <wp:docPr id="164" name="Frame132"/>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17830" cy="175260"/>
                      <wp:effectExtent l="0" t="0" r="0" b="0"/>
                      <wp:wrapNone/>
                      <wp:docPr id="165" name="Frame133"/>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6"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7" name="Frame1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78485" cy="175260"/>
                      <wp:effectExtent l="0" t="0" r="0" b="0"/>
                      <wp:wrapNone/>
                      <wp:docPr id="168" name="Frame136"/>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80"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4999" w:type="dxa"/>
            <w:gridSpan w:val="11"/>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2021</w:t>
            </w:r>
          </w:p>
        </w:tc>
      </w:tr>
      <w:tr>
        <w:trPr/>
        <w:tc>
          <w:tcPr>
            <w:tcW w:w="48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Gross </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right"/>
              <w:rPr/>
            </w:pPr>
            <w:r>
              <w:rPr/>
              <w:t>​</w:t>
            </w:r>
          </w:p>
        </w:tc>
        <w:tc>
          <w:tcPr>
            <w:tcW w:w="911" w:type="dxa"/>
            <w:tcBorders/>
            <w:shd w:fill="auto" w:val="clear"/>
            <w:vAlign w:val="center"/>
          </w:tcPr>
          <w:p>
            <w:pPr>
              <w:pStyle w:val="TableContents"/>
              <w:spacing w:before="0" w:after="0"/>
              <w:ind w:left="0" w:right="0" w:hanging="0"/>
              <w:rPr/>
            </w:pPr>
            <w:r>
              <w:rPr/>
              <w:t>​</w:t>
            </w:r>
          </w:p>
        </w:tc>
      </w:tr>
      <w:tr>
        <w:trPr/>
        <w:tc>
          <w:tcPr>
            <w:tcW w:w="488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shd w:fill="auto" w:val="clear"/>
            <w:vAlign w:val="center"/>
          </w:tcPr>
          <w:p>
            <w:pPr>
              <w:pStyle w:val="TableContents"/>
              <w:spacing w:before="0" w:after="0"/>
              <w:ind w:left="0" w:right="0" w:hanging="0"/>
              <w:jc w:val="center"/>
              <w:rPr/>
            </w:pPr>
            <w:r>
              <w:rPr/>
              <w:t>​</w:t>
            </w:r>
          </w:p>
        </w:tc>
        <w:tc>
          <w:tcPr>
            <w:tcW w:w="1122"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Estimated</w:t>
            </w:r>
          </w:p>
        </w:tc>
      </w:tr>
      <w:tr>
        <w:trPr/>
        <w:tc>
          <w:tcPr>
            <w:tcW w:w="4880" w:type="dxa"/>
            <w:tcBorders/>
            <w:shd w:fill="auto" w:val="cle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(in thousands)</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Losses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4880" w:type="dxa"/>
            <w:tcBorders/>
            <w:shd w:fill="CCEEFF"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Financial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56" w:type="dxa"/>
            <w:tcBorders/>
            <w:shd w:fill="CCEEFF" w:val="clear"/>
            <w:vAlign w:val="center"/>
          </w:tcPr>
          <w:p>
            <w:pPr>
              <w:pStyle w:val="TableContents"/>
              <w:spacing w:before="0" w:after="0"/>
              <w:ind w:left="0" w:right="0" w:hanging="0"/>
              <w:jc w:val="right"/>
              <w:rPr/>
            </w:pPr>
            <w:r>
              <w:rPr/>
              <w:t>​</w:t>
            </w:r>
          </w:p>
        </w:tc>
        <w:tc>
          <w:tcPr>
            <w:tcW w:w="5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jc w:val="right"/>
              <w:rPr/>
            </w:pPr>
            <w:r>
              <w:rPr/>
              <w:t>​</w:t>
            </w:r>
          </w:p>
        </w:tc>
        <w:tc>
          <w:tcPr>
            <w:tcW w:w="65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11" w:type="dxa"/>
            <w:tcBorders/>
            <w:shd w:fill="CCEEFF" w:val="clear"/>
            <w:vAlign w:val="center"/>
          </w:tcPr>
          <w:p>
            <w:pPr>
              <w:pStyle w:val="TableContents"/>
              <w:spacing w:before="0" w:after="0"/>
              <w:ind w:left="0" w:right="0" w:hanging="0"/>
              <w:rPr/>
            </w:pPr>
            <w:r>
              <w:rPr/>
              <w:t>​</w:t>
            </w:r>
          </w:p>
        </w:tc>
      </w:tr>
      <w:tr>
        <w:trPr/>
        <w:tc>
          <w:tcPr>
            <w:tcW w:w="4880"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13,812</w:t>
            </w:r>
          </w:p>
        </w:tc>
        <w:tc>
          <w:tcPr>
            <w:tcW w:w="326" w:type="dxa"/>
            <w:tcBorders/>
            <w:shd w:fill="auto" w:val="clear"/>
            <w:vAlign w:val="center"/>
          </w:tcPr>
          <w:p>
            <w:pPr>
              <w:pStyle w:val="TableContents"/>
              <w:spacing w:before="0" w:after="0"/>
              <w:ind w:left="0" w:right="0" w:hanging="0"/>
              <w:jc w:val="right"/>
              <w:rPr/>
            </w:pPr>
            <w:r>
              <w:rPr/>
              <w:t>​</w:t>
            </w:r>
          </w:p>
        </w:tc>
        <w:tc>
          <w:tcPr>
            <w:tcW w:w="35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8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13,812</w:t>
            </w:r>
          </w:p>
        </w:tc>
      </w:tr>
      <w:tr>
        <w:trPr/>
        <w:tc>
          <w:tcPr>
            <w:tcW w:w="4880"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Short-term marketable securities (&lt;12 months to maturity)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260,622</w:t>
            </w:r>
          </w:p>
        </w:tc>
        <w:tc>
          <w:tcPr>
            <w:tcW w:w="326" w:type="dxa"/>
            <w:tcBorders/>
            <w:shd w:fill="CCEEFF" w:val="clear"/>
            <w:vAlign w:val="center"/>
          </w:tcPr>
          <w:p>
            <w:pPr>
              <w:pStyle w:val="TableContents"/>
              <w:spacing w:before="0" w:after="0"/>
              <w:ind w:left="0" w:right="0" w:hanging="0"/>
              <w:jc w:val="right"/>
              <w:rPr/>
            </w:pPr>
            <w:r>
              <w:rPr/>
              <w:t>​</w:t>
            </w:r>
          </w:p>
        </w:tc>
        <w:tc>
          <w:tcPr>
            <w:tcW w:w="356" w:type="dxa"/>
            <w:tcBorders/>
            <w:shd w:fill="CCEEFF" w:val="clear"/>
            <w:vAlign w:val="center"/>
          </w:tcPr>
          <w:p>
            <w:pPr>
              <w:pStyle w:val="TableContents"/>
              <w:spacing w:before="0" w:after="0"/>
              <w:ind w:left="0" w:right="0" w:hanging="0"/>
              <w:jc w:val="right"/>
              <w:rPr/>
            </w:pPr>
            <w:r>
              <w:rPr/>
              <w:t>​</w:t>
            </w:r>
          </w:p>
        </w:tc>
        <w:tc>
          <w:tcPr>
            <w:tcW w:w="59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shd w:fill="CCEEFF" w:val="clear"/>
            <w:vAlign w:val="center"/>
          </w:tcPr>
          <w:p>
            <w:pPr>
              <w:pStyle w:val="TableContents"/>
              <w:spacing w:before="0" w:after="0"/>
              <w:ind w:left="0" w:right="0" w:hanging="0"/>
              <w:jc w:val="right"/>
              <w:rPr/>
            </w:pPr>
            <w:r>
              <w:rPr/>
              <w:t>​</w:t>
            </w:r>
          </w:p>
        </w:tc>
        <w:tc>
          <w:tcPr>
            <w:tcW w:w="288" w:type="dxa"/>
            <w:tcBorders/>
            <w:shd w:fill="CCEEFF" w:val="clear"/>
            <w:vAlign w:val="center"/>
          </w:tcPr>
          <w:p>
            <w:pPr>
              <w:pStyle w:val="TableContents"/>
              <w:spacing w:before="0" w:after="0"/>
              <w:ind w:left="0" w:right="0" w:hanging="0"/>
              <w:jc w:val="right"/>
              <w:rPr/>
            </w:pPr>
            <w:r>
              <w:rPr/>
              <w:t>​</w:t>
            </w:r>
          </w:p>
        </w:tc>
        <w:tc>
          <w:tcPr>
            <w:tcW w:w="65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260,509</w:t>
            </w:r>
          </w:p>
        </w:tc>
      </w:tr>
      <w:tr>
        <w:trPr/>
        <w:tc>
          <w:tcPr>
            <w:tcW w:w="4880"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Long-term marketable securities (&gt;12 months to maturity)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12,965</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59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12,929</w:t>
            </w:r>
          </w:p>
        </w:tc>
      </w:tr>
      <w:tr>
        <w:trPr/>
        <w:tc>
          <w:tcPr>
            <w:tcW w:w="4880"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287,399</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(156)</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287,250</w:t>
            </w:r>
          </w:p>
        </w:tc>
      </w:tr>
    </w:tbl>
    <w:p>
      <w:pPr>
        <w:pStyle w:val="TextBody"/>
        <w:spacing w:before="0" w:after="0"/>
        <w:ind w:left="0" w:right="0" w:hanging="0"/>
        <w:rPr/>
      </w:pPr>
      <w:r>
        <w:rPr/>
        <w:t>​</w:t>
      </w:r>
    </w:p>
    <w:p>
      <w:pPr>
        <w:pStyle w:val="TextBody"/>
        <w:spacing w:before="240" w:after="240"/>
        <w:ind w:left="0" w:right="0" w:hanging="0"/>
        <w:jc w:val="both"/>
        <w:rPr>
          <w:rFonts w:ascii="Arial;Helvetica;sans-serif" w:hAnsi="Arial;Helvetica;sans-serif"/>
          <w:sz w:val="20"/>
          <w:highlight w:val="white"/>
        </w:rPr>
      </w:pPr>
      <w:r>
        <w:rPr>
          <w:rFonts w:ascii="Arial;Helvetica;sans-serif" w:hAnsi="Arial;Helvetica;sans-serif"/>
          <w:sz w:val="20"/>
          <w:highlight w:val="white"/>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spacing w:before="240" w:after="240"/>
        <w:ind w:left="0" w:right="0" w:hanging="0"/>
        <w:jc w:val="both"/>
        <w:rPr>
          <w:rFonts w:ascii="Arial;Helvetica;sans-serif" w:hAnsi="Arial;Helvetica;sans-serif"/>
          <w:sz w:val="20"/>
        </w:rPr>
      </w:pPr>
      <w:r>
        <w:rPr>
          <w:rFonts w:ascii="Arial;Helvetica;sans-serif" w:hAnsi="Arial;Helvetica;sans-serif"/>
          <w:sz w:val="20"/>
          <w:highlight w:val="white"/>
        </w:rPr>
        <w:t xml:space="preserve">The Company periodically reviews its available-for-sale marketable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year ended December 31, 2021, the Company did not recognize any other-than-temporary impairment loss. </w:t>
      </w:r>
      <w:r>
        <w:rPr>
          <w:rFonts w:ascii="Arial;Helvetica;sans-serif" w:hAnsi="Arial;Helvetica;sans-serif"/>
          <w:sz w:val="20"/>
        </w:rPr>
        <w:t>There was no allowance for losses on available-for-sale debt securities, which were attributable to credit risk for the year ended December 31, 2021.</w:t>
      </w:r>
    </w:p>
    <w:p>
      <w:pPr>
        <w:pStyle w:val="TextBody"/>
        <w:spacing w:before="240" w:after="240"/>
        <w:ind w:left="0" w:right="0" w:hanging="0"/>
        <w:jc w:val="both"/>
        <w:rPr>
          <w:rFonts w:ascii="Arial;Helvetica;sans-serif" w:hAnsi="Arial;Helvetica;sans-serif"/>
          <w:sz w:val="20"/>
          <w:highlight w:val="white"/>
        </w:rPr>
      </w:pPr>
      <w:r>
        <w:rPr>
          <w:rFonts w:ascii="Arial;Helvetica;sans-serif" w:hAnsi="Arial;Helvetica;sans-serif"/>
          <w:sz w:val="20"/>
          <w:highlight w:val="white"/>
        </w:rPr>
        <w:t>As of December 31, 2021, all of the Company’s cash and cash equivalents consisted of cash on deposit with U.S. banks, including the Company’s bank account for its Australia subsidiary, denominated in U. S. dollars and Australian dollars.</w:t>
      </w:r>
    </w:p>
    <w:p>
      <w:pPr>
        <w:pStyle w:val="TextBody"/>
        <w:pBdr/>
        <w:spacing w:before="0" w:after="240"/>
        <w:ind w:left="0" w:right="0" w:hanging="360"/>
        <w:jc w:val="both"/>
        <w:rPr>
          <w:rFonts w:ascii="Arial;Helvetica;sans-serif" w:hAnsi="Arial;Helvetica;sans-serif"/>
          <w:b w:val="false"/>
          <w:sz w:val="20"/>
        </w:rPr>
      </w:pPr>
      <w:bookmarkStart w:id="978" w:name="Tc_HOX4bBDqeESOmcuLR1RyXQ_7_5"/>
      <w:bookmarkStart w:id="979" w:name="Tc_SWWUinSrrkyis8BeSyjVwg_7_2"/>
      <w:bookmarkStart w:id="980" w:name="Tc_71XdM5AvP0GUByDck5-EUg_7_0"/>
      <w:bookmarkStart w:id="981" w:name="Tc_mTcNdyt94kexX0_r1YvJ_g_6_0"/>
      <w:bookmarkStart w:id="982" w:name="Tc_n20N7uc0Fk-6HzINd-fRog_5_0"/>
      <w:bookmarkStart w:id="983" w:name="Tc_xPbs2dA79UWX0a_73nMPUw_4_0"/>
      <w:bookmarkStart w:id="984" w:name="Tc_PfDXnEql4EmAqqkWP-X9Aw_3_5"/>
      <w:bookmarkStart w:id="985" w:name="Tc_fG50snRBg0-wq4s28JsHbg_3_2"/>
      <w:bookmarkStart w:id="986" w:name="Tc_34qwh4PT-kyimLbbXaHy4A_3_0"/>
      <w:bookmarkStart w:id="987" w:name="Tc_7Hrk7APtZ0KujqRqxMC2Xg_2_5"/>
      <w:bookmarkStart w:id="988" w:name="Tc_V5qh2zlOw0C2y4XvOhIqbw_2_2"/>
      <w:bookmarkStart w:id="989" w:name="Tc_e4HHmsYMw0Sh2t_HXZ5j8w_1_5"/>
      <w:bookmarkStart w:id="990" w:name="Tc_WRR-HWmdfEyJBXE-vX4uog_1_2"/>
      <w:bookmarkEnd w:id="978"/>
      <w:bookmarkEnd w:id="979"/>
      <w:bookmarkEnd w:id="980"/>
      <w:bookmarkEnd w:id="981"/>
      <w:bookmarkEnd w:id="982"/>
      <w:bookmarkEnd w:id="983"/>
      <w:bookmarkEnd w:id="984"/>
      <w:bookmarkEnd w:id="985"/>
      <w:bookmarkEnd w:id="986"/>
      <w:bookmarkEnd w:id="987"/>
      <w:bookmarkEnd w:id="988"/>
      <w:bookmarkEnd w:id="989"/>
      <w:bookmarkEnd w:id="990"/>
      <w:r>
        <w:rPr>
          <w:rFonts w:ascii="Arial;Helvetica;sans-serif" w:hAnsi="Arial;Helvetica;sans-serif"/>
          <w:b w:val="false"/>
          <w:sz w:val="20"/>
        </w:rPr>
        <w:t>4.    Property and Equipment, net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Property and equipment, net consisted of the following (in thousands):</w:t>
      </w:r>
    </w:p>
    <w:p>
      <w:pPr>
        <w:pStyle w:val="TextBody"/>
        <w:spacing w:before="0" w:after="0"/>
        <w:ind w:left="0" w:right="0" w:hanging="0"/>
        <w:rPr/>
      </w:pPr>
      <w:r>
        <w:rPr/>
        <w:t>​</w:t>
      </w:r>
    </w:p>
    <w:tbl>
      <w:tblPr>
        <w:tblW w:w="6038" w:type="dxa"/>
        <w:jc w:val="left"/>
        <w:tblInd w:w="0" w:type="dxa"/>
        <w:tblCellMar>
          <w:top w:w="0" w:type="dxa"/>
          <w:left w:w="0" w:type="dxa"/>
          <w:bottom w:w="0" w:type="dxa"/>
          <w:right w:w="0" w:type="dxa"/>
        </w:tblCellMar>
      </w:tblPr>
      <w:tblGrid>
        <w:gridCol w:w="2911"/>
        <w:gridCol w:w="326"/>
        <w:gridCol w:w="321"/>
        <w:gridCol w:w="894"/>
        <w:gridCol w:w="326"/>
        <w:gridCol w:w="391"/>
        <w:gridCol w:w="869"/>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48485" cy="175260"/>
                      <wp:effectExtent l="0" t="0" r="0" b="0"/>
                      <wp:wrapNone/>
                      <wp:docPr id="169" name="Frame137"/>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0"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3835" cy="175260"/>
                      <wp:effectExtent l="0" t="0" r="0" b="0"/>
                      <wp:wrapNone/>
                      <wp:docPr id="171" name="Frame139"/>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7690" cy="175260"/>
                      <wp:effectExtent l="0" t="0" r="0" b="0"/>
                      <wp:wrapNone/>
                      <wp:docPr id="172" name="Frame140"/>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3"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8285" cy="175260"/>
                      <wp:effectExtent l="0" t="0" r="0" b="0"/>
                      <wp:wrapNone/>
                      <wp:docPr id="174" name="Frame142"/>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51815" cy="175260"/>
                      <wp:effectExtent l="0" t="0" r="0" b="0"/>
                      <wp:wrapNone/>
                      <wp:docPr id="175" name="Frame143"/>
                      <a:graphic xmlns:a="http://schemas.openxmlformats.org/drawingml/2006/main">
                        <a:graphicData uri="http://schemas.microsoft.com/office/word/2010/wordprocessingShape">
                          <wps:wsp>
                            <wps:cNvSpPr txBox="1"/>
                            <wps:spPr>
                              <a:xfrm>
                                <a:off x="0" y="0"/>
                                <a:ext cx="551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pPr>
            <w:r>
              <w:rPr/>
              <w:t>​</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2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291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Lab equipment</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32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1,639</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39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69"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90</w:t>
            </w:r>
          </w:p>
        </w:tc>
      </w:tr>
      <w:tr>
        <w:trPr/>
        <w:tc>
          <w:tcPr>
            <w:tcW w:w="291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Computer equipment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32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89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59</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391" w:type="dxa"/>
            <w:tcBorders>
              <w:bottom w:val="single" w:sz="2"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47</w:t>
            </w:r>
          </w:p>
        </w:tc>
      </w:tr>
      <w:tr>
        <w:trPr/>
        <w:tc>
          <w:tcPr>
            <w:tcW w:w="291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Property and equipment, gross</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321" w:type="dxa"/>
            <w:tcBorders/>
            <w:shd w:fill="CCEEFF" w:val="clear"/>
            <w:vAlign w:val="center"/>
          </w:tcPr>
          <w:p>
            <w:pPr>
              <w:pStyle w:val="TableContents"/>
              <w:spacing w:before="0" w:after="1"/>
              <w:ind w:left="0" w:right="0" w:hanging="0"/>
              <w:jc w:val="right"/>
              <w:rPr>
                <w:color w:val="231F20"/>
              </w:rPr>
            </w:pPr>
            <w:r>
              <w:rPr>
                <w:color w:val="231F20"/>
              </w:rPr>
              <w:t>​</w:t>
            </w:r>
          </w:p>
        </w:tc>
        <w:tc>
          <w:tcPr>
            <w:tcW w:w="89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1,698</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391" w:type="dxa"/>
            <w:tcBorders/>
            <w:shd w:fill="CCEEFF" w:val="clear"/>
            <w:vAlign w:val="center"/>
          </w:tcPr>
          <w:p>
            <w:pPr>
              <w:pStyle w:val="TableContents"/>
              <w:spacing w:before="0" w:after="1"/>
              <w:ind w:left="0" w:right="0" w:hanging="0"/>
              <w:jc w:val="right"/>
              <w:rPr>
                <w:color w:val="231F20"/>
              </w:rPr>
            </w:pPr>
            <w:r>
              <w:rPr>
                <w:color w:val="231F20"/>
              </w:rPr>
              <w:t>​</w:t>
            </w:r>
          </w:p>
        </w:tc>
        <w:tc>
          <w:tcPr>
            <w:tcW w:w="869"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137</w:t>
            </w:r>
          </w:p>
        </w:tc>
      </w:tr>
      <w:tr>
        <w:trPr/>
        <w:tc>
          <w:tcPr>
            <w:tcW w:w="291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Less: Accumulated depreciation</w:t>
            </w:r>
          </w:p>
        </w:tc>
        <w:tc>
          <w:tcPr>
            <w:tcW w:w="326" w:type="dxa"/>
            <w:tcBorders/>
            <w:shd w:fill="auto" w:val="clear"/>
            <w:vAlign w:val="center"/>
          </w:tcPr>
          <w:p>
            <w:pPr>
              <w:pStyle w:val="TableContents"/>
              <w:spacing w:before="0" w:after="1"/>
              <w:ind w:left="0" w:right="0" w:hanging="0"/>
              <w:rPr/>
            </w:pPr>
            <w:r>
              <w:rPr/>
              <w:t> </w:t>
            </w:r>
          </w:p>
        </w:tc>
        <w:tc>
          <w:tcPr>
            <w:tcW w:w="321" w:type="dxa"/>
            <w:tcBorders>
              <w:bottom w:val="single" w:sz="2" w:space="0" w:color="231F20"/>
            </w:tcBorders>
            <w:shd w:fill="auto" w:val="clear"/>
            <w:tcMar>
              <w:bottom w:w="28" w:type="dxa"/>
            </w:tcMar>
            <w:vAlign w:val="center"/>
          </w:tcPr>
          <w:p>
            <w:pPr>
              <w:pStyle w:val="TableContents"/>
              <w:spacing w:before="0" w:after="1"/>
              <w:ind w:left="0" w:right="0" w:hanging="0"/>
              <w:jc w:val="right"/>
              <w:rPr/>
            </w:pPr>
            <w:r>
              <w:rPr/>
              <w:t> </w:t>
            </w:r>
          </w:p>
        </w:tc>
        <w:tc>
          <w:tcPr>
            <w:tcW w:w="894"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(224)</w:t>
            </w:r>
          </w:p>
        </w:tc>
        <w:tc>
          <w:tcPr>
            <w:tcW w:w="326" w:type="dxa"/>
            <w:tcBorders>
              <w:bottom w:val="single" w:sz="2" w:space="0" w:color="231F2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391" w:type="dxa"/>
            <w:tcBorders>
              <w:bottom w:val="single" w:sz="2" w:space="0" w:color="231F2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869"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(62)</w:t>
            </w:r>
          </w:p>
        </w:tc>
      </w:tr>
      <w:tr>
        <w:trPr/>
        <w:tc>
          <w:tcPr>
            <w:tcW w:w="29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3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1,474</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3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69"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color w:val="231F20"/>
                <w:sz w:val="20"/>
              </w:rPr>
            </w:pPr>
            <w:r>
              <w:rPr>
                <w:rFonts w:ascii="Arial;Helvetica;sans-serif" w:hAnsi="Arial;Helvetica;sans-serif"/>
                <w:color w:val="231F20"/>
                <w:sz w:val="20"/>
              </w:rPr>
              <w:t>75</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Arial;Helvetica;sans-serif" w:hAnsi="Arial;Helvetica;sans-serif"/>
          <w:b w:val="false"/>
          <w:sz w:val="20"/>
        </w:rPr>
      </w:pPr>
      <w:bookmarkStart w:id="991" w:name="Tc_zcxPbOuBdEGxdcgHyBzAAw_9_5"/>
      <w:bookmarkStart w:id="992" w:name="Tc_58EKv-BUVU6y2zcroDS0tw_9_2"/>
      <w:bookmarkStart w:id="993" w:name="Tc_6FoxU3UKSUyFHVlNDZDGdw_9_0"/>
      <w:bookmarkStart w:id="994" w:name="Tc_LWZVRfuPGUmMV1pyH24rtQ_8_0"/>
      <w:bookmarkStart w:id="995" w:name="Tc_BmtbPfbrEk6mXJ6q9PbkbA_7_3"/>
      <w:bookmarkStart w:id="996" w:name="Tc_wfNwzGjovUeoa5Kfn--8bg_7_0"/>
      <w:bookmarkStart w:id="997" w:name="Tc_qOKpups1mUey_1af_hcjdw_6_0"/>
      <w:bookmarkStart w:id="998" w:name="Tc_-wil_iFPBEaw8UGuW_deZg_5_6"/>
      <w:bookmarkStart w:id="999" w:name="Tc_bNyShc9cBUGZodCT65SN2g_5_0"/>
      <w:bookmarkStart w:id="1000" w:name="Tc_CnhgAqcHQkChxffnzTk9bw_4_0"/>
      <w:bookmarkStart w:id="1001" w:name="Tc_dVGfa3aaJkasEvB8BZxXuw_3_5"/>
      <w:bookmarkStart w:id="1002" w:name="Tc_vM5haBqtG02OXmn9zLBU-g_3_2"/>
      <w:bookmarkStart w:id="1003" w:name="Tc_R-1pplWxIkyi0aCfbpstGg_3_0"/>
      <w:bookmarkStart w:id="1004" w:name="Tc_QWQQtTGCEEeEcitoP5Ux6g_2_5"/>
      <w:bookmarkStart w:id="1005" w:name="Tc_TX0tiLPsfUewS6QdBiVn4A_2_2"/>
      <w:bookmarkStart w:id="1006" w:name="Tc_fOgwEUy1yUacfLLGbQycGw_1_5"/>
      <w:bookmarkStart w:id="1007" w:name="Tc_d4WXaA4nvkW2eQjNpnMknw_1_2"/>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Pr>
          <w:rFonts w:ascii="Arial;Helvetica;sans-serif" w:hAnsi="Arial;Helvetica;sans-serif"/>
          <w:b w:val="false"/>
          <w:sz w:val="20"/>
        </w:rPr>
        <w:t>5.    Prepaid Expenses and Other Current Assets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Prepaid expenses and other current assets consisted of the following (in thousands):</w:t>
      </w:r>
    </w:p>
    <w:p>
      <w:pPr>
        <w:pStyle w:val="TextBody"/>
        <w:spacing w:before="0" w:after="240"/>
        <w:ind w:left="0" w:right="0" w:hanging="0"/>
        <w:jc w:val="both"/>
        <w:rPr/>
      </w:pPr>
      <w:r>
        <w:rPr/>
        <w:t>​</w:t>
      </w:r>
    </w:p>
    <w:tbl>
      <w:tblPr>
        <w:tblW w:w="6278" w:type="dxa"/>
        <w:jc w:val="left"/>
        <w:tblInd w:w="0" w:type="dxa"/>
        <w:tblCellMar>
          <w:top w:w="0" w:type="dxa"/>
          <w:left w:w="0" w:type="dxa"/>
          <w:bottom w:w="0" w:type="dxa"/>
          <w:right w:w="0" w:type="dxa"/>
        </w:tblCellMar>
      </w:tblPr>
      <w:tblGrid>
        <w:gridCol w:w="3151"/>
        <w:gridCol w:w="326"/>
        <w:gridCol w:w="321"/>
        <w:gridCol w:w="894"/>
        <w:gridCol w:w="326"/>
        <w:gridCol w:w="290"/>
        <w:gridCol w:w="970"/>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00885" cy="175260"/>
                      <wp:effectExtent l="0" t="0" r="0" b="0"/>
                      <wp:wrapNone/>
                      <wp:docPr id="176" name="Frame144"/>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7"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3835" cy="175260"/>
                      <wp:effectExtent l="0" t="0" r="0" b="0"/>
                      <wp:wrapNone/>
                      <wp:docPr id="178" name="Frame146"/>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7690" cy="175260"/>
                      <wp:effectExtent l="0" t="0" r="0" b="0"/>
                      <wp:wrapNone/>
                      <wp:docPr id="179" name="Frame147"/>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0"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84150" cy="175260"/>
                      <wp:effectExtent l="0" t="0" r="0" b="0"/>
                      <wp:wrapNone/>
                      <wp:docPr id="181" name="Frame149"/>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5950" cy="175260"/>
                      <wp:effectExtent l="0" t="0" r="0" b="0"/>
                      <wp:wrapNone/>
                      <wp:docPr id="182" name="Frame150"/>
                      <a:graphic xmlns:a="http://schemas.openxmlformats.org/drawingml/2006/main">
                        <a:graphicData uri="http://schemas.microsoft.com/office/word/2010/wordprocessingShape">
                          <wps:wsp>
                            <wps:cNvSpPr txBox="1"/>
                            <wps:spPr>
                              <a:xfrm>
                                <a:off x="0" y="0"/>
                                <a:ext cx="615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5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pPr>
            <w:r>
              <w:rPr/>
              <w:t>​</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1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2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315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Prepaid clinical trial costs</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32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916</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290"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0"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1,148</w:t>
            </w:r>
          </w:p>
        </w:tc>
      </w:tr>
      <w:tr>
        <w:trPr/>
        <w:tc>
          <w:tcPr>
            <w:tcW w:w="315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Prepaid insurance</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321" w:type="dxa"/>
            <w:tcBorders/>
            <w:shd w:fill="auto" w:val="clear"/>
            <w:vAlign w:val="center"/>
          </w:tcPr>
          <w:p>
            <w:pPr>
              <w:pStyle w:val="TableContents"/>
              <w:spacing w:before="0" w:after="1"/>
              <w:ind w:left="0" w:right="0" w:hanging="0"/>
              <w:jc w:val="center"/>
              <w:rPr/>
            </w:pPr>
            <w:r>
              <w:rPr/>
              <w:t>​</w:t>
            </w:r>
          </w:p>
        </w:tc>
        <w:tc>
          <w:tcPr>
            <w:tcW w:w="894"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1,766</w:t>
            </w:r>
          </w:p>
        </w:tc>
        <w:tc>
          <w:tcPr>
            <w:tcW w:w="326" w:type="dxa"/>
            <w:tcBorders/>
            <w:shd w:fill="auto" w:val="clear"/>
            <w:vAlign w:val="center"/>
          </w:tcPr>
          <w:p>
            <w:pPr>
              <w:pStyle w:val="TableContents"/>
              <w:spacing w:before="0" w:after="1"/>
              <w:ind w:left="0" w:right="0" w:hanging="0"/>
              <w:jc w:val="center"/>
              <w:rPr>
                <w:color w:val="231F20"/>
              </w:rPr>
            </w:pPr>
            <w:r>
              <w:rPr>
                <w:color w:val="231F20"/>
              </w:rPr>
              <w:t>    </w:t>
            </w:r>
          </w:p>
        </w:tc>
        <w:tc>
          <w:tcPr>
            <w:tcW w:w="290" w:type="dxa"/>
            <w:tcBorders/>
            <w:shd w:fill="auto" w:val="clear"/>
            <w:vAlign w:val="center"/>
          </w:tcPr>
          <w:p>
            <w:pPr>
              <w:pStyle w:val="TableContents"/>
              <w:spacing w:before="0" w:after="1"/>
              <w:ind w:left="0" w:right="0" w:hanging="0"/>
              <w:jc w:val="center"/>
              <w:rPr/>
            </w:pPr>
            <w:r>
              <w:rPr/>
              <w:t>​</w:t>
            </w:r>
          </w:p>
        </w:tc>
        <w:tc>
          <w:tcPr>
            <w:tcW w:w="970"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1,663</w:t>
            </w:r>
          </w:p>
        </w:tc>
      </w:tr>
      <w:tr>
        <w:trPr/>
        <w:tc>
          <w:tcPr>
            <w:tcW w:w="315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Prepaid subscriptions and licenses</w:t>
            </w:r>
          </w:p>
        </w:tc>
        <w:tc>
          <w:tcPr>
            <w:tcW w:w="32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jc w:val="right"/>
              <w:rPr/>
            </w:pPr>
            <w:r>
              <w:rPr/>
              <w:t>​</w:t>
            </w:r>
          </w:p>
        </w:tc>
        <w:tc>
          <w:tcPr>
            <w:tcW w:w="89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291</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jc w:val="right"/>
              <w:rPr/>
            </w:pPr>
            <w:r>
              <w:rPr/>
              <w:t>​</w:t>
            </w:r>
          </w:p>
        </w:tc>
        <w:tc>
          <w:tcPr>
            <w:tcW w:w="970"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315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Prepaid research contracts</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321" w:type="dxa"/>
            <w:tcBorders/>
            <w:shd w:fill="auto" w:val="clear"/>
            <w:vAlign w:val="center"/>
          </w:tcPr>
          <w:p>
            <w:pPr>
              <w:pStyle w:val="TableContents"/>
              <w:spacing w:before="0" w:after="1"/>
              <w:ind w:left="0" w:right="0" w:hanging="0"/>
              <w:jc w:val="right"/>
              <w:rPr>
                <w:color w:val="231F20"/>
              </w:rPr>
            </w:pPr>
            <w:r>
              <w:rPr>
                <w:color w:val="231F20"/>
              </w:rPr>
              <w:t>​</w:t>
            </w:r>
          </w:p>
        </w:tc>
        <w:tc>
          <w:tcPr>
            <w:tcW w:w="894"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239</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90" w:type="dxa"/>
            <w:tcBorders/>
            <w:shd w:fill="auto" w:val="clear"/>
            <w:vAlign w:val="center"/>
          </w:tcPr>
          <w:p>
            <w:pPr>
              <w:pStyle w:val="TableContents"/>
              <w:spacing w:before="0" w:after="1"/>
              <w:ind w:left="0" w:right="0" w:hanging="0"/>
              <w:jc w:val="right"/>
              <w:rPr>
                <w:color w:val="231F20"/>
              </w:rPr>
            </w:pPr>
            <w:r>
              <w:rPr>
                <w:color w:val="231F20"/>
              </w:rPr>
              <w:t>​</w:t>
            </w:r>
          </w:p>
        </w:tc>
        <w:tc>
          <w:tcPr>
            <w:tcW w:w="970"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432</w:t>
            </w:r>
          </w:p>
        </w:tc>
      </w:tr>
      <w:tr>
        <w:trPr/>
        <w:tc>
          <w:tcPr>
            <w:tcW w:w="315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Prepaid rent</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321" w:type="dxa"/>
            <w:tcBorders/>
            <w:shd w:fill="CCEEFF" w:val="clear"/>
            <w:vAlign w:val="center"/>
          </w:tcPr>
          <w:p>
            <w:pPr>
              <w:pStyle w:val="TableContents"/>
              <w:spacing w:before="0" w:after="1"/>
              <w:ind w:left="0" w:right="0" w:hanging="0"/>
              <w:jc w:val="right"/>
              <w:rPr>
                <w:color w:val="231F20"/>
              </w:rPr>
            </w:pPr>
            <w:r>
              <w:rPr>
                <w:color w:val="231F20"/>
              </w:rPr>
              <w:t>​</w:t>
            </w:r>
          </w:p>
        </w:tc>
        <w:tc>
          <w:tcPr>
            <w:tcW w:w="894" w:type="dxa"/>
            <w:tcBorders/>
            <w:shd w:fill="CCEEFF" w:val="clear"/>
            <w:vAlign w:val="center"/>
          </w:tcPr>
          <w:p>
            <w:pPr>
              <w:pStyle w:val="TableContents"/>
              <w:spacing w:before="0" w:after="1"/>
              <w:ind w:left="0" w:right="0" w:hanging="0"/>
              <w:jc w:val="right"/>
              <w:rPr>
                <w:color w:val="231F20"/>
              </w:rPr>
            </w:pPr>
            <w:r>
              <w:rPr>
                <w:color w:val="231F20"/>
              </w:rPr>
              <w:t>—</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290" w:type="dxa"/>
            <w:tcBorders/>
            <w:shd w:fill="CCEEFF" w:val="clear"/>
            <w:vAlign w:val="center"/>
          </w:tcPr>
          <w:p>
            <w:pPr>
              <w:pStyle w:val="TableContents"/>
              <w:spacing w:before="0" w:after="1"/>
              <w:ind w:left="0" w:right="0" w:hanging="0"/>
              <w:jc w:val="right"/>
              <w:rPr>
                <w:color w:val="231F20"/>
              </w:rPr>
            </w:pPr>
            <w:r>
              <w:rPr>
                <w:color w:val="231F20"/>
              </w:rPr>
              <w:t>​</w:t>
            </w:r>
          </w:p>
        </w:tc>
        <w:tc>
          <w:tcPr>
            <w:tcW w:w="970"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196</w:t>
            </w:r>
          </w:p>
        </w:tc>
      </w:tr>
      <w:tr>
        <w:trPr/>
        <w:tc>
          <w:tcPr>
            <w:tcW w:w="315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Other</w:t>
            </w:r>
          </w:p>
        </w:tc>
        <w:tc>
          <w:tcPr>
            <w:tcW w:w="326" w:type="dxa"/>
            <w:tcBorders/>
            <w:shd w:fill="auto" w:val="clear"/>
            <w:vAlign w:val="center"/>
          </w:tcPr>
          <w:p>
            <w:pPr>
              <w:pStyle w:val="TableContents"/>
              <w:spacing w:before="0" w:after="1"/>
              <w:ind w:left="0" w:right="0" w:hanging="0"/>
              <w:rPr/>
            </w:pPr>
            <w:r>
              <w:rPr/>
              <w:t> </w:t>
            </w:r>
          </w:p>
        </w:tc>
        <w:tc>
          <w:tcPr>
            <w:tcW w:w="321" w:type="dxa"/>
            <w:tcBorders>
              <w:bottom w:val="single" w:sz="2" w:space="0" w:color="231F20"/>
            </w:tcBorders>
            <w:shd w:fill="auto" w:val="clear"/>
            <w:tcMar>
              <w:bottom w:w="28" w:type="dxa"/>
            </w:tcMar>
            <w:vAlign w:val="center"/>
          </w:tcPr>
          <w:p>
            <w:pPr>
              <w:pStyle w:val="TableContents"/>
              <w:spacing w:before="0" w:after="1"/>
              <w:ind w:left="0" w:right="0" w:hanging="0"/>
              <w:jc w:val="right"/>
              <w:rPr/>
            </w:pPr>
            <w:r>
              <w:rPr/>
              <w:t> </w:t>
            </w:r>
          </w:p>
        </w:tc>
        <w:tc>
          <w:tcPr>
            <w:tcW w:w="894"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223</w:t>
            </w:r>
          </w:p>
        </w:tc>
        <w:tc>
          <w:tcPr>
            <w:tcW w:w="326" w:type="dxa"/>
            <w:tcBorders>
              <w:bottom w:val="single" w:sz="2" w:space="0" w:color="231F2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290" w:type="dxa"/>
            <w:tcBorders>
              <w:bottom w:val="single" w:sz="2" w:space="0" w:color="231F2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970"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149</w:t>
            </w:r>
          </w:p>
        </w:tc>
      </w:tr>
      <w:tr>
        <w:trPr/>
        <w:tc>
          <w:tcPr>
            <w:tcW w:w="315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xml:space="preserve">Total </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3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3,435</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29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0"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color w:val="231F20"/>
                <w:sz w:val="20"/>
              </w:rPr>
            </w:pPr>
            <w:r>
              <w:rPr>
                <w:rFonts w:ascii="Arial;Helvetica;sans-serif" w:hAnsi="Arial;Helvetica;sans-serif"/>
                <w:color w:val="231F20"/>
                <w:sz w:val="20"/>
              </w:rPr>
              <w:t>3,588</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pBdr/>
        <w:spacing w:before="0" w:after="240"/>
        <w:ind w:left="0" w:right="0" w:hanging="360"/>
        <w:jc w:val="both"/>
        <w:rPr>
          <w:rFonts w:ascii="Arial;Helvetica;sans-serif" w:hAnsi="Arial;Helvetica;sans-serif"/>
          <w:b w:val="false"/>
          <w:sz w:val="20"/>
        </w:rPr>
      </w:pPr>
      <w:bookmarkStart w:id="1008" w:name="Tc_AXHbimgIPUeFW4jMsLRqTA_10_5"/>
      <w:bookmarkStart w:id="1009" w:name="Tc_Wc4H-WkAYUe9mVxsmea1DQ_10_2"/>
      <w:bookmarkStart w:id="1010" w:name="Tc_MV8V_HwiP06zuWwMjoCV-g_10_0"/>
      <w:bookmarkStart w:id="1011" w:name="Tc_UIobCcrLmUC9PRYFA-1koA_9_0"/>
      <w:bookmarkStart w:id="1012" w:name="Tc_wqAqfhKhO0KJUgBiIs8Opg_8_0"/>
      <w:bookmarkStart w:id="1013" w:name="Tc_fpYxX45g1UGN-vZqb3WLww_7_0"/>
      <w:bookmarkStart w:id="1014" w:name="Tc_tuTSSjHe3ECagHmWM0P57g_6_0"/>
      <w:bookmarkStart w:id="1015" w:name="Tc_OGrWWjtcWEKOAioiCQWYXg_5_0"/>
      <w:bookmarkStart w:id="1016" w:name="Tc_qcTeFPo92U2sSYy5fQ-y6g_4_0"/>
      <w:bookmarkStart w:id="1017" w:name="Tc_MHNXTJZk2E-LZcxdO0xWSg_3_5"/>
      <w:bookmarkStart w:id="1018" w:name="Tc_FI5ljaBHaUGw293Mz3b3hA_3_2"/>
      <w:bookmarkStart w:id="1019" w:name="Tc_1x0n3Y7KJUKlySChaFzqnA_3_0"/>
      <w:bookmarkStart w:id="1020" w:name="Tc_s0JT5Ug4sUu5KcsEdv0kXA_2_5"/>
      <w:bookmarkStart w:id="1021" w:name="Tc_jfbrmXm3gE6vweG_RktgQg_2_2"/>
      <w:bookmarkStart w:id="1022" w:name="Tc_MXX7xFG9LEapYF7LC-VmxQ_1_5"/>
      <w:bookmarkStart w:id="1023" w:name="Tc_zTAO2OF5QkCx74oft6QTJw_1_2"/>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Arial;Helvetica;sans-serif" w:hAnsi="Arial;Helvetica;sans-serif"/>
          <w:b w:val="false"/>
          <w:sz w:val="20"/>
        </w:rPr>
        <w:t>6.   Other Current Liabilities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Other current liabilities consisted of the following (in thousands):</w:t>
      </w:r>
    </w:p>
    <w:p>
      <w:pPr>
        <w:pStyle w:val="TextBody"/>
        <w:spacing w:before="0" w:after="0"/>
        <w:ind w:left="0" w:right="0" w:hanging="0"/>
        <w:rPr/>
      </w:pPr>
      <w:r>
        <w:rPr/>
        <w:t>​</w:t>
      </w:r>
    </w:p>
    <w:tbl>
      <w:tblPr>
        <w:tblW w:w="6406" w:type="dxa"/>
        <w:jc w:val="left"/>
        <w:tblInd w:w="0" w:type="dxa"/>
        <w:tblCellMar>
          <w:top w:w="0" w:type="dxa"/>
          <w:left w:w="0" w:type="dxa"/>
          <w:bottom w:w="0" w:type="dxa"/>
          <w:right w:w="0" w:type="dxa"/>
        </w:tblCellMar>
      </w:tblPr>
      <w:tblGrid>
        <w:gridCol w:w="3676"/>
        <w:gridCol w:w="146"/>
        <w:gridCol w:w="321"/>
        <w:gridCol w:w="894"/>
        <w:gridCol w:w="109"/>
        <w:gridCol w:w="290"/>
        <w:gridCol w:w="970"/>
      </w:tblGrid>
      <w:tr>
        <w:trPr/>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334260" cy="175260"/>
                      <wp:effectExtent l="0" t="0" r="0" b="0"/>
                      <wp:wrapNone/>
                      <wp:docPr id="183" name="Frame151"/>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84" name="Frame15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3835" cy="175260"/>
                      <wp:effectExtent l="0" t="0" r="0" b="0"/>
                      <wp:wrapNone/>
                      <wp:docPr id="185" name="Frame153"/>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67690" cy="175260"/>
                      <wp:effectExtent l="0" t="0" r="0" b="0"/>
                      <wp:wrapNone/>
                      <wp:docPr id="186" name="Frame154"/>
                      <a:graphic xmlns:a="http://schemas.openxmlformats.org/drawingml/2006/main">
                        <a:graphicData uri="http://schemas.microsoft.com/office/word/2010/wordprocessingShape">
                          <wps:wsp>
                            <wps:cNvSpPr txBox="1"/>
                            <wps:spPr>
                              <a:xfrm>
                                <a:off x="0" y="0"/>
                                <a:ext cx="567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87"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4150" cy="175260"/>
                      <wp:effectExtent l="0" t="0" r="0" b="0"/>
                      <wp:wrapNone/>
                      <wp:docPr id="188" name="Frame156"/>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5950" cy="175260"/>
                      <wp:effectExtent l="0" t="0" r="0" b="0"/>
                      <wp:wrapNone/>
                      <wp:docPr id="189" name="Frame157"/>
                      <a:graphic xmlns:a="http://schemas.openxmlformats.org/drawingml/2006/main">
                        <a:graphicData uri="http://schemas.microsoft.com/office/word/2010/wordprocessingShape">
                          <wps:wsp>
                            <wps:cNvSpPr txBox="1"/>
                            <wps:spPr>
                              <a:xfrm>
                                <a:off x="0" y="0"/>
                                <a:ext cx="615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67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6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2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367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Accrued R&amp;D related costs</w:t>
            </w:r>
          </w:p>
        </w:tc>
        <w:tc>
          <w:tcPr>
            <w:tcW w:w="146" w:type="dxa"/>
            <w:tcBorders/>
            <w:shd w:fill="CCEEFF" w:val="clear"/>
            <w:vAlign w:val="center"/>
          </w:tcPr>
          <w:p>
            <w:pPr>
              <w:pStyle w:val="TableContents"/>
              <w:spacing w:before="0" w:after="0"/>
              <w:ind w:left="0" w:right="0" w:hanging="0"/>
              <w:jc w:val="center"/>
              <w:rPr>
                <w:color w:val="231F20"/>
              </w:rPr>
            </w:pPr>
            <w:r>
              <w:rPr>
                <w:color w:val="231F20"/>
              </w:rPr>
              <w:t>​</w:t>
            </w:r>
          </w:p>
        </w:tc>
        <w:tc>
          <w:tcPr>
            <w:tcW w:w="32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2,645</w:t>
            </w:r>
          </w:p>
        </w:tc>
        <w:tc>
          <w:tcPr>
            <w:tcW w:w="109" w:type="dxa"/>
            <w:tcBorders/>
            <w:shd w:fill="CCEEFF" w:val="clear"/>
            <w:vAlign w:val="center"/>
          </w:tcPr>
          <w:p>
            <w:pPr>
              <w:pStyle w:val="TableContents"/>
              <w:spacing w:before="0" w:after="0"/>
              <w:ind w:left="0" w:right="0" w:hanging="0"/>
              <w:jc w:val="center"/>
              <w:rPr>
                <w:color w:val="231F20"/>
              </w:rPr>
            </w:pPr>
            <w:r>
              <w:rPr>
                <w:color w:val="231F20"/>
              </w:rPr>
              <w:t>​</w:t>
            </w:r>
          </w:p>
        </w:tc>
        <w:tc>
          <w:tcPr>
            <w:tcW w:w="290"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609</w:t>
            </w:r>
          </w:p>
        </w:tc>
      </w:tr>
      <w:tr>
        <w:trPr/>
        <w:tc>
          <w:tcPr>
            <w:tcW w:w="367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Accrued employee bonuses</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321" w:type="dxa"/>
            <w:tcBorders/>
            <w:shd w:fill="auto" w:val="clear"/>
            <w:vAlign w:val="center"/>
          </w:tcPr>
          <w:p>
            <w:pPr>
              <w:pStyle w:val="TableContents"/>
              <w:spacing w:before="0" w:after="0"/>
              <w:ind w:left="0" w:right="0" w:hanging="0"/>
              <w:jc w:val="right"/>
              <w:rPr>
                <w:color w:val="231F20"/>
              </w:rPr>
            </w:pPr>
            <w:r>
              <w:rPr>
                <w:color w:val="231F20"/>
              </w:rPr>
              <w:t>​</w:t>
            </w:r>
          </w:p>
        </w:tc>
        <w:tc>
          <w:tcPr>
            <w:tcW w:w="894"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3,752</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290" w:type="dxa"/>
            <w:tcBorders/>
            <w:shd w:fill="auto" w:val="clear"/>
            <w:vAlign w:val="center"/>
          </w:tcPr>
          <w:p>
            <w:pPr>
              <w:pStyle w:val="TableContents"/>
              <w:spacing w:before="0" w:after="0"/>
              <w:ind w:left="0" w:right="0" w:hanging="0"/>
              <w:jc w:val="right"/>
              <w:rPr>
                <w:color w:val="231F20"/>
              </w:rPr>
            </w:pPr>
            <w:r>
              <w:rPr>
                <w:color w:val="231F20"/>
              </w:rPr>
              <w:t>​</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1,222</w:t>
            </w:r>
          </w:p>
        </w:tc>
      </w:tr>
      <w:tr>
        <w:trPr/>
        <w:tc>
          <w:tcPr>
            <w:tcW w:w="367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Accrued professional fees</w:t>
            </w:r>
          </w:p>
        </w:tc>
        <w:tc>
          <w:tcPr>
            <w:tcW w:w="146" w:type="dxa"/>
            <w:tcBorders/>
            <w:shd w:fill="CCEEFF" w:val="clear"/>
            <w:vAlign w:val="center"/>
          </w:tcPr>
          <w:p>
            <w:pPr>
              <w:pStyle w:val="TableContents"/>
              <w:spacing w:before="0" w:after="0"/>
              <w:ind w:left="0" w:right="0" w:hanging="0"/>
              <w:jc w:val="center"/>
              <w:rPr>
                <w:color w:val="231F20"/>
              </w:rPr>
            </w:pPr>
            <w:r>
              <w:rPr>
                <w:color w:val="231F20"/>
              </w:rPr>
              <w:t>​</w:t>
            </w:r>
          </w:p>
        </w:tc>
        <w:tc>
          <w:tcPr>
            <w:tcW w:w="321" w:type="dxa"/>
            <w:tcBorders/>
            <w:shd w:fill="CCEEFF" w:val="clear"/>
            <w:vAlign w:val="center"/>
          </w:tcPr>
          <w:p>
            <w:pPr>
              <w:pStyle w:val="TableContents"/>
              <w:spacing w:before="0" w:after="0"/>
              <w:ind w:left="0" w:right="0" w:hanging="0"/>
              <w:jc w:val="right"/>
              <w:rPr>
                <w:color w:val="231F20"/>
              </w:rPr>
            </w:pPr>
            <w:r>
              <w:rPr>
                <w:color w:val="231F20"/>
              </w:rPr>
              <w:t>​</w:t>
            </w:r>
          </w:p>
        </w:tc>
        <w:tc>
          <w:tcPr>
            <w:tcW w:w="894"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1,011</w:t>
            </w:r>
          </w:p>
        </w:tc>
        <w:tc>
          <w:tcPr>
            <w:tcW w:w="109" w:type="dxa"/>
            <w:tcBorders/>
            <w:shd w:fill="CCEEFF" w:val="clear"/>
            <w:vAlign w:val="center"/>
          </w:tcPr>
          <w:p>
            <w:pPr>
              <w:pStyle w:val="TableContents"/>
              <w:spacing w:before="0" w:after="0"/>
              <w:ind w:left="0" w:right="0" w:hanging="0"/>
              <w:jc w:val="center"/>
              <w:rPr>
                <w:color w:val="231F20"/>
              </w:rPr>
            </w:pPr>
            <w:r>
              <w:rPr>
                <w:color w:val="231F20"/>
              </w:rPr>
              <w:t>​</w:t>
            </w:r>
          </w:p>
        </w:tc>
        <w:tc>
          <w:tcPr>
            <w:tcW w:w="290" w:type="dxa"/>
            <w:tcBorders/>
            <w:shd w:fill="CCEEFF" w:val="clear"/>
            <w:vAlign w:val="center"/>
          </w:tcPr>
          <w:p>
            <w:pPr>
              <w:pStyle w:val="TableContents"/>
              <w:spacing w:before="0" w:after="0"/>
              <w:ind w:left="0" w:right="0" w:hanging="0"/>
              <w:jc w:val="right"/>
              <w:rPr>
                <w:color w:val="231F20"/>
              </w:rPr>
            </w:pPr>
            <w:r>
              <w:rPr>
                <w:color w:val="231F20"/>
              </w:rPr>
              <w:t>​</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577</w:t>
            </w:r>
          </w:p>
        </w:tc>
      </w:tr>
      <w:tr>
        <w:trPr/>
        <w:tc>
          <w:tcPr>
            <w:tcW w:w="367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Early exercise of unvested stock options</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321" w:type="dxa"/>
            <w:tcBorders/>
            <w:shd w:fill="auto" w:val="clear"/>
            <w:vAlign w:val="center"/>
          </w:tcPr>
          <w:p>
            <w:pPr>
              <w:pStyle w:val="TableContents"/>
              <w:spacing w:before="0" w:after="0"/>
              <w:ind w:left="0" w:right="0" w:hanging="0"/>
              <w:jc w:val="right"/>
              <w:rPr>
                <w:color w:val="231F20"/>
              </w:rPr>
            </w:pPr>
            <w:r>
              <w:rPr>
                <w:color w:val="231F20"/>
              </w:rPr>
              <w:t>​</w:t>
            </w:r>
          </w:p>
        </w:tc>
        <w:tc>
          <w:tcPr>
            <w:tcW w:w="894"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206</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290" w:type="dxa"/>
            <w:tcBorders/>
            <w:shd w:fill="auto" w:val="clear"/>
            <w:vAlign w:val="center"/>
          </w:tcPr>
          <w:p>
            <w:pPr>
              <w:pStyle w:val="TableContents"/>
              <w:spacing w:before="0" w:after="0"/>
              <w:ind w:left="0" w:right="0" w:hanging="0"/>
              <w:jc w:val="right"/>
              <w:rPr>
                <w:color w:val="231F20"/>
              </w:rPr>
            </w:pPr>
            <w:r>
              <w:rPr>
                <w:color w:val="231F20"/>
              </w:rPr>
              <w:t>​</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578</w:t>
            </w:r>
          </w:p>
        </w:tc>
      </w:tr>
      <w:tr>
        <w:trPr/>
        <w:tc>
          <w:tcPr>
            <w:tcW w:w="367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Accrued payroll related costs</w:t>
            </w:r>
          </w:p>
        </w:tc>
        <w:tc>
          <w:tcPr>
            <w:tcW w:w="146" w:type="dxa"/>
            <w:tcBorders/>
            <w:shd w:fill="CCEEFF" w:val="clear"/>
            <w:vAlign w:val="center"/>
          </w:tcPr>
          <w:p>
            <w:pPr>
              <w:pStyle w:val="TableContents"/>
              <w:spacing w:before="0" w:after="0"/>
              <w:ind w:left="0" w:right="0" w:hanging="0"/>
              <w:jc w:val="center"/>
              <w:rPr>
                <w:color w:val="231F20"/>
              </w:rPr>
            </w:pPr>
            <w:r>
              <w:rPr>
                <w:color w:val="231F20"/>
              </w:rPr>
              <w:t>​</w:t>
            </w:r>
          </w:p>
        </w:tc>
        <w:tc>
          <w:tcPr>
            <w:tcW w:w="321" w:type="dxa"/>
            <w:tcBorders/>
            <w:shd w:fill="CCEEFF" w:val="clear"/>
            <w:vAlign w:val="center"/>
          </w:tcPr>
          <w:p>
            <w:pPr>
              <w:pStyle w:val="TableContents"/>
              <w:spacing w:before="0" w:after="0"/>
              <w:ind w:left="0" w:right="0" w:hanging="0"/>
              <w:jc w:val="right"/>
              <w:rPr>
                <w:color w:val="231F20"/>
              </w:rPr>
            </w:pPr>
            <w:r>
              <w:rPr>
                <w:color w:val="231F20"/>
              </w:rPr>
              <w:t>​</w:t>
            </w:r>
          </w:p>
        </w:tc>
        <w:tc>
          <w:tcPr>
            <w:tcW w:w="894"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191</w:t>
            </w:r>
          </w:p>
        </w:tc>
        <w:tc>
          <w:tcPr>
            <w:tcW w:w="109" w:type="dxa"/>
            <w:tcBorders/>
            <w:shd w:fill="CCEEFF" w:val="clear"/>
            <w:vAlign w:val="center"/>
          </w:tcPr>
          <w:p>
            <w:pPr>
              <w:pStyle w:val="TableContents"/>
              <w:spacing w:before="0" w:after="0"/>
              <w:ind w:left="0" w:right="0" w:hanging="0"/>
              <w:jc w:val="center"/>
              <w:rPr>
                <w:color w:val="231F20"/>
              </w:rPr>
            </w:pPr>
            <w:r>
              <w:rPr>
                <w:color w:val="231F20"/>
              </w:rPr>
              <w:t>​</w:t>
            </w:r>
          </w:p>
        </w:tc>
        <w:tc>
          <w:tcPr>
            <w:tcW w:w="290" w:type="dxa"/>
            <w:tcBorders/>
            <w:shd w:fill="CCEEFF" w:val="clear"/>
            <w:vAlign w:val="center"/>
          </w:tcPr>
          <w:p>
            <w:pPr>
              <w:pStyle w:val="TableContents"/>
              <w:spacing w:before="0" w:after="0"/>
              <w:ind w:left="0" w:right="0" w:hanging="0"/>
              <w:jc w:val="right"/>
              <w:rPr>
                <w:color w:val="231F20"/>
              </w:rPr>
            </w:pPr>
            <w:r>
              <w:rPr>
                <w:color w:val="231F20"/>
              </w:rPr>
              <w:t>​</w:t>
            </w:r>
          </w:p>
        </w:tc>
        <w:tc>
          <w:tcPr>
            <w:tcW w:w="970"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444</w:t>
            </w:r>
          </w:p>
        </w:tc>
      </w:tr>
      <w:tr>
        <w:trPr/>
        <w:tc>
          <w:tcPr>
            <w:tcW w:w="367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Accrued taxes</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321" w:type="dxa"/>
            <w:tcBorders/>
            <w:shd w:fill="auto" w:val="clear"/>
            <w:vAlign w:val="center"/>
          </w:tcPr>
          <w:p>
            <w:pPr>
              <w:pStyle w:val="TableContents"/>
              <w:spacing w:before="0" w:after="0"/>
              <w:ind w:left="0" w:right="0" w:hanging="0"/>
              <w:jc w:val="right"/>
              <w:rPr>
                <w:color w:val="231F20"/>
              </w:rPr>
            </w:pPr>
            <w:r>
              <w:rPr>
                <w:color w:val="231F20"/>
              </w:rPr>
              <w:t>​</w:t>
            </w:r>
          </w:p>
        </w:tc>
        <w:tc>
          <w:tcPr>
            <w:tcW w:w="894"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88</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290" w:type="dxa"/>
            <w:tcBorders/>
            <w:shd w:fill="auto" w:val="clear"/>
            <w:vAlign w:val="center"/>
          </w:tcPr>
          <w:p>
            <w:pPr>
              <w:pStyle w:val="TableContents"/>
              <w:spacing w:before="0" w:after="0"/>
              <w:ind w:left="0" w:right="0" w:hanging="0"/>
              <w:jc w:val="right"/>
              <w:rPr>
                <w:color w:val="231F20"/>
              </w:rPr>
            </w:pPr>
            <w:r>
              <w:rPr>
                <w:color w:val="231F20"/>
              </w:rPr>
              <w:t>​</w:t>
            </w:r>
          </w:p>
        </w:tc>
        <w:tc>
          <w:tcPr>
            <w:tcW w:w="970"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198</w:t>
            </w:r>
          </w:p>
        </w:tc>
      </w:tr>
      <w:tr>
        <w:trPr/>
        <w:tc>
          <w:tcPr>
            <w:tcW w:w="367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Other</w:t>
            </w:r>
          </w:p>
        </w:tc>
        <w:tc>
          <w:tcPr>
            <w:tcW w:w="146" w:type="dxa"/>
            <w:tcBorders/>
            <w:shd w:fill="CCEEFF" w:val="clear"/>
            <w:vAlign w:val="center"/>
          </w:tcPr>
          <w:p>
            <w:pPr>
              <w:pStyle w:val="TableContents"/>
              <w:spacing w:before="0" w:after="0"/>
              <w:ind w:left="0" w:right="0" w:hanging="0"/>
              <w:rPr/>
            </w:pPr>
            <w:r>
              <w:rPr/>
              <w:t> </w:t>
            </w:r>
          </w:p>
        </w:tc>
        <w:tc>
          <w:tcPr>
            <w:tcW w:w="321" w:type="dxa"/>
            <w:tcBorders>
              <w:bottom w:val="single" w:sz="2" w:space="0" w:color="231F20"/>
            </w:tcBorders>
            <w:shd w:fill="CCEEFF" w:val="clear"/>
            <w:tcMar>
              <w:bottom w:w="28" w:type="dxa"/>
            </w:tcMar>
            <w:vAlign w:val="center"/>
          </w:tcPr>
          <w:p>
            <w:pPr>
              <w:pStyle w:val="TableContents"/>
              <w:spacing w:before="0" w:after="0"/>
              <w:ind w:left="0" w:right="0" w:hanging="0"/>
              <w:jc w:val="right"/>
              <w:rPr/>
            </w:pPr>
            <w:r>
              <w:rPr/>
              <w:t> </w:t>
            </w:r>
          </w:p>
        </w:tc>
        <w:tc>
          <w:tcPr>
            <w:tcW w:w="894" w:type="dxa"/>
            <w:tcBorders>
              <w:bottom w:val="single" w:sz="2" w:space="0" w:color="231F2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172</w:t>
            </w:r>
          </w:p>
        </w:tc>
        <w:tc>
          <w:tcPr>
            <w:tcW w:w="109" w:type="dxa"/>
            <w:tcBorders>
              <w:bottom w:val="single" w:sz="2" w:space="0" w:color="231F2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90" w:type="dxa"/>
            <w:tcBorders>
              <w:bottom w:val="single" w:sz="2" w:space="0" w:color="231F2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970" w:type="dxa"/>
            <w:tcBorders>
              <w:bottom w:val="single" w:sz="2" w:space="0" w:color="231F2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238</w:t>
            </w:r>
          </w:p>
        </w:tc>
      </w:tr>
      <w:tr>
        <w:trPr/>
        <w:tc>
          <w:tcPr>
            <w:tcW w:w="367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w:t>
            </w:r>
          </w:p>
        </w:tc>
        <w:tc>
          <w:tcPr>
            <w:tcW w:w="14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3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9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8,065</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70"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Arial;Helvetica;sans-serif" w:hAnsi="Arial;Helvetica;sans-serif"/>
                <w:color w:val="231F20"/>
                <w:sz w:val="20"/>
              </w:rPr>
            </w:pPr>
            <w:r>
              <w:rPr>
                <w:rFonts w:ascii="Arial;Helvetica;sans-serif" w:hAnsi="Arial;Helvetica;sans-serif"/>
                <w:color w:val="231F20"/>
                <w:sz w:val="20"/>
              </w:rPr>
              <w:t>3,866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pBdr/>
        <w:spacing w:before="0" w:after="240"/>
        <w:ind w:left="0" w:right="0" w:hanging="360"/>
        <w:jc w:val="both"/>
        <w:rPr>
          <w:rFonts w:ascii="Arial;Helvetica;sans-serif" w:hAnsi="Arial;Helvetica;sans-serif"/>
          <w:b w:val="false"/>
          <w:sz w:val="20"/>
        </w:rPr>
      </w:pPr>
      <w:r>
        <w:rPr>
          <w:rFonts w:ascii="Arial;Helvetica;sans-serif" w:hAnsi="Arial;Helvetica;sans-serif"/>
          <w:b w:val="false"/>
          <w:sz w:val="20"/>
        </w:rPr>
        <w:t>7.    Convertible Notes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March 17, 2020, then outstanding convertible promissory notes were settled with 2,545,277 shares of Series B convertible preferred stock at $4.712 per share for gross proceeds of approximately $12.0 million. As of December 31, 2021 and 2020, there were no convertible notes outstanding. Refer to Note 5 “Convertible Notes” included in the Annual Report on Form 10-K for the year ended December 31, 2020 filed on March 17, 2021 with the SEC. </w:t>
      </w:r>
    </w:p>
    <w:p>
      <w:pPr>
        <w:pStyle w:val="TextBody"/>
        <w:spacing w:before="0" w:after="240"/>
        <w:ind w:left="0" w:right="0" w:hanging="0"/>
        <w:jc w:val="both"/>
        <w:rPr>
          <w:rFonts w:ascii="Arial;Helvetica;sans-serif" w:hAnsi="Arial;Helvetica;sans-serif"/>
          <w:b w:val="false"/>
          <w:sz w:val="20"/>
        </w:rPr>
      </w:pPr>
      <w:r>
        <w:rPr>
          <w:rFonts w:ascii="Arial;Helvetica;sans-serif" w:hAnsi="Arial;Helvetica;sans-serif"/>
          <w:b w:val="false"/>
          <w:sz w:val="20"/>
        </w:rPr>
        <w:t>8.    Convertible Preferred Stock</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Upon the closing of the Company’s IPO, each then outstanding share of convertible preferred stock was converted into one share of common stock. As of December 31, 2021 and 2020, there was no convertible preferred stock outstanding. Refer to Note 6 “Convertible Preferred Stock” included in the Annual Report on Form 10-K for the year ended December 31, 2020 filed on March 17, 2021 with the SEC.</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360"/>
        <w:jc w:val="both"/>
        <w:rPr>
          <w:rFonts w:ascii="Arial;Helvetica;sans-serif" w:hAnsi="Arial;Helvetica;sans-serif"/>
          <w:b w:val="false"/>
          <w:sz w:val="20"/>
        </w:rPr>
      </w:pPr>
      <w:bookmarkStart w:id="1024" w:name="Tc_qD6ZtotUk0edwc4crO8BwQ_7_0"/>
      <w:bookmarkStart w:id="1025" w:name="Tc_2FwmgUSq5kid_0jz4NPzHw_6_0"/>
      <w:bookmarkStart w:id="1026" w:name="Tc_aMyHe6qEHUGnkU09Bnqv1g_5_0"/>
      <w:bookmarkStart w:id="1027" w:name="Tc_d8K1P5bqO0mplq6aNS0dcA_4_0"/>
      <w:bookmarkStart w:id="1028" w:name="Tc_CWpJwPVx1EO4M71j0zoydg_3_0"/>
      <w:bookmarkStart w:id="1029" w:name="Tc_XcB4tGrGkUqsdtwQDNarYw_2_5"/>
      <w:bookmarkStart w:id="1030" w:name="Tc_-P0hPZGOB0CTmkLNi2hxmg_2_2"/>
      <w:bookmarkStart w:id="1031" w:name="Tc_mtC9sX7aLUCGkyIy_gHnRw_1_5"/>
      <w:bookmarkStart w:id="1032" w:name="Tc_sM-iwRtsNE6F_bDAx2ipyA_1_2"/>
      <w:bookmarkStart w:id="1033" w:name="_57d9058f_67de_4f8f_a50b_1cf345fbdb8e"/>
      <w:bookmarkEnd w:id="1024"/>
      <w:bookmarkEnd w:id="1025"/>
      <w:bookmarkEnd w:id="1026"/>
      <w:bookmarkEnd w:id="1027"/>
      <w:bookmarkEnd w:id="1028"/>
      <w:bookmarkEnd w:id="1029"/>
      <w:bookmarkEnd w:id="1030"/>
      <w:bookmarkEnd w:id="1031"/>
      <w:bookmarkEnd w:id="1032"/>
      <w:bookmarkEnd w:id="1033"/>
      <w:r>
        <w:rPr>
          <w:rFonts w:ascii="Arial;Helvetica;sans-serif" w:hAnsi="Arial;Helvetica;sans-serif"/>
          <w:b w:val="false"/>
          <w:sz w:val="20"/>
        </w:rPr>
        <w:t>9.    Common Stock</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As of each of the balance sheet dates below, the Company had reserved shares of common stock for issuance in connection with the following:</w:t>
      </w:r>
    </w:p>
    <w:p>
      <w:pPr>
        <w:pStyle w:val="TextBody"/>
        <w:spacing w:before="0" w:after="0"/>
        <w:ind w:left="0" w:right="0" w:hanging="0"/>
        <w:rPr/>
      </w:pPr>
      <w:r>
        <w:rPr/>
        <w:t>​</w:t>
      </w:r>
    </w:p>
    <w:tbl>
      <w:tblPr>
        <w:tblW w:w="9196" w:type="dxa"/>
        <w:jc w:val="left"/>
        <w:tblInd w:w="0" w:type="dxa"/>
        <w:tblCellMar>
          <w:top w:w="0" w:type="dxa"/>
          <w:left w:w="0" w:type="dxa"/>
          <w:bottom w:w="0" w:type="dxa"/>
          <w:right w:w="0" w:type="dxa"/>
        </w:tblCellMar>
      </w:tblPr>
      <w:tblGrid>
        <w:gridCol w:w="6466"/>
        <w:gridCol w:w="146"/>
        <w:gridCol w:w="159"/>
        <w:gridCol w:w="1056"/>
        <w:gridCol w:w="109"/>
        <w:gridCol w:w="115"/>
        <w:gridCol w:w="1145"/>
      </w:tblGrid>
      <w:tr>
        <w:trPr/>
        <w:tc>
          <w:tcPr>
            <w:tcW w:w="6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105910" cy="175260"/>
                      <wp:effectExtent l="0" t="0" r="0" b="0"/>
                      <wp:wrapNone/>
                      <wp:docPr id="190" name="Frame158"/>
                      <a:graphic xmlns:a="http://schemas.openxmlformats.org/drawingml/2006/main">
                        <a:graphicData uri="http://schemas.microsoft.com/office/word/2010/wordprocessingShape">
                          <wps:wsp>
                            <wps:cNvSpPr txBox="1"/>
                            <wps:spPr>
                              <a:xfrm>
                                <a:off x="0" y="0"/>
                                <a:ext cx="410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2710" cy="175260"/>
                      <wp:effectExtent l="0" t="0" r="0" b="0"/>
                      <wp:wrapNone/>
                      <wp:docPr id="191" name="Frame15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00965" cy="175260"/>
                      <wp:effectExtent l="0" t="0" r="0" b="0"/>
                      <wp:wrapNone/>
                      <wp:docPr id="192" name="Frame160"/>
                      <a:graphic xmlns:a="http://schemas.openxmlformats.org/drawingml/2006/main">
                        <a:graphicData uri="http://schemas.microsoft.com/office/word/2010/wordprocessingShape">
                          <wps:wsp>
                            <wps:cNvSpPr txBox="1"/>
                            <wps:spPr>
                              <a:xfrm>
                                <a:off x="0" y="0"/>
                                <a:ext cx="100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70560" cy="175260"/>
                      <wp:effectExtent l="0" t="0" r="0" b="0"/>
                      <wp:wrapNone/>
                      <wp:docPr id="193" name="Frame161"/>
                      <a:graphic xmlns:a="http://schemas.openxmlformats.org/drawingml/2006/main">
                        <a:graphicData uri="http://schemas.microsoft.com/office/word/2010/wordprocessingShape">
                          <wps:wsp>
                            <wps:cNvSpPr txBox="1"/>
                            <wps:spPr>
                              <a:xfrm>
                                <a:off x="0" y="0"/>
                                <a:ext cx="670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4"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3025" cy="175260"/>
                      <wp:effectExtent l="0" t="0" r="0" b="0"/>
                      <wp:wrapNone/>
                      <wp:docPr id="195" name="Frame163"/>
                      <a:graphic xmlns:a="http://schemas.openxmlformats.org/drawingml/2006/main">
                        <a:graphicData uri="http://schemas.microsoft.com/office/word/2010/wordprocessingShape">
                          <wps:wsp>
                            <wps:cNvSpPr txBox="1"/>
                            <wps:spPr>
                              <a:xfrm>
                                <a:off x="0" y="0"/>
                                <a:ext cx="73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27075" cy="175260"/>
                      <wp:effectExtent l="0" t="0" r="0" b="0"/>
                      <wp:wrapNone/>
                      <wp:docPr id="196" name="Frame164"/>
                      <a:graphic xmlns:a="http://schemas.openxmlformats.org/drawingml/2006/main">
                        <a:graphicData uri="http://schemas.microsoft.com/office/word/2010/wordprocessingShape">
                          <wps:wsp>
                            <wps:cNvSpPr txBox="1"/>
                            <wps:spPr>
                              <a:xfrm>
                                <a:off x="0" y="0"/>
                                <a:ext cx="727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466" w:type="dxa"/>
            <w:tcBorders>
              <w:top w:val="single" w:sz="2" w:space="0" w:color="000000"/>
            </w:tcBorders>
            <w:shd w:fill="auto" w:val="clear"/>
            <w:tcMar>
              <w:top w:w="28" w:type="dxa"/>
            </w:tcMar>
            <w:vAlign w:val="center"/>
          </w:tcPr>
          <w:p>
            <w:pPr>
              <w:pStyle w:val="TableContents"/>
              <w:spacing w:before="0" w:after="0"/>
              <w:ind w:left="0" w:right="0" w:hanging="0"/>
              <w:rPr>
                <w:color w:val="231F20"/>
              </w:rPr>
            </w:pPr>
            <w:r>
              <w:rPr>
                <w:color w:val="231F20"/>
              </w:rPr>
              <w:t>​</w:t>
            </w:r>
          </w:p>
        </w:tc>
        <w:tc>
          <w:tcPr>
            <w:tcW w:w="146" w:type="dxa"/>
            <w:tcBorders>
              <w:top w:val="single" w:sz="2" w:space="0" w:color="000000"/>
            </w:tcBorders>
            <w:shd w:fill="auto" w:val="clear"/>
            <w:tcMar>
              <w:top w:w="28" w:type="dxa"/>
            </w:tcMar>
            <w:vAlign w:val="center"/>
          </w:tcPr>
          <w:p>
            <w:pPr>
              <w:pStyle w:val="TableContents"/>
              <w:spacing w:before="0" w:after="0"/>
              <w:ind w:left="0" w:right="0" w:hanging="0"/>
              <w:jc w:val="center"/>
              <w:rPr>
                <w:color w:val="231F20"/>
              </w:rPr>
            </w:pPr>
            <w:r>
              <w:rPr>
                <w:color w:val="231F20"/>
              </w:rPr>
              <w:t>​</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c>
          <w:tcPr>
            <w:tcW w:w="1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color w:val="231F20"/>
              </w:rPr>
            </w:pPr>
            <w:r>
              <w:rPr>
                <w:color w:val="231F20"/>
              </w:rPr>
              <w:t>​</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466" w:type="dxa"/>
            <w:tcBorders/>
            <w:shd w:fill="auto" w:val="clear"/>
            <w:vAlign w:val="center"/>
          </w:tcPr>
          <w:p>
            <w:pPr>
              <w:pStyle w:val="TableContents"/>
              <w:spacing w:before="0" w:after="0"/>
              <w:ind w:left="0" w:right="0" w:hanging="0"/>
              <w:rPr>
                <w:color w:val="231F20"/>
              </w:rPr>
            </w:pPr>
            <w:r>
              <w:rPr>
                <w:color w:val="231F20"/>
              </w:rPr>
              <w:t>​</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2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6466" w:type="dxa"/>
            <w:tcBorders/>
            <w:shd w:fill="CCEEFF" w:val="cle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color w:val="231F20"/>
                <w:sz w:val="20"/>
              </w:rPr>
              <w:t xml:space="preserve">Options outstanding under the 2014 Stock Plan </w:t>
            </w:r>
            <w:r>
              <w:rPr>
                <w:rFonts w:ascii="Arial;Helvetica;sans-serif" w:hAnsi="Arial;Helvetica;sans-serif"/>
                <w:color w:val="231F20"/>
                <w:sz w:val="15"/>
              </w:rPr>
              <w:t>(1)(2)</w:t>
            </w:r>
          </w:p>
        </w:tc>
        <w:tc>
          <w:tcPr>
            <w:tcW w:w="146" w:type="dxa"/>
            <w:tcBorders/>
            <w:shd w:fill="CCEEFF" w:val="clear"/>
            <w:vAlign w:val="center"/>
          </w:tcPr>
          <w:p>
            <w:pPr>
              <w:pStyle w:val="TableContents"/>
              <w:spacing w:before="0" w:after="0"/>
              <w:ind w:left="0" w:right="0" w:hanging="0"/>
              <w:jc w:val="center"/>
              <w:rPr>
                <w:color w:val="231F20"/>
              </w:rPr>
            </w:pPr>
            <w:r>
              <w:rPr>
                <w:color w:val="231F20"/>
              </w:rPr>
              <w:t>​</w:t>
            </w:r>
          </w:p>
        </w:tc>
        <w:tc>
          <w:tcPr>
            <w:tcW w:w="159" w:type="dxa"/>
            <w:tcBorders/>
            <w:shd w:fill="CCEEFF" w:val="clear"/>
            <w:vAlign w:val="center"/>
          </w:tcPr>
          <w:p>
            <w:pPr>
              <w:pStyle w:val="TableContents"/>
              <w:spacing w:before="0" w:after="0"/>
              <w:ind w:left="0" w:right="0" w:hanging="0"/>
              <w:rPr>
                <w:color w:val="231F20"/>
              </w:rPr>
            </w:pPr>
            <w:r>
              <w:rPr>
                <w:color w:val="231F20"/>
              </w:rPr>
              <w:t>​</w:t>
            </w:r>
          </w:p>
        </w:tc>
        <w:tc>
          <w:tcPr>
            <w:tcW w:w="1056"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2,447,889</w:t>
            </w:r>
          </w:p>
        </w:tc>
        <w:tc>
          <w:tcPr>
            <w:tcW w:w="109" w:type="dxa"/>
            <w:tcBorders/>
            <w:shd w:fill="CCEEFF" w:val="clear"/>
            <w:vAlign w:val="center"/>
          </w:tcPr>
          <w:p>
            <w:pPr>
              <w:pStyle w:val="TableContents"/>
              <w:spacing w:before="0" w:after="0"/>
              <w:ind w:left="0" w:right="0" w:hanging="0"/>
              <w:jc w:val="center"/>
              <w:rPr>
                <w:color w:val="231F20"/>
              </w:rPr>
            </w:pPr>
            <w:r>
              <w:rPr>
                <w:color w:val="231F20"/>
              </w:rPr>
              <w:t>​</w:t>
            </w:r>
          </w:p>
        </w:tc>
        <w:tc>
          <w:tcPr>
            <w:tcW w:w="115" w:type="dxa"/>
            <w:tcBorders/>
            <w:shd w:fill="CCEEFF" w:val="clear"/>
            <w:vAlign w:val="center"/>
          </w:tcPr>
          <w:p>
            <w:pPr>
              <w:pStyle w:val="TableContents"/>
              <w:spacing w:before="0" w:after="0"/>
              <w:ind w:left="0" w:right="0" w:hanging="0"/>
              <w:rPr>
                <w:color w:val="231F20"/>
              </w:rPr>
            </w:pPr>
            <w:r>
              <w:rPr>
                <w:color w:val="231F20"/>
              </w:rPr>
              <w:t>​</w:t>
            </w:r>
          </w:p>
        </w:tc>
        <w:tc>
          <w:tcPr>
            <w:tcW w:w="1145"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2,632,017</w:t>
            </w:r>
          </w:p>
        </w:tc>
      </w:tr>
      <w:tr>
        <w:trPr/>
        <w:tc>
          <w:tcPr>
            <w:tcW w:w="646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Options outstanding under the 2020 Equity Incentive Plan</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59" w:type="dxa"/>
            <w:tcBorders/>
            <w:shd w:fill="auto" w:val="clear"/>
            <w:vAlign w:val="center"/>
          </w:tcPr>
          <w:p>
            <w:pPr>
              <w:pStyle w:val="TableContents"/>
              <w:spacing w:before="0" w:after="0"/>
              <w:ind w:left="0" w:right="0" w:hanging="0"/>
              <w:rPr>
                <w:color w:val="231F20"/>
              </w:rPr>
            </w:pPr>
            <w:r>
              <w:rPr>
                <w:color w:val="231F20"/>
              </w:rPr>
              <w:t>​</w:t>
            </w:r>
          </w:p>
        </w:tc>
        <w:tc>
          <w:tcPr>
            <w:tcW w:w="1056"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3,320,139</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115" w:type="dxa"/>
            <w:tcBorders/>
            <w:shd w:fill="auto" w:val="clear"/>
            <w:vAlign w:val="center"/>
          </w:tcPr>
          <w:p>
            <w:pPr>
              <w:pStyle w:val="TableContents"/>
              <w:spacing w:before="0" w:after="0"/>
              <w:ind w:left="0" w:right="0" w:hanging="0"/>
              <w:rPr>
                <w:color w:val="231F20"/>
              </w:rPr>
            </w:pPr>
            <w:r>
              <w:rPr>
                <w:color w:val="231F20"/>
              </w:rPr>
              <w:t>​</w:t>
            </w:r>
          </w:p>
        </w:tc>
        <w:tc>
          <w:tcPr>
            <w:tcW w:w="1145"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2,144,891</w:t>
            </w:r>
          </w:p>
        </w:tc>
      </w:tr>
      <w:tr>
        <w:trPr/>
        <w:tc>
          <w:tcPr>
            <w:tcW w:w="646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Shares available for future grant under the 2020 Equity Incentive Plan</w:t>
            </w:r>
          </w:p>
        </w:tc>
        <w:tc>
          <w:tcPr>
            <w:tcW w:w="146" w:type="dxa"/>
            <w:tcBorders/>
            <w:shd w:fill="CCEEFF" w:val="clear"/>
            <w:vAlign w:val="center"/>
          </w:tcPr>
          <w:p>
            <w:pPr>
              <w:pStyle w:val="TableContents"/>
              <w:spacing w:before="0" w:after="0"/>
              <w:ind w:left="0" w:right="0" w:hanging="0"/>
              <w:jc w:val="center"/>
              <w:rPr>
                <w:color w:val="231F20"/>
              </w:rPr>
            </w:pPr>
            <w:r>
              <w:rPr>
                <w:color w:val="231F20"/>
              </w:rPr>
              <w:t>​</w:t>
            </w:r>
          </w:p>
        </w:tc>
        <w:tc>
          <w:tcPr>
            <w:tcW w:w="159" w:type="dxa"/>
            <w:tcBorders/>
            <w:shd w:fill="CCEEFF" w:val="clear"/>
            <w:vAlign w:val="center"/>
          </w:tcPr>
          <w:p>
            <w:pPr>
              <w:pStyle w:val="TableContents"/>
              <w:spacing w:before="0" w:after="0"/>
              <w:ind w:left="0" w:right="0" w:hanging="0"/>
              <w:rPr>
                <w:color w:val="231F20"/>
              </w:rPr>
            </w:pPr>
            <w:r>
              <w:rPr>
                <w:color w:val="231F20"/>
              </w:rPr>
              <w:t>​</w:t>
            </w:r>
          </w:p>
        </w:tc>
        <w:tc>
          <w:tcPr>
            <w:tcW w:w="1056"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818,010</w:t>
            </w:r>
          </w:p>
        </w:tc>
        <w:tc>
          <w:tcPr>
            <w:tcW w:w="109" w:type="dxa"/>
            <w:tcBorders/>
            <w:shd w:fill="CCEEFF" w:val="clear"/>
            <w:vAlign w:val="center"/>
          </w:tcPr>
          <w:p>
            <w:pPr>
              <w:pStyle w:val="TableContents"/>
              <w:spacing w:before="0" w:after="0"/>
              <w:ind w:left="0" w:right="0" w:hanging="0"/>
              <w:jc w:val="center"/>
              <w:rPr>
                <w:color w:val="231F20"/>
              </w:rPr>
            </w:pPr>
            <w:r>
              <w:rPr>
                <w:color w:val="231F20"/>
              </w:rPr>
              <w:t>​</w:t>
            </w:r>
          </w:p>
        </w:tc>
        <w:tc>
          <w:tcPr>
            <w:tcW w:w="115" w:type="dxa"/>
            <w:tcBorders/>
            <w:shd w:fill="CCEEFF" w:val="clear"/>
            <w:vAlign w:val="center"/>
          </w:tcPr>
          <w:p>
            <w:pPr>
              <w:pStyle w:val="TableContents"/>
              <w:spacing w:before="0" w:after="0"/>
              <w:ind w:left="0" w:right="0" w:hanging="0"/>
              <w:rPr>
                <w:color w:val="231F20"/>
              </w:rPr>
            </w:pPr>
            <w:r>
              <w:rPr>
                <w:color w:val="231F20"/>
              </w:rPr>
              <w:t>​</w:t>
            </w:r>
          </w:p>
        </w:tc>
        <w:tc>
          <w:tcPr>
            <w:tcW w:w="1145"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7,189</w:t>
            </w:r>
          </w:p>
        </w:tc>
      </w:tr>
      <w:tr>
        <w:trPr/>
        <w:tc>
          <w:tcPr>
            <w:tcW w:w="646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Available for the 2020 Employee Stock Purchase Plan</w:t>
            </w:r>
          </w:p>
        </w:tc>
        <w:tc>
          <w:tcPr>
            <w:tcW w:w="146" w:type="dxa"/>
            <w:tcBorders/>
            <w:shd w:fill="auto" w:val="clear"/>
            <w:vAlign w:val="center"/>
          </w:tcPr>
          <w:p>
            <w:pPr>
              <w:pStyle w:val="TableContents"/>
              <w:spacing w:before="0" w:after="0"/>
              <w:ind w:left="0" w:right="0" w:hanging="0"/>
              <w:jc w:val="center"/>
              <w:rPr>
                <w:color w:val="231F20"/>
              </w:rPr>
            </w:pPr>
            <w:r>
              <w:rPr>
                <w:color w:val="231F20"/>
              </w:rPr>
              <w:t>​</w:t>
            </w:r>
          </w:p>
        </w:tc>
        <w:tc>
          <w:tcPr>
            <w:tcW w:w="159" w:type="dxa"/>
            <w:tcBorders/>
            <w:shd w:fill="auto" w:val="clear"/>
            <w:vAlign w:val="center"/>
          </w:tcPr>
          <w:p>
            <w:pPr>
              <w:pStyle w:val="TableContents"/>
              <w:spacing w:before="0" w:after="0"/>
              <w:ind w:left="0" w:right="0" w:hanging="0"/>
              <w:rPr>
                <w:color w:val="231F20"/>
              </w:rPr>
            </w:pPr>
            <w:r>
              <w:rPr>
                <w:color w:val="231F20"/>
              </w:rPr>
              <w:t>​</w:t>
            </w:r>
          </w:p>
        </w:tc>
        <w:tc>
          <w:tcPr>
            <w:tcW w:w="1056"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791,742</w:t>
            </w:r>
          </w:p>
        </w:tc>
        <w:tc>
          <w:tcPr>
            <w:tcW w:w="109" w:type="dxa"/>
            <w:tcBorders/>
            <w:shd w:fill="auto" w:val="clear"/>
            <w:vAlign w:val="center"/>
          </w:tcPr>
          <w:p>
            <w:pPr>
              <w:pStyle w:val="TableContents"/>
              <w:spacing w:before="0" w:after="0"/>
              <w:ind w:left="0" w:right="0" w:hanging="0"/>
              <w:jc w:val="center"/>
              <w:rPr>
                <w:color w:val="231F20"/>
              </w:rPr>
            </w:pPr>
            <w:r>
              <w:rPr>
                <w:color w:val="231F20"/>
              </w:rPr>
              <w:t>​</w:t>
            </w:r>
          </w:p>
        </w:tc>
        <w:tc>
          <w:tcPr>
            <w:tcW w:w="115" w:type="dxa"/>
            <w:tcBorders/>
            <w:shd w:fill="auto" w:val="clear"/>
            <w:vAlign w:val="center"/>
          </w:tcPr>
          <w:p>
            <w:pPr>
              <w:pStyle w:val="TableContents"/>
              <w:spacing w:before="0" w:after="0"/>
              <w:ind w:left="0" w:right="0" w:hanging="0"/>
              <w:rPr>
                <w:color w:val="231F20"/>
              </w:rPr>
            </w:pPr>
            <w:r>
              <w:rPr>
                <w:color w:val="231F20"/>
              </w:rPr>
              <w:t>​</w:t>
            </w:r>
          </w:p>
        </w:tc>
        <w:tc>
          <w:tcPr>
            <w:tcW w:w="1145"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430,416</w:t>
            </w:r>
          </w:p>
        </w:tc>
      </w:tr>
      <w:tr>
        <w:trPr/>
        <w:tc>
          <w:tcPr>
            <w:tcW w:w="646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Unvested restricted stock awards outstanding under the 2014 Stock Plan</w:t>
            </w:r>
          </w:p>
        </w:tc>
        <w:tc>
          <w:tcPr>
            <w:tcW w:w="146" w:type="dxa"/>
            <w:tcBorders/>
            <w:shd w:fill="CCEEFF" w:val="clear"/>
            <w:vAlign w:val="center"/>
          </w:tcPr>
          <w:p>
            <w:pPr>
              <w:pStyle w:val="TableContents"/>
              <w:spacing w:before="0" w:after="0"/>
              <w:ind w:left="0" w:right="0" w:hanging="0"/>
              <w:rPr/>
            </w:pPr>
            <w:r>
              <w:rPr/>
              <w:t> </w:t>
            </w:r>
          </w:p>
        </w:tc>
        <w:tc>
          <w:tcPr>
            <w:tcW w:w="159" w:type="dxa"/>
            <w:tcBorders>
              <w:bottom w:val="single" w:sz="2" w:space="0" w:color="231F20"/>
            </w:tcBorders>
            <w:shd w:fill="CCEEFF" w:val="clear"/>
            <w:tcMar>
              <w:bottom w:w="28" w:type="dxa"/>
            </w:tcMar>
            <w:vAlign w:val="center"/>
          </w:tcPr>
          <w:p>
            <w:pPr>
              <w:pStyle w:val="TableContents"/>
              <w:spacing w:before="0" w:after="0"/>
              <w:ind w:left="0" w:right="0" w:hanging="0"/>
              <w:jc w:val="right"/>
              <w:rPr/>
            </w:pPr>
            <w:r>
              <w:rPr/>
              <w:t> </w:t>
            </w:r>
          </w:p>
        </w:tc>
        <w:tc>
          <w:tcPr>
            <w:tcW w:w="1056" w:type="dxa"/>
            <w:tcBorders>
              <w:bottom w:val="single" w:sz="2" w:space="0" w:color="231F2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493,185</w:t>
            </w:r>
          </w:p>
        </w:tc>
        <w:tc>
          <w:tcPr>
            <w:tcW w:w="109" w:type="dxa"/>
            <w:tcBorders>
              <w:bottom w:val="single" w:sz="2" w:space="0" w:color="231F2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115" w:type="dxa"/>
            <w:tcBorders>
              <w:bottom w:val="single" w:sz="2" w:space="0" w:color="231F2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1145" w:type="dxa"/>
            <w:tcBorders>
              <w:bottom w:val="single" w:sz="2" w:space="0" w:color="231F2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735,294</w:t>
            </w:r>
          </w:p>
        </w:tc>
      </w:tr>
      <w:tr>
        <w:trPr/>
        <w:tc>
          <w:tcPr>
            <w:tcW w:w="646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159"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10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7,870,965</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115"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1145"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Arial;Helvetica;sans-serif" w:hAnsi="Arial;Helvetica;sans-serif"/>
                <w:color w:val="231F20"/>
                <w:sz w:val="20"/>
              </w:rPr>
            </w:pPr>
            <w:r>
              <w:rPr>
                <w:rFonts w:ascii="Arial;Helvetica;sans-serif" w:hAnsi="Arial;Helvetica;sans-serif"/>
                <w:color w:val="231F20"/>
                <w:sz w:val="20"/>
              </w:rPr>
              <w:t>5,949,807</w:t>
            </w:r>
          </w:p>
        </w:tc>
      </w:tr>
    </w:tbl>
    <w:tbl>
      <w:tblPr>
        <w:tblW w:w="10205" w:type="dxa"/>
        <w:jc w:val="left"/>
        <w:tblInd w:w="0" w:type="dxa"/>
        <w:tblCellMar>
          <w:top w:w="0" w:type="dxa"/>
          <w:left w:w="0" w:type="dxa"/>
          <w:bottom w:w="0" w:type="dxa"/>
          <w:right w:w="0" w:type="dxa"/>
        </w:tblCellMar>
      </w:tblPr>
      <w:tblGrid>
        <w:gridCol w:w="328"/>
        <w:gridCol w:w="9877"/>
      </w:tblGrid>
      <w:tr>
        <w:trPr/>
        <w:tc>
          <w:tcPr>
            <w:tcW w:w="32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w:t>
            </w:r>
          </w:p>
        </w:tc>
        <w:tc>
          <w:tcPr>
            <w:tcW w:w="9877"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16"/>
              </w:rPr>
              <w:t>Balance as of December 31, 2020 includes 126,206</w:t>
            </w:r>
            <w:r>
              <w:rPr>
                <w:caps w:val="false"/>
                <w:smallCaps w:val="false"/>
                <w:color w:val="231F20"/>
              </w:rPr>
              <w:t xml:space="preserve"> </w:t>
            </w:r>
            <w:r>
              <w:rPr>
                <w:rFonts w:ascii="Arial;Helvetica;sans-serif" w:hAnsi="Arial;Helvetica;sans-serif"/>
                <w:b w:val="false"/>
                <w:i w:val="false"/>
                <w:caps w:val="false"/>
                <w:smallCaps w:val="false"/>
                <w:color w:val="231F20"/>
                <w:sz w:val="16"/>
              </w:rPr>
              <w:t>unvested early exercised stock options (see Note 10, “Stock-Based Compensation”).</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w:t>
            </w:r>
          </w:p>
        </w:tc>
        <w:tc>
          <w:tcPr>
            <w:tcW w:w="9876"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16"/>
              </w:rPr>
              <w:t>Balance as of December 31, 2021 includes 46,598</w:t>
            </w:r>
            <w:r>
              <w:rPr>
                <w:caps w:val="false"/>
                <w:smallCaps w:val="false"/>
                <w:color w:val="231F20"/>
              </w:rPr>
              <w:t xml:space="preserve"> </w:t>
            </w:r>
            <w:r>
              <w:rPr>
                <w:rFonts w:ascii="Arial;Helvetica;sans-serif" w:hAnsi="Arial;Helvetica;sans-serif"/>
                <w:b w:val="false"/>
                <w:i w:val="false"/>
                <w:caps w:val="false"/>
                <w:smallCaps w:val="false"/>
                <w:color w:val="231F20"/>
                <w:sz w:val="16"/>
              </w:rPr>
              <w:t>unvested early exercised stock options (see Note 10, “Stock-Based Compensation”).</w:t>
            </w:r>
          </w:p>
        </w:tc>
      </w:tr>
    </w:tbl>
    <w:p>
      <w:pPr>
        <w:pStyle w:val="TextBody"/>
        <w:pBdr/>
        <w:spacing w:before="0" w:after="240"/>
        <w:ind w:left="0" w:right="0" w:hanging="360"/>
        <w:jc w:val="both"/>
        <w:rPr>
          <w:rFonts w:ascii="Arial;Helvetica;sans-serif" w:hAnsi="Arial;Helvetica;sans-serif"/>
          <w:b w:val="false"/>
          <w:sz w:val="20"/>
        </w:rPr>
      </w:pPr>
      <w:r>
        <w:rPr>
          <w:rFonts w:ascii="Arial;Helvetica;sans-serif" w:hAnsi="Arial;Helvetica;sans-serif"/>
          <w:b w:val="false"/>
          <w:sz w:val="20"/>
        </w:rPr>
        <w:t>10.    Stock-Based Compensation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2014, the Company’s Board of Directors and stockholders approved and adopted the 2014 Stock Plan (the “2014 Plan”). The 2014 Plan was intended to advance the interests of the Company and its stockholders by providing an incentive to attract, retain and reward persons performing services for the Company and by motivating such persons to contribute to the growth and profitability of the Company.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 shares, which was subsequently increased to 4,842,180 in September 2020.The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2020, the Company’s Board of Directors and stockholders approved and adopted the 2020 Plan. The 2020 Plan is intended to advance the interests of the Company and its stockholders by providing an incentive to attract, retain and reward persons performing services for the Company and by motivating such persons to contribute to the growth and profitability of the Company.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1034" w:name="Tc_Xt0ELrIdQUuzowpRSkZiOw_14_9"/>
      <w:bookmarkStart w:id="1035" w:name="Tc_vApnTCzAdk-ubwfq1SQd6w_14_4"/>
      <w:bookmarkStart w:id="1036" w:name="Tc_zcBPsOR7-EiizXzU3asPjA_14_0"/>
      <w:bookmarkStart w:id="1037" w:name="Tc_uQ81lG_oT0iUehQ-ELZUSg_13_9"/>
      <w:bookmarkStart w:id="1038" w:name="Tc_01cWkFdGLEO9bCWIxgPqfw_13_4"/>
      <w:bookmarkStart w:id="1039" w:name="Tc_Z3luFMH3wkKIVrJLxbjKOw_13_0"/>
      <w:bookmarkStart w:id="1040" w:name="Tc_cBl0fI8Z_0eFSddtbQR9zA_11_9"/>
      <w:bookmarkStart w:id="1041" w:name="Tc_knPMs2pD-UajYYXOkAP8dw_11_4"/>
      <w:bookmarkStart w:id="1042" w:name="Tc_CjQ1mvpCEUC7qoDh6uu6Gg_11_0"/>
      <w:bookmarkStart w:id="1043" w:name="Tc_qhB2C2xkHEO5_srIpXjtsA_10_10"/>
      <w:bookmarkStart w:id="1044" w:name="Tc_HXVdtt-wuESVrkg69Hx-2w_10_7"/>
      <w:bookmarkStart w:id="1045" w:name="Tc_W4AN-yJb406PvSGFZPQwTA_10_0"/>
      <w:bookmarkStart w:id="1046" w:name="Tc_QseYAALy-0yxn89FhHZeJg_9_10"/>
      <w:bookmarkStart w:id="1047" w:name="Tc_UbribL9irUqPYnKt1pimuA_9_7"/>
      <w:bookmarkStart w:id="1048" w:name="Tc_9UTzzDfUU0qwNagQEOwsvQ_9_0"/>
      <w:bookmarkStart w:id="1049" w:name="Tc_NnnPUHXlpkmD4dqbwk9MOA_8_10"/>
      <w:bookmarkStart w:id="1050" w:name="Tc_LuSraSHeMkWMpZMxCtIK1A_8_0"/>
      <w:bookmarkStart w:id="1051" w:name="Tc_DirfWCrNpkODieN5_LKAwA_7_9"/>
      <w:bookmarkStart w:id="1052" w:name="Tc_T-40lrQWJ02kldN77u4TsA_7_4"/>
      <w:bookmarkStart w:id="1053" w:name="Tc_JG9euDoRuEeOk18SQpqo6w_7_0"/>
      <w:bookmarkStart w:id="1054" w:name="Tc_uGLEJ0k1v0KxybvLBVcBVA_6_9"/>
      <w:bookmarkStart w:id="1055" w:name="Tc_NPnp_xkqJk2JSHU52G3YLw_6_7"/>
      <w:bookmarkStart w:id="1056" w:name="Tc_5l-J4CNSRkSp02jpsY_ZKw_5_9"/>
      <w:bookmarkStart w:id="1057" w:name="Tc_ft5vV-iXnUGsnkAT4C4sOA_5_7"/>
      <w:bookmarkStart w:id="1058" w:name="Tc_nHEBkpydRESkUGZRsNP01g_5_4"/>
      <w:bookmarkStart w:id="1059" w:name="Tc_OiMP4i-Pb02SFyhZKpmKPQ_5_2"/>
      <w:bookmarkStart w:id="1060" w:name="Tc_3N334Fold0a3xNrwSxu9TA_4_9"/>
      <w:bookmarkStart w:id="1061" w:name="Tc_X1toAFck1US5_4FQhhilOw_4_7"/>
      <w:bookmarkStart w:id="1062" w:name="Tc_IB6d3jImG0Onj7ENLJt7Fg_4_4"/>
      <w:bookmarkStart w:id="1063" w:name="Tc_n1bsZdBjs0-1D8WIZ_3_oA_4_2"/>
      <w:bookmarkStart w:id="1064" w:name="Tc_NZmFT7bNI0mHZdUWbzh1Yg_3_7"/>
      <w:bookmarkStart w:id="1065" w:name="Tc_HHRwfd3b-UyF3VrWAq71Fw_3_4"/>
      <w:bookmarkStart w:id="1066" w:name="Tc_pGlCvNFnk0OzCmICSc5LXg_2_7"/>
      <w:bookmarkStart w:id="1067" w:name="Tc_RXiUK4tdcEm770IW5CIAyw_2_4"/>
      <w:bookmarkStart w:id="1068" w:name="Tc_bMsBYa2V90mVZnZGsgxXdg_1_7"/>
      <w:bookmarkStart w:id="1069" w:name="_37f568b8_6a4a_415b_a744_c2ffd1b234d6"/>
      <w:bookmarkStart w:id="1070" w:name="Tc_6NqfQBQ67U67LXY32rsj4Q_6_6"/>
      <w:bookmarkStart w:id="1071" w:name="Tc_ZKlBT-i2EkWKwMGGxq4aBw_6_3"/>
      <w:bookmarkStart w:id="1072" w:name="Tc_XicvFMFnFU-vlDvwywBSRw_6_0"/>
      <w:bookmarkStart w:id="1073" w:name="Tc_SMLzijm5yEaOEXWXy_6OBg_5_0"/>
      <w:bookmarkStart w:id="1074" w:name="Tc_GwgBDo_8BkGXndHGlGf6Sw_4_6"/>
      <w:bookmarkStart w:id="1075" w:name="Tc_g3lOpoJNCUebs7QoCdibDw_4_0"/>
      <w:bookmarkStart w:id="1076" w:name="Tc_HJnO1AkvXkShEf77mJkbUw_3_0"/>
      <w:bookmarkStart w:id="1077" w:name="Tc_gvIFgaKJU0qEcRYqI4PHsA_2_5"/>
      <w:bookmarkStart w:id="1078" w:name="Tc_ig_Bx94-KkOcCys3iKKNRQ_2_2"/>
      <w:bookmarkStart w:id="1079" w:name="Tc_cSEI3IAskEyw2Mv9bEpPaQ_1_5"/>
      <w:bookmarkStart w:id="1080" w:name="Tc_noRo9ydPrkCg6dSEy-q5AQ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r>
        <w:rPr>
          <w:rFonts w:ascii="Arial;Helvetica;sans-serif" w:hAnsi="Arial;Helvetica;sans-serif"/>
          <w:sz w:val="20"/>
        </w:rPr>
        <w:t>The exercise price for each option and stock appreciation right is established in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Stock Option Valuation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assumptions that the Company used to determine the estimated grant-date fair value of stock options granted to employees and directors under the 2020 Plan were as follows, presented as a weighted average:</w:t>
      </w:r>
    </w:p>
    <w:p>
      <w:pPr>
        <w:pStyle w:val="TextBody"/>
        <w:spacing w:before="0" w:after="240"/>
        <w:ind w:left="0" w:right="0" w:hanging="0"/>
        <w:jc w:val="both"/>
        <w:rPr/>
      </w:pPr>
      <w:r>
        <w:rPr/>
        <w:t>​</w:t>
      </w:r>
    </w:p>
    <w:tbl>
      <w:tblPr>
        <w:tblW w:w="5393" w:type="dxa"/>
        <w:jc w:val="left"/>
        <w:tblInd w:w="0" w:type="dxa"/>
        <w:tblCellMar>
          <w:top w:w="0" w:type="dxa"/>
          <w:left w:w="0" w:type="dxa"/>
          <w:bottom w:w="0" w:type="dxa"/>
          <w:right w:w="0" w:type="dxa"/>
        </w:tblCellMar>
      </w:tblPr>
      <w:tblGrid>
        <w:gridCol w:w="2266"/>
        <w:gridCol w:w="326"/>
        <w:gridCol w:w="241"/>
        <w:gridCol w:w="974"/>
        <w:gridCol w:w="326"/>
        <w:gridCol w:w="185"/>
        <w:gridCol w:w="1075"/>
      </w:tblGrid>
      <w:tr>
        <w:trPr/>
        <w:tc>
          <w:tcPr>
            <w:tcW w:w="22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1" w:type="dxa"/>
            <w:tcBorders/>
            <w:shd w:fill="auto" w:val="clear"/>
            <w:vAlign w:val="center"/>
          </w:tcPr>
          <w:p>
            <w:pPr>
              <w:pStyle w:val="TableContents"/>
              <w:spacing w:before="0" w:after="1"/>
              <w:ind w:left="0" w:right="0" w:hanging="0"/>
              <w:rPr/>
            </w:pPr>
            <w:r>
              <w:rPr/>
              <w:t>​</w:t>
            </w:r>
          </w:p>
        </w:tc>
        <w:tc>
          <w:tcPr>
            <w:tcW w:w="9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5" w:type="dxa"/>
            <w:tcBorders/>
            <w:shd w:fill="auto" w:val="clear"/>
            <w:vAlign w:val="center"/>
          </w:tcPr>
          <w:p>
            <w:pPr>
              <w:pStyle w:val="TableContents"/>
              <w:spacing w:before="0" w:after="1"/>
              <w:ind w:left="0" w:right="0" w:hanging="0"/>
              <w:rPr/>
            </w:pPr>
            <w:r>
              <w:rPr/>
              <w:t>​</w:t>
            </w:r>
          </w:p>
        </w:tc>
        <w:tc>
          <w:tcPr>
            <w:tcW w:w="1075" w:type="dxa"/>
            <w:tcBorders/>
            <w:shd w:fill="auto" w:val="clear"/>
            <w:vAlign w:val="center"/>
          </w:tcPr>
          <w:p>
            <w:pPr>
              <w:pStyle w:val="TableContents"/>
              <w:spacing w:before="0" w:after="1"/>
              <w:ind w:left="0" w:right="0" w:hanging="0"/>
              <w:rPr/>
            </w:pPr>
            <w:r>
              <w:rPr/>
              <w:t>​</w:t>
            </w:r>
          </w:p>
        </w:tc>
      </w:tr>
      <w:tr>
        <w:trPr/>
        <w:tc>
          <w:tcPr>
            <w:tcW w:w="226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color w:val="231F20"/>
              </w:rPr>
            </w:pPr>
            <w:r>
              <w:rPr>
                <w:color w:val="231F20"/>
              </w:rPr>
              <w:t>​</w:t>
            </w:r>
          </w:p>
        </w:tc>
        <w:tc>
          <w:tcPr>
            <w:tcW w:w="1215"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rPr>
                <w:color w:val="231F20"/>
              </w:rPr>
            </w:pPr>
            <w:r>
              <w:rPr>
                <w:color w:val="231F20"/>
              </w:rPr>
              <w:t>​</w:t>
            </w:r>
          </w:p>
        </w:tc>
        <w:tc>
          <w:tcPr>
            <w:tcW w:w="126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2266"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21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2266"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Risk-free interest rate</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241" w:type="dxa"/>
            <w:tcBorders/>
            <w:shd w:fill="CCEEFF" w:val="clear"/>
            <w:vAlign w:val="center"/>
          </w:tcPr>
          <w:p>
            <w:pPr>
              <w:pStyle w:val="TableContents"/>
              <w:spacing w:before="0" w:after="1"/>
              <w:ind w:left="0" w:right="0" w:hanging="0"/>
              <w:rPr>
                <w:color w:val="231F20"/>
              </w:rPr>
            </w:pPr>
            <w:r>
              <w:rPr>
                <w:color w:val="231F20"/>
              </w:rPr>
              <w:t>​</w:t>
            </w:r>
          </w:p>
        </w:tc>
        <w:tc>
          <w:tcPr>
            <w:tcW w:w="97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0.95%</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185" w:type="dxa"/>
            <w:tcBorders/>
            <w:shd w:fill="CCEEFF" w:val="clear"/>
            <w:vAlign w:val="center"/>
          </w:tcPr>
          <w:p>
            <w:pPr>
              <w:pStyle w:val="TableContents"/>
              <w:spacing w:before="0" w:after="1"/>
              <w:ind w:left="0" w:right="0" w:hanging="0"/>
              <w:rPr>
                <w:color w:val="231F20"/>
              </w:rPr>
            </w:pPr>
            <w:r>
              <w:rPr>
                <w:color w:val="231F20"/>
              </w:rPr>
              <w:t>​</w:t>
            </w:r>
          </w:p>
        </w:tc>
        <w:tc>
          <w:tcPr>
            <w:tcW w:w="1075"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0.51%</w:t>
            </w:r>
          </w:p>
        </w:tc>
      </w:tr>
      <w:tr>
        <w:trPr/>
        <w:tc>
          <w:tcPr>
            <w:tcW w:w="2266"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Expected term (in years)</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241" w:type="dxa"/>
            <w:tcBorders/>
            <w:shd w:fill="auto" w:val="clear"/>
            <w:vAlign w:val="center"/>
          </w:tcPr>
          <w:p>
            <w:pPr>
              <w:pStyle w:val="TableContents"/>
              <w:spacing w:before="0" w:after="1"/>
              <w:ind w:left="0" w:right="0" w:hanging="0"/>
              <w:rPr>
                <w:color w:val="231F20"/>
              </w:rPr>
            </w:pPr>
            <w:r>
              <w:rPr>
                <w:color w:val="231F20"/>
              </w:rPr>
              <w:t>​</w:t>
            </w:r>
          </w:p>
        </w:tc>
        <w:tc>
          <w:tcPr>
            <w:tcW w:w="974"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5.97</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185" w:type="dxa"/>
            <w:tcBorders/>
            <w:shd w:fill="auto" w:val="clear"/>
            <w:vAlign w:val="center"/>
          </w:tcPr>
          <w:p>
            <w:pPr>
              <w:pStyle w:val="TableContents"/>
              <w:spacing w:before="0" w:after="1"/>
              <w:ind w:left="0" w:right="0" w:hanging="0"/>
              <w:rPr>
                <w:color w:val="231F20"/>
              </w:rPr>
            </w:pPr>
            <w:r>
              <w:rPr>
                <w:color w:val="231F20"/>
              </w:rPr>
              <w:t>​</w:t>
            </w:r>
          </w:p>
        </w:tc>
        <w:tc>
          <w:tcPr>
            <w:tcW w:w="1075"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6.00</w:t>
            </w:r>
          </w:p>
        </w:tc>
      </w:tr>
      <w:tr>
        <w:trPr/>
        <w:tc>
          <w:tcPr>
            <w:tcW w:w="2266"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Expected volatility</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241" w:type="dxa"/>
            <w:tcBorders/>
            <w:shd w:fill="CCEEFF" w:val="clear"/>
            <w:vAlign w:val="center"/>
          </w:tcPr>
          <w:p>
            <w:pPr>
              <w:pStyle w:val="TableContents"/>
              <w:spacing w:before="0" w:after="1"/>
              <w:ind w:left="0" w:right="0" w:hanging="0"/>
              <w:rPr>
                <w:color w:val="231F20"/>
              </w:rPr>
            </w:pPr>
            <w:r>
              <w:rPr>
                <w:color w:val="231F20"/>
              </w:rPr>
              <w:t>​</w:t>
            </w:r>
          </w:p>
        </w:tc>
        <w:tc>
          <w:tcPr>
            <w:tcW w:w="974"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77.55%</w:t>
            </w:r>
          </w:p>
        </w:tc>
        <w:tc>
          <w:tcPr>
            <w:tcW w:w="326" w:type="dxa"/>
            <w:tcBorders/>
            <w:shd w:fill="CCEEFF" w:val="clear"/>
            <w:vAlign w:val="center"/>
          </w:tcPr>
          <w:p>
            <w:pPr>
              <w:pStyle w:val="TableContents"/>
              <w:spacing w:before="0" w:after="1"/>
              <w:ind w:left="0" w:right="0" w:hanging="0"/>
              <w:jc w:val="center"/>
              <w:rPr>
                <w:color w:val="231F20"/>
              </w:rPr>
            </w:pPr>
            <w:r>
              <w:rPr>
                <w:color w:val="231F20"/>
              </w:rPr>
              <w:t>​</w:t>
            </w:r>
          </w:p>
        </w:tc>
        <w:tc>
          <w:tcPr>
            <w:tcW w:w="185" w:type="dxa"/>
            <w:tcBorders/>
            <w:shd w:fill="CCEEFF" w:val="clear"/>
            <w:vAlign w:val="center"/>
          </w:tcPr>
          <w:p>
            <w:pPr>
              <w:pStyle w:val="TableContents"/>
              <w:spacing w:before="0" w:after="1"/>
              <w:ind w:left="0" w:right="0" w:hanging="0"/>
              <w:rPr>
                <w:color w:val="231F20"/>
              </w:rPr>
            </w:pPr>
            <w:r>
              <w:rPr>
                <w:color w:val="231F20"/>
              </w:rPr>
              <w:t>​</w:t>
            </w:r>
          </w:p>
        </w:tc>
        <w:tc>
          <w:tcPr>
            <w:tcW w:w="1075"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76.69%</w:t>
            </w:r>
          </w:p>
        </w:tc>
      </w:tr>
      <w:tr>
        <w:trPr/>
        <w:tc>
          <w:tcPr>
            <w:tcW w:w="226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Expected dividend yield</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24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 </w:t>
            </w:r>
          </w:p>
        </w:tc>
        <w:tc>
          <w:tcPr>
            <w:tcW w:w="974" w:type="dxa"/>
            <w:tcBorders>
              <w:bottom w:val="double" w:sz="6"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185" w:type="dxa"/>
            <w:tcBorders>
              <w:bottom w:val="double" w:sz="6" w:space="0" w:color="00000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1075" w:type="dxa"/>
            <w:tcBorders>
              <w:bottom w:val="double" w:sz="6" w:space="0" w:color="000000"/>
            </w:tcBorders>
            <w:shd w:fill="auto" w:val="clear"/>
            <w:tcMar>
              <w:bottom w:w="28" w:type="dxa"/>
            </w:tcMar>
            <w:vAlign w:val="center"/>
          </w:tcPr>
          <w:p>
            <w:pPr>
              <w:pStyle w:val="TableContents"/>
              <w:spacing w:before="0" w:after="1"/>
              <w:ind w:left="0" w:right="70" w:hanging="0"/>
              <w:jc w:val="right"/>
              <w:rPr>
                <w:color w:val="231F20"/>
              </w:rPr>
            </w:pPr>
            <w:r>
              <w:rPr>
                <w:color w:val="231F20"/>
              </w:rPr>
              <w:t>—</w:t>
            </w:r>
          </w:p>
        </w:tc>
      </w:tr>
    </w:tbl>
    <w:p>
      <w:pPr>
        <w:pStyle w:val="TextBody"/>
        <w:spacing w:before="0" w:after="0"/>
        <w:ind w:left="0" w:right="0" w:hanging="0"/>
        <w:rPr/>
      </w:pPr>
      <w:r>
        <w:rPr/>
        <w:t>​</w:t>
      </w:r>
    </w:p>
    <w:p>
      <w:pPr>
        <w:pStyle w:val="TextBody"/>
        <w:spacing w:before="240" w:after="240"/>
        <w:ind w:left="0" w:right="0" w:hanging="0"/>
        <w:jc w:val="both"/>
        <w:rPr>
          <w:rFonts w:ascii="Arial;Helvetica;sans-serif" w:hAnsi="Arial;Helvetica;sans-serif"/>
          <w:i/>
          <w:sz w:val="20"/>
        </w:rPr>
      </w:pPr>
      <w:r>
        <w:rPr>
          <w:rFonts w:ascii="Arial;Helvetica;sans-serif" w:hAnsi="Arial;Helvetica;sans-serif"/>
          <w:i/>
          <w:sz w:val="20"/>
        </w:rPr>
        <w:t>Stock Option Activity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The following table summarizes the stock option activity under the 2014 Plan and the 2020 Plan: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709"/>
        <w:gridCol w:w="326"/>
        <w:gridCol w:w="961"/>
        <w:gridCol w:w="326"/>
        <w:gridCol w:w="226"/>
        <w:gridCol w:w="630"/>
        <w:gridCol w:w="326"/>
        <w:gridCol w:w="1036"/>
        <w:gridCol w:w="326"/>
        <w:gridCol w:w="267"/>
        <w:gridCol w:w="1072"/>
      </w:tblGrid>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rPr/>
            </w:pPr>
            <w:r>
              <w:rPr/>
              <w:t>​</w:t>
            </w:r>
          </w:p>
        </w:tc>
      </w:tr>
      <w:tr>
        <w:trPr/>
        <w:tc>
          <w:tcPr>
            <w:tcW w:w="47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6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2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630"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103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267"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1072"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267" w:type="dxa"/>
            <w:tcBorders/>
            <w:shd w:fill="auto" w:val="clear"/>
            <w:vAlign w:val="center"/>
          </w:tcPr>
          <w:p>
            <w:pPr>
              <w:pStyle w:val="TableContents"/>
              <w:spacing w:before="0" w:after="0"/>
              <w:ind w:left="0" w:right="0" w:hanging="0"/>
              <w:jc w:val="center"/>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shd w:fill="auto" w:val="clear"/>
            <w:vAlign w:val="center"/>
          </w:tcPr>
          <w:p>
            <w:pPr>
              <w:pStyle w:val="TableContents"/>
              <w:spacing w:before="0" w:after="0"/>
              <w:ind w:left="0" w:right="0" w:hanging="0"/>
              <w:jc w:val="center"/>
              <w:rPr/>
            </w:pPr>
            <w:r>
              <w:rPr/>
              <w:t>​</w:t>
            </w:r>
          </w:p>
        </w:tc>
        <w:tc>
          <w:tcPr>
            <w:tcW w:w="267" w:type="dxa"/>
            <w:tcBorders/>
            <w:shd w:fill="auto" w:val="clear"/>
            <w:vAlign w:val="center"/>
          </w:tcPr>
          <w:p>
            <w:pPr>
              <w:pStyle w:val="TableContents"/>
              <w:spacing w:before="0" w:after="0"/>
              <w:ind w:left="0" w:right="0" w:hanging="0"/>
              <w:jc w:val="center"/>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shd w:fill="auto" w:val="clear"/>
            <w:vAlign w:val="center"/>
          </w:tcPr>
          <w:p>
            <w:pPr>
              <w:pStyle w:val="TableContents"/>
              <w:spacing w:before="0" w:after="0"/>
              <w:ind w:left="0" w:right="0" w:hanging="0"/>
              <w:jc w:val="center"/>
              <w:rPr/>
            </w:pPr>
            <w:r>
              <w:rPr/>
              <w:t>​</w:t>
            </w:r>
          </w:p>
        </w:tc>
        <w:tc>
          <w:tcPr>
            <w:tcW w:w="1339"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Term</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3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Intrinsic Value</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gridSpan w:val="2"/>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(in years)</w:t>
            </w:r>
          </w:p>
        </w:tc>
        <w:tc>
          <w:tcPr>
            <w:tcW w:w="326" w:type="dxa"/>
            <w:tcBorders/>
            <w:shd w:fill="auto" w:val="clear"/>
            <w:vAlign w:val="center"/>
          </w:tcPr>
          <w:p>
            <w:pPr>
              <w:pStyle w:val="TableContents"/>
              <w:spacing w:before="0" w:after="0"/>
              <w:ind w:left="0" w:right="0" w:hanging="0"/>
              <w:jc w:val="right"/>
              <w:rPr/>
            </w:pPr>
            <w:r>
              <w:rPr/>
              <w:t>​</w:t>
            </w:r>
          </w:p>
        </w:tc>
        <w:tc>
          <w:tcPr>
            <w:tcW w:w="1339"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47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Outstanding as of December 31, 2020</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4,776,908</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2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10.83</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10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9.67</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26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177,962</w:t>
            </w:r>
          </w:p>
        </w:tc>
      </w:tr>
      <w:tr>
        <w:trPr/>
        <w:tc>
          <w:tcPr>
            <w:tcW w:w="47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Granted</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1,299,433</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jc w:val="right"/>
              <w:rPr/>
            </w:pPr>
            <w:r>
              <w:rPr/>
              <w:t>​</w:t>
            </w:r>
          </w:p>
        </w:tc>
        <w:tc>
          <w:tcPr>
            <w:tcW w:w="63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33.82</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9.11</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jc w:val="right"/>
              <w:rPr/>
            </w:pPr>
            <w:r>
              <w:rPr/>
              <w:t>​</w:t>
            </w:r>
          </w:p>
        </w:tc>
        <w:tc>
          <w:tcPr>
            <w:tcW w:w="1072" w:type="dxa"/>
            <w:tcBorders/>
            <w:shd w:fill="auto" w:val="clear"/>
            <w:vAlign w:val="center"/>
          </w:tcPr>
          <w:p>
            <w:pPr>
              <w:pStyle w:val="TableContents"/>
              <w:spacing w:before="0" w:after="0"/>
              <w:ind w:left="0" w:right="0" w:hanging="0"/>
              <w:jc w:val="right"/>
              <w:rPr/>
            </w:pPr>
            <w:r>
              <w:rPr/>
              <w:t>—</w:t>
            </w:r>
          </w:p>
        </w:tc>
      </w:tr>
      <w:tr>
        <w:trPr/>
        <w:tc>
          <w:tcPr>
            <w:tcW w:w="47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Exercised(1)</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(206,545)</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jc w:val="right"/>
              <w:rPr/>
            </w:pPr>
            <w:r>
              <w:rPr/>
              <w:t>​</w:t>
            </w:r>
          </w:p>
        </w:tc>
        <w:tc>
          <w:tcPr>
            <w:tcW w:w="63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5.04</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jc w:val="right"/>
              <w:rPr/>
            </w:pPr>
            <w:r>
              <w:rPr/>
              <w:t>​</w:t>
            </w:r>
          </w:p>
        </w:tc>
        <w:tc>
          <w:tcPr>
            <w:tcW w:w="1072" w:type="dxa"/>
            <w:tcBorders/>
            <w:shd w:fill="CCEEFF" w:val="clear"/>
            <w:vAlign w:val="center"/>
          </w:tcPr>
          <w:p>
            <w:pPr>
              <w:pStyle w:val="TableContents"/>
              <w:spacing w:before="0" w:after="0"/>
              <w:ind w:left="0" w:right="0" w:hanging="0"/>
              <w:jc w:val="right"/>
              <w:rPr/>
            </w:pPr>
            <w:r>
              <w:rPr/>
              <w:t>—</w:t>
            </w:r>
          </w:p>
        </w:tc>
      </w:tr>
      <w:tr>
        <w:trPr/>
        <w:tc>
          <w:tcPr>
            <w:tcW w:w="47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Forfeited</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(101,768)</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6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23.22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6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7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7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Outstanding as of December 31, 2021(2)</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5,768,028</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15.99</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8.82</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11,365</w:t>
            </w:r>
          </w:p>
        </w:tc>
      </w:tr>
      <w:tr>
        <w:trPr/>
        <w:tc>
          <w:tcPr>
            <w:tcW w:w="47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jc w:val="right"/>
              <w:rPr/>
            </w:pPr>
            <w:r>
              <w:rPr/>
              <w:t>​</w:t>
            </w:r>
          </w:p>
        </w:tc>
        <w:tc>
          <w:tcPr>
            <w:tcW w:w="6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jc w:val="right"/>
              <w:rPr/>
            </w:pPr>
            <w:r>
              <w:rPr/>
              <w:t>​</w:t>
            </w:r>
          </w:p>
        </w:tc>
        <w:tc>
          <w:tcPr>
            <w:tcW w:w="1072" w:type="dxa"/>
            <w:tcBorders/>
            <w:shd w:fill="auto" w:val="clear"/>
            <w:vAlign w:val="center"/>
          </w:tcPr>
          <w:p>
            <w:pPr>
              <w:pStyle w:val="TableContents"/>
              <w:spacing w:before="0" w:after="0"/>
              <w:ind w:left="0" w:right="0" w:hanging="0"/>
              <w:jc w:val="right"/>
              <w:rPr/>
            </w:pPr>
            <w:r>
              <w:rPr/>
              <w:t>​</w:t>
            </w:r>
          </w:p>
        </w:tc>
      </w:tr>
      <w:tr>
        <w:trPr/>
        <w:tc>
          <w:tcPr>
            <w:tcW w:w="47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Options vested and exercisable as of December 31, 2021</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1,715,441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11.33</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8.54</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2"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5,257</w:t>
            </w:r>
          </w:p>
        </w:tc>
      </w:tr>
      <w:tr>
        <w:trPr/>
        <w:tc>
          <w:tcPr>
            <w:tcW w:w="4709"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Options expected to vest as of December 31, 2021</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4,052,587</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17.97</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8.95</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2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2"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7,078</w:t>
            </w:r>
          </w:p>
        </w:tc>
      </w:tr>
    </w:tbl>
    <w:tbl>
      <w:tblPr>
        <w:tblW w:w="4982" w:type="dxa"/>
        <w:jc w:val="left"/>
        <w:tblInd w:w="0" w:type="dxa"/>
        <w:tblCellMar>
          <w:top w:w="0" w:type="dxa"/>
          <w:left w:w="0" w:type="dxa"/>
          <w:bottom w:w="0" w:type="dxa"/>
          <w:right w:w="0" w:type="dxa"/>
        </w:tblCellMar>
      </w:tblPr>
      <w:tblGrid>
        <w:gridCol w:w="331"/>
        <w:gridCol w:w="4651"/>
      </w:tblGrid>
      <w:tr>
        <w:trPr/>
        <w:tc>
          <w:tcPr>
            <w:tcW w:w="331"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w:t>
            </w:r>
          </w:p>
        </w:tc>
        <w:tc>
          <w:tcPr>
            <w:tcW w:w="4651"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Exercised amount includes vesting of early exercised options.</w:t>
            </w:r>
          </w:p>
        </w:tc>
      </w:tr>
    </w:tbl>
    <w:tbl>
      <w:tblPr>
        <w:tblW w:w="7112" w:type="dxa"/>
        <w:jc w:val="left"/>
        <w:tblInd w:w="0" w:type="dxa"/>
        <w:tblCellMar>
          <w:top w:w="0" w:type="dxa"/>
          <w:left w:w="0" w:type="dxa"/>
          <w:bottom w:w="0" w:type="dxa"/>
          <w:right w:w="0" w:type="dxa"/>
        </w:tblCellMar>
      </w:tblPr>
      <w:tblGrid>
        <w:gridCol w:w="331"/>
        <w:gridCol w:w="6781"/>
      </w:tblGrid>
      <w:tr>
        <w:trPr/>
        <w:tc>
          <w:tcPr>
            <w:tcW w:w="331"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w:t>
            </w:r>
          </w:p>
        </w:tc>
        <w:tc>
          <w:tcPr>
            <w:tcW w:w="6781"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color w:val="231F20"/>
                <w:sz w:val="16"/>
              </w:rPr>
              <w:t>Balance as of December 31, 2021 includes 46,598</w:t>
            </w:r>
            <w:r>
              <w:rPr>
                <w:caps w:val="false"/>
                <w:smallCaps w:val="false"/>
                <w:color w:val="231F20"/>
              </w:rPr>
              <w:t xml:space="preserve"> </w:t>
            </w:r>
            <w:r>
              <w:rPr>
                <w:rFonts w:ascii="Arial;Helvetica;sans-serif" w:hAnsi="Arial;Helvetica;sans-serif"/>
                <w:b w:val="false"/>
                <w:i w:val="false"/>
                <w:caps w:val="false"/>
                <w:smallCaps w:val="false"/>
                <w:color w:val="231F20"/>
                <w:sz w:val="16"/>
              </w:rPr>
              <w:t>unvested early exercised stock options.</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bookmarkStart w:id="1081" w:name="Tc_3YM15L3RKkSs-A9cf6XTAQ_6_5"/>
      <w:bookmarkStart w:id="1082" w:name="Tc_rA1ZZxb6b02pm_55xAbBbA_6_0"/>
      <w:bookmarkStart w:id="1083" w:name="Tc_602S0ircNEuZP6XazL4Z_Q_5_6"/>
      <w:bookmarkStart w:id="1084" w:name="Tc_XzkwPnyHgEOQWy-kaajM1Q_5_3"/>
      <w:bookmarkStart w:id="1085" w:name="Tc_f-i4yoOA30-DhOIf3jiQBQ_5_0"/>
      <w:bookmarkStart w:id="1086" w:name="Tc_fIjZoUVci0-MNhXUl8o-dg_4_0"/>
      <w:bookmarkStart w:id="1087" w:name="Tc_0IZ7Pneh_EWA8CQ5_beswQ_3_6"/>
      <w:bookmarkStart w:id="1088" w:name="Tc_qfxBXxhbEkibA5Q9A8Tnmg_3_3"/>
      <w:bookmarkStart w:id="1089" w:name="Tc_HSbXwYoSUkiyI4dx3-XRSQ_3_0"/>
      <w:bookmarkStart w:id="1090" w:name="Tc_fsJe_gSmq0mlcL0GZ3j14Q_2_5"/>
      <w:bookmarkStart w:id="1091" w:name="Tc_WTTlGSHzqkOJIBheEf9nhw_2_0"/>
      <w:bookmarkStart w:id="1092" w:name="Tc_tN-MtgYqdUSgEZYWPuCyHA_1_5"/>
      <w:bookmarkStart w:id="1093" w:name="Tc_McWrbfWiWEC5cxJDdNWAhg_1_3"/>
      <w:bookmarkEnd w:id="1081"/>
      <w:bookmarkEnd w:id="1082"/>
      <w:bookmarkEnd w:id="1083"/>
      <w:bookmarkEnd w:id="1084"/>
      <w:bookmarkEnd w:id="1085"/>
      <w:bookmarkEnd w:id="1086"/>
      <w:bookmarkEnd w:id="1087"/>
      <w:bookmarkEnd w:id="1088"/>
      <w:bookmarkEnd w:id="1089"/>
      <w:bookmarkEnd w:id="1090"/>
      <w:bookmarkEnd w:id="1091"/>
      <w:bookmarkEnd w:id="1092"/>
      <w:bookmarkEnd w:id="1093"/>
      <w:r>
        <w:rPr>
          <w:rFonts w:ascii="Arial;Helvetica;sans-serif" w:hAnsi="Arial;Helvetica;sans-serif"/>
          <w:sz w:val="20"/>
        </w:rPr>
        <w:t xml:space="preserve">The weighted-average grant-date fair value per share of options granted during the year ended December 31, 2021, 2020, and 2019 was $21.87, $7.26, and $0, respectively. For the years ended December 31, 2021, 2020, and 2019, there were 1,286,729, 426,739 and 2,941 shares vested, respectively. The weighted-average grant date fair value per share of options vested during the year ended December 31, 2021 was $7.48. The total fair value of options vested during the year ended December 31, 2021, 2020, and 2019 was $10.9 million, $1.7 million, and $1,000, respectively. The aggregate intrinsic value of options exercised was $0.73 million, $0.1 million, and $0 for the years ended December 31, 2021, 2020, and 2019, respectively.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December 31, 2021, the total unrecognized compensation expense related to unvested options was $43.8 million, which the Company expects to recognize over an estimated weighted average period of 2.8 years.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Early Exercise of Stock Options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September 2020, one employee and one non-employee paid $0.6 million to early exercise 135,525 options with exercise prices ranging from $4.406 per share to $4.824 per share. As of December 31, 2021, 88,927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$0.2 million in other current liabilities as of December 31, 2021.</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Restricted Stock Awards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year ended December 31, 2021:</w:t>
      </w:r>
    </w:p>
    <w:p>
      <w:pPr>
        <w:pStyle w:val="TextBody"/>
        <w:spacing w:before="0" w:after="240"/>
        <w:ind w:left="0" w:right="0" w:hanging="0"/>
        <w:jc w:val="both"/>
        <w:rPr/>
      </w:pPr>
      <w:r>
        <w:rPr/>
        <w:t>​</w:t>
      </w:r>
    </w:p>
    <w:tbl>
      <w:tblPr>
        <w:tblW w:w="8728" w:type="dxa"/>
        <w:jc w:val="left"/>
        <w:tblInd w:w="0" w:type="dxa"/>
        <w:tblCellMar>
          <w:top w:w="0" w:type="dxa"/>
          <w:left w:w="0" w:type="dxa"/>
          <w:bottom w:w="0" w:type="dxa"/>
          <w:right w:w="0" w:type="dxa"/>
        </w:tblCellMar>
      </w:tblPr>
      <w:tblGrid>
        <w:gridCol w:w="4606"/>
        <w:gridCol w:w="326"/>
        <w:gridCol w:w="109"/>
        <w:gridCol w:w="1531"/>
        <w:gridCol w:w="326"/>
        <w:gridCol w:w="478"/>
        <w:gridCol w:w="1352"/>
      </w:tblGrid>
      <w:tr>
        <w:trPr/>
        <w:tc>
          <w:tcPr>
            <w:tcW w:w="4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924810" cy="175260"/>
                      <wp:effectExtent l="0" t="0" r="0" b="0"/>
                      <wp:wrapNone/>
                      <wp:docPr id="197" name="Frame165"/>
                      <a:graphic xmlns:a="http://schemas.openxmlformats.org/drawingml/2006/main">
                        <a:graphicData uri="http://schemas.microsoft.com/office/word/2010/wordprocessingShape">
                          <wps:wsp>
                            <wps:cNvSpPr txBox="1"/>
                            <wps:spPr>
                              <a:xfrm>
                                <a:off x="0" y="0"/>
                                <a:ext cx="2924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8"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99" name="Frame1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72185" cy="175260"/>
                      <wp:effectExtent l="0" t="0" r="0" b="0"/>
                      <wp:wrapNone/>
                      <wp:docPr id="200" name="Frame168"/>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1"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03530" cy="175260"/>
                      <wp:effectExtent l="0" t="0" r="0" b="0"/>
                      <wp:wrapNone/>
                      <wp:docPr id="202" name="Frame170"/>
                      <a:graphic xmlns:a="http://schemas.openxmlformats.org/drawingml/2006/main">
                        <a:graphicData uri="http://schemas.microsoft.com/office/word/2010/wordprocessingShape">
                          <wps:wsp>
                            <wps:cNvSpPr txBox="1"/>
                            <wps:spPr>
                              <a:xfrm>
                                <a:off x="0" y="0"/>
                                <a:ext cx="303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58520" cy="175260"/>
                      <wp:effectExtent l="0" t="0" r="0" b="0"/>
                      <wp:wrapNone/>
                      <wp:docPr id="203" name="Frame171"/>
                      <a:graphic xmlns:a="http://schemas.openxmlformats.org/drawingml/2006/main">
                        <a:graphicData uri="http://schemas.microsoft.com/office/word/2010/wordprocessingShape">
                          <wps:wsp>
                            <wps:cNvSpPr txBox="1"/>
                            <wps:spPr>
                              <a:xfrm>
                                <a:off x="0" y="0"/>
                                <a:ext cx="858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06" w:type="dxa"/>
            <w:tcBorders>
              <w:top w:val="single" w:sz="2" w:space="0" w:color="000000"/>
            </w:tcBorders>
            <w:shd w:fill="auto" w:val="clear"/>
            <w:tcMar>
              <w:top w:w="28" w:type="dxa"/>
            </w:tcMar>
            <w:vAlign w:val="center"/>
          </w:tcPr>
          <w:p>
            <w:pPr>
              <w:pStyle w:val="TableContents"/>
              <w:spacing w:before="0" w:after="0"/>
              <w:ind w:left="0" w:right="0" w:hanging="0"/>
              <w:rPr>
                <w:color w:val="231F20"/>
              </w:rPr>
            </w:pPr>
            <w:r>
              <w:rPr>
                <w:color w:val="231F20"/>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color w:val="231F20"/>
              </w:rPr>
            </w:pPr>
            <w:r>
              <w:rPr>
                <w:color w:val="231F20"/>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jc w:val="center"/>
              <w:rPr>
                <w:color w:val="231F20"/>
              </w:rPr>
            </w:pPr>
            <w:r>
              <w:rPr>
                <w:color w:val="231F20"/>
              </w:rPr>
              <w:t>​</w:t>
            </w:r>
          </w:p>
        </w:tc>
        <w:tc>
          <w:tcPr>
            <w:tcW w:w="15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Number of Shares</w:t>
            </w:r>
          </w:p>
        </w:tc>
        <w:tc>
          <w:tcPr>
            <w:tcW w:w="3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color w:val="231F20"/>
              </w:rPr>
            </w:pPr>
            <w:r>
              <w:rPr>
                <w:color w:val="231F20"/>
              </w:rPr>
              <w:t>​</w:t>
            </w:r>
          </w:p>
        </w:tc>
        <w:tc>
          <w:tcPr>
            <w:tcW w:w="183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Grant Date Fair Value</w:t>
            </w:r>
          </w:p>
        </w:tc>
      </w:tr>
      <w:tr>
        <w:trPr/>
        <w:tc>
          <w:tcPr>
            <w:tcW w:w="460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Unvested restricted stock as of December 31, 2020</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109" w:type="dxa"/>
            <w:tcBorders/>
            <w:shd w:fill="CCEEFF" w:val="clear"/>
            <w:vAlign w:val="center"/>
          </w:tcPr>
          <w:p>
            <w:pPr>
              <w:pStyle w:val="TableContents"/>
              <w:spacing w:before="0" w:after="0"/>
              <w:ind w:left="0" w:right="0" w:hanging="0"/>
              <w:jc w:val="right"/>
              <w:rPr>
                <w:color w:val="231F20"/>
              </w:rPr>
            </w:pPr>
            <w:r>
              <w:rPr>
                <w:color w:val="231F20"/>
              </w:rPr>
              <w:t>​</w:t>
            </w:r>
          </w:p>
        </w:tc>
        <w:tc>
          <w:tcPr>
            <w:tcW w:w="153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735,294</w:t>
            </w:r>
          </w:p>
        </w:tc>
        <w:tc>
          <w:tcPr>
            <w:tcW w:w="326" w:type="dxa"/>
            <w:tcBorders/>
            <w:shd w:fill="CCEEFF" w:val="clear"/>
            <w:vAlign w:val="center"/>
          </w:tcPr>
          <w:p>
            <w:pPr>
              <w:pStyle w:val="TableContents"/>
              <w:spacing w:before="0" w:after="0"/>
              <w:ind w:left="0" w:right="0" w:hanging="0"/>
              <w:jc w:val="center"/>
              <w:rPr>
                <w:color w:val="231F20"/>
              </w:rPr>
            </w:pPr>
            <w:r>
              <w:rPr>
                <w:color w:val="231F20"/>
              </w:rPr>
              <w:t>    </w:t>
            </w:r>
          </w:p>
        </w:tc>
        <w:tc>
          <w:tcPr>
            <w:tcW w:w="478"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52"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0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Granted</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9" w:type="dxa"/>
            <w:tcBorders/>
            <w:shd w:fill="auto" w:val="clear"/>
            <w:vAlign w:val="center"/>
          </w:tcPr>
          <w:p>
            <w:pPr>
              <w:pStyle w:val="TableContents"/>
              <w:spacing w:before="0" w:after="0"/>
              <w:ind w:left="0" w:right="0" w:hanging="0"/>
              <w:jc w:val="right"/>
              <w:rPr>
                <w:color w:val="231F20"/>
              </w:rPr>
            </w:pPr>
            <w:r>
              <w:rPr>
                <w:color w:val="231F20"/>
              </w:rPr>
              <w:t>​</w:t>
            </w:r>
          </w:p>
        </w:tc>
        <w:tc>
          <w:tcPr>
            <w:tcW w:w="153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478" w:type="dxa"/>
            <w:tcBorders/>
            <w:shd w:fill="auto" w:val="clear"/>
            <w:vAlign w:val="center"/>
          </w:tcPr>
          <w:p>
            <w:pPr>
              <w:pStyle w:val="TableContents"/>
              <w:spacing w:before="0" w:after="0"/>
              <w:ind w:left="0" w:right="0" w:hanging="0"/>
              <w:jc w:val="right"/>
              <w:rPr>
                <w:color w:val="231F20"/>
              </w:rPr>
            </w:pPr>
            <w:r>
              <w:rPr>
                <w:color w:val="231F20"/>
              </w:rPr>
              <w:t>​</w:t>
            </w:r>
          </w:p>
        </w:tc>
        <w:tc>
          <w:tcPr>
            <w:tcW w:w="1352" w:type="dxa"/>
            <w:tcBorders/>
            <w:shd w:fill="auto" w:val="clear"/>
            <w:vAlign w:val="center"/>
          </w:tcPr>
          <w:p>
            <w:pPr>
              <w:pStyle w:val="TableContents"/>
              <w:spacing w:before="0" w:after="0"/>
              <w:ind w:left="0" w:right="0" w:hanging="0"/>
              <w:jc w:val="right"/>
              <w:rPr>
                <w:color w:val="231F20"/>
              </w:rPr>
            </w:pPr>
            <w:r>
              <w:rPr>
                <w:color w:val="231F20"/>
              </w:rPr>
              <w:t>—</w:t>
            </w:r>
          </w:p>
        </w:tc>
      </w:tr>
      <w:tr>
        <w:trPr/>
        <w:tc>
          <w:tcPr>
            <w:tcW w:w="460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Vested</w:t>
            </w:r>
          </w:p>
        </w:tc>
        <w:tc>
          <w:tcPr>
            <w:tcW w:w="326" w:type="dxa"/>
            <w:tcBorders/>
            <w:shd w:fill="CCEEFF" w:val="clear"/>
            <w:vAlign w:val="center"/>
          </w:tcPr>
          <w:p>
            <w:pPr>
              <w:pStyle w:val="TableContents"/>
              <w:spacing w:before="0" w:after="0"/>
              <w:ind w:left="0" w:right="0" w:hanging="0"/>
              <w:jc w:val="center"/>
              <w:rPr>
                <w:color w:val="231F20"/>
              </w:rPr>
            </w:pPr>
            <w:r>
              <w:rPr>
                <w:color w:val="231F20"/>
              </w:rPr>
              <w:t>​</w:t>
            </w:r>
          </w:p>
        </w:tc>
        <w:tc>
          <w:tcPr>
            <w:tcW w:w="109" w:type="dxa"/>
            <w:tcBorders/>
            <w:shd w:fill="CCEEFF" w:val="clear"/>
            <w:vAlign w:val="center"/>
          </w:tcPr>
          <w:p>
            <w:pPr>
              <w:pStyle w:val="TableContents"/>
              <w:spacing w:before="0" w:after="0"/>
              <w:ind w:left="0" w:right="0" w:hanging="0"/>
              <w:jc w:val="right"/>
              <w:rPr>
                <w:color w:val="231F20"/>
              </w:rPr>
            </w:pPr>
            <w:r>
              <w:rPr>
                <w:color w:val="231F20"/>
              </w:rPr>
              <w:t>​</w:t>
            </w:r>
          </w:p>
        </w:tc>
        <w:tc>
          <w:tcPr>
            <w:tcW w:w="153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(242,109)</w:t>
            </w:r>
          </w:p>
        </w:tc>
        <w:tc>
          <w:tcPr>
            <w:tcW w:w="326" w:type="dxa"/>
            <w:tcBorders/>
            <w:shd w:fill="CCEEFF" w:val="clear"/>
            <w:vAlign w:val="center"/>
          </w:tcPr>
          <w:p>
            <w:pPr>
              <w:pStyle w:val="TableContents"/>
              <w:spacing w:before="0" w:after="0"/>
              <w:ind w:left="0" w:right="0" w:hanging="0"/>
              <w:jc w:val="center"/>
              <w:rPr>
                <w:color w:val="231F20"/>
              </w:rPr>
            </w:pPr>
            <w:r>
              <w:rPr>
                <w:color w:val="231F20"/>
              </w:rPr>
              <w:t>​</w:t>
            </w:r>
          </w:p>
        </w:tc>
        <w:tc>
          <w:tcPr>
            <w:tcW w:w="478" w:type="dxa"/>
            <w:tcBorders/>
            <w:shd w:fill="CCEEFF" w:val="clear"/>
            <w:vAlign w:val="center"/>
          </w:tcPr>
          <w:p>
            <w:pPr>
              <w:pStyle w:val="TableContents"/>
              <w:spacing w:before="0" w:after="0"/>
              <w:ind w:left="0" w:right="0" w:hanging="0"/>
              <w:jc w:val="right"/>
              <w:rPr>
                <w:color w:val="231F20"/>
              </w:rPr>
            </w:pPr>
            <w:r>
              <w:rPr>
                <w:color w:val="231F20"/>
              </w:rPr>
              <w:t>​</w:t>
            </w:r>
          </w:p>
        </w:tc>
        <w:tc>
          <w:tcPr>
            <w:tcW w:w="1352"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2.40</w:t>
            </w:r>
          </w:p>
        </w:tc>
      </w:tr>
      <w:tr>
        <w:trPr/>
        <w:tc>
          <w:tcPr>
            <w:tcW w:w="460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Forfeited</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9" w:type="dxa"/>
            <w:tcBorders/>
            <w:shd w:fill="auto" w:val="clear"/>
            <w:vAlign w:val="center"/>
          </w:tcPr>
          <w:p>
            <w:pPr>
              <w:pStyle w:val="TableContents"/>
              <w:spacing w:before="0" w:after="0"/>
              <w:ind w:left="0" w:right="0" w:hanging="0"/>
              <w:jc w:val="right"/>
              <w:rPr>
                <w:color w:val="231F20"/>
              </w:rPr>
            </w:pPr>
            <w:r>
              <w:rPr>
                <w:color w:val="231F20"/>
              </w:rPr>
              <w:t>​</w:t>
            </w:r>
          </w:p>
        </w:tc>
        <w:tc>
          <w:tcPr>
            <w:tcW w:w="1531" w:type="dxa"/>
            <w:tcBorders>
              <w:bottom w:val="single" w:sz="2" w:space="0" w:color="231F2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single" w:sz="2" w:space="0" w:color="231F20"/>
            </w:tcBorders>
            <w:shd w:fill="auto" w:val="clear"/>
            <w:tcMar>
              <w:bottom w:w="28" w:type="dxa"/>
            </w:tcMar>
            <w:vAlign w:val="center"/>
          </w:tcPr>
          <w:p>
            <w:pPr>
              <w:pStyle w:val="TableContents"/>
              <w:spacing w:before="0" w:after="0"/>
              <w:ind w:left="0" w:right="0" w:hanging="0"/>
              <w:jc w:val="center"/>
              <w:rPr>
                <w:color w:val="231F20"/>
              </w:rPr>
            </w:pPr>
            <w:r>
              <w:rPr>
                <w:color w:val="231F20"/>
              </w:rPr>
              <w:t>​</w:t>
            </w:r>
          </w:p>
        </w:tc>
        <w:tc>
          <w:tcPr>
            <w:tcW w:w="478" w:type="dxa"/>
            <w:tcBorders>
              <w:bottom w:val="single" w:sz="2" w:space="0" w:color="231F2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1352"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r>
      <w:tr>
        <w:trPr/>
        <w:tc>
          <w:tcPr>
            <w:tcW w:w="4606"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Unvested restricted stock as of December 31, 2021</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 </w:t>
            </w:r>
          </w:p>
        </w:tc>
        <w:tc>
          <w:tcPr>
            <w:tcW w:w="109" w:type="dxa"/>
            <w:tcBorders>
              <w:bottom w:val="double" w:sz="6"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15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493,185</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47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352"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color w:val="231F20"/>
                <w:sz w:val="20"/>
              </w:rPr>
            </w:pPr>
            <w:r>
              <w:rPr>
                <w:rFonts w:ascii="Arial;Helvetica;sans-serif" w:hAnsi="Arial;Helvetica;sans-serif"/>
                <w:color w:val="231F20"/>
                <w:sz w:val="20"/>
              </w:rPr>
              <w:t>2.40</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total grant date fair value of the RSAs vested during the year ended December 31, 2021, was $0.6 million</w:t>
      </w:r>
      <w:r>
        <w:rPr>
          <w:rFonts w:ascii="Arial;Helvetica;sans-serif" w:hAnsi="Arial;Helvetica;sans-serif"/>
          <w:sz w:val="20"/>
          <w:highlight w:val="white"/>
        </w:rPr>
        <w:t xml:space="preserve">. </w:t>
      </w:r>
      <w:r>
        <w:rPr>
          <w:rFonts w:ascii="Arial;Helvetica;sans-serif" w:hAnsi="Arial;Helvetica;sans-serif"/>
          <w:sz w:val="20"/>
        </w:rPr>
        <w:t>As of December 31, 2021, the total unrecognized compensation expense related to unvested RSAs was $1.2 million, which the Company expects to recognize over an estimated weighted average period of 2.5 years.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bookmarkStart w:id="1094" w:name="Tc_f3dV6LGlRU-Poy3yAKAahg_5_9"/>
      <w:bookmarkStart w:id="1095" w:name="Tc_83QXUUhTbkGKVbfqCO36Mg_5_8"/>
      <w:bookmarkStart w:id="1096" w:name="Tc_kStCUyOn_kikgNVv9w1FhQ_5_5"/>
      <w:bookmarkStart w:id="1097" w:name="Tc_NV4s4FaGt0ylS-lnWj2-Aw_5_2"/>
      <w:bookmarkStart w:id="1098" w:name="Tc_NLXBCEtQaEy3oHpbRi0xTQ_5_0"/>
      <w:bookmarkStart w:id="1099" w:name="Tc_Pwj2sQGOr0mt1X1owpK8CQ_4_9"/>
      <w:bookmarkStart w:id="1100" w:name="Tc_zJ5hyqBXt0GdOshK6-OBnA_4_0"/>
      <w:bookmarkStart w:id="1101" w:name="Tc_FnIp0Q4ick-aqkjF7HW5Ow_3_9"/>
      <w:bookmarkStart w:id="1102" w:name="Tc_aNjP2QxZ0UWUgYHkbz_XcQ_3_8"/>
      <w:bookmarkStart w:id="1103" w:name="Tc_-6NSWeq6GEOvYl7A7JlwJA_3_5"/>
      <w:bookmarkStart w:id="1104" w:name="Tc_znyW78sj4EyuL3calyS1-A_3_2"/>
      <w:bookmarkStart w:id="1105" w:name="Tc_pbEQHrOHkEaH-4WZmkND5A_3_0"/>
      <w:bookmarkStart w:id="1106" w:name="Tc_f49huvuO3Uye8Cs9hnEZXA_2_8"/>
      <w:bookmarkStart w:id="1107" w:name="Tc_lWn3GRBFYESlcVGIse0dsw_2_5"/>
      <w:bookmarkStart w:id="1108" w:name="Tc_b93FvqnTLEG1pu6lbCTlbA_2_2"/>
      <w:bookmarkStart w:id="1109" w:name="Tc_l4he5LQry0GFGZ6BVGPasg_1_2"/>
      <w:bookmarkStart w:id="1110" w:name="_Hlk63440085"/>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Arial;Helvetica;sans-serif" w:hAnsi="Arial;Helvetica;sans-serif"/>
          <w:i/>
          <w:sz w:val="20"/>
        </w:rPr>
        <w:t>Stock-Based Compensation Expense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Stock-based compensation expense related to awards granted under the 2014 Plan, including the RSAs, the 2020 Plan and the 2020 ESPP was classified in the consolidated statements of operations and comprehensive loss as follows (in thousands):</w:t>
      </w:r>
    </w:p>
    <w:p>
      <w:pPr>
        <w:pStyle w:val="TextBody"/>
        <w:spacing w:before="0" w:after="240"/>
        <w:ind w:left="0" w:right="0" w:hanging="0"/>
        <w:jc w:val="both"/>
        <w:rPr/>
      </w:pPr>
      <w:r>
        <w:rPr/>
        <w:t>​</w:t>
      </w:r>
    </w:p>
    <w:tbl>
      <w:tblPr>
        <w:tblW w:w="5840" w:type="dxa"/>
        <w:jc w:val="left"/>
        <w:tblInd w:w="0" w:type="dxa"/>
        <w:tblCellMar>
          <w:top w:w="0" w:type="dxa"/>
          <w:left w:w="0" w:type="dxa"/>
          <w:bottom w:w="0" w:type="dxa"/>
          <w:right w:w="0" w:type="dxa"/>
        </w:tblCellMar>
      </w:tblPr>
      <w:tblGrid>
        <w:gridCol w:w="2491"/>
        <w:gridCol w:w="326"/>
        <w:gridCol w:w="211"/>
        <w:gridCol w:w="691"/>
        <w:gridCol w:w="326"/>
        <w:gridCol w:w="211"/>
        <w:gridCol w:w="586"/>
        <w:gridCol w:w="326"/>
        <w:gridCol w:w="211"/>
        <w:gridCol w:w="46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81785" cy="175260"/>
                      <wp:effectExtent l="0" t="0" r="0" b="0"/>
                      <wp:wrapNone/>
                      <wp:docPr id="204" name="Frame172"/>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5"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6" name="Frame1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785" cy="175260"/>
                      <wp:effectExtent l="0" t="0" r="0" b="0"/>
                      <wp:wrapNone/>
                      <wp:docPr id="207" name="Frame17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8"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09" name="Frame1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72110" cy="175260"/>
                      <wp:effectExtent l="0" t="0" r="0" b="0"/>
                      <wp:wrapNone/>
                      <wp:docPr id="210" name="Frame17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1"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2" name="Frame1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92735" cy="175260"/>
                      <wp:effectExtent l="0" t="0" r="0" b="0"/>
                      <wp:wrapNone/>
                      <wp:docPr id="213" name="Frame181"/>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023"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Years Ended December 31, </w:t>
            </w:r>
          </w:p>
        </w:tc>
      </w:tr>
      <w:tr>
        <w:trPr/>
        <w:tc>
          <w:tcPr>
            <w:tcW w:w="2491" w:type="dxa"/>
            <w:tcBorders/>
            <w:shd w:fill="auto" w:val="clear"/>
            <w:vAlign w:val="center"/>
          </w:tcPr>
          <w:p>
            <w:pPr>
              <w:pStyle w:val="TableContents"/>
              <w:spacing w:before="0" w:after="1"/>
              <w:ind w:left="0" w:right="0" w:hanging="0"/>
              <w:rPr>
                <w:color w:val="231F20"/>
              </w:rPr>
            </w:pPr>
            <w:r>
              <w:rPr>
                <w:color w:val="231F20"/>
              </w:rPr>
              <w:t>​</w:t>
            </w:r>
          </w:p>
        </w:tc>
        <w:tc>
          <w:tcPr>
            <w:tcW w:w="326" w:type="dxa"/>
            <w:tcBorders/>
            <w:shd w:fill="auto" w:val="clear"/>
            <w:vAlign w:val="center"/>
          </w:tcPr>
          <w:p>
            <w:pPr>
              <w:pStyle w:val="TableContents"/>
              <w:spacing w:before="0" w:after="1"/>
              <w:ind w:left="0" w:right="0" w:hanging="0"/>
              <w:jc w:val="center"/>
              <w:rPr>
                <w:color w:val="231F20"/>
              </w:rPr>
            </w:pPr>
            <w:r>
              <w:rPr>
                <w:color w:val="231F20"/>
              </w:rPr>
              <w:t>​</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67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2019</w:t>
            </w:r>
          </w:p>
        </w:tc>
      </w:tr>
      <w:tr>
        <w:trPr/>
        <w:tc>
          <w:tcPr>
            <w:tcW w:w="2491"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Research and development</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9,346</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1,970</w:t>
            </w:r>
          </w:p>
        </w:tc>
        <w:tc>
          <w:tcPr>
            <w:tcW w:w="326" w:type="dxa"/>
            <w:tcBorders/>
            <w:shd w:fill="CCEEFF" w:val="clear"/>
            <w:vAlign w:val="center"/>
          </w:tcPr>
          <w:p>
            <w:pPr>
              <w:pStyle w:val="TableContents"/>
              <w:spacing w:before="0" w:after="1"/>
              <w:ind w:left="0" w:right="0" w:hanging="0"/>
              <w:jc w:val="center"/>
              <w:rPr>
                <w:color w:val="231F20"/>
              </w:rPr>
            </w:pPr>
            <w:r>
              <w:rPr>
                <w:color w:val="231F20"/>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461"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2491"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General and administrative</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231F20"/>
            </w:tcBorders>
            <w:shd w:fill="auto" w:val="clear"/>
            <w:tcMar>
              <w:bottom w:w="28" w:type="dxa"/>
            </w:tcMar>
            <w:vAlign w:val="center"/>
          </w:tcPr>
          <w:p>
            <w:pPr>
              <w:pStyle w:val="TableContents"/>
              <w:spacing w:before="0" w:after="1"/>
              <w:ind w:left="0" w:right="0" w:hanging="0"/>
              <w:jc w:val="right"/>
              <w:rPr/>
            </w:pPr>
            <w:r>
              <w:rPr/>
              <w:t> </w:t>
            </w:r>
          </w:p>
        </w:tc>
        <w:tc>
          <w:tcPr>
            <w:tcW w:w="691"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6,567</w:t>
            </w:r>
          </w:p>
        </w:tc>
        <w:tc>
          <w:tcPr>
            <w:tcW w:w="326" w:type="dxa"/>
            <w:tcBorders>
              <w:bottom w:val="single" w:sz="2" w:space="0" w:color="231F20"/>
            </w:tcBorders>
            <w:shd w:fill="auto" w:val="clear"/>
            <w:tcMar>
              <w:bottom w:w="28" w:type="dxa"/>
            </w:tcMar>
            <w:vAlign w:val="center"/>
          </w:tcPr>
          <w:p>
            <w:pPr>
              <w:pStyle w:val="TableContents"/>
              <w:spacing w:before="0" w:after="1"/>
              <w:ind w:left="0" w:right="0" w:hanging="0"/>
              <w:rPr>
                <w:color w:val="231F20"/>
              </w:rPr>
            </w:pPr>
            <w:r>
              <w:rPr>
                <w:color w:val="231F20"/>
              </w:rPr>
              <w:t>​</w:t>
            </w:r>
          </w:p>
        </w:tc>
        <w:tc>
          <w:tcPr>
            <w:tcW w:w="211" w:type="dxa"/>
            <w:tcBorders>
              <w:bottom w:val="single" w:sz="2" w:space="0" w:color="231F2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586" w:type="dxa"/>
            <w:tcBorders>
              <w:bottom w:val="single" w:sz="2" w:space="0" w:color="231F20"/>
            </w:tcBorders>
            <w:shd w:fill="auto"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1,108</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231F2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c>
          <w:tcPr>
            <w:tcW w:w="461" w:type="dxa"/>
            <w:tcBorders>
              <w:bottom w:val="single" w:sz="2" w:space="0" w:color="231F20"/>
            </w:tcBorders>
            <w:shd w:fill="auto" w:val="clear"/>
            <w:tcMar>
              <w:bottom w:w="28" w:type="dxa"/>
            </w:tcMar>
            <w:vAlign w:val="center"/>
          </w:tcPr>
          <w:p>
            <w:pPr>
              <w:pStyle w:val="TableContents"/>
              <w:spacing w:before="0" w:after="1"/>
              <w:ind w:left="0" w:right="0" w:hanging="0"/>
              <w:jc w:val="right"/>
              <w:rPr>
                <w:color w:val="231F20"/>
              </w:rPr>
            </w:pPr>
            <w:r>
              <w:rPr>
                <w:color w:val="231F20"/>
              </w:rPr>
              <w:t>—</w:t>
            </w:r>
          </w:p>
        </w:tc>
      </w:tr>
      <w:tr>
        <w:trPr/>
        <w:tc>
          <w:tcPr>
            <w:tcW w:w="249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15,913</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3,078</w:t>
            </w:r>
          </w:p>
        </w:tc>
        <w:tc>
          <w:tcPr>
            <w:tcW w:w="32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461" w:type="dxa"/>
            <w:tcBorders>
              <w:bottom w:val="double" w:sz="6" w:space="0" w:color="000000"/>
            </w:tcBorders>
            <w:shd w:fill="CCEEFF" w:val="clear"/>
            <w:tcMar>
              <w:bottom w:w="28" w:type="dxa"/>
            </w:tcMar>
            <w:vAlign w:val="center"/>
          </w:tcPr>
          <w:p>
            <w:pPr>
              <w:pStyle w:val="TableContents"/>
              <w:spacing w:before="0" w:after="1"/>
              <w:ind w:left="0" w:right="70" w:hanging="0"/>
              <w:jc w:val="right"/>
              <w:rPr>
                <w:color w:val="231F20"/>
              </w:rPr>
            </w:pPr>
            <w:r>
              <w:rPr>
                <w:color w:val="231F20"/>
              </w:rPr>
              <w:t>—</w:t>
            </w:r>
          </w:p>
        </w:tc>
      </w:tr>
    </w:tbl>
    <w:p>
      <w:pPr>
        <w:pStyle w:val="TextBody"/>
        <w:spacing w:before="0" w:after="0"/>
        <w:ind w:left="0" w:right="0" w:hanging="0"/>
        <w:rPr/>
      </w:pPr>
      <w:r>
        <w:rPr/>
        <w:t>​</w:t>
      </w:r>
    </w:p>
    <w:p>
      <w:pPr>
        <w:pStyle w:val="TextBody"/>
        <w:spacing w:before="240" w:after="240"/>
        <w:ind w:left="0" w:right="0" w:hanging="0"/>
        <w:jc w:val="both"/>
        <w:rPr>
          <w:rFonts w:ascii="Arial;Helvetica;sans-serif" w:hAnsi="Arial;Helvetica;sans-serif"/>
          <w:i/>
          <w:sz w:val="20"/>
        </w:rPr>
      </w:pPr>
      <w:r>
        <w:rPr>
          <w:rFonts w:ascii="Arial;Helvetica;sans-serif" w:hAnsi="Arial;Helvetica;sans-serif"/>
          <w:i/>
          <w:sz w:val="20"/>
        </w:rPr>
        <w:t>2020 Employee Stock Purchase Plan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2020, the Company’s board of directors and stockholders approved and adopted the 2020 Employee Stock Purchase Plan (the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six-month purchase periods (each a “Purchase Period”) during which payroll deductions of the participants are accumulated under the ESPP. The last business day of each Purchase Period is referred to as the “Purchase Date.” The first Purchase Period commenced on November 18, 2020 with a purchase date of May 15, 2021. The second Purchase Period commenced on May 16, 2021 and had a purchase date of November 15, 2021. A total of 430,416 shares of common stock were initially reserved for issuance pursuant to the ESPP.</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ESPP is a compensatory plan as defined by the authoritative guidance for stock-based compensation. The Company uses the Black-Scholes option-pricing model to estimate the fair value of stock offered under the ESPP. The valuation methodology is similar to the stock options. Stock-based compensation expense related to the ESPP was $0.2 million and less than $0.1 million for the years ended December 31, 2021 and 2020, respectively.</w:t>
      </w:r>
    </w:p>
    <w:p>
      <w:pPr>
        <w:pStyle w:val="TextBody"/>
        <w:pBdr/>
        <w:spacing w:before="0" w:after="240"/>
        <w:ind w:left="0" w:right="0" w:hanging="360"/>
        <w:jc w:val="both"/>
        <w:rPr>
          <w:rFonts w:ascii="Arial;Helvetica;sans-serif" w:hAnsi="Arial;Helvetica;sans-serif"/>
          <w:b w:val="false"/>
          <w:sz w:val="20"/>
        </w:rPr>
      </w:pPr>
      <w:bookmarkStart w:id="1111" w:name="Tc_veywKyQ1ckij4eHoUFy0xw_10_6"/>
      <w:bookmarkStart w:id="1112" w:name="Tc_d03oxcLQXkCBs_agmPoHuw_10_5"/>
      <w:bookmarkStart w:id="1113" w:name="Tc_bP6JsjLoDUqhilUO1Fk7ew_10_3"/>
      <w:bookmarkStart w:id="1114" w:name="Tc_O3k7FihVeEqxz2o_sUsOMA_10_2"/>
      <w:bookmarkStart w:id="1115" w:name="Tc_EUBcw2jRWk6VIaRjRJWJiA_10_0"/>
      <w:bookmarkStart w:id="1116" w:name="Tc_zzsInMHhS06U_6zb6vT_Ew_9_0"/>
      <w:bookmarkStart w:id="1117" w:name="Tc_nU1i-DIYBkmGwNqGgGQ0mQ_8_0"/>
      <w:bookmarkStart w:id="1118" w:name="Tc_mih-4AtLcUKDA3zBHHw27w_7_0"/>
      <w:bookmarkStart w:id="1119" w:name="Tc_gvowlTgPdUCLxyDHgcNa2w_6_6"/>
      <w:bookmarkStart w:id="1120" w:name="Tc_iCQCXM5pPU-mI0W99nqCeA_6_0"/>
      <w:bookmarkStart w:id="1121" w:name="Tc_HCwxwOFzB0CatgCctWpLNA_5_0"/>
      <w:bookmarkStart w:id="1122" w:name="Tc_L4MP_SJBEk2I8xbKK9G-JQ_4_5"/>
      <w:bookmarkStart w:id="1123" w:name="Tc_jWW3tpoSOES1g1G73O9CJw_4_2"/>
      <w:bookmarkStart w:id="1124" w:name="Tc_XdbE5oo7cE-xL_aPry2CCw_4_0"/>
      <w:bookmarkStart w:id="1125" w:name="Tc_0kGTDIlvcUmABPriWe1fPQ_3_5"/>
      <w:bookmarkStart w:id="1126" w:name="Tc_bkDb-6ycfE6KJxmN73Jq4w_3_2"/>
      <w:bookmarkStart w:id="1127" w:name="Tc_fVjQca5gzkarDpPGj9tExw_2_2"/>
      <w:bookmarkStart w:id="1128" w:name="Tc_QeOv404tJU61WQEXVEmvPw_1_2"/>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Arial;Helvetica;sans-serif" w:hAnsi="Arial;Helvetica;sans-serif"/>
          <w:b w:val="false"/>
          <w:sz w:val="20"/>
        </w:rPr>
        <w:t>11.  Income Taxes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reconciliation of the Federal statutory income tax benefit (provision) to the Company’s effective income tax provision is as follows (in thousands):</w:t>
      </w:r>
    </w:p>
    <w:p>
      <w:pPr>
        <w:pStyle w:val="TextBody"/>
        <w:spacing w:before="0" w:after="240"/>
        <w:ind w:left="0" w:right="0" w:hanging="0"/>
        <w:jc w:val="both"/>
        <w:rPr/>
      </w:pPr>
      <w:r>
        <w:rPr/>
        <w:t>​</w:t>
      </w:r>
    </w:p>
    <w:tbl>
      <w:tblPr>
        <w:tblW w:w="8757" w:type="dxa"/>
        <w:jc w:val="left"/>
        <w:tblInd w:w="0" w:type="dxa"/>
        <w:tblCellMar>
          <w:top w:w="0" w:type="dxa"/>
          <w:left w:w="0" w:type="dxa"/>
          <w:bottom w:w="0" w:type="dxa"/>
          <w:right w:w="0" w:type="dxa"/>
        </w:tblCellMar>
      </w:tblPr>
      <w:tblGrid>
        <w:gridCol w:w="6121"/>
        <w:gridCol w:w="326"/>
        <w:gridCol w:w="211"/>
        <w:gridCol w:w="811"/>
        <w:gridCol w:w="326"/>
        <w:gridCol w:w="211"/>
        <w:gridCol w:w="751"/>
      </w:tblGrid>
      <w:tr>
        <w:trPr/>
        <w:tc>
          <w:tcPr>
            <w:tcW w:w="6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886835" cy="175260"/>
                      <wp:effectExtent l="0" t="0" r="0" b="0"/>
                      <wp:wrapNone/>
                      <wp:docPr id="214" name="Frame182"/>
                      <a:graphic xmlns:a="http://schemas.openxmlformats.org/drawingml/2006/main">
                        <a:graphicData uri="http://schemas.microsoft.com/office/word/2010/wordprocessingShape">
                          <wps:wsp>
                            <wps:cNvSpPr txBox="1"/>
                            <wps:spPr>
                              <a:xfrm>
                                <a:off x="0" y="0"/>
                                <a:ext cx="3886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5"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6" name="Frame1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14985" cy="175260"/>
                      <wp:effectExtent l="0" t="0" r="0" b="0"/>
                      <wp:wrapNone/>
                      <wp:docPr id="217" name="Frame18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8"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19" name="Frame1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76885" cy="175260"/>
                      <wp:effectExtent l="0" t="0" r="0" b="0"/>
                      <wp:wrapNone/>
                      <wp:docPr id="220" name="Frame188"/>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310"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Years Ended</w:t>
            </w:r>
          </w:p>
        </w:tc>
      </w:tr>
      <w:tr>
        <w:trPr/>
        <w:tc>
          <w:tcPr>
            <w:tcW w:w="612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612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6121"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Federal statutory income tax</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14,930</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4,760</w:t>
            </w:r>
          </w:p>
        </w:tc>
      </w:tr>
      <w:tr>
        <w:trPr/>
        <w:tc>
          <w:tcPr>
            <w:tcW w:w="6121"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State income taxes, net of federal tax benefit </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25</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color w:val="231F20"/>
              </w:rPr>
            </w:pPr>
            <w:r>
              <w:rPr>
                <w:color w:val="231F20"/>
              </w:rPr>
              <w:t> </w:t>
            </w:r>
          </w:p>
        </w:tc>
        <w:tc>
          <w:tcPr>
            <w:tcW w:w="75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w:t>
            </w:r>
          </w:p>
        </w:tc>
      </w:tr>
      <w:tr>
        <w:trPr/>
        <w:tc>
          <w:tcPr>
            <w:tcW w:w="6121"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Permanent differences in non-tax-deductible executive compensation</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(1,092)</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color w:val="231F20"/>
              </w:rPr>
            </w:pPr>
            <w:r>
              <w:rPr>
                <w:color w:val="231F20"/>
              </w:rPr>
              <w:t> </w:t>
            </w:r>
          </w:p>
        </w:tc>
        <w:tc>
          <w:tcPr>
            <w:tcW w:w="751" w:type="dxa"/>
            <w:tcBorders/>
            <w:shd w:fill="CCEEFF" w:val="clear"/>
            <w:vAlign w:val="center"/>
          </w:tcPr>
          <w:p>
            <w:pPr>
              <w:pStyle w:val="TableContents"/>
              <w:spacing w:before="0" w:after="0"/>
              <w:ind w:left="0" w:right="0" w:hanging="0"/>
              <w:jc w:val="right"/>
              <w:rPr>
                <w:color w:val="231F20"/>
              </w:rPr>
            </w:pPr>
            <w:r>
              <w:rPr>
                <w:color w:val="231F20"/>
              </w:rPr>
              <w:t>—</w:t>
            </w:r>
          </w:p>
        </w:tc>
      </w:tr>
      <w:tr>
        <w:trPr/>
        <w:tc>
          <w:tcPr>
            <w:tcW w:w="6121"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Other permanent items </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(105)</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color w:val="231F20"/>
              </w:rPr>
            </w:pPr>
            <w:r>
              <w:rPr>
                <w:color w:val="231F20"/>
              </w:rPr>
              <w:t>​</w:t>
            </w:r>
          </w:p>
        </w:tc>
        <w:tc>
          <w:tcPr>
            <w:tcW w:w="75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(135)</w:t>
            </w:r>
          </w:p>
        </w:tc>
      </w:tr>
      <w:tr>
        <w:trPr/>
        <w:tc>
          <w:tcPr>
            <w:tcW w:w="6121"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Other deferred items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158</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color w:val="231F20"/>
              </w:rPr>
            </w:pPr>
            <w:r>
              <w:rPr>
                <w:color w:val="231F20"/>
              </w:rPr>
              <w:t>​</w:t>
            </w:r>
          </w:p>
        </w:tc>
        <w:tc>
          <w:tcPr>
            <w:tcW w:w="75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w:t>
            </w:r>
          </w:p>
        </w:tc>
      </w:tr>
      <w:tr>
        <w:trPr/>
        <w:tc>
          <w:tcPr>
            <w:tcW w:w="6121"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Valuation allowance </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(13,916)</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(4,637)</w:t>
            </w:r>
          </w:p>
        </w:tc>
      </w:tr>
      <w:tr>
        <w:trPr/>
        <w:tc>
          <w:tcPr>
            <w:tcW w:w="612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Provision for income taxes </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70" w:hanging="0"/>
              <w:jc w:val="right"/>
              <w:rPr>
                <w:color w:val="231F20"/>
              </w:rPr>
            </w:pPr>
            <w:r>
              <w:rPr>
                <w:color w:val="231F20"/>
              </w:rPr>
              <w:t>—</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Arial;Helvetica;sans-serif" w:hAnsi="Arial;Helvetica;sans-serif"/>
          <w:sz w:val="20"/>
        </w:rPr>
      </w:pPr>
      <w:bookmarkStart w:id="1129" w:name="Tc_cZwlX_W5fkqzkAOB0Ic-bQ_12_6"/>
      <w:bookmarkStart w:id="1130" w:name="Tc_xS2vWwZg1EOygF13N5VLug_12_5"/>
      <w:bookmarkStart w:id="1131" w:name="Tc_KyMzOgWoPEOClctwhAUxsg_12_3"/>
      <w:bookmarkStart w:id="1132" w:name="Tc_IHXSWHU42E6dbznzzIU7og_12_2"/>
      <w:bookmarkStart w:id="1133" w:name="Tc_NclyWFIKmUqIE1KjQemJcQ_12_0"/>
      <w:bookmarkStart w:id="1134" w:name="Tc_igTe0FnDUUyh7giw9PDRMg_11_0"/>
      <w:bookmarkStart w:id="1135" w:name="Tc_GVFuDJ2_PUu2zenYNXsUkg_10_0"/>
      <w:bookmarkStart w:id="1136" w:name="Tc_tllUwSLwFUKBmNg3uw6gjQ_9_5"/>
      <w:bookmarkStart w:id="1137" w:name="Tc_5Mi2e6HPLk6B5VNcCIG1XQ_9_2"/>
      <w:bookmarkStart w:id="1138" w:name="Tc_225a6GkZxECBrUBcXjfHmg_9_0"/>
      <w:bookmarkStart w:id="1139" w:name="Tc_-fVwkYUjy0m5cfLC2_89Ug_8_0"/>
      <w:bookmarkStart w:id="1140" w:name="Tc_H2_vdfCbVEqV6VDLUtLSEA_7_5"/>
      <w:bookmarkStart w:id="1141" w:name="Tc_sQioMoYq50aMziQEiRcPhQ_7_2"/>
      <w:bookmarkStart w:id="1142" w:name="Tc_S_18B7kAD0OeY1qyY0n-NA_7_0"/>
      <w:bookmarkStart w:id="1143" w:name="Tc_l-x_yf6sRkOQgJ04MUohrg_6_0"/>
      <w:bookmarkStart w:id="1144" w:name="Tc_a_DlvFznvEm72Mk6pxoL8g_5_0"/>
      <w:bookmarkStart w:id="1145" w:name="Tc_JW3om2-_z0iYeX55ap98mg_4_5"/>
      <w:bookmarkStart w:id="1146" w:name="Tc_dSrnTcuot0iCXQySRkYVng_4_2"/>
      <w:bookmarkStart w:id="1147" w:name="Tc_BimIGYI9fk2WHlJaRhW-ww_4_0"/>
      <w:bookmarkStart w:id="1148" w:name="Tc_xxnl0qMQK0W7SM613F2y3Q_3_0"/>
      <w:bookmarkStart w:id="1149" w:name="Tc_jyhyIIoRtUKzYuAp-j-3Qg_2_5"/>
      <w:bookmarkStart w:id="1150" w:name="Tc_4DNvxJ2tFEut84XOUMYtAA_2_2"/>
      <w:bookmarkStart w:id="1151" w:name="Tc_D0G8R2DkRUabynsnvTOFDw_1_2"/>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Arial;Helvetica;sans-serif" w:hAnsi="Arial;Helvetica;sans-serif"/>
          <w:sz w:val="20"/>
        </w:rPr>
        <w:t>Deferred income taxes reflect the net tax effects of loss and credit carryforwards and temporary differences between the carrying amounts of assets and liabilities for financial reporting purposes and the amounts used for income tax purposes. The Company’s deferred income tax assets and liabilities at December 31, 2021 and 2020 were comprised of the following (in thousands):</w:t>
      </w:r>
    </w:p>
    <w:p>
      <w:pPr>
        <w:pStyle w:val="TextBody"/>
        <w:spacing w:before="0" w:after="240"/>
        <w:ind w:left="0" w:right="0" w:hanging="0"/>
        <w:jc w:val="both"/>
        <w:rPr/>
      </w:pPr>
      <w:r>
        <w:rPr/>
        <w:t>​</w:t>
      </w:r>
    </w:p>
    <w:tbl>
      <w:tblPr>
        <w:tblW w:w="5622" w:type="dxa"/>
        <w:jc w:val="left"/>
        <w:tblInd w:w="0" w:type="dxa"/>
        <w:tblCellMar>
          <w:top w:w="0" w:type="dxa"/>
          <w:left w:w="0" w:type="dxa"/>
          <w:bottom w:w="0" w:type="dxa"/>
          <w:right w:w="0" w:type="dxa"/>
        </w:tblCellMar>
      </w:tblPr>
      <w:tblGrid>
        <w:gridCol w:w="2986"/>
        <w:gridCol w:w="326"/>
        <w:gridCol w:w="211"/>
        <w:gridCol w:w="811"/>
        <w:gridCol w:w="326"/>
        <w:gridCol w:w="211"/>
        <w:gridCol w:w="751"/>
      </w:tblGrid>
      <w:tr>
        <w:trPr/>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96110" cy="175260"/>
                      <wp:effectExtent l="0" t="0" r="0" b="0"/>
                      <wp:wrapNone/>
                      <wp:docPr id="221" name="Frame189"/>
                      <a:graphic xmlns:a="http://schemas.openxmlformats.org/drawingml/2006/main">
                        <a:graphicData uri="http://schemas.microsoft.com/office/word/2010/wordprocessingShape">
                          <wps:wsp>
                            <wps:cNvSpPr txBox="1"/>
                            <wps:spPr>
                              <a:xfrm>
                                <a:off x="0" y="0"/>
                                <a:ext cx="1896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2"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3"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14985" cy="175260"/>
                      <wp:effectExtent l="0" t="0" r="0" b="0"/>
                      <wp:wrapNone/>
                      <wp:docPr id="224" name="Frame192"/>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5"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6" name="Frame1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76885" cy="175260"/>
                      <wp:effectExtent l="0" t="0" r="0" b="0"/>
                      <wp:wrapNone/>
                      <wp:docPr id="227" name="Frame195"/>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86" w:type="dxa"/>
            <w:tcBorders>
              <w:top w:val="single" w:sz="2" w:space="0" w:color="000000"/>
            </w:tcBorders>
            <w:shd w:fill="auto" w:val="clear"/>
            <w:tcMar>
              <w:top w:w="28" w:type="dxa"/>
            </w:tcMar>
            <w:vAlign w:val="center"/>
          </w:tcPr>
          <w:p>
            <w:pPr>
              <w:pStyle w:val="TableContents"/>
              <w:spacing w:before="0" w:after="0"/>
              <w:ind w:left="0" w:right="0" w:hanging="0"/>
              <w:rPr>
                <w:color w:val="231F20"/>
              </w:rPr>
            </w:pPr>
            <w:r>
              <w:rPr>
                <w:color w:val="231F20"/>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2310" w:type="dxa"/>
            <w:gridSpan w:val="5"/>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As of December 31, </w:t>
            </w:r>
          </w:p>
        </w:tc>
      </w:tr>
      <w:tr>
        <w:trPr/>
        <w:tc>
          <w:tcPr>
            <w:tcW w:w="298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298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Deferred tax 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  </w:t>
            </w:r>
          </w:p>
        </w:tc>
      </w:tr>
      <w:tr>
        <w:trPr/>
        <w:tc>
          <w:tcPr>
            <w:tcW w:w="298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Net operating loss carryforwards </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17,889</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6,168</w:t>
            </w:r>
          </w:p>
        </w:tc>
      </w:tr>
      <w:tr>
        <w:trPr/>
        <w:tc>
          <w:tcPr>
            <w:tcW w:w="298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Equity compensation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8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2,530</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color w:val="231F20"/>
              </w:rPr>
            </w:pPr>
            <w:r>
              <w:rPr>
                <w:color w:val="231F20"/>
              </w:rPr>
              <w:t> </w:t>
            </w:r>
          </w:p>
        </w:tc>
        <w:tc>
          <w:tcPr>
            <w:tcW w:w="75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500</w:t>
            </w:r>
          </w:p>
        </w:tc>
      </w:tr>
      <w:tr>
        <w:trPr/>
        <w:tc>
          <w:tcPr>
            <w:tcW w:w="298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959</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578</w:t>
            </w:r>
          </w:p>
        </w:tc>
      </w:tr>
      <w:tr>
        <w:trPr/>
        <w:tc>
          <w:tcPr>
            <w:tcW w:w="298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Total deferred tax assets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21,378</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7,246</w:t>
            </w:r>
          </w:p>
        </w:tc>
      </w:tr>
      <w:tr>
        <w:trPr/>
        <w:tc>
          <w:tcPr>
            <w:tcW w:w="298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hanging="0"/>
              <w:jc w:val="right"/>
              <w:rPr/>
            </w:pPr>
            <w:r>
              <w:rPr/>
              <w:t>  </w:t>
            </w:r>
          </w:p>
        </w:tc>
      </w:tr>
      <w:tr>
        <w:trPr/>
        <w:tc>
          <w:tcPr>
            <w:tcW w:w="298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Fixed assets </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(310)</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(15)</w:t>
            </w:r>
          </w:p>
        </w:tc>
      </w:tr>
      <w:tr>
        <w:trPr/>
        <w:tc>
          <w:tcPr>
            <w:tcW w:w="2986"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Total deferred tax liabilities </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color w:val="231F20"/>
              </w:rPr>
            </w:pPr>
            <w:r>
              <w:rPr>
                <w:color w:val="231F20"/>
              </w:rPr>
              <w:t>​</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(310)</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color w:val="231F20"/>
              </w:rPr>
            </w:pPr>
            <w:r>
              <w:rPr>
                <w:color w:val="231F20"/>
              </w:rPr>
              <w:t>​</w:t>
            </w:r>
          </w:p>
        </w:tc>
        <w:tc>
          <w:tcPr>
            <w:tcW w:w="75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(15)</w:t>
            </w:r>
          </w:p>
        </w:tc>
      </w:tr>
      <w:tr>
        <w:trPr/>
        <w:tc>
          <w:tcPr>
            <w:tcW w:w="2986"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Valuation allowance </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(21,068)</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(7,231)</w:t>
            </w:r>
          </w:p>
        </w:tc>
      </w:tr>
      <w:tr>
        <w:trPr/>
        <w:tc>
          <w:tcPr>
            <w:tcW w:w="298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Net deferred tax assets </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70" w:hanging="0"/>
              <w:jc w:val="right"/>
              <w:rPr>
                <w:color w:val="231F20"/>
              </w:rPr>
            </w:pPr>
            <w:r>
              <w:rPr>
                <w:color w:val="231F20"/>
              </w:rPr>
              <w:t>—</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$21.1 million and $7.2 million at December 31, 2021 and 2020, respectively. The change in the valuation allowance for the year end December 31, 2021 was an increase of $13.8 million.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At December 31, 2021 and 2020, the Company had Federal net operating losses (NOLs) of approximately $81.8 million and $26.1 million, and state NOLs of $10.4 million and $9.8 million, respectively. As a result of the Tax Act, as modified by the CARES Act, for U.S. income tax purposes, NOLs generated in tax years beginning before January 1, 2018 can still be carried forward for up to 20 years, but net operating losses generated for tax years beginning after December 31, 2017 carryforward indefinitely and can be used to offset taxable income, but the deductibility of such Federal NOLs may be limited to 80% of current year taxable income for tax years beginning on or after December 31, 2021. Of the total Federal net operating loss of $81.8 million, $3.3 million will begin to expire in 2032 and $78.4 million will not expire. The state NOL carryover of $10.4 million will begin to expire in 2032.</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 that has occurred or may occur in the future. Any adjustment to the Company’s tax attributes as a result of an ownership change will result in a corresponding decrease to the valuation allowance recorded against the Company’s deferred tax assets.</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Arial;Helvetica;sans-serif" w:hAnsi="Arial;Helvetica;sans-serif"/>
          <w:sz w:val="20"/>
        </w:rPr>
      </w:pPr>
      <w:bookmarkStart w:id="1152" w:name="Tc_Ah8dtd1_1USoY1yp0uOpgg_6_5"/>
      <w:bookmarkStart w:id="1153" w:name="Tc_rat1PHaWcU2qMPM4-nuYLQ_6_2"/>
      <w:bookmarkStart w:id="1154" w:name="Tc_Z_hloiJqwEqRCU1xWxHlXw_6_0"/>
      <w:bookmarkStart w:id="1155" w:name="Tc_vENbcN6vYkm94rIeKBDxow_5_0"/>
      <w:bookmarkStart w:id="1156" w:name="Tc_yptLHLKMNUa4bpKiACC-zQ_4_5"/>
      <w:bookmarkStart w:id="1157" w:name="Tc_9CZxCHfZEkOPM46VaC0nrA_4_2"/>
      <w:bookmarkStart w:id="1158" w:name="Tc_4ULC-MA8wUyA2JHglCG_oQ_4_0"/>
      <w:bookmarkStart w:id="1159" w:name="Tc_I-1qEuJb1Eq1sMEUBs_0vQ_3_5"/>
      <w:bookmarkStart w:id="1160" w:name="Tc_V-mCIMqXrE-3meSZbmW9Mw_3_2"/>
      <w:bookmarkStart w:id="1161" w:name="Tc_B6w98qSqRUKJrnRMoPI-cA_2_2"/>
      <w:bookmarkStart w:id="1162" w:name="Tc_U-IdNHHeHkC9oq-YPyz06A_1_2"/>
      <w:bookmarkEnd w:id="1152"/>
      <w:bookmarkEnd w:id="1153"/>
      <w:bookmarkEnd w:id="1154"/>
      <w:bookmarkEnd w:id="1155"/>
      <w:bookmarkEnd w:id="1156"/>
      <w:bookmarkEnd w:id="1157"/>
      <w:bookmarkEnd w:id="1158"/>
      <w:bookmarkEnd w:id="1159"/>
      <w:bookmarkEnd w:id="1160"/>
      <w:bookmarkEnd w:id="1161"/>
      <w:bookmarkEnd w:id="1162"/>
      <w:r>
        <w:rPr>
          <w:rFonts w:ascii="Arial;Helvetica;sans-serif" w:hAnsi="Arial;Helvetica;sans-serif"/>
          <w:sz w:val="20"/>
        </w:rPr>
        <w:t>The Company’s valuation allowance increased during the years ended December 31, 2021 and 2020 due primarily to the generation of net operating losses, as follows (in thousands):</w:t>
      </w:r>
    </w:p>
    <w:p>
      <w:pPr>
        <w:pStyle w:val="TextBody"/>
        <w:spacing w:before="0" w:after="240"/>
        <w:ind w:left="0" w:right="0" w:hanging="0"/>
        <w:jc w:val="both"/>
        <w:rPr/>
      </w:pPr>
      <w:r>
        <w:rPr/>
        <w:t>​</w:t>
      </w:r>
    </w:p>
    <w:tbl>
      <w:tblPr>
        <w:tblW w:w="6787" w:type="dxa"/>
        <w:jc w:val="left"/>
        <w:tblInd w:w="0" w:type="dxa"/>
        <w:tblCellMar>
          <w:top w:w="0" w:type="dxa"/>
          <w:left w:w="0" w:type="dxa"/>
          <w:bottom w:w="0" w:type="dxa"/>
          <w:right w:w="0" w:type="dxa"/>
        </w:tblCellMar>
      </w:tblPr>
      <w:tblGrid>
        <w:gridCol w:w="4321"/>
        <w:gridCol w:w="326"/>
        <w:gridCol w:w="211"/>
        <w:gridCol w:w="691"/>
        <w:gridCol w:w="326"/>
        <w:gridCol w:w="211"/>
        <w:gridCol w:w="701"/>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743835" cy="175260"/>
                      <wp:effectExtent l="0" t="0" r="0" b="0"/>
                      <wp:wrapNone/>
                      <wp:docPr id="228" name="Frame196"/>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29"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0" name="Frame1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8785" cy="175260"/>
                      <wp:effectExtent l="0" t="0" r="0" b="0"/>
                      <wp:wrapNone/>
                      <wp:docPr id="231" name="Frame19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2"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3" name="Frame2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45135" cy="175260"/>
                      <wp:effectExtent l="0" t="0" r="0" b="0"/>
                      <wp:wrapNone/>
                      <wp:docPr id="234" name="Frame202"/>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color w:val="231F20"/>
              </w:rPr>
            </w:pPr>
            <w:r>
              <w:rPr>
                <w:color w:val="231F20"/>
              </w:rPr>
              <w:t>​</w:t>
            </w:r>
          </w:p>
        </w:tc>
        <w:tc>
          <w:tcPr>
            <w:tcW w:w="2140"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b/>
                <w:color w:val="231F20"/>
                <w:sz w:val="16"/>
              </w:rPr>
              <w:t>Years</w:t>
            </w:r>
            <w:r>
              <w:rPr>
                <w:rFonts w:ascii="Arial;Helvetica;sans-serif" w:hAnsi="Arial;Helvetica;sans-serif"/>
                <w:color w:val="231F20"/>
                <w:sz w:val="16"/>
              </w:rPr>
              <w:t> </w:t>
            </w:r>
            <w:r>
              <w:rPr>
                <w:rFonts w:ascii="Arial;Helvetica;sans-serif" w:hAnsi="Arial;Helvetica;sans-serif"/>
                <w:b/>
                <w:color w:val="231F20"/>
                <w:sz w:val="16"/>
              </w:rPr>
              <w:t>Ended</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21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December 31, </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9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r>
      <w:tr>
        <w:trPr/>
        <w:tc>
          <w:tcPr>
            <w:tcW w:w="4321"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Valuation allowance at beginning of year</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7,231</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2,708</w:t>
            </w:r>
          </w:p>
        </w:tc>
      </w:tr>
      <w:tr>
        <w:trPr/>
        <w:tc>
          <w:tcPr>
            <w:tcW w:w="4321"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Increase recorded to provision for income taxes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13,837</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4,523</w:t>
            </w:r>
          </w:p>
        </w:tc>
      </w:tr>
      <w:tr>
        <w:trPr/>
        <w:tc>
          <w:tcPr>
            <w:tcW w:w="432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 xml:space="preserve">Valuation allowance at end of year </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21,068</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color w:val="231F20"/>
                <w:sz w:val="20"/>
              </w:rPr>
            </w:pPr>
            <w:r>
              <w:rPr>
                <w:rFonts w:ascii="Arial;Helvetica;sans-serif" w:hAnsi="Arial;Helvetica;sans-serif"/>
                <w:color w:val="231F20"/>
                <w:sz w:val="20"/>
              </w:rPr>
              <w:t>7,231</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has not incurred any material interest or penalties as of the current reporting date with respect to income tax matters. The Company does not expect that there will be unrecognized tax benefits within 12 months of the reporting date. The Company is subject to U.S. Federal and state income taxes. The Federal and state income tax returns for tax years prior to 2021 may remain open to examination as carry-forward attributes generated prior may be adjusted upon examination.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unrecognized tax benefit amounts are not reflected in the determination of the Company’s deferred tax assets. If recognized, none of these amounts would affect the Company’s effective tax rate, since it would be offset by an equal corresponding adjustment in the deferred tax asset valuation allowance. </w:t>
      </w:r>
    </w:p>
    <w:p>
      <w:pPr>
        <w:pStyle w:val="TextBody"/>
        <w:pBdr/>
        <w:spacing w:before="0" w:after="240"/>
        <w:ind w:left="0" w:right="0" w:hanging="360"/>
        <w:jc w:val="both"/>
        <w:rPr>
          <w:rFonts w:ascii="Arial;Helvetica;sans-serif" w:hAnsi="Arial;Helvetica;sans-serif"/>
          <w:b w:val="false"/>
          <w:sz w:val="20"/>
        </w:rPr>
      </w:pPr>
      <w:bookmarkStart w:id="1163" w:name="Tc_T0OYbQW7VEiA7uW8qoyOIQ_6_5"/>
      <w:bookmarkStart w:id="1164" w:name="Tc_f0C1oF1XREWiz91ZgK4MAQ_6_3"/>
      <w:bookmarkStart w:id="1165" w:name="Tc__ya_fxOBQEKbf43LvWFftQ_6_0"/>
      <w:bookmarkStart w:id="1166" w:name="Tc_BqV0IY7sAU6dgfbkmxKfAg_5_7"/>
      <w:bookmarkStart w:id="1167" w:name="Tc_sEtxRfB3r0aDsjIzMEO0iw_5_0"/>
      <w:bookmarkStart w:id="1168" w:name="Tc_EydNQxqI0kqTMnHlwnoWuA_4_0"/>
      <w:bookmarkStart w:id="1169" w:name="Tc_XjAmlow5t0y0_k_288SY7Q_3_7"/>
      <w:bookmarkStart w:id="1170" w:name="Tc_4Ql_JZED_U-Dresde19-6g_3_0"/>
      <w:bookmarkStart w:id="1171" w:name="Tc_1PS6Lp7kb0ScPUHPDQD7Sg_2_7"/>
      <w:bookmarkStart w:id="1172" w:name="Tc_Q26RsVFV_0ubae0_Ufr8Gg_2_5"/>
      <w:bookmarkStart w:id="1173" w:name="Tc_Yg876kL2b06C2aVmb9HBjQ_2_3"/>
      <w:bookmarkStart w:id="1174" w:name="Tc_bBQsHG3jm0WzELOfekYf5g_1_3"/>
      <w:bookmarkStart w:id="1175" w:name="Tc_VVJoNgk7XUWl9OCusltYDg_9_0"/>
      <w:bookmarkStart w:id="1176" w:name="Tc_uNWT4XUuIkCExncDef52yw_8_0"/>
      <w:bookmarkStart w:id="1177" w:name="Tc_574bfRMgDEWKxJnrSJuDHg_7_0"/>
      <w:bookmarkStart w:id="1178" w:name="Tc_tPeD_DSlVEWF8FoKFuhqSw_6_8"/>
      <w:bookmarkStart w:id="1179" w:name="Tc_7RdzSYebIE2Dof6cQF1mOw_6_5"/>
      <w:bookmarkStart w:id="1180" w:name="Tc_e3o41mhyDUyqgzYKxSicbQ_6_2"/>
      <w:bookmarkStart w:id="1181" w:name="Tc_SKu0s6jWNkaLwQais3U6Sw_6_0"/>
      <w:bookmarkStart w:id="1182" w:name="Tc_u4_IRns_YEiA_vceEChVcQ_5_9"/>
      <w:bookmarkStart w:id="1183" w:name="Tc_YLG9h8C6fUekPb94B6NbAg_5_3"/>
      <w:bookmarkStart w:id="1184" w:name="Tc_ZYfSD45Ni0CF8TkXPyl1Fg_5_0"/>
      <w:bookmarkStart w:id="1185" w:name="Tc_5ZKAcgqdHUmn29OBQm6Vng_4_8"/>
      <w:bookmarkStart w:id="1186" w:name="Tc_8_sXjV-sNEWV8-QNb7mczA_4_5"/>
      <w:bookmarkStart w:id="1187" w:name="Tc_rlUzUV_YnUuMsJeDDODpIA_4_2"/>
      <w:bookmarkStart w:id="1188" w:name="Tc_Kx1H44Y8VE-VYpN7i0A1zg_4_0"/>
      <w:bookmarkStart w:id="1189" w:name="Tc_IclPv-qVSkSX4No_ummkTg_3_0"/>
      <w:bookmarkStart w:id="1190" w:name="Tc_B09u0FAZnUOJsceZC3VU9g_2_9"/>
      <w:bookmarkStart w:id="1191" w:name="Tc_Z44VJVdHcEmhEAPQvTbsKA_2_5"/>
      <w:bookmarkStart w:id="1192" w:name="Tc_i5_jfdV_E02kTxAA_KTmfA_2_2"/>
      <w:bookmarkStart w:id="1193" w:name="Tc_FRDrdNDDbEWT4xH1iFiCYw_1_2"/>
      <w:bookmarkStart w:id="1194" w:name="_9528c46b_523d_4536_b1c2_74560ce8b664"/>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Arial;Helvetica;sans-serif" w:hAnsi="Arial;Helvetica;sans-serif"/>
          <w:b w:val="false"/>
          <w:sz w:val="20"/>
        </w:rPr>
        <w:t xml:space="preserve">12.  Net Loss Per Common Share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Net Loss Per Common Share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Basic and diluted net loss per common share was calculated as follows (in thousands, except share and per share amounts):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5663"/>
        <w:gridCol w:w="326"/>
        <w:gridCol w:w="211"/>
        <w:gridCol w:w="1066"/>
        <w:gridCol w:w="326"/>
        <w:gridCol w:w="211"/>
        <w:gridCol w:w="961"/>
        <w:gridCol w:w="109"/>
        <w:gridCol w:w="326"/>
        <w:gridCol w:w="1006"/>
      </w:tblGrid>
      <w:tr>
        <w:trPr/>
        <w:tc>
          <w:tcPr>
            <w:tcW w:w="56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596005" cy="175260"/>
                      <wp:effectExtent l="0" t="0" r="0" b="0"/>
                      <wp:wrapNone/>
                      <wp:docPr id="235" name="Frame203"/>
                      <a:graphic xmlns:a="http://schemas.openxmlformats.org/drawingml/2006/main">
                        <a:graphicData uri="http://schemas.microsoft.com/office/word/2010/wordprocessingShape">
                          <wps:wsp>
                            <wps:cNvSpPr txBox="1"/>
                            <wps:spPr>
                              <a:xfrm>
                                <a:off x="0" y="0"/>
                                <a:ext cx="3596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6"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37" name="Frame2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76910" cy="175260"/>
                      <wp:effectExtent l="0" t="0" r="0" b="0"/>
                      <wp:wrapNone/>
                      <wp:docPr id="238" name="Frame20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39"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0" name="Frame2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10235" cy="175260"/>
                      <wp:effectExtent l="0" t="0" r="0" b="0"/>
                      <wp:wrapNone/>
                      <wp:docPr id="241" name="Frame20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2" name="Frame2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3"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38810" cy="175260"/>
                      <wp:effectExtent l="0" t="0" r="0" b="0"/>
                      <wp:wrapNone/>
                      <wp:docPr id="244" name="Frame21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63" w:type="dxa"/>
            <w:tcBorders>
              <w:top w:val="single" w:sz="2" w:space="0" w:color="000000"/>
            </w:tcBorders>
            <w:shd w:fill="auto" w:val="clear"/>
            <w:tcMar>
              <w:top w:w="28" w:type="dxa"/>
            </w:tcMar>
            <w:vAlign w:val="center"/>
          </w:tcPr>
          <w:p>
            <w:pPr>
              <w:pStyle w:val="TableContents"/>
              <w:spacing w:before="0" w:after="0"/>
              <w:ind w:left="0" w:right="0" w:hanging="0"/>
              <w:jc w:val="right"/>
              <w:rPr>
                <w:color w:val="231F20"/>
              </w:rPr>
            </w:pPr>
            <w:r>
              <w:rPr>
                <w:color w:val="231F20"/>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color w:val="231F20"/>
              </w:rPr>
            </w:pPr>
            <w:r>
              <w:rPr>
                <w:color w:val="231F20"/>
              </w:rPr>
              <w:t>​</w:t>
            </w:r>
          </w:p>
        </w:tc>
        <w:tc>
          <w:tcPr>
            <w:tcW w:w="4216" w:type="dxa"/>
            <w:gridSpan w:val="8"/>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Years Ended December 31, </w:t>
            </w:r>
          </w:p>
        </w:tc>
      </w:tr>
      <w:tr>
        <w:trPr/>
        <w:tc>
          <w:tcPr>
            <w:tcW w:w="5663"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12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    </w:t>
            </w:r>
          </w:p>
        </w:tc>
        <w:tc>
          <w:tcPr>
            <w:tcW w:w="11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center"/>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color w:val="231F20"/>
                <w:sz w:val="16"/>
              </w:rPr>
            </w:pPr>
            <w:r>
              <w:rPr>
                <w:rFonts w:ascii="Arial;Helvetica;sans-serif" w:hAnsi="Arial;Helvetica;sans-serif"/>
                <w:b/>
                <w:color w:val="231F20"/>
                <w:sz w:val="16"/>
              </w:rPr>
              <w:t>2019</w:t>
            </w:r>
          </w:p>
        </w:tc>
      </w:tr>
      <w:tr>
        <w:trPr/>
        <w:tc>
          <w:tcPr>
            <w:tcW w:w="5663"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Numerator:</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color w:val="231F20"/>
              </w:rPr>
            </w:pPr>
            <w:r>
              <w:rPr>
                <w:color w:val="231F20"/>
              </w:rPr>
              <w:t>​</w:t>
            </w:r>
          </w:p>
        </w:tc>
        <w:tc>
          <w:tcPr>
            <w:tcW w:w="1066"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shd w:fill="CCEEFF" w:val="clear"/>
            <w:vAlign w:val="center"/>
          </w:tcPr>
          <w:p>
            <w:pPr>
              <w:pStyle w:val="TableContents"/>
              <w:spacing w:before="0" w:after="0"/>
              <w:ind w:left="0" w:right="0" w:hanging="0"/>
              <w:jc w:val="right"/>
              <w:rPr>
                <w:color w:val="231F20"/>
              </w:rPr>
            </w:pPr>
            <w:r>
              <w:rPr>
                <w:color w:val="231F20"/>
              </w:rPr>
              <w:t>​</w:t>
            </w:r>
          </w:p>
        </w:tc>
        <w:tc>
          <w:tcPr>
            <w:tcW w:w="961" w:type="dxa"/>
            <w:tcBorders/>
            <w:shd w:fill="CCEEFF" w:val="clear"/>
            <w:vAlign w:val="center"/>
          </w:tcPr>
          <w:p>
            <w:pPr>
              <w:pStyle w:val="TableContents"/>
              <w:spacing w:before="0" w:after="0"/>
              <w:ind w:left="0" w:right="0" w:hanging="0"/>
              <w:jc w:val="right"/>
              <w:rPr>
                <w:color w:val="231F20"/>
              </w:rPr>
            </w:pPr>
            <w:r>
              <w:rPr>
                <w:color w:val="231F20"/>
              </w:rPr>
              <w:t>​</w:t>
            </w:r>
          </w:p>
        </w:tc>
        <w:tc>
          <w:tcPr>
            <w:tcW w:w="109"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jc w:val="right"/>
              <w:rPr>
                <w:color w:val="231F20"/>
              </w:rPr>
            </w:pPr>
            <w:r>
              <w:rPr>
                <w:color w:val="231F20"/>
              </w:rPr>
              <w:t>​</w:t>
            </w:r>
          </w:p>
        </w:tc>
        <w:tc>
          <w:tcPr>
            <w:tcW w:w="1006" w:type="dxa"/>
            <w:tcBorders/>
            <w:shd w:fill="CCEEFF" w:val="clear"/>
            <w:vAlign w:val="center"/>
          </w:tcPr>
          <w:p>
            <w:pPr>
              <w:pStyle w:val="TableContents"/>
              <w:spacing w:before="0" w:after="0"/>
              <w:ind w:left="0" w:right="0" w:hanging="0"/>
              <w:jc w:val="right"/>
              <w:rPr>
                <w:color w:val="231F20"/>
              </w:rPr>
            </w:pPr>
            <w:r>
              <w:rPr>
                <w:color w:val="231F20"/>
              </w:rPr>
              <w:t>​</w:t>
            </w:r>
          </w:p>
        </w:tc>
      </w:tr>
      <w:tr>
        <w:trPr/>
        <w:tc>
          <w:tcPr>
            <w:tcW w:w="5663"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Net loss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(71,096)</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(22,121)</w:t>
            </w:r>
          </w:p>
        </w:tc>
        <w:tc>
          <w:tcPr>
            <w:tcW w:w="109"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(4,316)</w:t>
            </w:r>
          </w:p>
        </w:tc>
      </w:tr>
      <w:tr>
        <w:trPr/>
        <w:tc>
          <w:tcPr>
            <w:tcW w:w="5663"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Repurchase and retirement of Series A and Series A-1 convertible preferred stock</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1066"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(1,869)</w:t>
            </w:r>
          </w:p>
        </w:tc>
        <w:tc>
          <w:tcPr>
            <w:tcW w:w="109"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r>
      <w:tr>
        <w:trPr/>
        <w:tc>
          <w:tcPr>
            <w:tcW w:w="5663"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Net loss attributable to common stockholders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(71,096)</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(23,990)</w:t>
            </w:r>
          </w:p>
        </w:tc>
        <w:tc>
          <w:tcPr>
            <w:tcW w:w="109" w:type="dxa"/>
            <w:tcBorders>
              <w:bottom w:val="double" w:sz="6"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(4,316)</w:t>
            </w:r>
          </w:p>
        </w:tc>
      </w:tr>
      <w:tr>
        <w:trPr/>
        <w:tc>
          <w:tcPr>
            <w:tcW w:w="5663" w:type="dxa"/>
            <w:tcBorders/>
            <w:shd w:fill="CCEEFF"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Denominator: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10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61"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06" w:type="dxa"/>
            <w:tcBorders/>
            <w:shd w:fill="CCEEFF" w:val="clear"/>
            <w:vAlign w:val="center"/>
          </w:tcPr>
          <w:p>
            <w:pPr>
              <w:pStyle w:val="TableContents"/>
              <w:spacing w:before="0" w:after="0"/>
              <w:ind w:left="0" w:right="0" w:hanging="0"/>
              <w:jc w:val="right"/>
              <w:rPr/>
            </w:pPr>
            <w:r>
              <w:rPr/>
              <w:t>  </w:t>
            </w:r>
          </w:p>
        </w:tc>
      </w:tr>
      <w:tr>
        <w:trPr/>
        <w:tc>
          <w:tcPr>
            <w:tcW w:w="5663" w:type="dxa"/>
            <w:tcBorders/>
            <w:shd w:fill="auto" w:val="cle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Weighted average shares used to compute net loss per share attributable to common stockholders, 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39,524,272</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7,021,468</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2,593,316</w:t>
            </w:r>
          </w:p>
        </w:tc>
      </w:tr>
      <w:tr>
        <w:trPr/>
        <w:tc>
          <w:tcPr>
            <w:tcW w:w="5663"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color w:val="231F20"/>
                <w:sz w:val="20"/>
              </w:rPr>
            </w:pPr>
            <w:r>
              <w:rPr>
                <w:rFonts w:ascii="Arial;Helvetica;sans-serif" w:hAnsi="Arial;Helvetica;sans-serif"/>
                <w:color w:val="231F20"/>
                <w:sz w:val="20"/>
              </w:rPr>
              <w:t>Net loss per share attributable to common stockholders, basic and diluted</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t>
            </w:r>
          </w:p>
        </w:tc>
        <w:tc>
          <w:tcPr>
            <w:tcW w:w="10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(1.80)</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color w:val="231F20"/>
              </w:rPr>
            </w:pPr>
            <w:r>
              <w:rPr>
                <w:color w:val="231F20"/>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(3.42)</w:t>
            </w:r>
          </w:p>
        </w:tc>
        <w:tc>
          <w:tcPr>
            <w:tcW w:w="109" w:type="dxa"/>
            <w:tcBorders>
              <w:bottom w:val="double" w:sz="6" w:space="0" w:color="000000"/>
            </w:tcBorders>
            <w:shd w:fill="CCEEFF" w:val="clear"/>
            <w:tcMar>
              <w:bottom w:w="28" w:type="dxa"/>
            </w:tcMar>
            <w:vAlign w:val="center"/>
          </w:tcPr>
          <w:p>
            <w:pPr>
              <w:pStyle w:val="TableContents"/>
              <w:spacing w:before="0" w:after="0"/>
              <w:ind w:left="0" w:right="0" w:hanging="0"/>
              <w:jc w:val="right"/>
              <w:rPr>
                <w:color w:val="231F20"/>
              </w:rPr>
            </w:pPr>
            <w:r>
              <w:rPr>
                <w:color w:val="231F20"/>
              </w:rPr>
              <w:t>​</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20"/>
              </w:rPr>
              <w:t>$</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color w:val="231F20"/>
                <w:sz w:val="20"/>
              </w:rPr>
            </w:pPr>
            <w:r>
              <w:rPr>
                <w:rFonts w:ascii="Arial;Helvetica;sans-serif" w:hAnsi="Arial;Helvetica;sans-serif"/>
                <w:color w:val="231F20"/>
                <w:sz w:val="20"/>
              </w:rPr>
              <w:t>(1.66)</w:t>
            </w:r>
          </w:p>
        </w:tc>
      </w:tr>
    </w:tbl>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The potentially dilutive shares that were excluded from the calculation of diluted net loss per share because their effect would have been anti-dilutive for the periods presented are as follows:</w:t>
      </w:r>
    </w:p>
    <w:p>
      <w:pPr>
        <w:pStyle w:val="TextBody"/>
        <w:spacing w:before="0" w:after="240"/>
        <w:ind w:left="0" w:right="0" w:hanging="0"/>
        <w:jc w:val="both"/>
        <w:rPr/>
      </w:pPr>
      <w:r>
        <w:rPr/>
        <w:t>​</w:t>
      </w:r>
    </w:p>
    <w:tbl>
      <w:tblPr>
        <w:tblW w:w="8991" w:type="dxa"/>
        <w:jc w:val="left"/>
        <w:tblInd w:w="0" w:type="dxa"/>
        <w:tblCellMar>
          <w:top w:w="0" w:type="dxa"/>
          <w:left w:w="0" w:type="dxa"/>
          <w:bottom w:w="0" w:type="dxa"/>
          <w:right w:w="0" w:type="dxa"/>
        </w:tblCellMar>
      </w:tblPr>
      <w:tblGrid>
        <w:gridCol w:w="5446"/>
        <w:gridCol w:w="146"/>
        <w:gridCol w:w="109"/>
        <w:gridCol w:w="961"/>
        <w:gridCol w:w="146"/>
        <w:gridCol w:w="961"/>
        <w:gridCol w:w="146"/>
        <w:gridCol w:w="1076"/>
      </w:tblGrid>
      <w:tr>
        <w:trPr/>
        <w:tc>
          <w:tcPr>
            <w:tcW w:w="5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458210" cy="175260"/>
                      <wp:effectExtent l="0" t="0" r="0" b="0"/>
                      <wp:wrapNone/>
                      <wp:docPr id="245" name="Frame213"/>
                      <a:graphic xmlns:a="http://schemas.openxmlformats.org/drawingml/2006/main">
                        <a:graphicData uri="http://schemas.microsoft.com/office/word/2010/wordprocessingShape">
                          <wps:wsp>
                            <wps:cNvSpPr txBox="1"/>
                            <wps:spPr>
                              <a:xfrm>
                                <a:off x="0" y="0"/>
                                <a:ext cx="3458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2710" cy="175260"/>
                      <wp:effectExtent l="0" t="0" r="0" b="0"/>
                      <wp:wrapNone/>
                      <wp:docPr id="246" name="Frame21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47" name="Frame2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10235" cy="175260"/>
                      <wp:effectExtent l="0" t="0" r="0" b="0"/>
                      <wp:wrapNone/>
                      <wp:docPr id="248" name="Frame216"/>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2710" cy="175260"/>
                      <wp:effectExtent l="0" t="0" r="0" b="0"/>
                      <wp:wrapNone/>
                      <wp:docPr id="249" name="Frame21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10235" cy="175260"/>
                      <wp:effectExtent l="0" t="0" r="0" b="0"/>
                      <wp:wrapNone/>
                      <wp:docPr id="250" name="Frame21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710" cy="175260"/>
                      <wp:effectExtent l="0" t="0" r="0" b="0"/>
                      <wp:wrapNone/>
                      <wp:docPr id="251" name="Frame21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83260" cy="175260"/>
                      <wp:effectExtent l="0" t="0" r="0" b="0"/>
                      <wp:wrapNone/>
                      <wp:docPr id="252" name="Frame220"/>
                      <a:graphic xmlns:a="http://schemas.openxmlformats.org/drawingml/2006/main">
                        <a:graphicData uri="http://schemas.microsoft.com/office/word/2010/wordprocessingShape">
                          <wps:wsp>
                            <wps:cNvSpPr txBox="1"/>
                            <wps:spPr>
                              <a:xfrm>
                                <a:off x="0" y="0"/>
                                <a:ext cx="683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44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1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90" w:type="dxa"/>
            <w:gridSpan w:val="5"/>
            <w:tcBorders>
              <w:top w:val="single" w:sz="2" w:space="0" w:color="000000"/>
              <w:bottom w:val="single" w:sz="2" w:space="0" w:color="000000"/>
            </w:tcBorders>
            <w:shd w:fill="auto" w:val="clear"/>
            <w:tcMar>
              <w:top w:w="28" w:type="dxa"/>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Years Ended December 31, </w:t>
            </w:r>
          </w:p>
        </w:tc>
      </w:tr>
      <w:tr>
        <w:trPr/>
        <w:tc>
          <w:tcPr>
            <w:tcW w:w="5446" w:type="dxa"/>
            <w:tcBorders/>
            <w:shd w:fill="auto" w:val="clear"/>
            <w:vAlign w:val="center"/>
          </w:tcPr>
          <w:p>
            <w:pPr>
              <w:pStyle w:val="TableContents"/>
              <w:spacing w:before="0" w:after="1"/>
              <w:ind w:left="0" w:right="0" w:hanging="0"/>
              <w:rPr>
                <w:color w:val="231F20"/>
              </w:rPr>
            </w:pPr>
            <w:r>
              <w:rPr>
                <w:color w:val="231F20"/>
              </w:rPr>
              <w:t>​</w:t>
            </w:r>
          </w:p>
        </w:tc>
        <w:tc>
          <w:tcPr>
            <w:tcW w:w="146" w:type="dxa"/>
            <w:tcBorders/>
            <w:shd w:fill="auto" w:val="clear"/>
            <w:vAlign w:val="center"/>
          </w:tcPr>
          <w:p>
            <w:pPr>
              <w:pStyle w:val="TableContents"/>
              <w:spacing w:before="0" w:after="1"/>
              <w:ind w:left="0" w:right="0" w:hanging="0"/>
              <w:rPr>
                <w:color w:val="231F20"/>
              </w:rPr>
            </w:pPr>
            <w:r>
              <w:rPr>
                <w:color w:val="231F20"/>
              </w:rPr>
              <w:t>​</w:t>
            </w:r>
          </w:p>
        </w:tc>
        <w:tc>
          <w:tcPr>
            <w:tcW w:w="109" w:type="dxa"/>
            <w:tcBorders/>
            <w:shd w:fill="auto" w:val="clear"/>
            <w:vAlign w:val="center"/>
          </w:tcPr>
          <w:p>
            <w:pPr>
              <w:pStyle w:val="TableContents"/>
              <w:spacing w:before="0" w:after="1"/>
              <w:ind w:left="0" w:right="0" w:hanging="0"/>
              <w:rPr>
                <w:color w:val="231F20"/>
              </w:rPr>
            </w:pPr>
            <w:r>
              <w:rPr>
                <w:color w:val="231F20"/>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2020</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jc w:val="center"/>
              <w:rPr>
                <w:color w:val="231F20"/>
              </w:rPr>
            </w:pPr>
            <w:r>
              <w:rPr>
                <w:color w:val="231F20"/>
              </w:rPr>
              <w:t>​</w:t>
            </w:r>
          </w:p>
        </w:tc>
        <w:tc>
          <w:tcPr>
            <w:tcW w:w="10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2019</w:t>
            </w:r>
          </w:p>
        </w:tc>
      </w:tr>
      <w:tr>
        <w:trPr/>
        <w:tc>
          <w:tcPr>
            <w:tcW w:w="5446"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 xml:space="preserve">Unvested restricted common stock </w:t>
            </w:r>
          </w:p>
        </w:tc>
        <w:tc>
          <w:tcPr>
            <w:tcW w:w="146"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493,185</w:t>
            </w:r>
          </w:p>
        </w:tc>
        <w:tc>
          <w:tcPr>
            <w:tcW w:w="146" w:type="dxa"/>
            <w:tcBorders/>
            <w:shd w:fill="CCEEFF" w:val="clear"/>
            <w:vAlign w:val="center"/>
          </w:tcPr>
          <w:p>
            <w:pPr>
              <w:pStyle w:val="TableContents"/>
              <w:spacing w:before="0" w:after="1"/>
              <w:ind w:left="0" w:right="0" w:hanging="0"/>
              <w:rPr>
                <w:color w:val="231F20"/>
              </w:rPr>
            </w:pPr>
            <w:r>
              <w:rPr>
                <w:color w:val="231F20"/>
              </w:rPr>
              <w:t> </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735,294</w:t>
            </w:r>
          </w:p>
        </w:tc>
        <w:tc>
          <w:tcPr>
            <w:tcW w:w="146" w:type="dxa"/>
            <w:tcBorders/>
            <w:shd w:fill="CCEEFF" w:val="clear"/>
            <w:vAlign w:val="center"/>
          </w:tcPr>
          <w:p>
            <w:pPr>
              <w:pStyle w:val="TableContents"/>
              <w:spacing w:before="0" w:after="1"/>
              <w:ind w:left="0" w:right="0" w:hanging="0"/>
              <w:rPr>
                <w:color w:val="231F20"/>
              </w:rPr>
            </w:pPr>
            <w:r>
              <w:rPr>
                <w:color w:val="231F20"/>
              </w:rPr>
              <w:t> </w:t>
            </w:r>
          </w:p>
        </w:tc>
        <w:tc>
          <w:tcPr>
            <w:tcW w:w="1076" w:type="dxa"/>
            <w:tcBorders/>
            <w:shd w:fill="CCEEFF" w:val="clear"/>
            <w:vAlign w:val="center"/>
          </w:tcPr>
          <w:p>
            <w:pPr>
              <w:pStyle w:val="TableContents"/>
              <w:spacing w:before="0" w:after="1"/>
              <w:ind w:left="0" w:right="0" w:hanging="0"/>
              <w:jc w:val="right"/>
              <w:rPr>
                <w:color w:val="231F20"/>
              </w:rPr>
            </w:pPr>
            <w:r>
              <w:rPr>
                <w:color w:val="231F20"/>
              </w:rPr>
              <w:t>—</w:t>
            </w:r>
          </w:p>
        </w:tc>
      </w:tr>
      <w:tr>
        <w:trPr/>
        <w:tc>
          <w:tcPr>
            <w:tcW w:w="5446"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Options to purchase common stock</w:t>
            </w:r>
          </w:p>
        </w:tc>
        <w:tc>
          <w:tcPr>
            <w:tcW w:w="146" w:type="dxa"/>
            <w:tcBorders/>
            <w:shd w:fill="auto" w:val="clear"/>
            <w:vAlign w:val="center"/>
          </w:tcPr>
          <w:p>
            <w:pPr>
              <w:pStyle w:val="TableContents"/>
              <w:spacing w:before="0" w:after="1"/>
              <w:ind w:left="0" w:right="0" w:hanging="0"/>
              <w:rPr/>
            </w:pPr>
            <w:r>
              <w:rPr/>
              <w:t> </w:t>
            </w:r>
          </w:p>
        </w:tc>
        <w:tc>
          <w:tcPr>
            <w:tcW w:w="109"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5,768,028</w:t>
            </w:r>
          </w:p>
        </w:tc>
        <w:tc>
          <w:tcPr>
            <w:tcW w:w="146" w:type="dxa"/>
            <w:tcBorders/>
            <w:shd w:fill="auto" w:val="clear"/>
            <w:vAlign w:val="center"/>
          </w:tcPr>
          <w:p>
            <w:pPr>
              <w:pStyle w:val="TableContents"/>
              <w:spacing w:before="0" w:after="1"/>
              <w:ind w:left="0" w:right="0" w:hanging="0"/>
              <w:rPr>
                <w:color w:val="231F20"/>
              </w:rPr>
            </w:pPr>
            <w:r>
              <w:rPr>
                <w:color w:val="231F20"/>
              </w:rPr>
              <w:t> </w:t>
            </w:r>
          </w:p>
        </w:tc>
        <w:tc>
          <w:tcPr>
            <w:tcW w:w="961"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4,776,908</w:t>
            </w:r>
          </w:p>
        </w:tc>
        <w:tc>
          <w:tcPr>
            <w:tcW w:w="146" w:type="dxa"/>
            <w:tcBorders/>
            <w:shd w:fill="auto" w:val="clear"/>
            <w:vAlign w:val="center"/>
          </w:tcPr>
          <w:p>
            <w:pPr>
              <w:pStyle w:val="TableContents"/>
              <w:spacing w:before="0" w:after="1"/>
              <w:ind w:left="0" w:right="0" w:hanging="0"/>
              <w:rPr>
                <w:color w:val="231F20"/>
              </w:rPr>
            </w:pPr>
            <w:r>
              <w:rPr>
                <w:color w:val="231F20"/>
              </w:rPr>
              <w:t> </w:t>
            </w:r>
          </w:p>
        </w:tc>
        <w:tc>
          <w:tcPr>
            <w:tcW w:w="1076" w:type="dxa"/>
            <w:tcBorders/>
            <w:shd w:fill="auto"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322,811</w:t>
            </w:r>
          </w:p>
        </w:tc>
      </w:tr>
      <w:tr>
        <w:trPr/>
        <w:tc>
          <w:tcPr>
            <w:tcW w:w="5446" w:type="dxa"/>
            <w:tcBorders/>
            <w:shd w:fill="CCEEFF"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Employee stock purchase plan contingently issuable</w:t>
            </w:r>
          </w:p>
        </w:tc>
        <w:tc>
          <w:tcPr>
            <w:tcW w:w="14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17,110</w:t>
            </w:r>
          </w:p>
        </w:tc>
        <w:tc>
          <w:tcPr>
            <w:tcW w:w="146" w:type="dxa"/>
            <w:tcBorders/>
            <w:shd w:fill="CCEEFF" w:val="clear"/>
            <w:vAlign w:val="center"/>
          </w:tcPr>
          <w:p>
            <w:pPr>
              <w:pStyle w:val="TableContents"/>
              <w:spacing w:before="0" w:after="1"/>
              <w:ind w:left="0" w:right="0" w:hanging="0"/>
              <w:rPr>
                <w:color w:val="231F20"/>
              </w:rPr>
            </w:pPr>
            <w:r>
              <w:rPr>
                <w:color w:val="231F20"/>
              </w:rPr>
              <w:t>​</w:t>
            </w:r>
          </w:p>
        </w:tc>
        <w:tc>
          <w:tcPr>
            <w:tcW w:w="9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5,602</w:t>
            </w:r>
          </w:p>
        </w:tc>
        <w:tc>
          <w:tcPr>
            <w:tcW w:w="146" w:type="dxa"/>
            <w:tcBorders/>
            <w:shd w:fill="CCEEFF" w:val="clear"/>
            <w:vAlign w:val="center"/>
          </w:tcPr>
          <w:p>
            <w:pPr>
              <w:pStyle w:val="TableContents"/>
              <w:spacing w:before="0" w:after="1"/>
              <w:ind w:left="0" w:right="0" w:hanging="0"/>
              <w:rPr>
                <w:color w:val="231F20"/>
              </w:rPr>
            </w:pPr>
            <w:r>
              <w:rPr>
                <w:color w:val="231F20"/>
              </w:rPr>
              <w:t>​</w:t>
            </w:r>
          </w:p>
        </w:tc>
        <w:tc>
          <w:tcPr>
            <w:tcW w:w="1076" w:type="dxa"/>
            <w:tcBorders/>
            <w:shd w:fill="CCEEFF" w:val="clear"/>
            <w:vAlign w:val="center"/>
          </w:tcPr>
          <w:p>
            <w:pPr>
              <w:pStyle w:val="TableContents"/>
              <w:spacing w:before="0" w:after="1"/>
              <w:ind w:left="0" w:right="0" w:hanging="0"/>
              <w:jc w:val="right"/>
              <w:rPr/>
            </w:pPr>
            <w:r>
              <w:rPr/>
              <w:t>—</w:t>
            </w:r>
          </w:p>
        </w:tc>
      </w:tr>
      <w:tr>
        <w:trPr/>
        <w:tc>
          <w:tcPr>
            <w:tcW w:w="5446" w:type="dxa"/>
            <w:tcBorders/>
            <w:shd w:fill="auto" w:val="clear"/>
            <w:vAlign w:val="center"/>
          </w:tcPr>
          <w:p>
            <w:pPr>
              <w:pStyle w:val="TableContents"/>
              <w:spacing w:before="0" w:after="1"/>
              <w:ind w:left="0" w:right="0" w:hanging="0"/>
              <w:rPr>
                <w:rFonts w:ascii="Arial;Helvetica;sans-serif" w:hAnsi="Arial;Helvetica;sans-serif"/>
                <w:color w:val="231F20"/>
                <w:sz w:val="20"/>
              </w:rPr>
            </w:pPr>
            <w:r>
              <w:rPr>
                <w:rFonts w:ascii="Arial;Helvetica;sans-serif" w:hAnsi="Arial;Helvetica;sans-serif"/>
                <w:color w:val="231F20"/>
                <w:sz w:val="20"/>
              </w:rPr>
              <w:t>Convertible preferred stock (as converted to common shares)</w:t>
            </w:r>
          </w:p>
        </w:tc>
        <w:tc>
          <w:tcPr>
            <w:tcW w:w="1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4,628,215</w:t>
            </w:r>
          </w:p>
        </w:tc>
      </w:tr>
      <w:tr>
        <w:trPr/>
        <w:tc>
          <w:tcPr>
            <w:tcW w:w="544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4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6,278,323</w:t>
            </w:r>
          </w:p>
        </w:tc>
        <w:tc>
          <w:tcPr>
            <w:tcW w:w="14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color w:val="231F20"/>
                <w:sz w:val="20"/>
              </w:rPr>
            </w:pPr>
            <w:r>
              <w:rPr>
                <w:rFonts w:ascii="Arial;Helvetica;sans-serif" w:hAnsi="Arial;Helvetica;sans-serif"/>
                <w:color w:val="231F20"/>
                <w:sz w:val="20"/>
              </w:rPr>
              <w:t>5,517,804</w:t>
            </w:r>
          </w:p>
        </w:tc>
        <w:tc>
          <w:tcPr>
            <w:tcW w:w="146" w:type="dxa"/>
            <w:tcBorders>
              <w:bottom w:val="double" w:sz="6" w:space="0" w:color="000000"/>
            </w:tcBorders>
            <w:shd w:fill="CCEEFF" w:val="clear"/>
            <w:tcMar>
              <w:bottom w:w="28" w:type="dxa"/>
            </w:tcMar>
            <w:vAlign w:val="center"/>
          </w:tcPr>
          <w:p>
            <w:pPr>
              <w:pStyle w:val="TableContents"/>
              <w:spacing w:before="0" w:after="1"/>
              <w:ind w:left="0" w:right="0" w:hanging="0"/>
              <w:rPr>
                <w:color w:val="231F20"/>
              </w:rPr>
            </w:pPr>
            <w:r>
              <w:rPr>
                <w:color w:val="231F20"/>
              </w:rPr>
              <w:t> </w:t>
            </w:r>
          </w:p>
        </w:tc>
        <w:tc>
          <w:tcPr>
            <w:tcW w:w="1076"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color w:val="231F20"/>
                <w:sz w:val="20"/>
              </w:rPr>
            </w:pPr>
            <w:r>
              <w:rPr>
                <w:rFonts w:ascii="Arial;Helvetica;sans-serif" w:hAnsi="Arial;Helvetica;sans-serif"/>
                <w:color w:val="231F20"/>
                <w:sz w:val="20"/>
              </w:rPr>
              <w:t>4,951,026</w:t>
            </w:r>
          </w:p>
        </w:tc>
      </w:tr>
    </w:tbl>
    <w:p>
      <w:pPr>
        <w:pStyle w:val="TextBody"/>
        <w:spacing w:before="0" w:after="240"/>
        <w:ind w:left="0" w:right="0" w:hanging="0"/>
        <w:jc w:val="both"/>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Included in the potentially dilutive options to purchase common stock noted above for 2019 are 211,621 shares issued upon exercise of options under non-recourse notes receivable during 2015 (see Note 10, “Stock-Based Compensation”). The Company determined the purchase of the stock to be non-substantive, and as such,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shares subject to the promissory notes will not be deemed outstanding until such time as the promissory notes have been repaid. Accordingly, the Company has excluded these shares from the calculation of basic and diluted net loss per share for the year ended December 31, 2019.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year ended December 31, 2020. As of December 31, 2021, included in the potentially dilutive options to purchase common stock are 46,598 unvested stock options that were early exercised by an employee and a non-employee in September 2020 (see Note 10, “Stock-Based Compensation”). The Company determined the early exercises to be non-substantive as the shares were subject to repurchase rights. Accordingly, the Company has excluded these shares from the calculation of basic and diluted net loss per share for the year ended December 31, 2021.</w:t>
      </w:r>
    </w:p>
    <w:p>
      <w:pPr>
        <w:pStyle w:val="TextBody"/>
        <w:spacing w:before="0" w:after="240"/>
        <w:ind w:left="331" w:right="0" w:hanging="0"/>
        <w:jc w:val="both"/>
        <w:rPr/>
      </w:pPr>
      <w:r>
        <w:rPr/>
        <w:t>​</w:t>
      </w:r>
    </w:p>
    <w:p>
      <w:pPr>
        <w:pStyle w:val="TextBody"/>
        <w:spacing w:before="0" w:after="240"/>
        <w:ind w:left="0" w:right="0" w:hanging="0"/>
        <w:jc w:val="both"/>
        <w:rPr>
          <w:rFonts w:ascii="Arial;Helvetica;sans-serif" w:hAnsi="Arial;Helvetica;sans-serif"/>
          <w:b w:val="false"/>
          <w:sz w:val="20"/>
        </w:rPr>
      </w:pPr>
      <w:bookmarkStart w:id="1195" w:name="Tc_DLQZz7Tbq06uKZiBkzsK5w_6_2"/>
      <w:bookmarkStart w:id="1196" w:name="Tc_Rtv8ocqSb0iqm2MA6EcJOw_6_0"/>
      <w:bookmarkStart w:id="1197" w:name="Tc_iApLvU4GFk-rKUcZMYsb4Q_5_0"/>
      <w:bookmarkStart w:id="1198" w:name="Tc_bHQK1NCnc0-iJGDY7vZwyw_4_0"/>
      <w:bookmarkStart w:id="1199" w:name="Tc_WytZ_zFqr0yMnWz3R6qKGg_3_2"/>
      <w:bookmarkStart w:id="1200" w:name="Tc_EK_By3IchkKtAcdAHK9HjA_3_0"/>
      <w:bookmarkStart w:id="1201" w:name="Tc_7WM9K9ndu022kbY4BBroeA_2_3"/>
      <w:bookmarkStart w:id="1202" w:name="Tc_Pm7vy_9W3UWnGjS1uOnN_g_1_3"/>
      <w:bookmarkStart w:id="1203" w:name="_848dd263_9192_482f_90b1_d1bd4598b207"/>
      <w:bookmarkEnd w:id="1195"/>
      <w:bookmarkEnd w:id="1196"/>
      <w:bookmarkEnd w:id="1197"/>
      <w:bookmarkEnd w:id="1198"/>
      <w:bookmarkEnd w:id="1199"/>
      <w:bookmarkEnd w:id="1200"/>
      <w:bookmarkEnd w:id="1201"/>
      <w:bookmarkEnd w:id="1202"/>
      <w:bookmarkEnd w:id="1203"/>
      <w:r>
        <w:rPr>
          <w:rFonts w:ascii="Arial;Helvetica;sans-serif" w:hAnsi="Arial;Helvetica;sans-serif"/>
          <w:b w:val="false"/>
          <w:sz w:val="20"/>
        </w:rPr>
        <w:t xml:space="preserve">13.  Lease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Management Services Agreements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highlight w:val="white"/>
        </w:rPr>
        <w:t xml:space="preserve">The Company leases certain of its facilities under non-cancellable operating leases expiring at various dates through 2026. </w:t>
      </w:r>
      <w:r>
        <w:rPr>
          <w:rFonts w:ascii="Arial;Helvetica;sans-serif" w:hAnsi="Arial;Helvetica;sans-serif"/>
          <w:sz w:val="20"/>
        </w:rPr>
        <w:t>On June 1, 2013, the Company entered into a management services agreement with MandalMed, Inc. (“MandalMed”) (the “MandalMed Services Agreement”) to lease approximately 5,762 square feet of space for the use laboratory benches, lab equipment, office space, and administrative and facilities services. The Company subsequently entered into several amendments to extend the lease term to November 2020.  On November 3, 2020, the Company entered into the sixth amendment to the MandalMed Services Agreement to extend the term to December 31, 2021. As part of the sixth amendment, the Company leased additional space of approximately 2,130 square feet (the “Additional Space”) for a three year period commencing on December 1, 2020 and ending on November 30, 2023.</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According to the terms of the Office Space Lease Agreement, the Company paid a $0.1 million security deposit and is required to pay monthly rent and common area charges.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Office Space Lease Agreement, the Company paid a $0.4 million security deposit and is required to pay monthly rent and common area charges.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total lease expense during the year ended December 31, 2021 (in thousands):</w:t>
      </w:r>
    </w:p>
    <w:tbl>
      <w:tblPr>
        <w:tblW w:w="6089" w:type="dxa"/>
        <w:jc w:val="left"/>
        <w:tblInd w:w="0" w:type="dxa"/>
        <w:tblCellMar>
          <w:top w:w="0" w:type="dxa"/>
          <w:left w:w="0" w:type="dxa"/>
          <w:bottom w:w="0" w:type="dxa"/>
          <w:right w:w="0" w:type="dxa"/>
        </w:tblCellMar>
      </w:tblPr>
      <w:tblGrid>
        <w:gridCol w:w="3331"/>
        <w:gridCol w:w="386"/>
        <w:gridCol w:w="211"/>
        <w:gridCol w:w="2161"/>
      </w:tblGrid>
      <w:tr>
        <w:trPr/>
        <w:tc>
          <w:tcPr>
            <w:tcW w:w="333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2161" w:type="dxa"/>
            <w:tcBorders/>
            <w:shd w:fill="auto" w:val="clear"/>
            <w:vAlign w:val="center"/>
          </w:tcPr>
          <w:p>
            <w:pPr>
              <w:pStyle w:val="TableContents"/>
              <w:spacing w:before="0" w:after="1"/>
              <w:ind w:left="0" w:right="0" w:hanging="0"/>
              <w:rPr/>
            </w:pPr>
            <w:r>
              <w:rPr/>
              <w:t>​</w:t>
            </w:r>
          </w:p>
        </w:tc>
      </w:tr>
      <w:tr>
        <w:trPr/>
        <w:tc>
          <w:tcPr>
            <w:tcW w:w="3331"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38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jc w:val="right"/>
              <w:rPr>
                <w:color w:val="231F20"/>
              </w:rPr>
            </w:pPr>
            <w:r>
              <w:rPr>
                <w:color w:val="231F20"/>
              </w:rPr>
              <w:t>​</w:t>
            </w:r>
          </w:p>
        </w:tc>
        <w:tc>
          <w:tcPr>
            <w:tcW w:w="216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Year Ended December 31,</w:t>
            </w:r>
          </w:p>
        </w:tc>
      </w:tr>
      <w:tr>
        <w:trPr/>
        <w:tc>
          <w:tcPr>
            <w:tcW w:w="3331" w:type="dxa"/>
            <w:tcBorders/>
            <w:shd w:fill="auto" w:val="clear"/>
            <w:vAlign w:val="center"/>
          </w:tcPr>
          <w:p>
            <w:pPr>
              <w:pStyle w:val="TableContents"/>
              <w:spacing w:before="0" w:after="1"/>
              <w:ind w:left="0" w:right="0" w:hanging="0"/>
              <w:rPr>
                <w:color w:val="231F20"/>
              </w:rPr>
            </w:pPr>
            <w:r>
              <w:rPr>
                <w:color w:val="231F20"/>
              </w:rPr>
              <w:t>​</w:t>
            </w:r>
          </w:p>
        </w:tc>
        <w:tc>
          <w:tcPr>
            <w:tcW w:w="386" w:type="dxa"/>
            <w:tcBorders/>
            <w:shd w:fill="auto" w:val="clear"/>
            <w:vAlign w:val="center"/>
          </w:tcPr>
          <w:p>
            <w:pPr>
              <w:pStyle w:val="TableContents"/>
              <w:spacing w:before="0" w:after="1"/>
              <w:ind w:left="0" w:right="0" w:hanging="0"/>
              <w:rPr>
                <w:color w:val="231F20"/>
              </w:rPr>
            </w:pPr>
            <w:r>
              <w:rPr>
                <w:color w:val="231F20"/>
              </w:rPr>
              <w:t>​</w:t>
            </w:r>
          </w:p>
        </w:tc>
        <w:tc>
          <w:tcPr>
            <w:tcW w:w="211" w:type="dxa"/>
            <w:tcBorders/>
            <w:shd w:fill="auto" w:val="clear"/>
            <w:vAlign w:val="center"/>
          </w:tcPr>
          <w:p>
            <w:pPr>
              <w:pStyle w:val="TableContents"/>
              <w:spacing w:before="0" w:after="1"/>
              <w:ind w:left="0" w:right="0" w:hanging="0"/>
              <w:jc w:val="right"/>
              <w:rPr>
                <w:color w:val="231F20"/>
              </w:rPr>
            </w:pPr>
            <w:r>
              <w:rPr>
                <w:color w:val="231F20"/>
              </w:rPr>
              <w:t>​</w:t>
            </w:r>
          </w:p>
        </w:tc>
        <w:tc>
          <w:tcPr>
            <w:tcW w:w="21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r>
      <w:tr>
        <w:trPr/>
        <w:tc>
          <w:tcPr>
            <w:tcW w:w="3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Straight-line operating lease expense</w:t>
            </w:r>
          </w:p>
        </w:tc>
        <w:tc>
          <w:tcPr>
            <w:tcW w:w="38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1,224</w:t>
            </w:r>
          </w:p>
        </w:tc>
      </w:tr>
      <w:tr>
        <w:trPr/>
        <w:tc>
          <w:tcPr>
            <w:tcW w:w="3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Variable lease expense</w:t>
            </w:r>
          </w:p>
        </w:tc>
        <w:tc>
          <w:tcPr>
            <w:tcW w:w="38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jc w:val="right"/>
              <w:rPr/>
            </w:pPr>
            <w:r>
              <w:rPr/>
              <w:t> </w:t>
            </w:r>
          </w:p>
        </w:tc>
        <w:tc>
          <w:tcPr>
            <w:tcW w:w="21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w:t>
            </w:r>
          </w:p>
        </w:tc>
      </w:tr>
      <w:tr>
        <w:trPr/>
        <w:tc>
          <w:tcPr>
            <w:tcW w:w="3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Short-term lease expense</w:t>
            </w:r>
          </w:p>
        </w:tc>
        <w:tc>
          <w:tcPr>
            <w:tcW w:w="38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21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w:t>
            </w:r>
          </w:p>
        </w:tc>
      </w:tr>
      <w:tr>
        <w:trPr/>
        <w:tc>
          <w:tcPr>
            <w:tcW w:w="333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operating lease expense</w:t>
            </w:r>
          </w:p>
        </w:tc>
        <w:tc>
          <w:tcPr>
            <w:tcW w:w="38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61"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1,400</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highlight w:val="white"/>
        </w:rPr>
      </w:pPr>
      <w:bookmarkStart w:id="1204" w:name="Tc_wgKLdjzS50e1YqHF_dl_Aw_4_0"/>
      <w:bookmarkStart w:id="1205" w:name="Tc_3P48hECF4Ei6zbExzWuABw_3_0"/>
      <w:bookmarkStart w:id="1206" w:name="Tc_SNiIEeL4TkWTBiFN2o9nfg_2_3"/>
      <w:bookmarkStart w:id="1207" w:name="Tc_kGkXO3qZsEq5aKQ5hPzKLw_1_3"/>
      <w:bookmarkStart w:id="1208" w:name="Tc_LjulJCQoQkKvbBssKeGG2g_12_2"/>
      <w:bookmarkStart w:id="1209" w:name="Tc_H6SVtTIpS0KhzBauF4KRuQ_12_0"/>
      <w:bookmarkStart w:id="1210" w:name="Tc_dMWt9cKXfECBMDul0Q1GJg_11_0"/>
      <w:bookmarkStart w:id="1211" w:name="Tc_BAddy9aFyUKaSI-cx2X7RQ_10_0"/>
      <w:bookmarkStart w:id="1212" w:name="Tc_JC-QImVgFEKSliYi8eqK5w_9_0"/>
      <w:bookmarkStart w:id="1213" w:name="Tc_Y2xstqd4ekWqIA-TT0ep4Q_8_0"/>
      <w:bookmarkStart w:id="1214" w:name="Tc_NRhdlzD1BkqJeiOms0zPqQ_7_3"/>
      <w:bookmarkStart w:id="1215" w:name="Tc_oKEJ-amS9EeadOsOXKHXqg_7_0"/>
      <w:bookmarkStart w:id="1216" w:name="Tc_WVDEv4LJZkOujKBdyDuT8Q_6_0"/>
      <w:bookmarkStart w:id="1217" w:name="Tc_dNljCVUEPEW3UUmRtwPzrg_5_0"/>
      <w:bookmarkStart w:id="1218" w:name="Tc_NVBs2DKO1E2nNI5NeLXLpA_4_0"/>
      <w:bookmarkStart w:id="1219" w:name="Tc_hAopACoFCUe3M2-ZjKkOsA_3_0"/>
      <w:bookmarkStart w:id="1220" w:name="Tc_gRQTZozKmkGfFmmWlVPTMg_2_2"/>
      <w:bookmarkStart w:id="1221" w:name="Tc_vu7GsclgjUabQcHigBjT4Q_2_0"/>
      <w:bookmarkStart w:id="1222" w:name="Tc_yLpncA5gW0ioE53-0SQB_w_1_0"/>
      <w:bookmarkStart w:id="1223" w:name="_fd44eadf_1269_41c4_9f09_845c33b77841"/>
      <w:bookmarkStart w:id="1224" w:name="Tc_FEeaWvUxq02WLryvyNKTTA_5_0"/>
      <w:bookmarkStart w:id="1225" w:name="Tc_NvtXqIU5z06SmbUPgke72A_4_2"/>
      <w:bookmarkStart w:id="1226" w:name="Tc_TcEOK1SYfkyxDDhvh4SeNA_4_0"/>
      <w:bookmarkStart w:id="1227" w:name="Tc_kj2WE9EXzkyO-0cpHcfUBQ_3_0"/>
      <w:bookmarkStart w:id="1228" w:name="Tc_mMk8OvExzEiXSO2oUdPXHQ_2_3"/>
      <w:bookmarkStart w:id="1229" w:name="Tc_8o9zrao7T0GvWbQSk8w_PA_1_3"/>
      <w:bookmarkStart w:id="1230" w:name="_bdac4270_8c35_4dd8_8510_d27fab7298c0"/>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ascii="Arial;Helvetica;sans-serif" w:hAnsi="Arial;Helvetica;sans-serif"/>
          <w:sz w:val="20"/>
          <w:highlight w:val="white"/>
        </w:rPr>
        <w:t>Rent expense was $0.2 million and $0.1 million for the years ended December 31, 2020 and 2019, respectively. Rent expense is measured based upon amortizing minimum lease payments, including rent escalations under the lease term, using the straight-line method over the term of the lease.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following table summarizes supplemental cash flow information during the year ended December 31, 2021 (in thousands):</w:t>
      </w:r>
    </w:p>
    <w:tbl>
      <w:tblPr>
        <w:tblW w:w="8894" w:type="dxa"/>
        <w:jc w:val="left"/>
        <w:tblInd w:w="0" w:type="dxa"/>
        <w:tblCellMar>
          <w:top w:w="0" w:type="dxa"/>
          <w:left w:w="0" w:type="dxa"/>
          <w:bottom w:w="0" w:type="dxa"/>
          <w:right w:w="0" w:type="dxa"/>
        </w:tblCellMar>
      </w:tblPr>
      <w:tblGrid>
        <w:gridCol w:w="6136"/>
        <w:gridCol w:w="386"/>
        <w:gridCol w:w="211"/>
        <w:gridCol w:w="2161"/>
      </w:tblGrid>
      <w:tr>
        <w:trPr/>
        <w:tc>
          <w:tcPr>
            <w:tcW w:w="6136"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2161" w:type="dxa"/>
            <w:tcBorders/>
            <w:shd w:fill="auto" w:val="clear"/>
            <w:vAlign w:val="center"/>
          </w:tcPr>
          <w:p>
            <w:pPr>
              <w:pStyle w:val="TableContents"/>
              <w:spacing w:before="0" w:after="1"/>
              <w:ind w:left="0" w:right="0" w:hanging="0"/>
              <w:rPr/>
            </w:pPr>
            <w:r>
              <w:rPr/>
              <w:t>​</w:t>
            </w:r>
          </w:p>
        </w:tc>
      </w:tr>
      <w:tr>
        <w:trPr/>
        <w:tc>
          <w:tcPr>
            <w:tcW w:w="613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38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jc w:val="right"/>
              <w:rPr>
                <w:color w:val="231F20"/>
              </w:rPr>
            </w:pPr>
            <w:r>
              <w:rPr>
                <w:color w:val="231F20"/>
              </w:rPr>
              <w:t>​</w:t>
            </w:r>
          </w:p>
        </w:tc>
        <w:tc>
          <w:tcPr>
            <w:tcW w:w="216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Year Ended December 31,</w:t>
            </w:r>
          </w:p>
        </w:tc>
      </w:tr>
      <w:tr>
        <w:trPr/>
        <w:tc>
          <w:tcPr>
            <w:tcW w:w="6136" w:type="dxa"/>
            <w:tcBorders/>
            <w:shd w:fill="auto" w:val="clear"/>
            <w:vAlign w:val="center"/>
          </w:tcPr>
          <w:p>
            <w:pPr>
              <w:pStyle w:val="TableContents"/>
              <w:spacing w:before="0" w:after="1"/>
              <w:ind w:left="0" w:right="0" w:hanging="0"/>
              <w:rPr>
                <w:color w:val="231F20"/>
              </w:rPr>
            </w:pPr>
            <w:r>
              <w:rPr>
                <w:color w:val="231F20"/>
              </w:rPr>
              <w:t>​</w:t>
            </w:r>
          </w:p>
        </w:tc>
        <w:tc>
          <w:tcPr>
            <w:tcW w:w="386" w:type="dxa"/>
            <w:tcBorders/>
            <w:shd w:fill="auto" w:val="clear"/>
            <w:vAlign w:val="center"/>
          </w:tcPr>
          <w:p>
            <w:pPr>
              <w:pStyle w:val="TableContents"/>
              <w:spacing w:before="0" w:after="1"/>
              <w:ind w:left="0" w:right="0" w:hanging="0"/>
              <w:rPr>
                <w:color w:val="231F20"/>
              </w:rPr>
            </w:pPr>
            <w:r>
              <w:rPr>
                <w:color w:val="231F20"/>
              </w:rPr>
              <w:t>​</w:t>
            </w:r>
          </w:p>
        </w:tc>
        <w:tc>
          <w:tcPr>
            <w:tcW w:w="211" w:type="dxa"/>
            <w:tcBorders/>
            <w:shd w:fill="auto" w:val="clear"/>
            <w:vAlign w:val="center"/>
          </w:tcPr>
          <w:p>
            <w:pPr>
              <w:pStyle w:val="TableContents"/>
              <w:spacing w:before="0" w:after="1"/>
              <w:ind w:left="0" w:right="0" w:hanging="0"/>
              <w:jc w:val="right"/>
              <w:rPr>
                <w:color w:val="231F20"/>
              </w:rPr>
            </w:pPr>
            <w:r>
              <w:rPr>
                <w:color w:val="231F20"/>
              </w:rPr>
              <w:t>​</w:t>
            </w:r>
          </w:p>
        </w:tc>
        <w:tc>
          <w:tcPr>
            <w:tcW w:w="21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r>
      <w:tr>
        <w:trPr/>
        <w:tc>
          <w:tcPr>
            <w:tcW w:w="613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paid for amounts included measurement of lease liabilities:</w:t>
            </w:r>
          </w:p>
        </w:tc>
        <w:tc>
          <w:tcPr>
            <w:tcW w:w="386" w:type="dxa"/>
            <w:tcBorders/>
            <w:shd w:fill="CCEEFF" w:val="clear"/>
            <w:vAlign w:val="center"/>
          </w:tcPr>
          <w:p>
            <w:pPr>
              <w:pStyle w:val="TableContents"/>
              <w:spacing w:before="0" w:after="1"/>
              <w:ind w:left="0" w:right="0" w:hanging="0"/>
              <w:rPr>
                <w:color w:val="231F20"/>
              </w:rPr>
            </w:pPr>
            <w:r>
              <w:rPr>
                <w:color w:val="231F20"/>
              </w:rPr>
              <w:t>​</w:t>
            </w:r>
          </w:p>
        </w:tc>
        <w:tc>
          <w:tcPr>
            <w:tcW w:w="211" w:type="dxa"/>
            <w:tcBorders/>
            <w:shd w:fill="CCEEFF" w:val="clear"/>
            <w:vAlign w:val="center"/>
          </w:tcPr>
          <w:p>
            <w:pPr>
              <w:pStyle w:val="TableContents"/>
              <w:spacing w:before="0" w:after="1"/>
              <w:ind w:left="0" w:right="0" w:hanging="0"/>
              <w:jc w:val="right"/>
              <w:rPr>
                <w:color w:val="231F20"/>
              </w:rPr>
            </w:pPr>
            <w:r>
              <w:rPr>
                <w:color w:val="231F20"/>
              </w:rPr>
              <w:t>​</w:t>
            </w:r>
          </w:p>
        </w:tc>
        <w:tc>
          <w:tcPr>
            <w:tcW w:w="2161" w:type="dxa"/>
            <w:tcBorders/>
            <w:shd w:fill="CCEEFF" w:val="clear"/>
            <w:vAlign w:val="center"/>
          </w:tcPr>
          <w:p>
            <w:pPr>
              <w:pStyle w:val="TableContents"/>
              <w:spacing w:before="0" w:after="1"/>
              <w:ind w:left="0" w:right="0" w:hanging="0"/>
              <w:jc w:val="center"/>
              <w:rPr>
                <w:color w:val="231F20"/>
              </w:rPr>
            </w:pPr>
            <w:r>
              <w:rPr>
                <w:color w:val="231F20"/>
              </w:rPr>
              <w:t>​</w:t>
            </w:r>
          </w:p>
        </w:tc>
      </w:tr>
      <w:tr>
        <w:trPr/>
        <w:tc>
          <w:tcPr>
            <w:tcW w:w="613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cash flows from operating leases</w:t>
            </w:r>
          </w:p>
        </w:tc>
        <w:tc>
          <w:tcPr>
            <w:tcW w:w="38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21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988</w:t>
            </w:r>
          </w:p>
        </w:tc>
      </w:tr>
      <w:tr>
        <w:trPr/>
        <w:tc>
          <w:tcPr>
            <w:tcW w:w="6136"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ROU asset obtained in exchange for a new operating lease liability (*)</w:t>
            </w:r>
          </w:p>
        </w:tc>
        <w:tc>
          <w:tcPr>
            <w:tcW w:w="38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 </w:t>
            </w:r>
          </w:p>
        </w:tc>
        <w:tc>
          <w:tcPr>
            <w:tcW w:w="2161"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3,152</w:t>
            </w:r>
          </w:p>
        </w:tc>
      </w:tr>
    </w:tbl>
    <w:p>
      <w:pPr>
        <w:pStyle w:val="TextBody"/>
        <w:spacing w:before="0" w:after="0"/>
        <w:ind w:left="0" w:right="0" w:hanging="0"/>
        <w:rPr/>
      </w:pPr>
      <w:r>
        <w:rPr/>
        <w:t>​</w:t>
      </w:r>
    </w:p>
    <w:p>
      <w:pPr>
        <w:pStyle w:val="TextBody"/>
        <w:spacing w:before="240" w:after="240"/>
        <w:ind w:left="0" w:right="0" w:hanging="0"/>
        <w:jc w:val="both"/>
        <w:rPr>
          <w:rFonts w:ascii="Arial;Helvetica;sans-serif" w:hAnsi="Arial;Helvetica;sans-serif"/>
          <w:sz w:val="20"/>
        </w:rPr>
      </w:pPr>
      <w:r>
        <w:rPr>
          <w:rFonts w:ascii="Arial;Helvetica;sans-serif" w:hAnsi="Arial;Helvetica;sans-serif"/>
          <w:sz w:val="20"/>
        </w:rPr>
        <w:t>(*) Relates to the Laboratory Lease Agreement.</w:t>
      </w:r>
    </w:p>
    <w:p>
      <w:pPr>
        <w:pStyle w:val="TextBody"/>
        <w:spacing w:before="240" w:after="0"/>
        <w:ind w:left="0" w:right="0" w:hanging="0"/>
        <w:jc w:val="both"/>
        <w:rPr>
          <w:rFonts w:ascii="Arial;Helvetica;sans-serif" w:hAnsi="Arial;Helvetica;sans-serif"/>
          <w:sz w:val="20"/>
        </w:rPr>
      </w:pPr>
      <w:r>
        <w:rPr>
          <w:rFonts w:ascii="Arial;Helvetica;sans-serif" w:hAnsi="Arial;Helvetica;sans-serif"/>
          <w:sz w:val="20"/>
        </w:rPr>
        <w:t>The following table summarizes the Company’s future minimum lease payments and reconciliation of lease liabilities as of December 31, 2021 (in thousands):</w:t>
      </w:r>
    </w:p>
    <w:p>
      <w:pPr>
        <w:pStyle w:val="TextBody"/>
        <w:spacing w:before="0" w:after="240"/>
        <w:ind w:left="0" w:right="0" w:hanging="0"/>
        <w:jc w:val="both"/>
        <w:rPr/>
      </w:pPr>
      <w:r>
        <w:rPr/>
        <w:t>​</w:t>
      </w:r>
    </w:p>
    <w:tbl>
      <w:tblPr>
        <w:tblW w:w="4704" w:type="dxa"/>
        <w:jc w:val="left"/>
        <w:tblInd w:w="0" w:type="dxa"/>
        <w:tblCellMar>
          <w:top w:w="0" w:type="dxa"/>
          <w:left w:w="0" w:type="dxa"/>
          <w:bottom w:w="0" w:type="dxa"/>
          <w:right w:w="0" w:type="dxa"/>
        </w:tblCellMar>
      </w:tblPr>
      <w:tblGrid>
        <w:gridCol w:w="3406"/>
        <w:gridCol w:w="386"/>
        <w:gridCol w:w="211"/>
        <w:gridCol w:w="701"/>
      </w:tblGrid>
      <w:tr>
        <w:trPr/>
        <w:tc>
          <w:tcPr>
            <w:tcW w:w="3406" w:type="dxa"/>
            <w:tcBorders/>
            <w:shd w:fill="auto" w:val="clear"/>
            <w:vAlign w:val="center"/>
          </w:tcPr>
          <w:p>
            <w:pPr>
              <w:pStyle w:val="TableContents"/>
              <w:spacing w:before="0" w:after="0"/>
              <w:ind w:left="0" w:right="0" w:hanging="0"/>
              <w:rPr/>
            </w:pPr>
            <w:r>
              <w:rPr/>
              <w: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r>
      <w:tr>
        <w:trPr/>
        <w:tc>
          <w:tcPr>
            <w:tcW w:w="340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Arial;Helvetica;sans-serif" w:hAnsi="Arial;Helvetica;sans-serif"/>
                <w:b/>
                <w:color w:val="231F20"/>
                <w:sz w:val="16"/>
              </w:rPr>
            </w:pPr>
            <w:r>
              <w:rPr>
                <w:rFonts w:ascii="Arial;Helvetica;sans-serif" w:hAnsi="Arial;Helvetica;sans-serif"/>
                <w:b/>
                <w:color w:val="231F20"/>
                <w:sz w:val="16"/>
              </w:rPr>
              <w:t>Years Ended December 31,</w:t>
            </w:r>
          </w:p>
        </w:tc>
        <w:tc>
          <w:tcPr>
            <w:tcW w:w="38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color w:val="231F20"/>
              </w:rPr>
            </w:pPr>
            <w:r>
              <w:rPr>
                <w:color w:val="231F20"/>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color w:val="231F20"/>
              </w:rPr>
            </w:pPr>
            <w:r>
              <w:rPr>
                <w:color w:val="231F20"/>
              </w:rPr>
              <w:t>​</w:t>
            </w:r>
          </w:p>
        </w:tc>
        <w:tc>
          <w:tcPr>
            <w:tcW w:w="70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color w:val="231F20"/>
              </w:rPr>
            </w:pPr>
            <w:r>
              <w:rPr>
                <w:color w:val="231F20"/>
              </w:rPr>
              <w:t>​</w:t>
            </w:r>
          </w:p>
        </w:tc>
      </w:tr>
      <w:tr>
        <w:trPr/>
        <w:tc>
          <w:tcPr>
            <w:tcW w:w="3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2022</w:t>
            </w:r>
          </w:p>
        </w:tc>
        <w:tc>
          <w:tcPr>
            <w:tcW w:w="38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1,168</w:t>
            </w:r>
          </w:p>
        </w:tc>
      </w:tr>
      <w:tr>
        <w:trPr/>
        <w:tc>
          <w:tcPr>
            <w:tcW w:w="3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2023</w:t>
            </w:r>
          </w:p>
        </w:tc>
        <w:tc>
          <w:tcPr>
            <w:tcW w:w="38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7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973</w:t>
            </w:r>
          </w:p>
        </w:tc>
      </w:tr>
      <w:tr>
        <w:trPr/>
        <w:tc>
          <w:tcPr>
            <w:tcW w:w="3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2024</w:t>
            </w:r>
          </w:p>
        </w:tc>
        <w:tc>
          <w:tcPr>
            <w:tcW w:w="38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 </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799</w:t>
            </w:r>
          </w:p>
        </w:tc>
      </w:tr>
      <w:tr>
        <w:trPr/>
        <w:tc>
          <w:tcPr>
            <w:tcW w:w="3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2025</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822</w:t>
            </w:r>
          </w:p>
        </w:tc>
      </w:tr>
      <w:tr>
        <w:trPr/>
        <w:tc>
          <w:tcPr>
            <w:tcW w:w="3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2026</w:t>
            </w:r>
          </w:p>
        </w:tc>
        <w:tc>
          <w:tcPr>
            <w:tcW w:w="38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 </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69</w:t>
            </w:r>
          </w:p>
        </w:tc>
      </w:tr>
      <w:tr>
        <w:trPr/>
        <w:tc>
          <w:tcPr>
            <w:tcW w:w="3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Thereafter</w:t>
            </w:r>
          </w:p>
        </w:tc>
        <w:tc>
          <w:tcPr>
            <w:tcW w:w="38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future minimum lease payments</w:t>
            </w:r>
          </w:p>
        </w:tc>
        <w:tc>
          <w:tcPr>
            <w:tcW w:w="38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jc w:val="right"/>
              <w:rPr/>
            </w:pPr>
            <w:r>
              <w:rPr/>
              <w:t>​</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3,831</w:t>
            </w:r>
          </w:p>
        </w:tc>
      </w:tr>
      <w:tr>
        <w:trPr/>
        <w:tc>
          <w:tcPr>
            <w:tcW w:w="3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Interest</w:t>
            </w:r>
          </w:p>
        </w:tc>
        <w:tc>
          <w:tcPr>
            <w:tcW w:w="38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(542)</w:t>
            </w:r>
          </w:p>
        </w:tc>
      </w:tr>
      <w:tr>
        <w:trPr/>
        <w:tc>
          <w:tcPr>
            <w:tcW w:w="3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lease liabilities at present value</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3,289</w:t>
            </w:r>
          </w:p>
        </w:tc>
      </w:tr>
      <w:tr>
        <w:trPr/>
        <w:tc>
          <w:tcPr>
            <w:tcW w:w="3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Lease liabilities, current</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931</w:t>
            </w:r>
          </w:p>
        </w:tc>
      </w:tr>
      <w:tr>
        <w:trPr/>
        <w:tc>
          <w:tcPr>
            <w:tcW w:w="3406"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Lease liabilities, non-current</w:t>
            </w:r>
          </w:p>
        </w:tc>
        <w:tc>
          <w:tcPr>
            <w:tcW w:w="38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Arial;Helvetica;sans-serif" w:hAnsi="Arial;Helvetica;sans-serif"/>
                <w:sz w:val="20"/>
              </w:rPr>
            </w:pPr>
            <w:r>
              <w:rPr>
                <w:rFonts w:ascii="Arial;Helvetica;sans-serif" w:hAnsi="Arial;Helvetica;sans-serif"/>
                <w:sz w:val="20"/>
              </w:rPr>
              <w:t>2,358</w:t>
            </w:r>
          </w:p>
        </w:tc>
      </w:tr>
    </w:tbl>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The following table summarizes lease term and discount rate as of December 31, 2021:</w:t>
      </w:r>
    </w:p>
    <w:p>
      <w:pPr>
        <w:pStyle w:val="TextBody"/>
        <w:spacing w:before="0" w:after="0"/>
        <w:ind w:left="0" w:right="0" w:hanging="0"/>
        <w:rPr/>
      </w:pPr>
      <w:r>
        <w:rPr/>
        <w:t>​</w:t>
      </w:r>
    </w:p>
    <w:tbl>
      <w:tblPr>
        <w:tblW w:w="6872" w:type="dxa"/>
        <w:jc w:val="left"/>
        <w:tblInd w:w="0" w:type="dxa"/>
        <w:tblCellMar>
          <w:top w:w="0" w:type="dxa"/>
          <w:left w:w="0" w:type="dxa"/>
          <w:bottom w:w="0" w:type="dxa"/>
          <w:right w:w="0" w:type="dxa"/>
        </w:tblCellMar>
      </w:tblPr>
      <w:tblGrid>
        <w:gridCol w:w="4216"/>
        <w:gridCol w:w="386"/>
        <w:gridCol w:w="109"/>
        <w:gridCol w:w="2161"/>
      </w:tblGrid>
      <w:tr>
        <w:trPr/>
        <w:tc>
          <w:tcPr>
            <w:tcW w:w="4216"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61" w:type="dxa"/>
            <w:tcBorders/>
            <w:shd w:fill="auto" w:val="clear"/>
            <w:vAlign w:val="center"/>
          </w:tcPr>
          <w:p>
            <w:pPr>
              <w:pStyle w:val="TableContents"/>
              <w:spacing w:before="0" w:after="1"/>
              <w:ind w:left="0" w:right="0" w:hanging="0"/>
              <w:rPr/>
            </w:pPr>
            <w:r>
              <w:rPr/>
              <w:t>​</w:t>
            </w:r>
          </w:p>
        </w:tc>
      </w:tr>
      <w:tr>
        <w:trPr/>
        <w:tc>
          <w:tcPr>
            <w:tcW w:w="421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386" w:type="dxa"/>
            <w:tcBorders>
              <w:top w:val="single" w:sz="2" w:space="0" w:color="000000"/>
            </w:tcBorders>
            <w:shd w:fill="auto" w:val="clear"/>
            <w:tcMar>
              <w:top w:w="28" w:type="dxa"/>
            </w:tcMar>
            <w:vAlign w:val="center"/>
          </w:tcPr>
          <w:p>
            <w:pPr>
              <w:pStyle w:val="TableContents"/>
              <w:spacing w:before="0" w:after="1"/>
              <w:ind w:left="0" w:right="0" w:hanging="0"/>
              <w:rPr>
                <w:color w:val="231F20"/>
              </w:rPr>
            </w:pPr>
            <w:r>
              <w:rPr>
                <w:color w:val="231F20"/>
              </w:rPr>
              <w:t>​</w:t>
            </w:r>
          </w:p>
        </w:tc>
        <w:tc>
          <w:tcPr>
            <w:tcW w:w="109" w:type="dxa"/>
            <w:tcBorders>
              <w:top w:val="single" w:sz="2" w:space="0" w:color="000000"/>
            </w:tcBorders>
            <w:shd w:fill="auto" w:val="clear"/>
            <w:tcMar>
              <w:top w:w="28" w:type="dxa"/>
            </w:tcMar>
            <w:vAlign w:val="center"/>
          </w:tcPr>
          <w:p>
            <w:pPr>
              <w:pStyle w:val="TableContents"/>
              <w:spacing w:before="0" w:after="1"/>
              <w:ind w:left="0" w:right="0" w:hanging="0"/>
              <w:jc w:val="right"/>
              <w:rPr>
                <w:color w:val="231F20"/>
              </w:rPr>
            </w:pPr>
            <w:r>
              <w:rPr>
                <w:color w:val="231F20"/>
              </w:rPr>
              <w:t>​</w:t>
            </w:r>
          </w:p>
        </w:tc>
        <w:tc>
          <w:tcPr>
            <w:tcW w:w="2161" w:type="dxa"/>
            <w:tcBorders>
              <w:top w:val="single" w:sz="2" w:space="0" w:color="000000"/>
            </w:tcBorders>
            <w:shd w:fill="auto" w:val="clear"/>
            <w:tcMar>
              <w:top w:w="28" w:type="dxa"/>
            </w:tcMar>
            <w:vAlign w:val="center"/>
          </w:tcPr>
          <w:p>
            <w:pPr>
              <w:pStyle w:val="TableContents"/>
              <w:spacing w:before="0" w:after="1"/>
              <w:ind w:left="0" w:right="0" w:hanging="0"/>
              <w:jc w:val="right"/>
              <w:rPr>
                <w:rFonts w:ascii="Arial;Helvetica;sans-serif" w:hAnsi="Arial;Helvetica;sans-serif"/>
                <w:b/>
                <w:color w:val="231F20"/>
                <w:sz w:val="16"/>
              </w:rPr>
            </w:pPr>
            <w:r>
              <w:rPr>
                <w:rFonts w:ascii="Arial;Helvetica;sans-serif" w:hAnsi="Arial;Helvetica;sans-serif"/>
                <w:b/>
                <w:color w:val="231F20"/>
                <w:sz w:val="16"/>
              </w:rPr>
              <w:t>Year Ended December 31,</w:t>
            </w:r>
          </w:p>
        </w:tc>
      </w:tr>
      <w:tr>
        <w:trPr/>
        <w:tc>
          <w:tcPr>
            <w:tcW w:w="4216" w:type="dxa"/>
            <w:tcBorders/>
            <w:shd w:fill="auto" w:val="clear"/>
            <w:vAlign w:val="center"/>
          </w:tcPr>
          <w:p>
            <w:pPr>
              <w:pStyle w:val="TableContents"/>
              <w:spacing w:before="0" w:after="1"/>
              <w:ind w:left="0" w:right="0" w:hanging="0"/>
              <w:rPr>
                <w:color w:val="231F20"/>
              </w:rPr>
            </w:pPr>
            <w:r>
              <w:rPr>
                <w:color w:val="231F20"/>
              </w:rPr>
              <w:t>​</w:t>
            </w:r>
          </w:p>
        </w:tc>
        <w:tc>
          <w:tcPr>
            <w:tcW w:w="386" w:type="dxa"/>
            <w:tcBorders/>
            <w:shd w:fill="auto" w:val="clear"/>
            <w:vAlign w:val="center"/>
          </w:tcPr>
          <w:p>
            <w:pPr>
              <w:pStyle w:val="TableContents"/>
              <w:spacing w:before="0" w:after="1"/>
              <w:ind w:left="0" w:right="0" w:hanging="0"/>
              <w:rPr>
                <w:color w:val="231F20"/>
              </w:rPr>
            </w:pPr>
            <w:r>
              <w:rPr>
                <w:color w:val="231F20"/>
              </w:rPr>
              <w:t>​</w:t>
            </w:r>
          </w:p>
        </w:tc>
        <w:tc>
          <w:tcPr>
            <w:tcW w:w="109" w:type="dxa"/>
            <w:tcBorders/>
            <w:shd w:fill="auto" w:val="clear"/>
            <w:vAlign w:val="center"/>
          </w:tcPr>
          <w:p>
            <w:pPr>
              <w:pStyle w:val="TableContents"/>
              <w:spacing w:before="0" w:after="1"/>
              <w:ind w:left="0" w:right="0" w:hanging="0"/>
              <w:jc w:val="right"/>
              <w:rPr>
                <w:color w:val="231F20"/>
              </w:rPr>
            </w:pPr>
            <w:r>
              <w:rPr>
                <w:color w:val="231F20"/>
              </w:rPr>
              <w:t>​</w:t>
            </w:r>
          </w:p>
        </w:tc>
        <w:tc>
          <w:tcPr>
            <w:tcW w:w="21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color w:val="231F20"/>
                <w:sz w:val="16"/>
              </w:rPr>
            </w:pPr>
            <w:r>
              <w:rPr>
                <w:rFonts w:ascii="Arial;Helvetica;sans-serif" w:hAnsi="Arial;Helvetica;sans-serif"/>
                <w:b/>
                <w:color w:val="231F20"/>
                <w:sz w:val="16"/>
              </w:rPr>
              <w:t>2021</w:t>
            </w:r>
          </w:p>
        </w:tc>
      </w:tr>
      <w:tr>
        <w:trPr/>
        <w:tc>
          <w:tcPr>
            <w:tcW w:w="421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Weighted-average remaining lease term (years)</w:t>
            </w:r>
          </w:p>
        </w:tc>
        <w:tc>
          <w:tcPr>
            <w:tcW w:w="386" w:type="dxa"/>
            <w:tcBorders/>
            <w:shd w:fill="CCEEFF" w:val="clear"/>
            <w:vAlign w:val="center"/>
          </w:tcPr>
          <w:p>
            <w:pPr>
              <w:pStyle w:val="TableContents"/>
              <w:spacing w:before="0" w:after="1"/>
              <w:ind w:left="0" w:right="0" w:hanging="0"/>
              <w:rPr/>
            </w:pPr>
            <w:r>
              <w:rPr/>
              <w:t>     </w:t>
            </w:r>
          </w:p>
        </w:tc>
        <w:tc>
          <w:tcPr>
            <w:tcW w:w="109" w:type="dxa"/>
            <w:tcBorders/>
            <w:shd w:fill="CCEEFF" w:val="clear"/>
            <w:vAlign w:val="center"/>
          </w:tcPr>
          <w:p>
            <w:pPr>
              <w:pStyle w:val="TableContents"/>
              <w:spacing w:before="0" w:after="1"/>
              <w:ind w:left="0" w:right="0" w:hanging="0"/>
              <w:jc w:val="right"/>
              <w:rPr/>
            </w:pPr>
            <w:r>
              <w:rPr/>
              <w:t>​</w:t>
            </w:r>
          </w:p>
        </w:tc>
        <w:tc>
          <w:tcPr>
            <w:tcW w:w="21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3.63</w:t>
            </w:r>
          </w:p>
        </w:tc>
      </w:tr>
      <w:tr>
        <w:trPr/>
        <w:tc>
          <w:tcPr>
            <w:tcW w:w="421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Weighted-average discount rate</w:t>
            </w:r>
          </w:p>
        </w:tc>
        <w:tc>
          <w:tcPr>
            <w:tcW w:w="38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9"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161"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Arial;Helvetica;sans-serif" w:hAnsi="Arial;Helvetica;sans-serif"/>
                <w:sz w:val="20"/>
              </w:rPr>
            </w:pPr>
            <w:r>
              <w:rPr>
                <w:rFonts w:ascii="Arial;Helvetica;sans-serif" w:hAnsi="Arial;Helvetica;sans-serif"/>
                <w:sz w:val="20"/>
              </w:rPr>
              <w:t>8.65%</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pBdr/>
        <w:spacing w:before="0" w:after="240"/>
        <w:ind w:left="0" w:right="0" w:hanging="360"/>
        <w:jc w:val="both"/>
        <w:rPr>
          <w:rFonts w:ascii="Arial;Helvetica;sans-serif" w:hAnsi="Arial;Helvetica;sans-serif"/>
          <w:b w:val="false"/>
          <w:sz w:val="20"/>
        </w:rPr>
      </w:pPr>
      <w:r>
        <w:rPr>
          <w:rFonts w:ascii="Arial;Helvetica;sans-serif" w:hAnsi="Arial;Helvetica;sans-serif"/>
          <w:b w:val="false"/>
          <w:sz w:val="20"/>
        </w:rPr>
        <w:t xml:space="preserve">14.  Commitments and Contingencies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 xml:space="preserve">Clinical Collaboration and Supply Agreement </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For the year ended December 31, 2021 and 2020, costs incurred reimbursable by Novartis were not material to the consolidated financial statements.</w:t>
      </w:r>
    </w:p>
    <w:p>
      <w:pPr>
        <w:pStyle w:val="TextBody"/>
        <w:spacing w:before="0" w:after="240"/>
        <w:ind w:left="0" w:right="0" w:hanging="0"/>
        <w:jc w:val="both"/>
        <w:rPr>
          <w:rFonts w:ascii="Arial;Helvetica;sans-serif" w:hAnsi="Arial;Helvetica;sans-serif"/>
          <w:b w:val="false"/>
          <w:i/>
          <w:sz w:val="20"/>
        </w:rPr>
      </w:pPr>
      <w:r>
        <w:rPr>
          <w:rFonts w:ascii="Arial;Helvetica;sans-serif" w:hAnsi="Arial;Helvetica;sans-serif"/>
          <w:b w:val="false"/>
          <w:i/>
          <w:sz w:val="20"/>
        </w:rPr>
        <w:t>Clinical Trial Agreement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consolidated statements of operations for the year ended December 31, 2021 and 2020.</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i/>
          <w:sz w:val="20"/>
        </w:rPr>
      </w:pPr>
      <w:bookmarkStart w:id="1231" w:name="_2650c3ec_acd0_4451_b564_d1985a38a122"/>
      <w:bookmarkEnd w:id="1231"/>
      <w:r>
        <w:rPr>
          <w:rFonts w:ascii="Arial;Helvetica;sans-serif" w:hAnsi="Arial;Helvetica;sans-serif"/>
          <w:i/>
          <w:sz w:val="20"/>
        </w:rPr>
        <w:t>Management Services Agreements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December 31, 2021, the Company did not have material contractual commitments with respect to these arrangements. </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Contingencies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spacing w:before="0" w:after="240"/>
        <w:ind w:left="0" w:right="0" w:hanging="0"/>
        <w:jc w:val="both"/>
        <w:rPr>
          <w:rFonts w:ascii="Arial;Helvetica;sans-serif" w:hAnsi="Arial;Helvetica;sans-serif"/>
          <w:i/>
          <w:sz w:val="20"/>
        </w:rPr>
      </w:pPr>
      <w:r>
        <w:rPr>
          <w:rFonts w:ascii="Arial;Helvetica;sans-serif" w:hAnsi="Arial;Helvetica;sans-serif"/>
          <w:i/>
          <w:sz w:val="20"/>
        </w:rPr>
        <w:t>Indemnification Agreements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December 31, 2021 and 2020, the Company had not incurred any material costs as a result of such indemnifications.</w:t>
      </w:r>
    </w:p>
    <w:p>
      <w:pPr>
        <w:pStyle w:val="TextBody"/>
        <w:spacing w:before="0" w:after="240"/>
        <w:ind w:left="0" w:right="0" w:hanging="0"/>
        <w:jc w:val="both"/>
        <w:rPr>
          <w:rFonts w:ascii="Arial;Helvetica;sans-serif" w:hAnsi="Arial;Helvetica;sans-serif"/>
          <w:b/>
          <w:sz w:val="18"/>
        </w:rPr>
      </w:pPr>
      <w:bookmarkStart w:id="1232" w:name="Item9ChangesinandDisagreements_95124"/>
      <w:bookmarkEnd w:id="1232"/>
      <w:r>
        <w:rPr>
          <w:rFonts w:ascii="Arial;Helvetica;sans-serif" w:hAnsi="Arial;Helvetica;sans-serif"/>
          <w:b/>
          <w:sz w:val="18"/>
        </w:rPr>
        <w:t>Item 9.        </w:t>
      </w:r>
      <w:r>
        <w:rPr>
          <w:rFonts w:ascii="Arial;Helvetica;sans-serif" w:hAnsi="Arial;Helvetica;sans-serif"/>
          <w:b/>
          <w:sz w:val="20"/>
        </w:rPr>
        <w:t>Changes in and Disagreements with Accountants on Accounting and Financial Disclosure.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jc w:val="left"/>
        <w:rPr>
          <w:rFonts w:ascii="Arial;Helvetica;sans-serif" w:hAnsi="Arial;Helvetica;sans-serif"/>
          <w:b/>
          <w:sz w:val="18"/>
        </w:rPr>
      </w:pPr>
      <w:bookmarkStart w:id="1233" w:name="Item9AControlsandProcedures_570946"/>
      <w:bookmarkStart w:id="1234" w:name="_121b92e9_93b8_488a_a58d_4ebaa686766c"/>
      <w:bookmarkEnd w:id="1233"/>
      <w:bookmarkEnd w:id="1234"/>
      <w:r>
        <w:rPr>
          <w:rFonts w:ascii="Arial;Helvetica;sans-serif" w:hAnsi="Arial;Helvetica;sans-serif"/>
          <w:b/>
          <w:i w:val="false"/>
          <w:caps w:val="false"/>
          <w:smallCaps w:val="false"/>
          <w:sz w:val="18"/>
        </w:rPr>
        <w:t>Item 9A.</w:t>
      </w:r>
      <w:r>
        <w:rPr>
          <w:rFonts w:ascii="Arial;Helvetica;sans-serif" w:hAnsi="Arial;Helvetica;sans-serif"/>
          <w:b/>
          <w:sz w:val="18"/>
        </w:rPr>
        <w:t>     </w:t>
      </w:r>
      <w:r>
        <w:rPr>
          <w:rFonts w:ascii="Arial;Helvetica;sans-serif" w:hAnsi="Arial;Helvetica;sans-serif"/>
          <w:b/>
          <w:sz w:val="20"/>
        </w:rPr>
        <w:t>Controls and Procedures.</w:t>
      </w:r>
      <w:r>
        <w:rPr>
          <w:rFonts w:ascii="Arial;Helvetica;sans-serif" w:hAnsi="Arial;Helvetica;sans-serif"/>
          <w:b/>
          <w:sz w:val="18"/>
        </w:rPr>
        <w:t xml:space="preserve"> </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As of December 31,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2021, the design and operation of our disclosure controls and procedures were effective at a reasonable assurance level.</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Management’s Report on Internal Control Over Financial Reporting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management, with the participation of our Chief Executive Officer (principal executive officer) and Chief Operating and Financial Officer (principal financial officer), assessed the effectiveness of our internal control over financial reporting as of December 31, 2021.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2021 based on those criteria.</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effectiveness of our internal control over financial reporting as of December 31, 2021, has been audited by Ernst &amp; Young LLP, an independent registered public accounting firm, as stated in its attestation report which is set forth below in this Annual Report on Form 10-K.</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There was no change in our internal control over financial reporting identified in connection with the evaluation required by Rules 13a-15(d) and 15d-15(d) of the Exchange Act that occurred during the fourth quarter ended December 31, 2021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r>
        <w:rPr>
          <w:rFonts w:ascii="Arial;Helvetica;sans-serif" w:hAnsi="Arial;Helvetica;sans-serif"/>
          <w:sz w:val="20"/>
          <w:highlight w:val="white"/>
        </w:rPr>
        <w:t>.</w:t>
      </w:r>
    </w:p>
    <w:p>
      <w:pPr>
        <w:pStyle w:val="TextBody"/>
        <w:spacing w:before="0" w:after="240"/>
        <w:ind w:left="0" w:right="0" w:hanging="0"/>
        <w:jc w:val="both"/>
        <w:rPr>
          <w:rFonts w:ascii="Arial;Helvetica;sans-serif" w:hAnsi="Arial;Helvetica;sans-serif"/>
          <w:b/>
          <w:sz w:val="20"/>
        </w:rPr>
      </w:pPr>
      <w:r>
        <w:rPr>
          <w:rFonts w:ascii="Arial;Helvetica;sans-serif" w:hAnsi="Arial;Helvetica;sans-serif"/>
          <w:b/>
          <w:sz w:val="20"/>
        </w:rPr>
        <w:t>Attestation Report of the Independent Registered Public Accounting Firm</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Report of Independent Registered Public Accounting Firm</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To the shareholders and the Board of Directors of Olema Pharmaceuticals, Inc.</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Opinion on Internal Control Over Financial Reporting</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We have audited Olema Pharmaceuticals, Inc.’s (the Company’s) internal control over financial reporting as of December 31, 2021, based on criteria established in Internal Control — Integrated Framework issued by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Committee of Sponsoring Organizations of the Treadway Commission (2013 framework), (the COSO criteria). In our opinion, the Company maintained, in all material respects, effective internal control over financial reporting as of December 31, 2021, based on the COSO criteria</w:t>
      </w:r>
      <w:r>
        <w:rPr>
          <w:rFonts w:ascii="Arial;Helvetica;sans-serif" w:hAnsi="Arial;Helvetica;sans-serif"/>
          <w:b/>
          <w:sz w:val="20"/>
        </w:rPr>
        <w:t>.</w:t>
      </w:r>
      <w:r>
        <w:rPr>
          <w:rFonts w:ascii="Arial;Helvetica;sans-serif" w:hAnsi="Arial;Helvetica;sans-serif"/>
          <w:sz w:val="20"/>
        </w:rPr>
        <w:t xml:space="preserve">  </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 xml:space="preserve">We also have audited, in accordance with the standards of the Public Company Accounting Oversight Board (United States) (PCAOB), the </w:t>
      </w:r>
      <w:r>
        <w:rPr>
          <w:rFonts w:ascii="Arial;Helvetica;sans-serif" w:hAnsi="Arial;Helvetica;sans-serif"/>
          <w:color w:val="333333"/>
          <w:sz w:val="20"/>
        </w:rPr>
        <w:t xml:space="preserve">consolidated </w:t>
      </w:r>
      <w:r>
        <w:rPr>
          <w:rFonts w:ascii="Arial;Helvetica;sans-serif" w:hAnsi="Arial;Helvetica;sans-serif"/>
          <w:sz w:val="20"/>
        </w:rPr>
        <w:t>balance sheets of the Company as of December 31, 2021 and 2020, and the related consolidated statements of operations and comprehensive loss, convertible preferred stock and stockholders’ equity (deficit), and cash flows for each of the three years in the period ended December 31, 2021, and the related notes and our report dated February 28, 2022 expressed an unqualified opinion thereon.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Basis for Opinion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240"/>
        <w:ind w:left="0" w:right="0" w:hanging="0"/>
        <w:jc w:val="both"/>
        <w:rPr>
          <w:rFonts w:ascii="Arial;Helvetica;sans-serif" w:hAnsi="Arial;Helvetica;sans-serif"/>
          <w:b/>
          <w:i/>
          <w:sz w:val="20"/>
        </w:rPr>
      </w:pPr>
      <w:r>
        <w:rPr>
          <w:rFonts w:ascii="Arial;Helvetica;sans-serif" w:hAnsi="Arial;Helvetica;sans-serif"/>
          <w:b/>
          <w:i/>
          <w:sz w:val="20"/>
        </w:rPr>
        <w:t>Definition and Limitations of Internal Control Over Financial Reporting</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00"/>
        <w:ind w:left="0" w:right="0" w:hanging="0"/>
        <w:jc w:val="both"/>
        <w:rPr>
          <w:rFonts w:ascii="Arial;Helvetica;sans-serif" w:hAnsi="Arial;Helvetica;sans-serif"/>
          <w:sz w:val="20"/>
        </w:rPr>
      </w:pPr>
      <w:r>
        <w:rPr>
          <w:rFonts w:ascii="Arial;Helvetica;sans-serif" w:hAnsi="Arial;Helvetica;sans-serif"/>
          <w:sz w:val="20"/>
        </w:rPr>
        <w:t>/s/ Ernst &amp; Young LLP</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Iselin, New Jersey</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February 28, 2022</w:t>
      </w:r>
    </w:p>
    <w:p>
      <w:pPr>
        <w:pStyle w:val="TextBody"/>
        <w:spacing w:before="0" w:after="240"/>
        <w:ind w:left="0" w:right="0" w:hanging="0"/>
        <w:jc w:val="both"/>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Arial;Helvetica;sans-serif" w:hAnsi="Arial;Helvetica;sans-serif"/>
          <w:b/>
          <w:sz w:val="18"/>
        </w:rPr>
      </w:pPr>
      <w:bookmarkStart w:id="1235" w:name="Item9BOtherInformation_723221"/>
      <w:bookmarkStart w:id="1236" w:name="_7b24b4b9_21c0_42ed_9748_e8fce6cd3424"/>
      <w:bookmarkEnd w:id="1235"/>
      <w:bookmarkEnd w:id="1236"/>
      <w:r>
        <w:rPr>
          <w:rFonts w:ascii="Arial;Helvetica;sans-serif" w:hAnsi="Arial;Helvetica;sans-serif"/>
          <w:b/>
          <w:sz w:val="20"/>
        </w:rPr>
        <w:t>Item 9B.</w:t>
      </w:r>
      <w:r>
        <w:rPr>
          <w:rFonts w:ascii="Arial;Helvetica;sans-serif" w:hAnsi="Arial;Helvetica;sans-serif"/>
          <w:b/>
          <w:sz w:val="18"/>
        </w:rPr>
        <w:t>    </w:t>
      </w:r>
      <w:r>
        <w:rPr>
          <w:rFonts w:ascii="Arial;Helvetica;sans-serif" w:hAnsi="Arial;Helvetica;sans-serif"/>
          <w:b/>
          <w:sz w:val="20"/>
        </w:rPr>
        <w:t>Other Information.</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 xml:space="preserve">In November 2021, we were </w:t>
      </w:r>
      <w:r>
        <w:rPr>
          <w:rFonts w:ascii="Arial;Helvetica;sans-serif" w:hAnsi="Arial;Helvetica;sans-serif"/>
          <w:sz w:val="20"/>
          <w:highlight w:val="white"/>
        </w:rPr>
        <w:t>alerted to falsified information circulating on social media relating to our planned poster presentation for the Phase 1 dose-escalation portion of the ongoing Phase 1/2 clinical trial of OP-1250 at the San Antonio Breast Cancer Symposium. The falsified poster image was not released or authorized by us.</w:t>
      </w:r>
      <w:r>
        <w:rPr>
          <w:rFonts w:ascii="Arial;Helvetica;sans-serif" w:hAnsi="Arial;Helvetica;sans-serif"/>
          <w:sz w:val="20"/>
        </w:rPr>
        <w:t xml:space="preserve"> In December 2021, a Special Committee of our Board of Directors, with assistance of outside counsel, initiated an investigation into the circumstances regarding these matters.  The Special Committee’s outside counsel contacted the SEC to inform of the Special Committee’s investigation.</w:t>
      </w:r>
    </w:p>
    <w:p>
      <w:pPr>
        <w:pStyle w:val="TextBody"/>
        <w:spacing w:before="0" w:after="240"/>
        <w:ind w:left="0" w:right="0" w:hanging="0"/>
        <w:jc w:val="both"/>
        <w:rPr/>
      </w:pPr>
      <w:r>
        <w:rPr/>
        <w:t>​</w:t>
      </w:r>
    </w:p>
    <w:p>
      <w:pPr>
        <w:pStyle w:val="TextBody"/>
        <w:spacing w:before="0" w:after="240"/>
        <w:ind w:left="0" w:right="0" w:hanging="0"/>
        <w:jc w:val="both"/>
        <w:rPr>
          <w:rFonts w:ascii="Arial;Helvetica;sans-serif" w:hAnsi="Arial;Helvetica;sans-serif"/>
          <w:sz w:val="18"/>
        </w:rPr>
      </w:pPr>
      <w:bookmarkStart w:id="1237" w:name="Item9CDisclosureRegardingForeignJurisdic"/>
      <w:bookmarkStart w:id="1238" w:name="_3f6b252d_2d46_4a4a_8f57_4c2923c4d8f6"/>
      <w:bookmarkEnd w:id="1237"/>
      <w:bookmarkEnd w:id="1238"/>
      <w:r>
        <w:rPr>
          <w:rFonts w:ascii="Arial;Helvetica;sans-serif" w:hAnsi="Arial;Helvetica;sans-serif"/>
          <w:b/>
          <w:sz w:val="20"/>
        </w:rPr>
        <w:t>Item 9C.</w:t>
      </w:r>
      <w:r>
        <w:rPr>
          <w:rFonts w:ascii="Arial;Helvetica;sans-serif" w:hAnsi="Arial;Helvetica;sans-serif"/>
          <w:sz w:val="18"/>
        </w:rPr>
        <w:t>    </w:t>
      </w:r>
      <w:r>
        <w:rPr>
          <w:rFonts w:ascii="Arial;Helvetica;sans-serif" w:hAnsi="Arial;Helvetica;sans-serif"/>
          <w:b/>
          <w:sz w:val="20"/>
        </w:rPr>
        <w:t>Disclosure Regarding Foreign Jurisdictions that Prevent Inspections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1239" w:name="PARTIII_69779"/>
      <w:bookmarkStart w:id="1240" w:name="_a83a59b1_79c8_4c37_80ae_2d29ca4df91c"/>
      <w:bookmarkEnd w:id="1239"/>
      <w:bookmarkEnd w:id="1240"/>
      <w:r>
        <w:rPr>
          <w:rFonts w:ascii="Arial;Helvetica;sans-serif" w:hAnsi="Arial;Helvetica;sans-serif"/>
          <w:b/>
          <w:sz w:val="24"/>
        </w:rPr>
        <w:t xml:space="preserve">PART III </w:t>
      </w:r>
    </w:p>
    <w:p>
      <w:pPr>
        <w:pStyle w:val="TextBody"/>
        <w:spacing w:before="0" w:after="240"/>
        <w:ind w:left="0" w:right="0" w:hanging="0"/>
        <w:jc w:val="both"/>
        <w:rPr>
          <w:rFonts w:ascii="Arial;Helvetica;sans-serif" w:hAnsi="Arial;Helvetica;sans-serif"/>
          <w:b/>
          <w:sz w:val="18"/>
        </w:rPr>
      </w:pPr>
      <w:bookmarkStart w:id="1241" w:name="Item10DirectorsExecutiveOfficers_466454"/>
      <w:bookmarkEnd w:id="1241"/>
      <w:r>
        <w:rPr>
          <w:rFonts w:ascii="Arial;Helvetica;sans-serif" w:hAnsi="Arial;Helvetica;sans-serif"/>
          <w:b/>
          <w:sz w:val="18"/>
        </w:rPr>
        <w:t>Item 10.      </w:t>
      </w:r>
      <w:r>
        <w:rPr>
          <w:rFonts w:ascii="Arial;Helvetica;sans-serif" w:hAnsi="Arial;Helvetica;sans-serif"/>
          <w:b/>
          <w:sz w:val="20"/>
        </w:rPr>
        <w:t>Directors, Executive Officers and Corporate Governance.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of Directors Matters” and “Executive Officers” in our Proxy Statement for our 2022 Annual Meeting of Stockholders. Information required by this item regarding compliance with Section 16(a) of the Exchange Act, if applicable, is incorporated by reference to the information set forth under the caption “Delinquent Section 16(a) Reports” in our Proxy Statement.</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https://www.olema.com/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pStyle w:val="TextBody"/>
        <w:spacing w:before="0" w:after="240"/>
        <w:ind w:left="0" w:right="0" w:hanging="0"/>
        <w:jc w:val="both"/>
        <w:rPr>
          <w:rFonts w:ascii="Arial;Helvetica;sans-serif" w:hAnsi="Arial;Helvetica;sans-serif"/>
          <w:b/>
          <w:sz w:val="20"/>
        </w:rPr>
      </w:pPr>
      <w:bookmarkStart w:id="1242" w:name="Item11ExecutiveCompensation_62120"/>
      <w:bookmarkStart w:id="1243" w:name="_3636299a_1a4d_4f7a_82d6_8f749c08ce95"/>
      <w:bookmarkEnd w:id="1242"/>
      <w:bookmarkEnd w:id="1243"/>
      <w:r>
        <w:rPr>
          <w:rFonts w:ascii="Arial;Helvetica;sans-serif" w:hAnsi="Arial;Helvetica;sans-serif"/>
          <w:b/>
          <w:sz w:val="20"/>
        </w:rPr>
        <w:t>Item 11.    Executive Compensation.</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required by this item regarding executive compensation is incorporated by reference to the information set forth under the captions “Executive Compensation” and “Director Compensation” in our Proxy Statement.</w:t>
      </w:r>
    </w:p>
    <w:p>
      <w:pPr>
        <w:pStyle w:val="TextBody"/>
        <w:spacing w:before="0" w:after="240"/>
        <w:ind w:left="0" w:right="0" w:hanging="0"/>
        <w:jc w:val="both"/>
        <w:rPr>
          <w:rFonts w:ascii="Arial;Helvetica;sans-serif" w:hAnsi="Arial;Helvetica;sans-serif"/>
          <w:b/>
          <w:sz w:val="20"/>
        </w:rPr>
      </w:pPr>
      <w:bookmarkStart w:id="1244" w:name="Item12SecurityOwnershipofCertainBenefici"/>
      <w:bookmarkStart w:id="1245" w:name="_4aadaf1c_a973_4666_8dc9_565075bf65a8"/>
      <w:bookmarkEnd w:id="1244"/>
      <w:bookmarkEnd w:id="1245"/>
      <w:r>
        <w:rPr>
          <w:rFonts w:ascii="Arial;Helvetica;sans-serif" w:hAnsi="Arial;Helvetica;sans-serif"/>
          <w:b/>
          <w:sz w:val="20"/>
        </w:rPr>
        <w:t>Item 12.    Security Ownership of Certain Beneficial Owners and Management and Related Stockholder Matters.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required by this item regarding security ownership of certain beneficial owners and management is incorporated by reference to the information set forth under the caption “Security Ownership of Certain Beneficial Owners and Management” and “Equity Compensation” in our Proxy Statement.</w:t>
      </w:r>
    </w:p>
    <w:p>
      <w:pPr>
        <w:pStyle w:val="TextBody"/>
        <w:spacing w:before="0" w:after="240"/>
        <w:ind w:left="0" w:right="0" w:hanging="0"/>
        <w:jc w:val="both"/>
        <w:rPr>
          <w:rFonts w:ascii="Arial;Helvetica;sans-serif" w:hAnsi="Arial;Helvetica;sans-serif"/>
          <w:b/>
          <w:sz w:val="18"/>
        </w:rPr>
      </w:pPr>
      <w:bookmarkStart w:id="1246" w:name="Item13CertainRelationshipsandRelatedTran"/>
      <w:bookmarkStart w:id="1247" w:name="_735fdd0c_3ff9_434b_b8e7_1d542a5d9ebf"/>
      <w:bookmarkEnd w:id="1246"/>
      <w:bookmarkEnd w:id="1247"/>
      <w:r>
        <w:rPr>
          <w:rFonts w:ascii="Arial;Helvetica;sans-serif" w:hAnsi="Arial;Helvetica;sans-serif"/>
          <w:b/>
          <w:sz w:val="18"/>
        </w:rPr>
        <w:t>Item 13.      </w:t>
      </w:r>
      <w:r>
        <w:rPr>
          <w:rFonts w:ascii="Arial;Helvetica;sans-serif" w:hAnsi="Arial;Helvetica;sans-serif"/>
          <w:b/>
          <w:sz w:val="20"/>
        </w:rPr>
        <w:t>Certain Relationships and Related Transactions, and Director Independence.</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pStyle w:val="TextBody"/>
        <w:spacing w:before="0" w:after="240"/>
        <w:ind w:left="0" w:right="0" w:hanging="0"/>
        <w:jc w:val="both"/>
        <w:rPr>
          <w:rFonts w:ascii="Arial;Helvetica;sans-serif" w:hAnsi="Arial;Helvetica;sans-serif"/>
          <w:b/>
          <w:sz w:val="20"/>
        </w:rPr>
      </w:pPr>
      <w:bookmarkStart w:id="1248" w:name="Item14PrincipalAccountingFees_835104"/>
      <w:bookmarkStart w:id="1249" w:name="_b02c9d83_0814_4dc7_898a_568a542c1f83"/>
      <w:bookmarkEnd w:id="1248"/>
      <w:bookmarkEnd w:id="1249"/>
      <w:r>
        <w:rPr>
          <w:rFonts w:ascii="Arial;Helvetica;sans-serif" w:hAnsi="Arial;Helvetica;sans-serif"/>
          <w:b/>
          <w:sz w:val="20"/>
        </w:rPr>
        <w:t>Item 14.    Principal Accountant Fees and Services.</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Information required by this item regarding principal accounting fees and services is incorporated by reference to the information set forth under the caption “Proposal No. 2—Ratification of Selection of Independent Registered Public Accounting Firm” in our Proxy Statement.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1250" w:name="PARTIV_405800"/>
      <w:bookmarkStart w:id="1251" w:name="_90ec077a_c97f_43d3_920b_303b15834c67"/>
      <w:bookmarkEnd w:id="1250"/>
      <w:bookmarkEnd w:id="1251"/>
      <w:r>
        <w:rPr>
          <w:rFonts w:ascii="Arial;Helvetica;sans-serif" w:hAnsi="Arial;Helvetica;sans-serif"/>
          <w:b/>
          <w:sz w:val="24"/>
        </w:rPr>
        <w:t xml:space="preserve">PART IV </w:t>
      </w:r>
    </w:p>
    <w:p>
      <w:pPr>
        <w:pStyle w:val="TextBody"/>
        <w:spacing w:before="0" w:after="240"/>
        <w:ind w:left="0" w:right="0" w:hanging="0"/>
        <w:jc w:val="both"/>
        <w:rPr>
          <w:rFonts w:ascii="Arial;Helvetica;sans-serif" w:hAnsi="Arial;Helvetica;sans-serif"/>
          <w:b/>
          <w:sz w:val="20"/>
        </w:rPr>
      </w:pPr>
      <w:bookmarkStart w:id="1252" w:name="Item15ExhibitsFinancialStatementSchedule"/>
      <w:bookmarkEnd w:id="1252"/>
      <w:r>
        <w:rPr>
          <w:rFonts w:ascii="Arial;Helvetica;sans-serif" w:hAnsi="Arial;Helvetica;sans-serif"/>
          <w:b/>
          <w:sz w:val="20"/>
        </w:rPr>
        <w:t>Item 15.    Exhibit and Financial Statement Schedules.</w:t>
      </w:r>
    </w:p>
    <w:tbl>
      <w:tblPr>
        <w:tblW w:w="5751" w:type="dxa"/>
        <w:jc w:val="left"/>
        <w:tblInd w:w="0" w:type="dxa"/>
        <w:tblCellMar>
          <w:top w:w="28" w:type="dxa"/>
          <w:left w:w="28" w:type="dxa"/>
          <w:bottom w:w="28" w:type="dxa"/>
          <w:right w:w="28" w:type="dxa"/>
        </w:tblCellMar>
      </w:tblPr>
      <w:tblGrid>
        <w:gridCol w:w="124"/>
        <w:gridCol w:w="331"/>
        <w:gridCol w:w="529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(a)</w:t>
            </w:r>
          </w:p>
        </w:tc>
        <w:tc>
          <w:tcPr>
            <w:tcW w:w="529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documents are filed as part of this Annual Report:</w:t>
            </w:r>
          </w:p>
        </w:tc>
      </w:tr>
    </w:tbl>
    <w:tbl>
      <w:tblPr>
        <w:tblW w:w="10205" w:type="dxa"/>
        <w:jc w:val="left"/>
        <w:tblInd w:w="0" w:type="dxa"/>
        <w:tblCellMar>
          <w:top w:w="28" w:type="dxa"/>
          <w:left w:w="28" w:type="dxa"/>
          <w:bottom w:w="28" w:type="dxa"/>
          <w:right w:w="28" w:type="dxa"/>
        </w:tblCellMar>
      </w:tblPr>
      <w:tblGrid>
        <w:gridCol w:w="124"/>
        <w:gridCol w:w="254"/>
        <w:gridCol w:w="9827"/>
      </w:tblGrid>
      <w:tr>
        <w:trPr/>
        <w:tc>
          <w:tcPr>
            <w:tcW w:w="12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1.</w:t>
            </w:r>
          </w:p>
        </w:tc>
        <w:tc>
          <w:tcPr>
            <w:tcW w:w="9827"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8"/>
              </w:rPr>
              <w:t xml:space="preserve">Consolidated Financial Statements. </w:t>
            </w:r>
            <w:r>
              <w:rPr>
                <w:rFonts w:ascii="Arial;Helvetica;sans-serif" w:hAnsi="Arial;Helvetica;sans-serif"/>
                <w:b w:val="false"/>
                <w:i w:val="false"/>
                <w:caps w:val="false"/>
                <w:smallCaps w:val="false"/>
                <w:sz w:val="18"/>
              </w:rPr>
              <w:t>See Index to Consolidated Financial Statements in Part II Item 8 of this Annual Report.</w:t>
            </w:r>
          </w:p>
        </w:tc>
      </w:tr>
    </w:tbl>
    <w:tbl>
      <w:tblPr>
        <w:tblW w:w="10205" w:type="dxa"/>
        <w:jc w:val="left"/>
        <w:tblInd w:w="0" w:type="dxa"/>
        <w:tblCellMar>
          <w:top w:w="28" w:type="dxa"/>
          <w:left w:w="28" w:type="dxa"/>
          <w:bottom w:w="28" w:type="dxa"/>
          <w:right w:w="28" w:type="dxa"/>
        </w:tblCellMar>
      </w:tblPr>
      <w:tblGrid>
        <w:gridCol w:w="124"/>
        <w:gridCol w:w="231"/>
        <w:gridCol w:w="9850"/>
      </w:tblGrid>
      <w:tr>
        <w:trPr/>
        <w:tc>
          <w:tcPr>
            <w:tcW w:w="12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2.</w:t>
            </w:r>
          </w:p>
        </w:tc>
        <w:tc>
          <w:tcPr>
            <w:tcW w:w="9850"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8"/>
              </w:rPr>
              <w:t>Consolidated Financial Statement Schedules</w:t>
            </w:r>
            <w:r>
              <w:rPr>
                <w:rFonts w:ascii="Arial;Helvetica;sans-serif" w:hAnsi="Arial;Helvetica;sans-serif"/>
                <w:b w:val="false"/>
                <w:i w:val="false"/>
                <w:caps w:val="false"/>
                <w:smallCaps w:val="false"/>
                <w:sz w:val="18"/>
              </w:rPr>
              <w:t>. None. All financial statement schedules are omitted because they are not applicable, not required under the instructions, or the requested information is included in the financial statements or notes thereto.</w:t>
            </w:r>
          </w:p>
        </w:tc>
      </w:tr>
    </w:tbl>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3.</w:t>
            </w:r>
          </w:p>
        </w:tc>
        <w:tc>
          <w:tcPr>
            <w:tcW w:w="8746" w:type="dxa"/>
            <w:tcBorders/>
            <w:shd w:fill="auto" w:val="clear"/>
            <w:tcMar>
              <w:top w:w="0" w:type="dxa"/>
              <w:left w:w="0" w:type="dxa"/>
              <w:bottom w:w="0" w:type="dxa"/>
              <w:right w:w="0" w:type="dxa"/>
            </w:tcMar>
            <w:vAlign w:val="center"/>
          </w:tcPr>
          <w:p>
            <w:pPr>
              <w:pStyle w:val="TableContents"/>
              <w:spacing w:before="0" w:after="283"/>
              <w:rPr/>
            </w:pPr>
            <w:r>
              <w:rPr>
                <w:rFonts w:ascii="Arial;Helvetica;sans-serif" w:hAnsi="Arial;Helvetica;sans-serif"/>
                <w:b w:val="false"/>
                <w:i/>
                <w:sz w:val="18"/>
              </w:rPr>
              <w:t>Exhibits</w:t>
            </w:r>
            <w:r>
              <w:rPr>
                <w:rFonts w:ascii="Arial;Helvetica;sans-serif" w:hAnsi="Arial;Helvetica;sans-serif"/>
                <w:b w:val="false"/>
                <w:i w:val="false"/>
                <w:caps w:val="false"/>
                <w:smallCaps w:val="false"/>
                <w:sz w:val="18"/>
              </w:rPr>
              <w:t>. The following is a list of exhibits filed with this Annual Report or incorporated herein by reference:</w:t>
            </w:r>
          </w:p>
        </w:tc>
      </w:tr>
    </w:tbl>
    <w:tbl>
      <w:tblPr>
        <w:tblW w:w="10205" w:type="dxa"/>
        <w:jc w:val="left"/>
        <w:tblInd w:w="0" w:type="dxa"/>
        <w:tblCellMar>
          <w:top w:w="0" w:type="dxa"/>
          <w:left w:w="0" w:type="dxa"/>
          <w:bottom w:w="0" w:type="dxa"/>
          <w:right w:w="0" w:type="dxa"/>
        </w:tblCellMar>
      </w:tblPr>
      <w:tblGrid>
        <w:gridCol w:w="856"/>
        <w:gridCol w:w="326"/>
        <w:gridCol w:w="3531"/>
        <w:gridCol w:w="326"/>
        <w:gridCol w:w="601"/>
        <w:gridCol w:w="326"/>
        <w:gridCol w:w="850"/>
        <w:gridCol w:w="326"/>
        <w:gridCol w:w="766"/>
        <w:gridCol w:w="326"/>
        <w:gridCol w:w="682"/>
        <w:gridCol w:w="326"/>
        <w:gridCol w:w="963"/>
      </w:tblGrid>
      <w:tr>
        <w:trPr/>
        <w:tc>
          <w:tcPr>
            <w:tcW w:w="85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3531" w:type="dxa"/>
            <w:tcBorders/>
            <w:shd w:fill="auto" w:val="clear"/>
            <w:vAlign w:val="center"/>
          </w:tcPr>
          <w:p>
            <w:pPr>
              <w:pStyle w:val="TableHeading"/>
              <w:spacing w:before="0" w:after="0"/>
              <w:ind w:left="0" w:right="0" w:hanging="0"/>
              <w:jc w:val="left"/>
              <w:rPr/>
            </w:pPr>
            <w:r>
              <w:rPr/>
              <w:t>​</w:t>
            </w:r>
          </w:p>
        </w:tc>
        <w:tc>
          <w:tcPr>
            <w:tcW w:w="5492" w:type="dxa"/>
            <w:gridSpan w:val="10"/>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Incorporation by Reference</w:t>
            </w:r>
          </w:p>
        </w:tc>
      </w:tr>
      <w:tr>
        <w:trPr/>
        <w:tc>
          <w:tcPr>
            <w:tcW w:w="856"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326" w:type="dxa"/>
            <w:tcBorders/>
            <w:shd w:fill="auto" w:val="clear"/>
            <w:vAlign w:val="center"/>
          </w:tcPr>
          <w:p>
            <w:pPr>
              <w:pStyle w:val="TableHeading"/>
              <w:spacing w:before="0" w:after="0"/>
              <w:ind w:left="0" w:right="0" w:hanging="0"/>
              <w:jc w:val="left"/>
              <w:rPr/>
            </w:pPr>
            <w:r>
              <w:rPr/>
              <w:t>    </w:t>
            </w:r>
          </w:p>
        </w:tc>
        <w:tc>
          <w:tcPr>
            <w:tcW w:w="3531"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Description</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60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Form</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850"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 No.</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76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682"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963"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Filed</w:t>
              <w:br/>
              <w:t>Herewith</w:t>
            </w:r>
          </w:p>
        </w:tc>
      </w:tr>
      <w:tr>
        <w:trPr/>
        <w:tc>
          <w:tcPr>
            <w:tcW w:w="856" w:type="dxa"/>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w:t>
            </w:r>
          </w:p>
        </w:tc>
        <w:tc>
          <w:tcPr>
            <w:tcW w:w="326" w:type="dxa"/>
            <w:tcBorders/>
            <w:shd w:fill="auto" w:val="clear"/>
            <w:vAlign w:val="center"/>
          </w:tcPr>
          <w:p>
            <w:pPr>
              <w:pStyle w:val="TableContents"/>
              <w:spacing w:before="0" w:after="0"/>
              <w:ind w:left="0" w:right="0" w:hanging="0"/>
              <w:rPr/>
            </w:pPr>
            <w:r>
              <w:rPr/>
              <w:t>​</w:t>
            </w:r>
          </w:p>
        </w:tc>
        <w:tc>
          <w:tcPr>
            <w:tcW w:w="3531" w:type="dxa"/>
            <w:tcBorders>
              <w:top w:val="single" w:sz="2" w:space="0" w:color="000000"/>
            </w:tcBorders>
            <w:shd w:fill="auto" w:val="clear"/>
            <w:tcMar>
              <w:top w:w="28" w:type="dxa"/>
            </w:tcMar>
            <w:vAlign w:val="center"/>
          </w:tcPr>
          <w:p>
            <w:pPr>
              <w:pStyle w:val="TableContents"/>
              <w:spacing w:before="0" w:after="0"/>
              <w:ind w:left="0" w:right="0" w:hanging="0"/>
              <w:rPr/>
            </w:pPr>
            <w:hyperlink r:id="rId34">
              <w:r>
                <w:rPr>
                  <w:rStyle w:val="InternetLink"/>
                  <w:rFonts w:ascii="Arial;Helvetica;sans-serif" w:hAnsi="Arial;Helvetica;sans-serif"/>
                  <w:b w:val="false"/>
                  <w:i w:val="false"/>
                  <w:caps w:val="false"/>
                  <w:smallCaps w:val="false"/>
                  <w:sz w:val="20"/>
                </w:rPr>
                <w:t>Amended and Restated Certificate of Incorporation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326" w:type="dxa"/>
            <w:tcBorders/>
            <w:shd w:fill="auto" w:val="clear"/>
            <w:vAlign w:val="center"/>
          </w:tcPr>
          <w:p>
            <w:pPr>
              <w:pStyle w:val="TableContents"/>
              <w:spacing w:before="0" w:after="0"/>
              <w:ind w:left="0" w:right="0" w:hanging="0"/>
              <w:rPr/>
            </w:pPr>
            <w:r>
              <w:rPr/>
              <w:t>​</w:t>
            </w:r>
          </w:p>
        </w:tc>
        <w:tc>
          <w:tcPr>
            <w:tcW w:w="850"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326" w:type="dxa"/>
            <w:tcBorders/>
            <w:shd w:fill="auto" w:val="clear"/>
            <w:vAlign w:val="center"/>
          </w:tcPr>
          <w:p>
            <w:pPr>
              <w:pStyle w:val="TableContents"/>
              <w:spacing w:before="0" w:after="0"/>
              <w:ind w:left="0" w:right="0" w:hanging="0"/>
              <w:rPr/>
            </w:pPr>
            <w:r>
              <w:rPr/>
              <w:t>​</w:t>
            </w:r>
          </w:p>
        </w:tc>
        <w:tc>
          <w:tcPr>
            <w:tcW w:w="7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3.1</w:t>
            </w:r>
          </w:p>
        </w:tc>
        <w:tc>
          <w:tcPr>
            <w:tcW w:w="326" w:type="dxa"/>
            <w:tcBorders/>
            <w:shd w:fill="auto" w:val="clear"/>
            <w:vAlign w:val="center"/>
          </w:tcPr>
          <w:p>
            <w:pPr>
              <w:pStyle w:val="TableContents"/>
              <w:spacing w:before="0" w:after="0"/>
              <w:ind w:left="0" w:right="0" w:hanging="0"/>
              <w:rPr/>
            </w:pPr>
            <w:r>
              <w:rPr/>
              <w:t>​</w:t>
            </w:r>
          </w:p>
        </w:tc>
        <w:tc>
          <w:tcPr>
            <w:tcW w:w="682"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11/23/2020</w:t>
            </w:r>
          </w:p>
        </w:tc>
        <w:tc>
          <w:tcPr>
            <w:tcW w:w="326" w:type="dxa"/>
            <w:tcBorders/>
            <w:shd w:fill="auto" w:val="clear"/>
            <w:vAlign w:val="center"/>
          </w:tcPr>
          <w:p>
            <w:pPr>
              <w:pStyle w:val="TableContents"/>
              <w:spacing w:before="0" w:after="0"/>
              <w:ind w:left="0" w:right="0" w:hanging="0"/>
              <w:rPr/>
            </w:pPr>
            <w:r>
              <w:rPr/>
              <w:t>​</w:t>
            </w:r>
          </w:p>
        </w:tc>
        <w:tc>
          <w:tcPr>
            <w:tcW w:w="963"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3.2</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35">
              <w:r>
                <w:rPr>
                  <w:rStyle w:val="InternetLink"/>
                  <w:rFonts w:ascii="Arial;Helvetica;sans-serif" w:hAnsi="Arial;Helvetica;sans-serif"/>
                  <w:b w:val="false"/>
                  <w:i w:val="false"/>
                  <w:caps w:val="false"/>
                  <w:smallCaps w:val="false"/>
                  <w:sz w:val="20"/>
                </w:rPr>
                <w:t>Amended and Restated Certificate of Bylaws</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8-K</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3.2</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11/23/2020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4.1</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36">
              <w:r>
                <w:rPr>
                  <w:rStyle w:val="InternetLink"/>
                  <w:rFonts w:ascii="Arial;Helvetica;sans-serif" w:hAnsi="Arial;Helvetica;sans-serif"/>
                  <w:b w:val="false"/>
                  <w:i w:val="false"/>
                  <w:caps w:val="false"/>
                  <w:smallCaps w:val="false"/>
                  <w:sz w:val="20"/>
                </w:rPr>
                <w:t>Form of Common Stock Certificate</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4.1</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4.2</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37">
              <w:r>
                <w:rPr>
                  <w:rStyle w:val="InternetLink"/>
                  <w:rFonts w:ascii="Arial;Helvetica;sans-serif" w:hAnsi="Arial;Helvetica;sans-serif"/>
                  <w:b w:val="false"/>
                  <w:i w:val="false"/>
                  <w:caps w:val="false"/>
                  <w:smallCaps w:val="false"/>
                  <w:sz w:val="20"/>
                </w:rPr>
                <w:t>Amended and Restated Investors’ Rights Agreement, by and among the Registrant and certain of its stockholders, dated September 30,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4.2</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4.3</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38">
              <w:r>
                <w:rPr>
                  <w:rStyle w:val="InternetLink"/>
                  <w:rFonts w:ascii="Arial;Helvetica;sans-serif" w:hAnsi="Arial;Helvetica;sans-serif"/>
                  <w:b w:val="false"/>
                  <w:i w:val="false"/>
                  <w:caps w:val="false"/>
                  <w:smallCaps w:val="false"/>
                  <w:sz w:val="20"/>
                </w:rPr>
                <w:t>Description of Capital Stock</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10-K</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001-39712</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4.3</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3/17/2021</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39">
              <w:r>
                <w:rPr>
                  <w:rStyle w:val="InternetLink"/>
                  <w:rFonts w:ascii="Arial;Helvetica;sans-serif" w:hAnsi="Arial;Helvetica;sans-serif"/>
                  <w:b w:val="false"/>
                  <w:i w:val="false"/>
                  <w:caps w:val="false"/>
                  <w:smallCaps w:val="false"/>
                  <w:sz w:val="20"/>
                </w:rPr>
                <w:t>Olema Pharmaceuticals, Inc. 2014 Stock Plan, as amended.</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10.2#</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40">
              <w:r>
                <w:rPr>
                  <w:rStyle w:val="InternetLink"/>
                  <w:rFonts w:ascii="Arial;Helvetica;sans-serif" w:hAnsi="Arial;Helvetica;sans-serif"/>
                  <w:b w:val="false"/>
                  <w:i w:val="false"/>
                  <w:caps w:val="false"/>
                  <w:smallCaps w:val="false"/>
                  <w:sz w:val="20"/>
                </w:rPr>
                <w:t>Forms of Stock Option Grant Notice, Stock Option Agreement, Early Exercise Stock Purchase Agreement and Notice of Exercise and Restricted Stock Award Grant Notice and Restricted Stock Award Agreement under the Olema Pharmaceuticals, Inc. 2014 Stock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10.2</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10.3#</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41">
              <w:r>
                <w:rPr>
                  <w:rStyle w:val="InternetLink"/>
                  <w:rFonts w:ascii="Arial;Helvetica;sans-serif" w:hAnsi="Arial;Helvetica;sans-serif"/>
                  <w:b w:val="false"/>
                  <w:i w:val="false"/>
                  <w:caps w:val="false"/>
                  <w:smallCaps w:val="false"/>
                  <w:sz w:val="20"/>
                </w:rPr>
                <w:t>Olema Pharmaceuticals, Inc. 2020 Equity Incentive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hyperlink r:id="rId42">
              <w:r>
                <w:rPr>
                  <w:rStyle w:val="InternetLink"/>
                  <w:rFonts w:ascii="Arial;Helvetica;sans-serif" w:hAnsi="Arial;Helvetica;sans-serif"/>
                  <w:b w:val="false"/>
                  <w:i w:val="false"/>
                  <w:caps w:val="false"/>
                  <w:smallCaps w:val="false"/>
                  <w:sz w:val="20"/>
                </w:rPr>
                <w:t>Forms of Stock Option Grant Notice and Stock Option Agreement under the Olema Pharmaceuticals, Inc. 2020 Equity Incentive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856"/>
        <w:gridCol w:w="326"/>
        <w:gridCol w:w="3484"/>
        <w:gridCol w:w="326"/>
        <w:gridCol w:w="601"/>
        <w:gridCol w:w="326"/>
        <w:gridCol w:w="869"/>
        <w:gridCol w:w="326"/>
        <w:gridCol w:w="766"/>
        <w:gridCol w:w="326"/>
        <w:gridCol w:w="710"/>
        <w:gridCol w:w="326"/>
        <w:gridCol w:w="963"/>
      </w:tblGrid>
      <w:tr>
        <w:trPr/>
        <w:tc>
          <w:tcPr>
            <w:tcW w:w="85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3484" w:type="dxa"/>
            <w:tcBorders/>
            <w:shd w:fill="auto" w:val="clear"/>
            <w:vAlign w:val="center"/>
          </w:tcPr>
          <w:p>
            <w:pPr>
              <w:pStyle w:val="TableHeading"/>
              <w:spacing w:before="0" w:after="0"/>
              <w:ind w:left="0" w:right="0" w:hanging="0"/>
              <w:jc w:val="left"/>
              <w:rPr/>
            </w:pPr>
            <w:r>
              <w:rPr/>
              <w:t>​</w:t>
            </w:r>
          </w:p>
        </w:tc>
        <w:tc>
          <w:tcPr>
            <w:tcW w:w="5539" w:type="dxa"/>
            <w:gridSpan w:val="10"/>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Incorporation by Reference</w:t>
            </w:r>
          </w:p>
        </w:tc>
      </w:tr>
      <w:tr>
        <w:trPr/>
        <w:tc>
          <w:tcPr>
            <w:tcW w:w="856"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326" w:type="dxa"/>
            <w:tcBorders/>
            <w:shd w:fill="auto" w:val="clear"/>
            <w:vAlign w:val="center"/>
          </w:tcPr>
          <w:p>
            <w:pPr>
              <w:pStyle w:val="TableHeading"/>
              <w:spacing w:before="0" w:after="0"/>
              <w:ind w:left="0" w:right="0" w:hanging="0"/>
              <w:jc w:val="left"/>
              <w:rPr/>
            </w:pPr>
            <w:r>
              <w:rPr/>
              <w:t>    </w:t>
            </w:r>
          </w:p>
        </w:tc>
        <w:tc>
          <w:tcPr>
            <w:tcW w:w="3484"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Description</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60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Form</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869"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 No.</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76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710"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963"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Filed</w:t>
              <w:br/>
              <w:t>Herewith</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10.5#</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3">
              <w:r>
                <w:rPr>
                  <w:rStyle w:val="InternetLink"/>
                  <w:rFonts w:ascii="Arial;Helvetica;sans-serif" w:hAnsi="Arial;Helvetica;sans-serif"/>
                  <w:b w:val="false"/>
                  <w:i w:val="false"/>
                  <w:caps w:val="false"/>
                  <w:smallCaps w:val="false"/>
                  <w:sz w:val="20"/>
                </w:rPr>
                <w:t>Forms of Restricted Stock Unit Grant Notice and Restricted Stock Unit Award Agreement under the Olema Pharmaceuticals, Inc. 2020 Equity Incentive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10.5</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10.6#</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4">
              <w:r>
                <w:rPr>
                  <w:rStyle w:val="InternetLink"/>
                  <w:rFonts w:ascii="Arial;Helvetica;sans-serif" w:hAnsi="Arial;Helvetica;sans-serif"/>
                  <w:b w:val="false"/>
                  <w:i w:val="false"/>
                  <w:caps w:val="false"/>
                  <w:smallCaps w:val="false"/>
                  <w:sz w:val="20"/>
                </w:rPr>
                <w:t>Olema Pharmaceuticals, Inc. 2020 Employee Stock Purchase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10.6</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10.7#</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5">
              <w:r>
                <w:rPr>
                  <w:rStyle w:val="InternetLink"/>
                  <w:rFonts w:ascii="Arial;Helvetica;sans-serif" w:hAnsi="Arial;Helvetica;sans-serif"/>
                  <w:b w:val="false"/>
                  <w:i w:val="false"/>
                  <w:caps w:val="false"/>
                  <w:smallCaps w:val="false"/>
                  <w:sz w:val="20"/>
                </w:rPr>
                <w:t>Olema Pharmaceuticals, Inc. 2020 Non-Employee Director Compensation Policy.</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10.7</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10.8#</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6">
              <w:r>
                <w:rPr>
                  <w:rStyle w:val="InternetLink"/>
                  <w:rFonts w:ascii="Arial;Helvetica;sans-serif" w:hAnsi="Arial;Helvetica;sans-serif"/>
                  <w:b w:val="false"/>
                  <w:i w:val="false"/>
                  <w:caps w:val="false"/>
                  <w:smallCaps w:val="false"/>
                  <w:sz w:val="20"/>
                </w:rPr>
                <w:t>Form of Indemnification Agreement by and between the Registrant and its directors and executive officers.</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10.8</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10.9#</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7">
              <w:r>
                <w:rPr>
                  <w:rStyle w:val="InternetLink"/>
                  <w:rFonts w:ascii="Arial;Helvetica;sans-serif" w:hAnsi="Arial;Helvetica;sans-serif"/>
                  <w:b w:val="false"/>
                  <w:i w:val="false"/>
                  <w:caps w:val="false"/>
                  <w:smallCaps w:val="false"/>
                  <w:sz w:val="20"/>
                </w:rPr>
                <w:t>Amended and Restated Offer Letter by and between the Registrant and Sean Bohen,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10.9</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10.10#</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8">
              <w:r>
                <w:rPr>
                  <w:rStyle w:val="InternetLink"/>
                  <w:rFonts w:ascii="Arial;Helvetica;sans-serif" w:hAnsi="Arial;Helvetica;sans-serif"/>
                  <w:b w:val="false"/>
                  <w:i w:val="false"/>
                  <w:caps w:val="false"/>
                  <w:smallCaps w:val="false"/>
                  <w:sz w:val="20"/>
                </w:rPr>
                <w:t>Amended and Restated Offer Letter by and between the Registrant and Cyrus L. Harmon,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10.10</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10.11#</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49">
              <w:r>
                <w:rPr>
                  <w:rStyle w:val="InternetLink"/>
                  <w:rFonts w:ascii="Arial;Helvetica;sans-serif" w:hAnsi="Arial;Helvetica;sans-serif"/>
                  <w:b w:val="false"/>
                  <w:i w:val="false"/>
                  <w:caps w:val="false"/>
                  <w:smallCaps w:val="false"/>
                  <w:sz w:val="20"/>
                </w:rPr>
                <w:t>Amended and Restated Offer Letter by and between the Registrant and Kinney Horn,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10.11</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10.12#</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50">
              <w:r>
                <w:rPr>
                  <w:rStyle w:val="InternetLink"/>
                  <w:rFonts w:ascii="Arial;Helvetica;sans-serif" w:hAnsi="Arial;Helvetica;sans-serif"/>
                  <w:b w:val="false"/>
                  <w:i w:val="false"/>
                  <w:caps w:val="false"/>
                  <w:smallCaps w:val="false"/>
                  <w:sz w:val="20"/>
                </w:rPr>
                <w:t>Amended and Restated Offer Letter by and between the Registrant and Shane Kovacs,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10.12</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10.13#</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51">
              <w:r>
                <w:rPr>
                  <w:rStyle w:val="InternetLink"/>
                  <w:rFonts w:ascii="Arial;Helvetica;sans-serif" w:hAnsi="Arial;Helvetica;sans-serif"/>
                  <w:b w:val="false"/>
                  <w:i w:val="false"/>
                  <w:caps w:val="false"/>
                  <w:smallCaps w:val="false"/>
                  <w:sz w:val="20"/>
                </w:rPr>
                <w:t>Amended and Restated Offer Letter by and between the Registrant and Peter Kushner,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10.13</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10.14#</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52">
              <w:r>
                <w:rPr>
                  <w:rStyle w:val="InternetLink"/>
                  <w:rFonts w:ascii="Arial;Helvetica;sans-serif" w:hAnsi="Arial;Helvetica;sans-serif"/>
                  <w:b w:val="false"/>
                  <w:i w:val="false"/>
                  <w:caps w:val="false"/>
                  <w:smallCaps w:val="false"/>
                  <w:sz w:val="20"/>
                </w:rPr>
                <w:t>Amended and Restated Offer Letter by and between the Registrant and David Myles,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10.14</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10.15#</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hyperlink r:id="rId53">
              <w:r>
                <w:rPr>
                  <w:rStyle w:val="InternetLink"/>
                  <w:rFonts w:ascii="Arial;Helvetica;sans-serif" w:hAnsi="Arial;Helvetica;sans-serif"/>
                  <w:b w:val="false"/>
                  <w:i w:val="false"/>
                  <w:caps w:val="false"/>
                  <w:smallCaps w:val="false"/>
                  <w:sz w:val="20"/>
                </w:rPr>
                <w:t>Amended and Restated Offer Letter by and between the Registrant and John B. Moriarty, Jr., dated November 13,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S-1/A</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10.15</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11/16/2020</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8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6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63" w:type="dxa"/>
            <w:tcBorders/>
            <w:shd w:fill="auto" w:val="clear"/>
            <w:vAlign w:val="center"/>
          </w:tcPr>
          <w:p>
            <w:pPr>
              <w:pStyle w:val="TableContents"/>
              <w:spacing w:before="0" w:after="0"/>
              <w:ind w:left="0" w:right="0" w:hanging="0"/>
              <w:jc w:val="center"/>
              <w:rPr/>
            </w:pPr>
            <w:r>
              <w:rPr/>
              <w:t>​</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856"/>
        <w:gridCol w:w="326"/>
        <w:gridCol w:w="3216"/>
        <w:gridCol w:w="326"/>
        <w:gridCol w:w="601"/>
        <w:gridCol w:w="326"/>
        <w:gridCol w:w="854"/>
        <w:gridCol w:w="326"/>
        <w:gridCol w:w="766"/>
        <w:gridCol w:w="326"/>
        <w:gridCol w:w="687"/>
        <w:gridCol w:w="326"/>
        <w:gridCol w:w="109"/>
        <w:gridCol w:w="109"/>
        <w:gridCol w:w="109"/>
        <w:gridCol w:w="109"/>
        <w:gridCol w:w="109"/>
        <w:gridCol w:w="109"/>
        <w:gridCol w:w="109"/>
        <w:gridCol w:w="109"/>
        <w:gridCol w:w="109"/>
        <w:gridCol w:w="288"/>
      </w:tblGrid>
      <w:tr>
        <w:trPr/>
        <w:tc>
          <w:tcPr>
            <w:tcW w:w="856"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3216" w:type="dxa"/>
            <w:tcBorders/>
            <w:shd w:fill="auto" w:val="clear"/>
            <w:vAlign w:val="center"/>
          </w:tcPr>
          <w:p>
            <w:pPr>
              <w:pStyle w:val="TableHeading"/>
              <w:spacing w:before="0" w:after="0"/>
              <w:ind w:left="0" w:right="0" w:hanging="0"/>
              <w:jc w:val="left"/>
              <w:rPr/>
            </w:pPr>
            <w:r>
              <w:rPr/>
              <w:t>​</w:t>
            </w:r>
          </w:p>
        </w:tc>
        <w:tc>
          <w:tcPr>
            <w:tcW w:w="5807" w:type="dxa"/>
            <w:gridSpan w:val="19"/>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Incorporation by Reference</w:t>
            </w:r>
          </w:p>
        </w:tc>
      </w:tr>
      <w:tr>
        <w:trPr/>
        <w:tc>
          <w:tcPr>
            <w:tcW w:w="856"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326" w:type="dxa"/>
            <w:tcBorders/>
            <w:shd w:fill="auto" w:val="clear"/>
            <w:vAlign w:val="center"/>
          </w:tcPr>
          <w:p>
            <w:pPr>
              <w:pStyle w:val="TableHeading"/>
              <w:spacing w:before="0" w:after="0"/>
              <w:ind w:left="0" w:right="0" w:hanging="0"/>
              <w:jc w:val="left"/>
              <w:rPr/>
            </w:pPr>
            <w:r>
              <w:rPr/>
              <w:t>    </w:t>
            </w:r>
          </w:p>
        </w:tc>
        <w:tc>
          <w:tcPr>
            <w:tcW w:w="3216"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Description</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601"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Form</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854"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 No.</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766"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687"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c>
          <w:tcPr>
            <w:tcW w:w="326"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1269" w:type="dxa"/>
            <w:gridSpan w:val="10"/>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Filed</w:t>
              <w:br/>
              <w:t>Herewith</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10.16</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r:id="rId54">
              <w:r>
                <w:rPr>
                  <w:rStyle w:val="InternetLink"/>
                  <w:rFonts w:ascii="Arial;Helvetica;sans-serif" w:hAnsi="Arial;Helvetica;sans-serif"/>
                  <w:b w:val="false"/>
                  <w:i w:val="false"/>
                  <w:caps w:val="false"/>
                  <w:smallCaps w:val="false"/>
                  <w:sz w:val="20"/>
                </w:rPr>
                <w:t>Clinical Collaboration and Supply Agreement by and between the Registrant and Novartis Institutes for BioMedical Research, Inc., dated July 22, 2020.</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S-1</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333-249748</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10.16</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10/30/2020</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10.17#</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10d17.htm">
              <w:r>
                <w:rPr>
                  <w:rStyle w:val="InternetLink"/>
                  <w:rFonts w:ascii="Arial;Helvetica;sans-serif" w:hAnsi="Arial;Helvetica;sans-serif"/>
                  <w:b w:val="false"/>
                  <w:i w:val="false"/>
                  <w:caps w:val="false"/>
                  <w:smallCaps w:val="false"/>
                  <w:sz w:val="20"/>
                </w:rPr>
                <w:t>Olema Pharmaceuticals, Inc. 2022 Inducement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10.18#</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10d18.htm">
              <w:r>
                <w:rPr>
                  <w:rStyle w:val="InternetLink"/>
                  <w:rFonts w:ascii="Arial;Helvetica;sans-serif" w:hAnsi="Arial;Helvetica;sans-serif"/>
                  <w:b w:val="false"/>
                  <w:i w:val="false"/>
                  <w:caps w:val="false"/>
                  <w:smallCaps w:val="false"/>
                  <w:sz w:val="20"/>
                </w:rPr>
                <w:t>Form of Stock Option Agreement and Option Grant Notice under the Inducement Plan.</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10.19#</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10d19.htm">
              <w:r>
                <w:rPr>
                  <w:rStyle w:val="InternetLink"/>
                  <w:rFonts w:ascii="Arial;Helvetica;sans-serif" w:hAnsi="Arial;Helvetica;sans-serif"/>
                  <w:b w:val="false"/>
                  <w:i w:val="false"/>
                  <w:caps w:val="false"/>
                  <w:smallCaps w:val="false"/>
                  <w:sz w:val="20"/>
                </w:rPr>
                <w:t>Offer Letter by and between the Registrant and Naseem Zojwalla, dated December 15, 2021.</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21.1</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21d1.htm">
              <w:r>
                <w:rPr>
                  <w:rStyle w:val="InternetLink"/>
                  <w:rFonts w:ascii="Arial;Helvetica;sans-serif" w:hAnsi="Arial;Helvetica;sans-serif"/>
                  <w:b w:val="false"/>
                  <w:i w:val="false"/>
                  <w:caps w:val="false"/>
                  <w:smallCaps w:val="false"/>
                  <w:sz w:val="20"/>
                </w:rPr>
                <w:t>Subsidiaries of the Registrant as of December 31, 2021.</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23.1</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23d1.htm">
              <w:r>
                <w:rPr>
                  <w:rStyle w:val="InternetLink"/>
                  <w:rFonts w:ascii="Arial;Helvetica;sans-serif" w:hAnsi="Arial;Helvetica;sans-serif"/>
                  <w:b w:val="false"/>
                  <w:i w:val="false"/>
                  <w:caps w:val="false"/>
                  <w:smallCaps w:val="false"/>
                  <w:sz w:val="20"/>
                </w:rPr>
                <w:t>Consent of Independent Registered Public Accounting Firm.</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24.1</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POWEROFATTORNEY_868618">
              <w:r>
                <w:rPr>
                  <w:rStyle w:val="InternetLink"/>
                  <w:rFonts w:ascii="Arial;Helvetica;sans-serif" w:hAnsi="Arial;Helvetica;sans-serif"/>
                  <w:b w:val="false"/>
                  <w:i w:val="false"/>
                  <w:caps w:val="false"/>
                  <w:smallCaps w:val="false"/>
                  <w:sz w:val="20"/>
                </w:rPr>
                <w:t>Power of Attorney (included on the Signatures page of this Annual Report on Form 10-K).</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31.1</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31d1.htm">
              <w:r>
                <w:rPr>
                  <w:rStyle w:val="InternetLink"/>
                  <w:rFonts w:ascii="Arial;Helvetica;sans-serif" w:hAnsi="Arial;Helvetica;san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31.2</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31d2.htm">
              <w:r>
                <w:rPr>
                  <w:rStyle w:val="InternetLink"/>
                  <w:rFonts w:ascii="Arial;Helvetica;sans-serif" w:hAnsi="Arial;Helvetica;san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32.1†</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32d1.htm">
              <w:r>
                <w:rPr>
                  <w:rStyle w:val="InternetLink"/>
                  <w:rFonts w:ascii="Arial;Helvetica;sans-serif" w:hAnsi="Arial;Helvetica;san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pPr>
            <w:r>
              <w:rPr/>
              <w:t>​</w:t>
            </w:r>
          </w:p>
        </w:tc>
      </w:tr>
      <w:tr>
        <w:trPr/>
        <w:tc>
          <w:tcPr>
            <w:tcW w:w="856" w:type="dxa"/>
            <w:tcBorders/>
            <w:shd w:fill="auto" w:val="clear"/>
            <w:vAlign w:val="center"/>
          </w:tcPr>
          <w:p>
            <w:pPr>
              <w:pStyle w:val="TableContents"/>
              <w:spacing w:lineRule="auto" w:line="240" w:before="0" w:after="0"/>
              <w:ind w:left="0" w:right="0" w:hanging="0"/>
              <w:rPr>
                <w:rFonts w:ascii="Arial;Helvetica;sans-serif" w:hAnsi="Arial;Helvetica;sans-serif"/>
                <w:sz w:val="20"/>
              </w:rPr>
            </w:pPr>
            <w:r>
              <w:rPr>
                <w:rFonts w:ascii="Arial;Helvetica;sans-serif" w:hAnsi="Arial;Helvetica;sans-serif"/>
                <w:sz w:val="20"/>
              </w:rPr>
              <w:t>32.2†</w:t>
            </w:r>
          </w:p>
        </w:tc>
        <w:tc>
          <w:tcPr>
            <w:tcW w:w="326" w:type="dxa"/>
            <w:tcBorders/>
            <w:shd w:fill="auto" w:val="clear"/>
            <w:vAlign w:val="center"/>
          </w:tcPr>
          <w:p>
            <w:pPr>
              <w:pStyle w:val="TableContents"/>
              <w:spacing w:before="0" w:after="0"/>
              <w:ind w:left="0" w:right="0" w:hanging="0"/>
              <w:rPr/>
            </w:pPr>
            <w:r>
              <w:rPr/>
              <w:t>​</w:t>
            </w:r>
          </w:p>
        </w:tc>
        <w:tc>
          <w:tcPr>
            <w:tcW w:w="3216" w:type="dxa"/>
            <w:tcBorders/>
            <w:shd w:fill="auto" w:val="clear"/>
            <w:vAlign w:val="center"/>
          </w:tcPr>
          <w:p>
            <w:pPr>
              <w:pStyle w:val="TableContents"/>
              <w:spacing w:before="0" w:after="0"/>
              <w:ind w:left="0" w:right="0" w:hanging="0"/>
              <w:rPr/>
            </w:pPr>
            <w:hyperlink w:anchor="olma-20211231xex32d2.htm">
              <w:r>
                <w:rPr>
                  <w:rStyle w:val="InternetLink"/>
                  <w:rFonts w:ascii="Arial;Helvetica;sans-serif" w:hAnsi="Arial;Helvetica;san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69" w:type="dxa"/>
            <w:gridSpan w:val="10"/>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101.INS</w:t>
            </w:r>
          </w:p>
        </w:tc>
        <w:tc>
          <w:tcPr>
            <w:tcW w:w="326" w:type="dxa"/>
            <w:tcBorders/>
            <w:shd w:fill="auto" w:val="clear"/>
            <w:vAlign w:val="center"/>
          </w:tcPr>
          <w:p>
            <w:pPr>
              <w:pStyle w:val="TableContents"/>
              <w:spacing w:before="0" w:after="0"/>
              <w:ind w:left="0" w:right="0" w:hanging="0"/>
              <w:rPr/>
            </w:pPr>
            <w:r>
              <w:rPr/>
              <w:t>​</w:t>
            </w:r>
          </w:p>
        </w:tc>
        <w:tc>
          <w:tcPr>
            <w:tcW w:w="7754"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Instance Document – the instance document does not appear in the Interactive Data File because its XBRL tags are embedded within the Inline XBRL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bl>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864"/>
        <w:gridCol w:w="326"/>
        <w:gridCol w:w="1608"/>
        <w:gridCol w:w="447"/>
        <w:gridCol w:w="825"/>
        <w:gridCol w:w="447"/>
        <w:gridCol w:w="1134"/>
        <w:gridCol w:w="447"/>
        <w:gridCol w:w="1052"/>
        <w:gridCol w:w="447"/>
        <w:gridCol w:w="887"/>
        <w:gridCol w:w="447"/>
        <w:gridCol w:w="109"/>
        <w:gridCol w:w="109"/>
        <w:gridCol w:w="109"/>
        <w:gridCol w:w="109"/>
        <w:gridCol w:w="109"/>
        <w:gridCol w:w="109"/>
        <w:gridCol w:w="109"/>
        <w:gridCol w:w="109"/>
        <w:gridCol w:w="109"/>
        <w:gridCol w:w="293"/>
      </w:tblGrid>
      <w:tr>
        <w:trPr/>
        <w:tc>
          <w:tcPr>
            <w:tcW w:w="864" w:type="dxa"/>
            <w:tcBorders/>
            <w:shd w:fill="auto" w:val="clear"/>
            <w:vAlign w:val="center"/>
          </w:tcPr>
          <w:p>
            <w:pPr>
              <w:pStyle w:val="TableHeading"/>
              <w:spacing w:before="0" w:after="0"/>
              <w:ind w:left="0" w:right="0" w:hanging="0"/>
              <w:jc w:val="left"/>
              <w:rPr/>
            </w:pPr>
            <w:r>
              <w:rPr/>
              <w:t>​</w:t>
            </w:r>
          </w:p>
        </w:tc>
        <w:tc>
          <w:tcPr>
            <w:tcW w:w="326" w:type="dxa"/>
            <w:tcBorders/>
            <w:shd w:fill="auto" w:val="clear"/>
            <w:vAlign w:val="center"/>
          </w:tcPr>
          <w:p>
            <w:pPr>
              <w:pStyle w:val="TableHeading"/>
              <w:spacing w:before="0" w:after="0"/>
              <w:ind w:left="0" w:right="0" w:hanging="0"/>
              <w:jc w:val="left"/>
              <w:rPr/>
            </w:pPr>
            <w:r>
              <w:rPr/>
              <w:t>​</w:t>
            </w:r>
          </w:p>
        </w:tc>
        <w:tc>
          <w:tcPr>
            <w:tcW w:w="1608" w:type="dxa"/>
            <w:tcBorders/>
            <w:shd w:fill="auto" w:val="clear"/>
            <w:vAlign w:val="center"/>
          </w:tcPr>
          <w:p>
            <w:pPr>
              <w:pStyle w:val="TableHeading"/>
              <w:spacing w:before="0" w:after="0"/>
              <w:ind w:left="0" w:right="0" w:hanging="0"/>
              <w:jc w:val="left"/>
              <w:rPr/>
            </w:pPr>
            <w:r>
              <w:rPr/>
              <w:t>​</w:t>
            </w:r>
          </w:p>
        </w:tc>
        <w:tc>
          <w:tcPr>
            <w:tcW w:w="7407" w:type="dxa"/>
            <w:gridSpan w:val="19"/>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Incorporation by Reference</w:t>
            </w:r>
          </w:p>
        </w:tc>
      </w:tr>
      <w:tr>
        <w:trPr/>
        <w:tc>
          <w:tcPr>
            <w:tcW w:w="864"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Number</w:t>
            </w:r>
          </w:p>
        </w:tc>
        <w:tc>
          <w:tcPr>
            <w:tcW w:w="326" w:type="dxa"/>
            <w:tcBorders/>
            <w:shd w:fill="auto" w:val="clear"/>
            <w:vAlign w:val="center"/>
          </w:tcPr>
          <w:p>
            <w:pPr>
              <w:pStyle w:val="TableHeading"/>
              <w:spacing w:before="0" w:after="0"/>
              <w:ind w:left="0" w:right="0" w:hanging="0"/>
              <w:jc w:val="left"/>
              <w:rPr/>
            </w:pPr>
            <w:r>
              <w:rPr/>
              <w:t>    </w:t>
            </w:r>
          </w:p>
        </w:tc>
        <w:tc>
          <w:tcPr>
            <w:tcW w:w="1608" w:type="dxa"/>
            <w:tcBorders>
              <w:bottom w:val="single" w:sz="2" w:space="0" w:color="000000"/>
            </w:tcBorders>
            <w:shd w:fill="auto" w:val="clear"/>
            <w:tcMar>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br/>
              <w:t>Description</w:t>
            </w:r>
          </w:p>
        </w:tc>
        <w:tc>
          <w:tcPr>
            <w:tcW w:w="44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825"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Form</w:t>
            </w:r>
          </w:p>
        </w:tc>
        <w:tc>
          <w:tcPr>
            <w:tcW w:w="44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1134"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 No.</w:t>
            </w:r>
          </w:p>
        </w:tc>
        <w:tc>
          <w:tcPr>
            <w:tcW w:w="44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1052"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Exhibit</w:t>
            </w:r>
          </w:p>
        </w:tc>
        <w:tc>
          <w:tcPr>
            <w:tcW w:w="44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887" w:type="dxa"/>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Filing</w:t>
              <w:br/>
              <w:t>Date</w:t>
            </w:r>
          </w:p>
        </w:tc>
        <w:tc>
          <w:tcPr>
            <w:tcW w:w="447" w:type="dxa"/>
            <w:tcBorders>
              <w:top w:val="single" w:sz="2" w:space="0" w:color="000000"/>
            </w:tcBorders>
            <w:shd w:fill="auto" w:val="clear"/>
            <w:tcMar>
              <w:top w:w="28" w:type="dxa"/>
            </w:tcMar>
            <w:vAlign w:val="center"/>
          </w:tcPr>
          <w:p>
            <w:pPr>
              <w:pStyle w:val="TableHeading"/>
              <w:spacing w:before="0" w:after="0"/>
              <w:ind w:left="0" w:right="0" w:hanging="0"/>
              <w:jc w:val="left"/>
              <w:rPr/>
            </w:pPr>
            <w:r>
              <w:rPr/>
              <w:t>    </w:t>
            </w:r>
          </w:p>
        </w:tc>
        <w:tc>
          <w:tcPr>
            <w:tcW w:w="1274" w:type="dxa"/>
            <w:gridSpan w:val="10"/>
            <w:tcBorders>
              <w:top w:val="single" w:sz="2" w:space="0" w:color="000000"/>
              <w:bottom w:val="single" w:sz="2" w:space="0" w:color="000000"/>
            </w:tcBorders>
            <w:shd w:fill="auto" w:val="clear"/>
            <w:tcMar>
              <w:top w:w="28" w:type="dxa"/>
              <w:bottom w:w="28" w:type="dxa"/>
            </w:tcMar>
            <w:vAlign w:val="center"/>
          </w:tcPr>
          <w:p>
            <w:pPr>
              <w:pStyle w:val="TableHeading"/>
              <w:spacing w:before="0" w:after="0"/>
              <w:ind w:left="0" w:right="0" w:hanging="0"/>
              <w:jc w:val="center"/>
              <w:rPr>
                <w:rFonts w:ascii="Arial;Helvetica;sans-serif" w:hAnsi="Arial;Helvetica;sans-serif"/>
                <w:b/>
                <w:sz w:val="20"/>
              </w:rPr>
            </w:pPr>
            <w:r>
              <w:rPr>
                <w:rFonts w:ascii="Arial;Helvetica;sans-serif" w:hAnsi="Arial;Helvetica;sans-serif"/>
                <w:b/>
                <w:sz w:val="20"/>
              </w:rPr>
              <w:t>Filed</w:t>
              <w:br/>
              <w:t>Herewith</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101.SCH</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Taxonomy Extension Schema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101.CAL</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Taxonomy Extension Calculation Linkbase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101.DEF</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Taxonomy Extension Definition Linkbase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101.LAB</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Taxonomy Extension Label Linkbase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101.PRE</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XBRL Taxonomy Extension Presentation Linkbase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w:t>
            </w:r>
          </w:p>
        </w:tc>
        <w:tc>
          <w:tcPr>
            <w:tcW w:w="7741" w:type="dxa"/>
            <w:gridSpan w:val="10"/>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Cover Page Interactive Data File – The cover page interactive data file does not appear in the Interactive Data File because its XBRL tags are embedded within the Inline XBRL document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93"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X</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8" w:type="dxa"/>
            <w:tcBorders/>
            <w:shd w:fill="auto" w:val="clear"/>
            <w:vAlign w:val="center"/>
          </w:tcPr>
          <w:p>
            <w:pPr>
              <w:pStyle w:val="TableContents"/>
              <w:spacing w:before="0" w:after="0"/>
              <w:ind w:left="0" w:right="0" w:hanging="0"/>
              <w:rPr/>
            </w:pPr>
            <w:r>
              <w:rPr/>
              <w:t>​</w:t>
            </w:r>
          </w:p>
        </w:tc>
        <w:tc>
          <w:tcPr>
            <w:tcW w:w="447" w:type="dxa"/>
            <w:tcBorders/>
            <w:shd w:fill="auto" w:val="clear"/>
            <w:vAlign w:val="center"/>
          </w:tcPr>
          <w:p>
            <w:pPr>
              <w:pStyle w:val="TableContents"/>
              <w:spacing w:before="0" w:after="0"/>
              <w:ind w:left="0" w:right="0" w:hanging="0"/>
              <w:rPr/>
            </w:pPr>
            <w:r>
              <w:rPr/>
              <w:t>​</w:t>
            </w:r>
          </w:p>
        </w:tc>
        <w:tc>
          <w:tcPr>
            <w:tcW w:w="825"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274" w:type="dxa"/>
            <w:gridSpan w:val="10"/>
            <w:tcBorders/>
            <w:shd w:fill="auto" w:val="clear"/>
            <w:vAlign w:val="center"/>
          </w:tcPr>
          <w:p>
            <w:pPr>
              <w:pStyle w:val="TableContents"/>
              <w:spacing w:before="0" w:after="0"/>
              <w:ind w:left="0" w:right="0" w:hanging="0"/>
              <w:jc w:val="center"/>
              <w:rPr/>
            </w:pPr>
            <w:r>
              <w:rPr/>
              <w:t>​</w:t>
            </w:r>
          </w:p>
        </w:tc>
      </w:tr>
      <w:tr>
        <w:trPr/>
        <w:tc>
          <w:tcPr>
            <w:tcW w:w="8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8" w:type="dxa"/>
            <w:tcBorders/>
            <w:shd w:fill="auto" w:val="clear"/>
            <w:vAlign w:val="center"/>
          </w:tcPr>
          <w:p>
            <w:pPr>
              <w:pStyle w:val="TableContents"/>
              <w:spacing w:before="0" w:after="0"/>
              <w:ind w:left="0" w:right="0" w:hanging="0"/>
              <w:rPr/>
            </w:pPr>
            <w:r>
              <w:rPr/>
              <w:t>​</w:t>
            </w:r>
          </w:p>
        </w:tc>
        <w:tc>
          <w:tcPr>
            <w:tcW w:w="447" w:type="dxa"/>
            <w:tcBorders/>
            <w:shd w:fill="auto" w:val="clear"/>
            <w:vAlign w:val="center"/>
          </w:tcPr>
          <w:p>
            <w:pPr>
              <w:pStyle w:val="TableContents"/>
              <w:spacing w:before="0" w:after="0"/>
              <w:ind w:left="0" w:right="0" w:hanging="0"/>
              <w:rPr/>
            </w:pPr>
            <w:r>
              <w:rPr/>
              <w:t>​</w:t>
            </w:r>
          </w:p>
        </w:tc>
        <w:tc>
          <w:tcPr>
            <w:tcW w:w="825"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134"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887" w:type="dxa"/>
            <w:tcBorders/>
            <w:shd w:fill="auto" w:val="clear"/>
            <w:vAlign w:val="center"/>
          </w:tcPr>
          <w:p>
            <w:pPr>
              <w:pStyle w:val="TableContents"/>
              <w:spacing w:before="0" w:after="0"/>
              <w:ind w:left="0" w:right="0" w:hanging="0"/>
              <w:jc w:val="center"/>
              <w:rPr/>
            </w:pPr>
            <w:r>
              <w:rPr/>
              <w:t>​</w:t>
            </w:r>
          </w:p>
        </w:tc>
        <w:tc>
          <w:tcPr>
            <w:tcW w:w="447" w:type="dxa"/>
            <w:tcBorders/>
            <w:shd w:fill="auto" w:val="clear"/>
            <w:vAlign w:val="center"/>
          </w:tcPr>
          <w:p>
            <w:pPr>
              <w:pStyle w:val="TableContents"/>
              <w:spacing w:before="0" w:after="0"/>
              <w:ind w:left="0" w:right="0" w:hanging="0"/>
              <w:rPr/>
            </w:pPr>
            <w:r>
              <w:rPr/>
              <w:t>​</w:t>
            </w:r>
          </w:p>
        </w:tc>
        <w:tc>
          <w:tcPr>
            <w:tcW w:w="1274" w:type="dxa"/>
            <w:gridSpan w:val="10"/>
            <w:tcBorders/>
            <w:shd w:fill="auto" w:val="clear"/>
            <w:vAlign w:val="center"/>
          </w:tcPr>
          <w:p>
            <w:pPr>
              <w:pStyle w:val="TableContents"/>
              <w:spacing w:before="0" w:after="0"/>
              <w:ind w:left="0" w:right="0" w:hanging="0"/>
              <w:jc w:val="center"/>
              <w:rPr/>
            </w:pPr>
            <w:r>
              <w:rPr/>
              <w:t>​</w:t>
            </w:r>
          </w:p>
        </w:tc>
      </w:tr>
    </w:tbl>
    <w:p>
      <w:pPr>
        <w:pStyle w:val="TextBody"/>
        <w:pBdr/>
        <w:spacing w:before="0" w:after="240"/>
        <w:ind w:left="0" w:right="0" w:hanging="360"/>
        <w:jc w:val="both"/>
        <w:rPr>
          <w:rFonts w:ascii="Arial;Helvetica;sans-serif" w:hAnsi="Arial;Helvetica;sans-serif"/>
          <w:sz w:val="18"/>
        </w:rPr>
      </w:pPr>
      <w:r>
        <w:rPr>
          <w:rFonts w:ascii="Arial;Helvetica;sans-serif" w:hAnsi="Arial;Helvetica;sans-serif"/>
          <w:sz w:val="20"/>
        </w:rPr>
        <w:t>#</w:t>
      </w:r>
      <w:r>
        <w:rPr>
          <w:rFonts w:ascii="Arial;Helvetica;sans-serif" w:hAnsi="Arial;Helvetica;sans-serif"/>
          <w:sz w:val="18"/>
        </w:rPr>
        <w:t>     </w:t>
      </w:r>
      <w:r>
        <w:rPr>
          <w:rFonts w:ascii="Arial;Helvetica;sans-serif" w:hAnsi="Arial;Helvetica;sans-serif"/>
          <w:sz w:val="20"/>
        </w:rPr>
        <w:t>Indicates management contract or compensatory plan or arrangement.</w:t>
      </w:r>
    </w:p>
    <w:p>
      <w:pPr>
        <w:pStyle w:val="TextBody"/>
        <w:pBdr/>
        <w:spacing w:before="0" w:after="240"/>
        <w:ind w:left="0" w:right="0" w:hanging="360"/>
        <w:jc w:val="both"/>
        <w:rPr/>
      </w:pPr>
      <w:r>
        <w:rPr/>
        <w:t>†     </w:t>
      </w:r>
      <w:r>
        <w:rPr>
          <w:rFonts w:ascii="Arial;Helvetica;sans-serif" w:hAnsi="Arial;Helvetica;sans-serif"/>
          <w:sz w:val="20"/>
        </w:rPr>
        <w:t>The certifications attached as Exhibit 32.1 and Exhibit 32.2 that accompany this Annual Report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irrespective of any general incorporation language contained in such filing.</w:t>
      </w:r>
    </w:p>
    <w:p>
      <w:pPr>
        <w:pStyle w:val="TextBody"/>
        <w:spacing w:before="0" w:after="240"/>
        <w:ind w:left="0" w:right="0" w:hanging="0"/>
        <w:jc w:val="both"/>
        <w:rPr>
          <w:rFonts w:ascii="Arial;Helvetica;sans-serif" w:hAnsi="Arial;Helvetica;sans-serif"/>
          <w:b/>
          <w:sz w:val="20"/>
        </w:rPr>
      </w:pPr>
      <w:bookmarkStart w:id="1253" w:name="Item16Form10KSummary_189122"/>
      <w:bookmarkStart w:id="1254" w:name="_a22901fb_e2ce_4bc2_8249_57813435f801"/>
      <w:bookmarkEnd w:id="1253"/>
      <w:bookmarkEnd w:id="1254"/>
      <w:r>
        <w:rPr>
          <w:rFonts w:ascii="Arial;Helvetica;sans-serif" w:hAnsi="Arial;Helvetica;sans-serif"/>
          <w:b/>
          <w:sz w:val="20"/>
        </w:rPr>
        <w:t>Item 16.    Form 10-K Summary.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None.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bookmarkStart w:id="1255" w:name="SIGNATURES_192989"/>
      <w:bookmarkStart w:id="1256" w:name="_3c34fa79_f6cd_459c_b7cb_164c995d11ca"/>
      <w:bookmarkEnd w:id="1255"/>
      <w:bookmarkEnd w:id="1256"/>
      <w:r>
        <w:rPr>
          <w:rFonts w:ascii="Arial;Helvetica;sans-serif" w:hAnsi="Arial;Helvetica;sans-serif"/>
          <w:b/>
          <w:sz w:val="24"/>
        </w:rPr>
        <w:t>SIGNATURES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5041" w:type="dxa"/>
        <w:jc w:val="left"/>
        <w:tblInd w:w="0" w:type="dxa"/>
        <w:tblCellMar>
          <w:top w:w="0" w:type="dxa"/>
          <w:left w:w="0" w:type="dxa"/>
          <w:bottom w:w="0" w:type="dxa"/>
          <w:right w:w="0" w:type="dxa"/>
        </w:tblCellMar>
      </w:tblPr>
      <w:tblGrid>
        <w:gridCol w:w="2221"/>
        <w:gridCol w:w="412"/>
        <w:gridCol w:w="2408"/>
      </w:tblGrid>
      <w:tr>
        <w:trPr/>
        <w:tc>
          <w:tcPr>
            <w:tcW w:w="2221" w:type="dxa"/>
            <w:tcBorders/>
            <w:shd w:fill="auto" w:val="clear"/>
            <w:vAlign w:val="center"/>
          </w:tcPr>
          <w:p>
            <w:pPr>
              <w:pStyle w:val="TableContents"/>
              <w:spacing w:before="0" w:after="0"/>
              <w:ind w:left="0" w:right="0" w:hanging="0"/>
              <w:rPr/>
            </w:pPr>
            <w:r>
              <w:rPr/>
              <w:t>​</w:t>
            </w:r>
          </w:p>
        </w:tc>
        <w:tc>
          <w:tcPr>
            <w:tcW w:w="412"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2820" w:type="dxa"/>
            <w:gridSpan w:val="2"/>
            <w:tcBorders/>
            <w:shd w:fill="auto" w:val="clear"/>
            <w:vAlign w:val="center"/>
          </w:tcPr>
          <w:p>
            <w:pPr>
              <w:pStyle w:val="TableContents"/>
              <w:spacing w:before="0" w:after="0"/>
              <w:ind w:left="0" w:right="0" w:hanging="0"/>
              <w:jc w:val="both"/>
              <w:rPr>
                <w:rFonts w:ascii="Arial;Helvetica;sans-serif" w:hAnsi="Arial;Helvetica;sans-serif"/>
                <w:b/>
                <w:sz w:val="20"/>
              </w:rPr>
            </w:pPr>
            <w:r>
              <w:rPr>
                <w:rFonts w:ascii="Arial;Helvetica;sans-serif" w:hAnsi="Arial;Helvetica;sans-serif"/>
                <w:b/>
                <w:sz w:val="20"/>
              </w:rPr>
              <w:t>Olema Pharmaceuticals, Inc.</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Date: February 28, 2022</w:t>
            </w:r>
          </w:p>
        </w:tc>
        <w:tc>
          <w:tcPr>
            <w:tcW w:w="412"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2408"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/s/ Sean Bohen</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Sean Bohen, M.D., Ph.D.</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12" w:type="dxa"/>
            <w:tcBorders/>
            <w:shd w:fill="auto" w:val="clear"/>
            <w:vAlign w:val="center"/>
          </w:tcPr>
          <w:p>
            <w:pPr>
              <w:pStyle w:val="TableContents"/>
              <w:spacing w:before="0" w:after="240"/>
              <w:ind w:left="0" w:right="0" w:hanging="0"/>
              <w:jc w:val="both"/>
              <w:rPr/>
            </w:pPr>
            <w:r>
              <w:rPr/>
              <w:t>​</w:t>
            </w:r>
          </w:p>
        </w:tc>
        <w:tc>
          <w:tcPr>
            <w:tcW w:w="2408" w:type="dxa"/>
            <w:tcBorders/>
            <w:shd w:fill="auto" w:val="clear"/>
            <w:vAlign w:val="center"/>
          </w:tcPr>
          <w:p>
            <w:pPr>
              <w:pStyle w:val="TableContents"/>
              <w:spacing w:before="0" w:after="0"/>
              <w:ind w:left="0" w:right="0" w:hanging="0"/>
              <w:jc w:val="both"/>
              <w:rPr>
                <w:rFonts w:ascii="Arial;Helvetica;sans-serif" w:hAnsi="Arial;Helvetica;sans-serif"/>
                <w:i/>
                <w:sz w:val="20"/>
              </w:rPr>
            </w:pPr>
            <w:r>
              <w:rPr>
                <w:rFonts w:ascii="Arial;Helvetica;sans-serif" w:hAnsi="Arial;Helvetica;sans-serif"/>
                <w:i/>
                <w:sz w:val="20"/>
              </w:rPr>
              <w:t>Chief Executive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4"/>
        </w:rPr>
      </w:pPr>
      <w:r>
        <w:rPr>
          <w:rFonts w:ascii="Arial;Helvetica;sans-serif" w:hAnsi="Arial;Helvetica;sans-serif"/>
          <w:b/>
          <w:sz w:val="24"/>
        </w:rPr>
        <w:t>SIGNATURES</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5988" w:type="dxa"/>
        <w:jc w:val="left"/>
        <w:tblInd w:w="0" w:type="dxa"/>
        <w:tblCellMar>
          <w:top w:w="0" w:type="dxa"/>
          <w:left w:w="0" w:type="dxa"/>
          <w:bottom w:w="0" w:type="dxa"/>
          <w:right w:w="0" w:type="dxa"/>
        </w:tblCellMar>
      </w:tblPr>
      <w:tblGrid>
        <w:gridCol w:w="2221"/>
        <w:gridCol w:w="406"/>
        <w:gridCol w:w="3361"/>
      </w:tblGrid>
      <w:tr>
        <w:trPr/>
        <w:tc>
          <w:tcPr>
            <w:tcW w:w="222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361" w:type="dxa"/>
            <w:tcBorders/>
            <w:shd w:fill="auto" w:val="clear"/>
            <w:vAlign w:val="center"/>
          </w:tcPr>
          <w:p>
            <w:pPr>
              <w:pStyle w:val="TableContents"/>
              <w:spacing w:before="0" w:after="0"/>
              <w:ind w:left="0" w:right="0" w:hanging="0"/>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3767" w:type="dxa"/>
            <w:gridSpan w:val="2"/>
            <w:tcBorders/>
            <w:shd w:fill="auto" w:val="clear"/>
            <w:vAlign w:val="center"/>
          </w:tcPr>
          <w:p>
            <w:pPr>
              <w:pStyle w:val="TableContents"/>
              <w:spacing w:before="0" w:after="0"/>
              <w:ind w:left="0" w:right="0" w:hanging="0"/>
              <w:jc w:val="both"/>
              <w:rPr>
                <w:rFonts w:ascii="Arial;Helvetica;sans-serif" w:hAnsi="Arial;Helvetica;sans-serif"/>
                <w:b/>
                <w:sz w:val="20"/>
              </w:rPr>
            </w:pPr>
            <w:r>
              <w:rPr>
                <w:rFonts w:ascii="Arial;Helvetica;sans-serif" w:hAnsi="Arial;Helvetica;sans-serif"/>
                <w:b/>
                <w:sz w:val="20"/>
              </w:rPr>
              <w:t>Olema Pharmaceuticals, Inc.</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Date: February 28, 2022</w:t>
            </w:r>
          </w:p>
        </w:tc>
        <w:tc>
          <w:tcPr>
            <w:tcW w:w="406"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By:</w:t>
            </w:r>
          </w:p>
        </w:tc>
        <w:tc>
          <w:tcPr>
            <w:tcW w:w="3361"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/s/ Shane Kovacs</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0"/>
              <w:ind w:left="0" w:right="0" w:hanging="0"/>
              <w:jc w:val="both"/>
              <w:rPr>
                <w:rFonts w:ascii="Arial;Helvetica;sans-serif" w:hAnsi="Arial;Helvetica;sans-serif"/>
                <w:sz w:val="20"/>
              </w:rPr>
            </w:pPr>
            <w:r>
              <w:rPr>
                <w:rFonts w:ascii="Arial;Helvetica;sans-serif" w:hAnsi="Arial;Helvetica;sans-serif"/>
                <w:sz w:val="20"/>
              </w:rPr>
              <w:t>Shane Kovacs</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240"/>
              <w:ind w:left="0" w:right="0" w:hanging="0"/>
              <w:jc w:val="both"/>
              <w:rPr/>
            </w:pPr>
            <w:r>
              <w:rPr/>
              <w:t>​</w:t>
            </w:r>
          </w:p>
        </w:tc>
      </w:tr>
      <w:tr>
        <w:trPr/>
        <w:tc>
          <w:tcPr>
            <w:tcW w:w="2221" w:type="dxa"/>
            <w:tcBorders/>
            <w:shd w:fill="auto" w:val="clear"/>
            <w:vAlign w:val="center"/>
          </w:tcPr>
          <w:p>
            <w:pPr>
              <w:pStyle w:val="TableContents"/>
              <w:spacing w:before="0" w:after="240"/>
              <w:ind w:left="0" w:right="0" w:hanging="0"/>
              <w:jc w:val="both"/>
              <w:rPr/>
            </w:pPr>
            <w:r>
              <w:rPr/>
              <w:t>​</w:t>
            </w:r>
          </w:p>
        </w:tc>
        <w:tc>
          <w:tcPr>
            <w:tcW w:w="406" w:type="dxa"/>
            <w:tcBorders/>
            <w:shd w:fill="auto" w:val="clear"/>
            <w:vAlign w:val="center"/>
          </w:tcPr>
          <w:p>
            <w:pPr>
              <w:pStyle w:val="TableContents"/>
              <w:spacing w:before="0" w:after="240"/>
              <w:ind w:left="0" w:right="0" w:hanging="0"/>
              <w:jc w:val="both"/>
              <w:rPr/>
            </w:pPr>
            <w:r>
              <w:rPr/>
              <w:t>​</w:t>
            </w:r>
          </w:p>
        </w:tc>
        <w:tc>
          <w:tcPr>
            <w:tcW w:w="3361" w:type="dxa"/>
            <w:tcBorders/>
            <w:shd w:fill="auto" w:val="clear"/>
            <w:vAlign w:val="center"/>
          </w:tcPr>
          <w:p>
            <w:pPr>
              <w:pStyle w:val="TableContents"/>
              <w:spacing w:before="0" w:after="0"/>
              <w:ind w:left="0" w:right="0" w:hanging="0"/>
              <w:jc w:val="both"/>
              <w:rPr>
                <w:rFonts w:ascii="Arial;Helvetica;sans-serif" w:hAnsi="Arial;Helvetica;sans-serif"/>
                <w:i/>
                <w:sz w:val="20"/>
              </w:rPr>
            </w:pPr>
            <w:r>
              <w:rPr>
                <w:rFonts w:ascii="Arial;Helvetica;sans-serif" w:hAnsi="Arial;Helvetica;sans-serif"/>
                <w:i/>
                <w:sz w:val="20"/>
              </w:rPr>
              <w:t>Chief Operating and Financial Officer</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bookmarkStart w:id="1257" w:name="POWEROFATTORNEY_868618"/>
      <w:bookmarkEnd w:id="1257"/>
      <w:r>
        <w:rPr>
          <w:rFonts w:ascii="Arial;Helvetica;sans-serif" w:hAnsi="Arial;Helvetica;sans-serif"/>
          <w:b/>
          <w:sz w:val="20"/>
        </w:rPr>
        <w:t>POWER OF ATTORNEY</w:t>
      </w:r>
    </w:p>
    <w:p>
      <w:pPr>
        <w:pStyle w:val="TextBody"/>
        <w:spacing w:before="0" w:after="240"/>
        <w:ind w:left="0" w:right="0" w:hanging="0"/>
        <w:jc w:val="both"/>
        <w:rPr>
          <w:rFonts w:ascii="Arial;Helvetica;sans-serif" w:hAnsi="Arial;Helvetica;sans-serif"/>
          <w:sz w:val="20"/>
        </w:rPr>
      </w:pPr>
      <w:r>
        <w:rPr>
          <w:rFonts w:ascii="Arial;Helvetica;sans-serif" w:hAnsi="Arial;Helvetica;sans-serif"/>
          <w:sz w:val="20"/>
        </w:rPr>
        <w:t>KNOW ALL PERSONS BY THESE PRESENTS, that each person whose signature appears below constitutes and appoints Sean Bohen, M.D., Ph.D. and Shane Kovacs,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as amended, this report has been signed below by the following persons on behalf of the registrant and in the capacities and on the dates indicated.</w:t>
      </w:r>
    </w:p>
    <w:p>
      <w:pPr>
        <w:pStyle w:val="TextBody"/>
        <w:spacing w:before="0" w:after="0"/>
        <w:ind w:left="0" w:right="0" w:hanging="0"/>
        <w:rPr/>
      </w:pPr>
      <w:r>
        <w:rPr/>
        <w:t>​</w:t>
      </w:r>
    </w:p>
    <w:tbl>
      <w:tblPr>
        <w:tblW w:w="9729" w:type="dxa"/>
        <w:jc w:val="left"/>
        <w:tblInd w:w="0" w:type="dxa"/>
        <w:tblCellMar>
          <w:top w:w="0" w:type="dxa"/>
          <w:left w:w="0" w:type="dxa"/>
          <w:bottom w:w="0" w:type="dxa"/>
          <w:right w:w="0" w:type="dxa"/>
        </w:tblCellMar>
      </w:tblPr>
      <w:tblGrid>
        <w:gridCol w:w="3166"/>
        <w:gridCol w:w="326"/>
        <w:gridCol w:w="4186"/>
        <w:gridCol w:w="326"/>
        <w:gridCol w:w="712"/>
        <w:gridCol w:w="1013"/>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712" w:type="dxa"/>
            <w:tcBorders/>
            <w:shd w:fill="auto" w:val="clear"/>
            <w:vAlign w:val="center"/>
          </w:tcPr>
          <w:p>
            <w:pPr>
              <w:pStyle w:val="TableContents"/>
              <w:spacing w:before="0" w:after="283"/>
              <w:ind w:left="0" w:right="0" w:hanging="0"/>
              <w:rPr>
                <w:sz w:val="4"/>
                <w:szCs w:val="4"/>
              </w:rPr>
            </w:pPr>
            <w:r>
              <w:rPr>
                <w:sz w:val="4"/>
                <w:szCs w:val="4"/>
              </w:rPr>
            </w:r>
          </w:p>
        </w:tc>
        <w:tc>
          <w:tcPr>
            <w:tcW w:w="1013" w:type="dxa"/>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Name</w:t>
            </w:r>
          </w:p>
        </w:tc>
        <w:tc>
          <w:tcPr>
            <w:tcW w:w="326" w:type="dxa"/>
            <w:tcBorders/>
            <w:shd w:fill="auto" w:val="clear"/>
            <w:vAlign w:val="center"/>
          </w:tcPr>
          <w:p>
            <w:pPr>
              <w:pStyle w:val="TableContents"/>
              <w:spacing w:before="0" w:after="0"/>
              <w:ind w:left="0" w:right="0" w:hanging="0"/>
              <w:rPr/>
            </w:pPr>
            <w:r>
              <w:rPr/>
              <w:t>    </w:t>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Title</w:t>
            </w:r>
          </w:p>
        </w:tc>
        <w:tc>
          <w:tcPr>
            <w:tcW w:w="326" w:type="dxa"/>
            <w:tcBorders/>
            <w:shd w:fill="auto" w:val="clear"/>
            <w:vAlign w:val="center"/>
          </w:tcPr>
          <w:p>
            <w:pPr>
              <w:pStyle w:val="TableContents"/>
              <w:spacing w:before="0" w:after="0"/>
              <w:ind w:left="0" w:right="0" w:hanging="0"/>
              <w:rPr/>
            </w:pPr>
            <w:r>
              <w:rPr/>
              <w:t>    </w:t>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sz w:val="16"/>
              </w:rPr>
              <w:t>Date</w:t>
            </w:r>
          </w:p>
        </w:tc>
      </w:tr>
      <w:tr>
        <w:trPr/>
        <w:tc>
          <w:tcPr>
            <w:tcW w:w="3166"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Sean Bohen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President, Chief Executive Officer and 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Sean Bohen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Executive Officer</w:t>
            </w:r>
            <w:r>
              <w:rPr>
                <w:rFonts w:ascii="Arial;Helvetica;sans-serif" w:hAnsi="Arial;Helvetica;sans-serif"/>
                <w:sz w:val="20"/>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Shane Kovacs</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Chief Operating and Financial Officer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Shane Kovacs</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w:t>
            </w:r>
            <w:r>
              <w:rPr>
                <w:rFonts w:ascii="Arial;Helvetica;sans-serif" w:hAnsi="Arial;Helvetica;sans-serif"/>
                <w:i/>
                <w:sz w:val="20"/>
              </w:rPr>
              <w:t>Principal Financial and Accounting Officer</w:t>
            </w:r>
            <w:r>
              <w:rPr>
                <w:rFonts w:ascii="Arial;Helvetica;sans-serif" w:hAnsi="Arial;Helvetica;sans-serif"/>
                <w:sz w:val="20"/>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Ian Clark</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Ian Clark</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Cynthia Butitta</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Cynthia Butitta</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Cyrus L. Harmon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Cyrus L. Harmon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Sandra J. Horning, M.D.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Sandra J. Horning, M.D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Gorjan Hrustanovic, Ph.D.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Gorjan Hrustanovic, Ph.D.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Yi Larson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Yi Larson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Andrew Rappaport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Andrew Rappaport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712" w:type="dxa"/>
            <w:tcBorders/>
            <w:shd w:fill="auto" w:val="clear"/>
            <w:vAlign w:val="center"/>
          </w:tcPr>
          <w:p>
            <w:pPr>
              <w:pStyle w:val="TableContents"/>
              <w:spacing w:before="0" w:after="283"/>
              <w:ind w:left="0" w:right="0" w:hanging="0"/>
              <w:rPr>
                <w:sz w:val="4"/>
                <w:szCs w:val="4"/>
              </w:rPr>
            </w:pPr>
            <w:r>
              <w:rPr>
                <w:sz w:val="4"/>
                <w:szCs w:val="4"/>
              </w:rPr>
            </w:r>
          </w:p>
        </w:tc>
        <w:tc>
          <w:tcPr>
            <w:tcW w:w="1013" w:type="dxa"/>
            <w:tcBorders/>
            <w:shd w:fill="auto" w:val="clear"/>
            <w:vAlign w:val="center"/>
          </w:tcPr>
          <w:p>
            <w:pPr>
              <w:pStyle w:val="TableContents"/>
              <w:spacing w:before="0" w:after="283"/>
              <w:ind w:left="0" w:right="0" w:hanging="0"/>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center"/>
              <w:rPr/>
            </w:pPr>
            <w:r>
              <w:rPr/>
              <w:t>​</w:t>
            </w:r>
          </w:p>
        </w:tc>
        <w:tc>
          <w:tcPr>
            <w:tcW w:w="1013" w:type="dxa"/>
            <w:tcBorders/>
            <w:shd w:fill="auto"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/s/ Graham Walmsley, M.D., Ph.D.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Director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725" w:type="dxa"/>
            <w:gridSpan w:val="2"/>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February 28, 2022</w:t>
            </w:r>
          </w:p>
        </w:tc>
      </w:tr>
      <w:tr>
        <w:trPr/>
        <w:tc>
          <w:tcPr>
            <w:tcW w:w="31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Graham Walmsley, M.D., Ph.D.</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175</w:t>
      </w:r>
      <w:r>
        <w:br w:type="page"/>
      </w:r>
    </w:p>
    <w:p>
      <w:pPr>
        <w:pStyle w:val="TextBody"/>
        <w:spacing w:before="0" w:after="0"/>
        <w:ind w:left="0" w:right="0" w:hanging="0"/>
        <w:jc w:val="right"/>
        <w:rPr/>
      </w:pPr>
      <w:bookmarkStart w:id="1258" w:name="olma-20211231xex10d17.htm"/>
      <w:bookmarkStart w:id="1259" w:name="ksolma20211231xex10d17"/>
      <w:bookmarkEnd w:id="1258"/>
      <w:bookmarkEnd w:id="1259"/>
      <w:r>
        <w:rPr/>
        <w:t>​</w:t>
      </w:r>
    </w:p>
    <w:p>
      <w:pPr>
        <w:pStyle w:val="TextBody"/>
        <w:spacing w:before="0" w:after="120"/>
        <w:ind w:left="0" w:right="0" w:hanging="0"/>
        <w:jc w:val="right"/>
        <w:rPr>
          <w:rFonts w:ascii="Times New Roman Bold" w:hAnsi="Times New Roman Bold"/>
          <w:b/>
          <w:sz w:val="22"/>
        </w:rPr>
      </w:pPr>
      <w:r>
        <w:rPr>
          <w:rFonts w:ascii="Times New Roman Bold" w:hAnsi="Times New Roman Bold"/>
          <w:b/>
          <w:sz w:val="22"/>
        </w:rPr>
        <w:t>Exhibit 10.17</w:t>
      </w:r>
    </w:p>
    <w:p>
      <w:pPr>
        <w:pStyle w:val="TextBody"/>
        <w:spacing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Olema Pharmaceuticals, Inc.</w:t>
      </w:r>
    </w:p>
    <w:p>
      <w:pPr>
        <w:pStyle w:val="TextBody"/>
        <w:spacing w:before="0" w:after="240"/>
        <w:ind w:left="0" w:right="0" w:hanging="0"/>
        <w:jc w:val="center"/>
        <w:rPr>
          <w:rFonts w:ascii="Times New Roman;Times;serif" w:hAnsi="Times New Roman;Times;serif"/>
          <w:b/>
          <w:smallCaps/>
          <w:sz w:val="22"/>
        </w:rPr>
      </w:pPr>
      <w:r>
        <w:rPr>
          <w:rFonts w:ascii="Times New Roman;Times;serif" w:hAnsi="Times New Roman;Times;serif"/>
          <w:b/>
          <w:smallCaps/>
          <w:sz w:val="22"/>
        </w:rPr>
        <w:t>2022 Inducement Plan</w:t>
      </w:r>
    </w:p>
    <w:p>
      <w:pPr>
        <w:pStyle w:val="TextBody"/>
        <w:spacing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Adopted by the Board of Directors: January 19, 2022</w:t>
      </w:r>
    </w:p>
    <w:p>
      <w:pPr>
        <w:pStyle w:val="TextBody"/>
        <w:spacing w:before="0" w:after="0"/>
        <w:ind w:left="0" w:right="0" w:hanging="0"/>
        <w:jc w:val="center"/>
        <w:rPr>
          <w:smallCaps/>
        </w:rPr>
      </w:pPr>
      <w:r>
        <w:rPr>
          <w:smallCaps/>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1.</w:t>
      </w:r>
      <w:r>
        <w:rPr>
          <w:rFonts w:ascii="Times New Roman;Times;serif" w:hAnsi="Times New Roman;Times;serif"/>
          <w:b/>
          <w:smallCaps/>
          <w:sz w:val="22"/>
        </w:rPr>
        <w:t>General.</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bookmarkStart w:id="1260" w:name="_Ref92447068"/>
      <w:bookmarkEnd w:id="1260"/>
      <w:r>
        <w:rPr>
          <w:rFonts w:ascii="Times New Roman;Times;serif" w:hAnsi="Times New Roman;Times;serif"/>
          <w:b/>
          <w:sz w:val="22"/>
        </w:rPr>
        <w:t>Eligible Award Recipients.</w:t>
      </w:r>
      <w:r>
        <w:rPr>
          <w:rFonts w:ascii="Times New Roman;Times;serif" w:hAnsi="Times New Roman;Times;serif"/>
          <w:sz w:val="24"/>
        </w:rPr>
        <w:t xml:space="preserve">  </w:t>
      </w:r>
      <w:r>
        <w:rPr>
          <w:rFonts w:ascii="Times New Roman;Times;serif" w:hAnsi="Times New Roman;Times;serif"/>
          <w:sz w:val="22"/>
        </w:rPr>
        <w:t>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bona fide period of non-employment. Persons eligible to receive grants of Awards under this Plan are referred to in this Plan as “</w:t>
      </w:r>
      <w:r>
        <w:rPr>
          <w:rFonts w:ascii="Times New Roman;Times;serif" w:hAnsi="Times New Roman;Times;serif"/>
          <w:b/>
          <w:i/>
          <w:sz w:val="22"/>
        </w:rPr>
        <w:t>Eligible Employees</w:t>
      </w:r>
      <w:r>
        <w:rPr>
          <w:rFonts w:ascii="Times New Roman;Times;serif" w:hAnsi="Times New Roman;Times;serif"/>
          <w:sz w:val="22"/>
        </w:rPr>
        <w:t>.” These Awards must be approved by either a majority of the Company’s “</w:t>
      </w:r>
      <w:r>
        <w:rPr>
          <w:rFonts w:ascii="Times New Roman;Times;serif" w:hAnsi="Times New Roman;Times;serif"/>
          <w:b/>
          <w:i/>
          <w:sz w:val="22"/>
        </w:rPr>
        <w:t>Independent Directors</w:t>
      </w:r>
      <w:r>
        <w:rPr>
          <w:rFonts w:ascii="Times New Roman;Times;serif" w:hAnsi="Times New Roman;Times;serif"/>
          <w:sz w:val="24"/>
        </w:rPr>
        <w:t xml:space="preserve">” </w:t>
      </w:r>
      <w:r>
        <w:rPr>
          <w:rFonts w:ascii="Times New Roman;Times;serif" w:hAnsi="Times New Roman;Times;serif"/>
          <w:sz w:val="22"/>
        </w:rPr>
        <w:t>(as such term is defined in NASDAQ Marketplace Rule 5605(a)(2)) or the Board’s compensation committee, provided such committee comprises solely Independent Directors (the “</w:t>
      </w:r>
      <w:r>
        <w:rPr>
          <w:rFonts w:ascii="Times New Roman;Times;serif" w:hAnsi="Times New Roman;Times;serif"/>
          <w:b/>
          <w:i/>
          <w:sz w:val="22"/>
        </w:rPr>
        <w:t>Independent Compensation Committee</w:t>
      </w:r>
      <w:r>
        <w:rPr>
          <w:rFonts w:ascii="Times New Roman;Times;serif" w:hAnsi="Times New Roman;Times;serif"/>
          <w:sz w:val="24"/>
        </w:rPr>
        <w:t>”</w:t>
      </w:r>
      <w:r>
        <w:rPr>
          <w:rFonts w:ascii="Times New Roman;Times;serif" w:hAnsi="Times New Roman;Times;serif"/>
          <w:sz w:val="22"/>
        </w:rPr>
        <w:t>) in order to comply with the exemption from the stockholder approval requirement for “inducement grants” provided under Rule 5635(c)(4) of the NASDAQ Marketplace Rules. NASDAQ Marketplace Rule 5635(c)(4) and the related guidance under NASDAQ IM 5635-1 (and any analogous rules or guidance effective after the date hereof) are referred to in this Plan as the “</w:t>
      </w:r>
      <w:r>
        <w:rPr>
          <w:rFonts w:ascii="Times New Roman;Times;serif" w:hAnsi="Times New Roman;Times;serif"/>
          <w:b/>
          <w:i/>
          <w:sz w:val="22"/>
        </w:rPr>
        <w:t>Inducement Award Rules</w:t>
      </w:r>
      <w:r>
        <w:rPr>
          <w:rFonts w:ascii="Times New Roman;Times;serif" w:hAnsi="Times New Roman;Times;serif"/>
          <w:sz w:val="22"/>
        </w:rPr>
        <w:t xml:space="preserv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bookmarkStart w:id="1261" w:name="_Ref218923130"/>
      <w:bookmarkEnd w:id="1261"/>
      <w:r>
        <w:rPr>
          <w:rFonts w:ascii="Times New Roman;Times;serif" w:hAnsi="Times New Roman;Times;serif"/>
          <w:b/>
          <w:sz w:val="22"/>
        </w:rPr>
        <w:t>Plan Purpose.</w:t>
      </w:r>
      <w:r>
        <w:rPr>
          <w:rFonts w:ascii="Times New Roman;Times;serif" w:hAnsi="Times New Roman;Times;serif"/>
          <w:sz w:val="24"/>
        </w:rPr>
        <w:t xml:space="preserve">  </w:t>
      </w:r>
      <w:r>
        <w:rPr>
          <w:rFonts w:ascii="Times New Roman;Times;serif" w:hAnsi="Times New Roman;Times;serif"/>
          <w:sz w:val="22"/>
        </w:rPr>
        <w:t>This Plan, through the granting of Awards, is intended to provide (i) a material inducement to Award recipients to become employees of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 through the granting of Awards.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bookmarkStart w:id="1262" w:name="_DV_M7"/>
      <w:bookmarkEnd w:id="1262"/>
      <w:r>
        <w:rPr>
          <w:rFonts w:ascii="Times New Roman;Times;serif" w:hAnsi="Times New Roman;Times;serif"/>
          <w:b/>
          <w:sz w:val="22"/>
        </w:rPr>
        <w:t>Available Awards.</w:t>
      </w:r>
      <w:r>
        <w:rPr>
          <w:rFonts w:ascii="Times New Roman;Times;serif" w:hAnsi="Times New Roman;Times;serif"/>
          <w:sz w:val="24"/>
        </w:rPr>
        <w:t xml:space="preserve">  </w:t>
      </w:r>
      <w:r>
        <w:rPr>
          <w:rFonts w:ascii="Times New Roman;Times;serif" w:hAnsi="Times New Roman;Times;serif"/>
          <w:sz w:val="22"/>
        </w:rPr>
        <w:t>The Plan provides for the grant of the following Awards: (i) Nonstatutory Stock Options; (ii) SARs; (iii) Restricted Stock Awards; (iv) RSU Awards; (v) Performance Awards; and (vi) Other Awards.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b/>
          <w:sz w:val="22"/>
        </w:rPr>
        <w:t xml:space="preserve">Effective Date. </w:t>
      </w:r>
      <w:r>
        <w:rPr>
          <w:rFonts w:ascii="Times New Roman;Times;serif" w:hAnsi="Times New Roman;Times;serif"/>
          <w:sz w:val="22"/>
        </w:rPr>
        <w:t>No Award may be granted prior to the Effective Date.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2.</w:t>
      </w:r>
      <w:bookmarkStart w:id="1263" w:name="_Toc533414076"/>
      <w:bookmarkStart w:id="1264" w:name="_Ref218923280"/>
      <w:bookmarkStart w:id="1265" w:name="_DV_M8"/>
      <w:bookmarkEnd w:id="1263"/>
      <w:bookmarkEnd w:id="1264"/>
      <w:bookmarkEnd w:id="1265"/>
      <w:r>
        <w:rPr>
          <w:rFonts w:ascii="Times New Roman;Times;serif" w:hAnsi="Times New Roman;Times;serif"/>
          <w:b/>
          <w:smallCaps/>
          <w:sz w:val="22"/>
        </w:rPr>
        <w:t>Shares Subject to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bookmarkStart w:id="1266" w:name="OLE_LINK8"/>
      <w:bookmarkStart w:id="1267" w:name="OLE_LINK7"/>
      <w:bookmarkStart w:id="1268" w:name="_Ref126996582"/>
      <w:bookmarkStart w:id="1269" w:name="_Ref38179407"/>
      <w:bookmarkEnd w:id="1266"/>
      <w:bookmarkEnd w:id="1267"/>
      <w:bookmarkEnd w:id="1268"/>
      <w:bookmarkEnd w:id="1269"/>
      <w:r>
        <w:rPr>
          <w:rFonts w:ascii="Times New Roman;Times;serif" w:hAnsi="Times New Roman;Times;serif"/>
          <w:b/>
          <w:sz w:val="22"/>
        </w:rPr>
        <w:t>Share Reserve.  </w:t>
      </w:r>
      <w:r>
        <w:rPr>
          <w:rFonts w:ascii="Times New Roman;Times;serif" w:hAnsi="Times New Roman;Times;serif"/>
          <w:sz w:val="22"/>
        </w:rPr>
        <w:t>Subject to adjustment in accordance with Section 2(b) and any adjustments as necessary to implement any Capitalization Adjustments, the aggregate number of shares of Common Stock that may be issued pursuant to Awards will not exceed 2,000,000 shares.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bookmarkStart w:id="1270" w:name="_DV_C14"/>
      <w:bookmarkEnd w:id="1270"/>
      <w:r>
        <w:rPr>
          <w:rFonts w:ascii="Times New Roman;Times;serif" w:hAnsi="Times New Roman;Times;serif"/>
          <w:b/>
          <w:sz w:val="22"/>
        </w:rPr>
        <w:t>Share Reserve Operation.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Limit Applies to Common Stock Issued Pursuant to Awards.  </w:t>
      </w:r>
      <w:r>
        <w:rPr>
          <w:rFonts w:ascii="Times New Roman;Times;serif" w:hAnsi="Times New Roman;Times;serif"/>
          <w:sz w:val="22"/>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b/>
          <w:sz w:val="22"/>
        </w:rPr>
        <w:t>Actions that Do Not Constitute Issuance of Common Stock and Do Not Reduce Share Reserve.</w:t>
      </w:r>
      <w:r>
        <w:rPr>
          <w:rFonts w:ascii="Times New Roman;Times;serif" w:hAnsi="Times New Roman;Times;serif"/>
          <w:sz w:val="24"/>
        </w:rPr>
        <w:t xml:space="preserve">  </w:t>
      </w:r>
      <w:r>
        <w:rPr>
          <w:rFonts w:ascii="Times New Roman;Times;serif" w:hAnsi="Times New Roman;Times;serif"/>
          <w:sz w:val="22"/>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bookmarkStart w:id="1271" w:name="_Ref126997548"/>
      <w:bookmarkEnd w:id="1271"/>
      <w:r>
        <w:rPr>
          <w:rFonts w:ascii="Times New Roman;Times;serif" w:hAnsi="Times New Roman;Times;serif"/>
          <w:b/>
          <w:sz w:val="22"/>
        </w:rPr>
        <w:t>Reversion of Previously Issued Shares of Common Stock to Share Reserve.</w:t>
      </w:r>
      <w:r>
        <w:rPr>
          <w:rFonts w:ascii="Times New Roman;Times;serif" w:hAnsi="Times New Roman;Times;serif"/>
          <w:sz w:val="24"/>
        </w:rPr>
        <w:t xml:space="preserve">  </w:t>
      </w:r>
      <w:r>
        <w:rPr>
          <w:rFonts w:ascii="Times New Roman;Times;serif" w:hAnsi="Times New Roman;Times;serif"/>
          <w:sz w:val="22"/>
        </w:rPr>
        <w:t xml:space="preserve">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3.</w:t>
      </w:r>
      <w:bookmarkStart w:id="1272" w:name="_Toc533414077"/>
      <w:bookmarkEnd w:id="1272"/>
      <w:r>
        <w:rPr>
          <w:rFonts w:ascii="Times New Roman;Times;serif" w:hAnsi="Times New Roman;Times;serif"/>
          <w:b/>
          <w:smallCaps/>
          <w:sz w:val="22"/>
        </w:rPr>
        <w:t>Limitations.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b/>
          <w:sz w:val="22"/>
        </w:rPr>
        <w:t>Limitations on Nonstatutory Stock Options and SARs.</w:t>
      </w:r>
      <w:r>
        <w:rPr>
          <w:rFonts w:ascii="Times New Roman;Times;serif" w:hAnsi="Times New Roman;Times;serif"/>
          <w:sz w:val="24"/>
        </w:rPr>
        <w:t xml:space="preserve">  </w:t>
      </w:r>
      <w:r>
        <w:rPr>
          <w:rFonts w:ascii="Times New Roman;Times;serif" w:hAnsi="Times New Roman;Times;serif"/>
          <w:sz w:val="22"/>
        </w:rPr>
        <w:t>Nonstatutory Stock Options and SARs may not be granted to Employees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4.</w:t>
      </w:r>
      <w:bookmarkStart w:id="1273" w:name="_Toc533414078"/>
      <w:bookmarkStart w:id="1274" w:name="_Ref92447500"/>
      <w:bookmarkStart w:id="1275" w:name="_DV_M89"/>
      <w:bookmarkEnd w:id="1273"/>
      <w:bookmarkEnd w:id="1274"/>
      <w:bookmarkEnd w:id="1275"/>
      <w:r>
        <w:rPr>
          <w:rFonts w:ascii="Times New Roman;Times;serif" w:hAnsi="Times New Roman;Times;serif"/>
          <w:b/>
          <w:smallCaps/>
          <w:sz w:val="22"/>
        </w:rPr>
        <w:t>Options and Stock Appreciation Rights.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Each Option and SAR will have such terms and conditions as determined by the Board.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b/>
          <w:sz w:val="22"/>
        </w:rPr>
        <w:t>Term.</w:t>
      </w:r>
      <w:r>
        <w:rPr>
          <w:rFonts w:ascii="Times New Roman;Times;serif" w:hAnsi="Times New Roman;Times;serif"/>
          <w:sz w:val="24"/>
        </w:rPr>
        <w:t xml:space="preserve">  </w:t>
      </w:r>
      <w:r>
        <w:rPr>
          <w:rFonts w:ascii="Times New Roman;Times;serif" w:hAnsi="Times New Roman;Times;serif"/>
          <w:sz w:val="22"/>
        </w:rPr>
        <w:t>No Option or SAR will be exercisable after the expiration of ten years from the date of grant of such Award or such shorter period specified in the Award Agreement.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Exercise or Strike Price.</w:t>
      </w:r>
      <w:r>
        <w:rPr>
          <w:rFonts w:ascii="Times New Roman;Times;serif" w:hAnsi="Times New Roman;Times;serif"/>
          <w:sz w:val="24"/>
        </w:rPr>
        <w:t xml:space="preserve">  </w:t>
      </w:r>
      <w:r>
        <w:rPr>
          <w:rFonts w:ascii="Times New Roman;Times;serif" w:hAnsi="Times New Roman;Times;serif"/>
          <w:sz w:val="22"/>
        </w:rPr>
        <w:t>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of the Code.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bookmarkStart w:id="1276" w:name="_Ref92447428"/>
      <w:bookmarkEnd w:id="1276"/>
      <w:r>
        <w:rPr>
          <w:rFonts w:ascii="Times New Roman;Times;serif" w:hAnsi="Times New Roman;Times;serif"/>
          <w:b/>
          <w:sz w:val="22"/>
        </w:rPr>
        <w:t>Exercise Procedure and Payment of Exercise Price for Options.</w:t>
      </w:r>
      <w:r>
        <w:rPr>
          <w:rFonts w:ascii="Times New Roman;Times;serif" w:hAnsi="Times New Roman;Times;serif"/>
          <w:sz w:val="24"/>
        </w:rPr>
        <w:t xml:space="preserve">  </w:t>
      </w:r>
      <w:r>
        <w:rPr>
          <w:rFonts w:ascii="Times New Roman;Times;serif" w:hAnsi="Times New Roman;Times;serif"/>
          <w:sz w:val="22"/>
        </w:rPr>
        <w:t xml:space="preserve">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Law and as determined by the Board, by one or more of the following methods of payment to the extent set forth in the Option Agreement: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by cash or check, bank draft or money order payable to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w:t>
      </w:r>
      <w:r>
        <w:rPr>
          <w:rFonts w:ascii="Times New Roman;Times;serif" w:hAnsi="Times New Roman;Times;serif"/>
          <w:sz w:val="22"/>
        </w:rPr>
        <w:t>in any other form of consideration that may be acceptable to the Board and permissible under Applicable Law.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b/>
          <w:sz w:val="22"/>
        </w:rPr>
        <w:t>Exercise Procedure and Payment of Appreciation Distribution for SARs.</w:t>
      </w:r>
      <w:r>
        <w:rPr>
          <w:rFonts w:ascii="Times New Roman;Times;serif" w:hAnsi="Times New Roman;Times;serif"/>
          <w:sz w:val="24"/>
        </w:rPr>
        <w:t xml:space="preserve">  </w:t>
      </w:r>
      <w:r>
        <w:rPr>
          <w:rFonts w:ascii="Times New Roman;Times;serif" w:hAnsi="Times New Roman;Times;serif"/>
          <w:sz w:val="22"/>
        </w:rPr>
        <w:t>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w:t>
      </w:r>
      <w:bookmarkStart w:id="1277" w:name="_DV_M126"/>
      <w:bookmarkStart w:id="1278" w:name="_DV_M125"/>
      <w:bookmarkStart w:id="1279" w:name="_DV_M124"/>
      <w:bookmarkEnd w:id="1277"/>
      <w:bookmarkEnd w:id="1278"/>
      <w:bookmarkEnd w:id="1279"/>
      <w:r>
        <w:rPr>
          <w:rFonts w:ascii="Times New Roman;Times;serif" w:hAnsi="Times New Roman;Times;serif"/>
          <w:sz w:val="22"/>
        </w:rPr>
        <w:t>Such appreciation distribution may be paid to the Participant in the form of Common Stock or cash (or any combination of Common Stock and cash) or in any other form of payment, as determined by the Board and specified in the SAR Agreement.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w:t>
      </w:r>
      <w:r>
        <w:rPr>
          <w:rFonts w:ascii="Times New Roman;Times;serif" w:hAnsi="Times New Roman;Times;serif"/>
          <w:b/>
          <w:sz w:val="22"/>
        </w:rPr>
        <w:t>Transferability.</w:t>
      </w:r>
      <w:r>
        <w:rPr>
          <w:rFonts w:ascii="Times New Roman;Times;serif" w:hAnsi="Times New Roman;Times;serif"/>
          <w:sz w:val="24"/>
        </w:rPr>
        <w:t xml:space="preserve">  </w:t>
      </w:r>
      <w:r>
        <w:rPr>
          <w:rFonts w:ascii="Times New Roman;Times;serif" w:hAnsi="Times New Roman;Times;serif"/>
          <w:sz w:val="22"/>
        </w:rPr>
        <w:t>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Restrictions on Transfer.</w:t>
      </w:r>
      <w:r>
        <w:rPr>
          <w:rFonts w:ascii="Times New Roman;Times;serif" w:hAnsi="Times New Roman;Times;serif"/>
          <w:sz w:val="24"/>
        </w:rPr>
        <w:t xml:space="preserve">  </w:t>
      </w:r>
      <w:r>
        <w:rPr>
          <w:rFonts w:ascii="Times New Roman;Times;serif" w:hAnsi="Times New Roman;Times;serif"/>
          <w:sz w:val="22"/>
        </w:rPr>
        <w:t xml:space="preserve">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jc w:val="both"/>
        <w:rPr/>
      </w:pPr>
      <w:r>
        <w:rPr/>
        <w:t>​</w:t>
      </w:r>
    </w:p>
    <w:p>
      <w:pPr>
        <w:pStyle w:val="TextBody"/>
        <w:spacing w:before="0" w:after="260"/>
        <w:ind w:left="0" w:right="0" w:hanging="0"/>
        <w:jc w:val="both"/>
        <w:rPr>
          <w:rFonts w:ascii="Times New Roman;Times;serif" w:hAnsi="Times New Roman;Times;serif"/>
          <w:sz w:val="22"/>
        </w:rPr>
      </w:pPr>
      <w:r>
        <w:rPr>
          <w:rFonts w:ascii="Times New Roman;Times;serif" w:hAnsi="Times New Roman;Times;serif"/>
          <w:sz w:val="22"/>
        </w:rPr>
        <w:t>the Code and applicable U.S. state law) while such Option or SAR is held in such trust, provided that the Participant and the trustee enter into a transfer and other agreements required by the Company.</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b/>
          <w:sz w:val="22"/>
        </w:rPr>
        <w:t>Domestic Relations Orders.</w:t>
      </w:r>
      <w:r>
        <w:rPr>
          <w:rFonts w:ascii="Times New Roman;Times;serif" w:hAnsi="Times New Roman;Times;serif"/>
          <w:sz w:val="24"/>
        </w:rPr>
        <w:t xml:space="preserve">  </w:t>
      </w:r>
      <w:r>
        <w:rPr>
          <w:rFonts w:ascii="Times New Roman;Times;serif" w:hAnsi="Times New Roman;Times;serif"/>
          <w:sz w:val="22"/>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(f)</w:t>
      </w:r>
      <w:bookmarkStart w:id="1280" w:name="_Ref92447444"/>
      <w:bookmarkEnd w:id="1280"/>
      <w:r>
        <w:rPr>
          <w:rFonts w:ascii="Times New Roman;Times;serif" w:hAnsi="Times New Roman;Times;serif"/>
          <w:b/>
          <w:sz w:val="22"/>
        </w:rPr>
        <w:t>Vesting.</w:t>
      </w:r>
      <w:r>
        <w:rPr>
          <w:rFonts w:ascii="Times New Roman;Times;serif" w:hAnsi="Times New Roman;Times;serif"/>
          <w:sz w:val="24"/>
        </w:rPr>
        <w:t xml:space="preserve">  </w:t>
      </w:r>
      <w:r>
        <w:rPr>
          <w:rFonts w:ascii="Times New Roman;Times;serif" w:hAnsi="Times New Roman;Times;serif"/>
          <w:sz w:val="22"/>
        </w:rPr>
        <w:t>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(g)</w:t>
      </w:r>
      <w:r>
        <w:rPr>
          <w:rFonts w:ascii="Times New Roman;Times;serif" w:hAnsi="Times New Roman;Times;serif"/>
          <w:b/>
          <w:sz w:val="22"/>
        </w:rPr>
        <w:t>Termination of Continuous Service for Cause.</w:t>
      </w:r>
      <w:r>
        <w:rPr>
          <w:rFonts w:ascii="Times New Roman;Times;serif" w:hAnsi="Times New Roman;Times;serif"/>
          <w:sz w:val="24"/>
        </w:rPr>
        <w:t xml:space="preserve">  </w:t>
      </w:r>
      <w:r>
        <w:rPr>
          <w:rFonts w:ascii="Times New Roman;Times;serif" w:hAnsi="Times New Roman;Times;serif"/>
          <w:sz w:val="22"/>
        </w:rPr>
        <w:t>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(h)</w:t>
      </w:r>
      <w:r>
        <w:rPr>
          <w:rFonts w:ascii="Times New Roman;Times;serif" w:hAnsi="Times New Roman;Times;serif"/>
          <w:b/>
          <w:sz w:val="22"/>
        </w:rPr>
        <w:t>Post-Termination Exercise Period Following Termination of Continuous Service for Reasons Other than Cause.</w:t>
      </w:r>
      <w:r>
        <w:rPr>
          <w:rFonts w:ascii="Times New Roman;Times;serif" w:hAnsi="Times New Roman;Times;serif"/>
          <w:sz w:val="24"/>
        </w:rPr>
        <w:t xml:space="preserve">  </w:t>
      </w:r>
      <w:r>
        <w:rPr>
          <w:rFonts w:ascii="Times New Roman;Times;serif" w:hAnsi="Times New Roman;Times;serif"/>
          <w:sz w:val="22"/>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three months following the date of such termination if such termination is a termination without Cause (other than any termination due to the Participant’s Disability or death);</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12 months following the date of such termination if such termination is due to the Participant’s Disability;</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18 months following the date of such termination if such termination is due to the Participant’s death; or</w:t>
      </w:r>
    </w:p>
    <w:p>
      <w:pPr>
        <w:pStyle w:val="TextBody"/>
        <w:spacing w:before="0" w:after="26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18 months following the date of the Participant’s death if such death occurs following the date of such termination but during the period such Award is otherwise exercisable (as provided in (i) or (ii) above).</w:t>
      </w:r>
    </w:p>
    <w:p>
      <w:pPr>
        <w:pStyle w:val="TextBody"/>
        <w:spacing w:before="0" w:after="260"/>
        <w:ind w:left="0" w:right="0" w:hanging="0"/>
        <w:jc w:val="both"/>
        <w:rPr>
          <w:rFonts w:ascii="Times New Roman;Times;serif" w:hAnsi="Times New Roman;Times;serif"/>
          <w:sz w:val="22"/>
        </w:rPr>
      </w:pPr>
      <w:r>
        <w:rPr>
          <w:rFonts w:ascii="Times New Roman;Times;serif" w:hAnsi="Times New Roman;Times;serif"/>
          <w:sz w:val="22"/>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bookmarkStart w:id="1281" w:name="_DV_M102"/>
      <w:bookmarkEnd w:id="1281"/>
      <w:r>
        <w:rPr>
          <w:rFonts w:ascii="Times New Roman;Times;serif" w:hAnsi="Times New Roman;Times;serif"/>
          <w:b/>
          <w:sz w:val="22"/>
        </w:rPr>
        <w:t>Restrictions on Exercise; Extension of Exercisability.  </w:t>
      </w:r>
      <w:r>
        <w:rPr>
          <w:rFonts w:ascii="Times New Roman;Times;serif" w:hAnsi="Times New Roman;Times;serif"/>
          <w:sz w:val="22"/>
        </w:rPr>
        <w:t xml:space="preserve">A Participant may not exercise an Option or SAR at any time that the issuance of shares of Common Stock upon such exercise would violate Applicable Law.  Except as otherwise provided in the Award Agreement or other written agreement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between a Participant and the Company, if a Participant’s Continuous Service terminates for any reason other than for Cause and, at any time during the last thirty days of the applicable Post-Termination Exercise Period:</w:t>
      </w:r>
      <w:r>
        <w:rPr>
          <w:rFonts w:ascii="Times New Roman;Times;serif" w:hAnsi="Times New Roman;Times;serif"/>
          <w:sz w:val="24"/>
        </w:rPr>
        <w:t xml:space="preserve"> </w:t>
      </w:r>
      <w:r>
        <w:rPr>
          <w:rFonts w:ascii="Times New Roman;Times;serif" w:hAnsi="Times New Roman;Times;serif"/>
          <w:sz w:val="22"/>
        </w:rPr>
        <w:t>(i)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w:t>
      </w:r>
      <w:r>
        <w:rPr>
          <w:rFonts w:ascii="Times New Roman;Times;serif" w:hAnsi="Times New Roman;Times;serif"/>
          <w:sz w:val="24"/>
        </w:rPr>
        <w:t xml:space="preserve"> </w:t>
      </w:r>
      <w:r>
        <w:rPr>
          <w:rFonts w:ascii="Times New Roman;Times;serif" w:hAnsi="Times New Roman;Times;serif"/>
          <w:sz w:val="22"/>
        </w:rPr>
        <w:t>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(j)</w:t>
      </w:r>
      <w:r>
        <w:rPr>
          <w:rFonts w:ascii="Times New Roman;Times;serif" w:hAnsi="Times New Roman;Times;serif"/>
          <w:b/>
          <w:sz w:val="22"/>
        </w:rPr>
        <w:t>Non-Exempt Employees</w:t>
      </w:r>
      <w:r>
        <w:rPr>
          <w:rFonts w:ascii="Times New Roman;Times;serif" w:hAnsi="Times New Roman;Times;serif"/>
          <w:sz w:val="22"/>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(k)</w:t>
      </w:r>
      <w:bookmarkStart w:id="1282" w:name="_DV_M107"/>
      <w:bookmarkStart w:id="1283" w:name="_DV_M106"/>
      <w:bookmarkStart w:id="1284" w:name="_DV_M103"/>
      <w:bookmarkEnd w:id="1282"/>
      <w:bookmarkEnd w:id="1283"/>
      <w:bookmarkEnd w:id="1284"/>
      <w:r>
        <w:rPr>
          <w:rFonts w:ascii="Times New Roman;Times;serif" w:hAnsi="Times New Roman;Times;serif"/>
          <w:b/>
          <w:sz w:val="22"/>
        </w:rPr>
        <w:t>Whole Shares</w:t>
      </w:r>
      <w:r>
        <w:rPr>
          <w:rFonts w:ascii="Times New Roman;Times;serif" w:hAnsi="Times New Roman;Times;serif"/>
          <w:sz w:val="22"/>
        </w:rPr>
        <w:t>.  Options and SARs may be exercised only with respect to whole shares of Common Stock or their equivalents.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5.</w:t>
      </w:r>
      <w:bookmarkStart w:id="1285" w:name="_Toc533414079"/>
      <w:bookmarkStart w:id="1286" w:name="_Ref92447517"/>
      <w:bookmarkStart w:id="1287" w:name="_DV_M127"/>
      <w:bookmarkEnd w:id="1285"/>
      <w:bookmarkEnd w:id="1286"/>
      <w:bookmarkEnd w:id="1287"/>
      <w:r>
        <w:rPr>
          <w:rFonts w:ascii="Times New Roman;Times;serif" w:hAnsi="Times New Roman;Times;serif"/>
          <w:b/>
          <w:smallCaps/>
          <w:sz w:val="22"/>
        </w:rPr>
        <w:t>Awards Other Than Options and Stock Appreciation Rights.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bookmarkStart w:id="1288" w:name="_Ref92447180"/>
      <w:bookmarkStart w:id="1289" w:name="_DV_M115"/>
      <w:bookmarkEnd w:id="1288"/>
      <w:bookmarkEnd w:id="1289"/>
      <w:r>
        <w:rPr>
          <w:rFonts w:ascii="Times New Roman;Times;serif" w:hAnsi="Times New Roman;Times;serif"/>
          <w:b/>
          <w:sz w:val="22"/>
        </w:rPr>
        <w:t>Restricted Stock Awards and RSU Awards.</w:t>
      </w:r>
      <w:r>
        <w:rPr>
          <w:rFonts w:ascii="Times New Roman;Times;serif" w:hAnsi="Times New Roman;Times;serif"/>
          <w:sz w:val="24"/>
        </w:rPr>
        <w:t xml:space="preserve">  </w:t>
      </w:r>
      <w:r>
        <w:rPr>
          <w:rFonts w:ascii="Times New Roman;Times;serif" w:hAnsi="Times New Roman;Times;serif"/>
          <w:sz w:val="22"/>
        </w:rPr>
        <w:t>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Form of Award.</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w:t>
      </w:r>
      <w:r>
        <w:rPr>
          <w:rFonts w:ascii="Times New Roman;Times;serif" w:hAnsi="Times New Roman;Times;serif"/>
          <w:sz w:val="22"/>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(2)</w:t>
      </w:r>
      <w:r>
        <w:rPr>
          <w:rFonts w:ascii="Times New Roman;Times;serif" w:hAnsi="Times New Roman;Times;serif"/>
          <w:sz w:val="22"/>
        </w:rPr>
        <w:t>RSUs:  A RSU Award represents a Participant’s right to be issued on a future date</w:t>
      </w:r>
      <w:r>
        <w:rPr>
          <w:rFonts w:ascii="Times New Roman;Times;serif" w:hAnsi="Times New Roman;Times;serif"/>
          <w:sz w:val="24"/>
        </w:rPr>
        <w:t xml:space="preserve"> </w:t>
      </w:r>
      <w:r>
        <w:rPr>
          <w:rFonts w:ascii="Times New Roman;Times;serif" w:hAnsi="Times New Roman;Times;serif"/>
          <w:sz w:val="22"/>
        </w:rPr>
        <w:t xml:space="preserve">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b/>
          <w:sz w:val="22"/>
        </w:rPr>
        <w:t>Consideration.</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w:t>
      </w:r>
      <w:r>
        <w:rPr>
          <w:rFonts w:ascii="Times New Roman;Times;serif" w:hAnsi="Times New Roman;Times;serif"/>
          <w:sz w:val="22"/>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(2)</w:t>
      </w:r>
      <w:r>
        <w:rPr>
          <w:rFonts w:ascii="Times New Roman;Times;serif" w:hAnsi="Times New Roman;Times;serif"/>
          <w:sz w:val="22"/>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b/>
          <w:sz w:val="22"/>
        </w:rPr>
        <w:t>Vesting.  </w:t>
      </w:r>
      <w:r>
        <w:rPr>
          <w:rFonts w:ascii="Times New Roman;Times;serif" w:hAnsi="Times New Roman;Times;serif"/>
          <w:sz w:val="22"/>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b/>
          <w:sz w:val="22"/>
        </w:rPr>
        <w:t>Termination of Continuous Service.</w:t>
      </w:r>
      <w:r>
        <w:rPr>
          <w:rFonts w:ascii="Times New Roman;Times;serif" w:hAnsi="Times New Roman;Times;serif"/>
          <w:sz w:val="24"/>
        </w:rPr>
        <w:t xml:space="preserve">  </w:t>
      </w:r>
      <w:r>
        <w:rPr>
          <w:rFonts w:ascii="Times New Roman;Times;serif" w:hAnsi="Times New Roman;Times;serif"/>
          <w:sz w:val="22"/>
        </w:rPr>
        <w:t>Except as otherwise provided in the Award Agreement or other written agreement 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w:t>
      </w:r>
      <w:r>
        <w:rPr>
          <w:rFonts w:ascii="Times New Roman;Times;serif" w:hAnsi="Times New Roman;Times;serif"/>
          <w:b/>
          <w:sz w:val="22"/>
        </w:rPr>
        <w:t>Dividends and Dividend Equivalents.  </w:t>
      </w:r>
      <w:r>
        <w:rPr>
          <w:rFonts w:ascii="Times New Roman;Times;serif" w:hAnsi="Times New Roman;Times;serif"/>
          <w:sz w:val="22"/>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(vi)</w:t>
      </w:r>
      <w:bookmarkStart w:id="1290" w:name="_DV_M118"/>
      <w:bookmarkStart w:id="1291" w:name="_DV_M116"/>
      <w:bookmarkEnd w:id="1290"/>
      <w:bookmarkEnd w:id="1291"/>
      <w:r>
        <w:rPr>
          <w:rFonts w:ascii="Times New Roman;Times;serif" w:hAnsi="Times New Roman;Times;serif"/>
          <w:b/>
          <w:sz w:val="22"/>
        </w:rPr>
        <w:t>Settlement of RSU Awards</w:t>
      </w:r>
      <w:r>
        <w:rPr>
          <w:rFonts w:ascii="Times New Roman;Times;serif" w:hAnsi="Times New Roman;Times;serif"/>
          <w:sz w:val="22"/>
        </w:rPr>
        <w:t>.  A RSU Award may be settled by the issuance of shares of Common Stock or cash (or any combination thereof) or in any other form of payment, as determined by the Board and specified in the RSU Award Agreement.  </w:t>
      </w:r>
      <w:bookmarkStart w:id="1292" w:name="_DV_M119"/>
      <w:bookmarkEnd w:id="1292"/>
      <w:r>
        <w:rPr>
          <w:rFonts w:ascii="Times New Roman;Times;serif" w:hAnsi="Times New Roman;Times;serif"/>
          <w:sz w:val="22"/>
        </w:rPr>
        <w:t>At the time of grant, the Board may determine to impose such restrictions or conditions that delay such delivery to a date following the vesting of the RSU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bookmarkStart w:id="1293" w:name="_Ref92447151"/>
      <w:bookmarkStart w:id="1294" w:name="_Ref93290191"/>
      <w:bookmarkStart w:id="1295" w:name="_DV_M128"/>
      <w:bookmarkStart w:id="1296" w:name="_DV_M121"/>
      <w:bookmarkStart w:id="1297" w:name="_DV_M120"/>
      <w:bookmarkEnd w:id="1293"/>
      <w:bookmarkEnd w:id="1294"/>
      <w:bookmarkEnd w:id="1295"/>
      <w:bookmarkEnd w:id="1296"/>
      <w:bookmarkEnd w:id="1297"/>
      <w:r>
        <w:rPr>
          <w:rFonts w:ascii="Times New Roman;Times;serif" w:hAnsi="Times New Roman;Times;serif"/>
          <w:b/>
          <w:sz w:val="22"/>
        </w:rPr>
        <w:t>Performance Awards</w:t>
      </w:r>
      <w:r>
        <w:rPr>
          <w:rFonts w:ascii="Times New Roman;Times;serif" w:hAnsi="Times New Roman;Times;serif"/>
          <w:sz w:val="22"/>
        </w:rPr>
        <w:t>.  </w:t>
      </w:r>
      <w:bookmarkStart w:id="1298" w:name="_Ref218923319"/>
      <w:bookmarkStart w:id="1299" w:name="_Ref98847765"/>
      <w:bookmarkEnd w:id="1298"/>
      <w:bookmarkEnd w:id="1299"/>
      <w:r>
        <w:rPr>
          <w:rFonts w:ascii="Times New Roman;Times;serif" w:hAnsi="Times New Roman;Times;serif"/>
          <w:sz w:val="22"/>
        </w:rPr>
        <w:t>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bookmarkStart w:id="1300" w:name="OLE_LINK2"/>
      <w:bookmarkStart w:id="1301" w:name="OLE_LINK1"/>
      <w:bookmarkEnd w:id="1300"/>
      <w:bookmarkEnd w:id="1301"/>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bookmarkStart w:id="1302" w:name="_Ref218923439"/>
      <w:bookmarkEnd w:id="1302"/>
      <w:r>
        <w:rPr>
          <w:rFonts w:ascii="Times New Roman;Times;serif" w:hAnsi="Times New Roman;Times;serif"/>
          <w:b/>
          <w:sz w:val="22"/>
        </w:rPr>
        <w:t>Other Awards</w:t>
      </w:r>
      <w:r>
        <w:rPr>
          <w:rFonts w:ascii="Times New Roman;Times;serif" w:hAnsi="Times New Roman;Times;serif"/>
          <w:sz w:val="22"/>
        </w:rPr>
        <w:t>.  Other Awards may be granted either alone or in addition to Awards provided for under Section 4</w:t>
      </w:r>
      <w:r>
        <w:rPr>
          <w:rFonts w:ascii="Times New Roman;Times;serif" w:hAnsi="Times New Roman;Times;serif"/>
          <w:sz w:val="24"/>
        </w:rPr>
        <w:t xml:space="preserve"> </w:t>
      </w:r>
      <w:r>
        <w:rPr>
          <w:rFonts w:ascii="Times New Roman;Times;serif" w:hAnsi="Times New Roman;Times;serif"/>
          <w:sz w:val="22"/>
        </w:rPr>
        <w:t xml:space="preserve">and the preceding provisions of this Section 5.  Subject to the provisions of the Plan, the Board will have sole and complete discretion to determine the persons to whom and the time or times at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which such Other Awards will be granted, the number of shares of Common Stock (or the cash equivalent thereof) to be granted pursuant to such Other Awards and all other terms and conditions of such Other Awards.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6.</w:t>
      </w:r>
      <w:bookmarkStart w:id="1303" w:name="_Toc533414080"/>
      <w:bookmarkEnd w:id="1303"/>
      <w:r>
        <w:rPr>
          <w:rFonts w:ascii="Times New Roman;Times;serif" w:hAnsi="Times New Roman;Times;serif"/>
          <w:b/>
          <w:smallCaps/>
          <w:sz w:val="22"/>
        </w:rPr>
        <w:t>Adjustments upon Changes in Common Stock; Other Corporate Events.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bookmarkStart w:id="1304" w:name="_Ref218923177"/>
      <w:bookmarkStart w:id="1305" w:name="_Ref92447089"/>
      <w:bookmarkEnd w:id="1304"/>
      <w:bookmarkEnd w:id="1305"/>
      <w:r>
        <w:rPr>
          <w:rFonts w:ascii="Times New Roman;Times;serif" w:hAnsi="Times New Roman;Times;serif"/>
          <w:b/>
          <w:sz w:val="22"/>
        </w:rPr>
        <w:t>Capitalization Adjustments</w:t>
      </w:r>
      <w:r>
        <w:rPr>
          <w:rFonts w:ascii="Times New Roman;Times;serif" w:hAnsi="Times New Roman;Times;serif"/>
          <w:sz w:val="22"/>
        </w:rPr>
        <w:t>.  In the event of a Capitalization Adjustment, the Board shall appropriately and proportionately 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Dissolution or Liquidation</w:t>
      </w:r>
      <w:r>
        <w:rPr>
          <w:rFonts w:ascii="Times New Roman;Times;serif" w:hAnsi="Times New Roman;Times;serif"/>
          <w:sz w:val="22"/>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r>
        <w:rPr>
          <w:rFonts w:ascii="Times New Roman;Times;serif" w:hAnsi="Times New Roman;Times;serif"/>
          <w:b/>
          <w:sz w:val="22"/>
        </w:rPr>
        <w:t>Corporate Transaction.  </w:t>
      </w:r>
      <w:r>
        <w:rPr>
          <w:rFonts w:ascii="Times New Roman;Times;serif" w:hAnsi="Times New Roman;Times;serif"/>
          <w:sz w:val="22"/>
        </w:rPr>
        <w:t>The following provisions will apply to Awards in the event of a Corporate Transaction except as set forth in Section 11, and unless otherwise provided in the instrument evidencing the Award or any other written agreement between the Company or any Affiliate and the Participant or unless otherwise expressly provided by the Board at the time of grant of an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Awards May Be Assumed.</w:t>
      </w:r>
      <w:r>
        <w:rPr>
          <w:rFonts w:ascii="Times New Roman;Times;serif" w:hAnsi="Times New Roman;Times;serif"/>
          <w:sz w:val="24"/>
        </w:rPr>
        <w:t xml:space="preserve">  </w:t>
      </w:r>
      <w:r>
        <w:rPr>
          <w:rFonts w:ascii="Times New Roman;Times;serif" w:hAnsi="Times New Roman;Times;serif"/>
          <w:sz w:val="22"/>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b/>
          <w:sz w:val="22"/>
        </w:rPr>
        <w:t>Awards Held by Current Participants.</w:t>
      </w:r>
      <w:r>
        <w:rPr>
          <w:rFonts w:ascii="Times New Roman;Times;serif" w:hAnsi="Times New Roman;Times;serif"/>
          <w:sz w:val="24"/>
        </w:rPr>
        <w:t xml:space="preserve">  </w:t>
      </w:r>
      <w:r>
        <w:rPr>
          <w:rFonts w:ascii="Times New Roman;Times;serif" w:hAnsi="Times New Roman;Times;serif"/>
          <w:sz w:val="22"/>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sz w:val="22"/>
        </w:rPr>
        <w:t>Current Participants</w:t>
      </w:r>
      <w:r>
        <w:rPr>
          <w:rFonts w:ascii="Times New Roman;Times;serif" w:hAnsi="Times New Roman;Times;serif"/>
          <w:sz w:val="24"/>
        </w:rPr>
        <w:t>”</w:t>
      </w:r>
      <w:r>
        <w:rPr>
          <w:rFonts w:ascii="Times New Roman;Times;serif" w:hAnsi="Times New Roman;Times;serif"/>
          <w:sz w:val="22"/>
        </w:rPr>
        <w:t xml:space="preserve">), the vesting of such Awards (and, with respect to Options and Stock Appreciation Rights, the time when such Awards may be exercised) will be accelerated in full to a date prior to the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b/>
          <w:sz w:val="22"/>
        </w:rPr>
        <w:t>Awards Held by Persons other than Current Participants.</w:t>
      </w:r>
      <w:r>
        <w:rPr>
          <w:rFonts w:ascii="Times New Roman;Times;serif" w:hAnsi="Times New Roman;Times;serif"/>
          <w:sz w:val="24"/>
        </w:rPr>
        <w:t xml:space="preserve">  </w:t>
      </w:r>
      <w:r>
        <w:rPr>
          <w:rFonts w:ascii="Times New Roman;Times;serif" w:hAnsi="Times New Roman;Times;serif"/>
          <w:sz w:val="22"/>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b/>
          <w:sz w:val="22"/>
        </w:rPr>
        <w:t>Payment for Awards in Lieu of Exercise.</w:t>
      </w:r>
      <w:r>
        <w:rPr>
          <w:rFonts w:ascii="Times New Roman;Times;serif" w:hAnsi="Times New Roman;Times;serif"/>
          <w:sz w:val="24"/>
        </w:rPr>
        <w:t xml:space="preserve">  </w:t>
      </w:r>
      <w:r>
        <w:rPr>
          <w:rFonts w:ascii="Times New Roman;Times;serif" w:hAnsi="Times New Roman;Times;serif"/>
          <w:sz w:val="22"/>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b/>
          <w:sz w:val="22"/>
        </w:rPr>
        <w:t>Appointment of Stockholder Representative.</w:t>
      </w:r>
      <w:r>
        <w:rPr>
          <w:rFonts w:ascii="Times New Roman;Times;serif" w:hAnsi="Times New Roman;Times;serif"/>
          <w:sz w:val="24"/>
        </w:rPr>
        <w:t xml:space="preserve">  </w:t>
      </w:r>
      <w:r>
        <w:rPr>
          <w:rFonts w:ascii="Times New Roman;Times;serif" w:hAnsi="Times New Roman;Times;serif"/>
          <w:sz w:val="22"/>
        </w:rPr>
        <w:t>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w:t>
      </w:r>
      <w:r>
        <w:rPr>
          <w:rFonts w:ascii="Times New Roman;Times;serif" w:hAnsi="Times New Roman;Times;serif"/>
          <w:b/>
          <w:sz w:val="22"/>
        </w:rPr>
        <w:t>No Restriction on Right to Undertake Transactions</w:t>
      </w:r>
      <w:r>
        <w:rPr>
          <w:rFonts w:ascii="Times New Roman;Times;serif" w:hAnsi="Times New Roman;Times;serif"/>
          <w:sz w:val="22"/>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7.</w:t>
      </w:r>
      <w:bookmarkStart w:id="1306" w:name="_Toc533414081"/>
      <w:bookmarkStart w:id="1307" w:name="_Ref92447603"/>
      <w:bookmarkEnd w:id="1306"/>
      <w:bookmarkEnd w:id="1307"/>
      <w:r>
        <w:rPr>
          <w:rFonts w:ascii="Times New Roman;Times;serif" w:hAnsi="Times New Roman;Times;serif"/>
          <w:b/>
          <w:smallCaps/>
          <w:sz w:val="22"/>
        </w:rPr>
        <w:t>Administration.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b/>
          <w:sz w:val="22"/>
        </w:rPr>
        <w:t>Administration by Board.</w:t>
      </w:r>
      <w:r>
        <w:rPr>
          <w:rFonts w:ascii="Times New Roman;Times;serif" w:hAnsi="Times New Roman;Times;serif"/>
          <w:sz w:val="24"/>
        </w:rPr>
        <w:t xml:space="preserve">  </w:t>
      </w:r>
      <w:r>
        <w:rPr>
          <w:rFonts w:ascii="Times New Roman;Times;serif" w:hAnsi="Times New Roman;Times;serif"/>
          <w:sz w:val="22"/>
        </w:rPr>
        <w:t xml:space="preserve">The Board will administer the Plan unless and until the Board delegates some of its powers of administration of the Plan to a Committee or Committees, as provided in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Section 7(c), subject to the Inducement Award Rules; provided, however, that Awards may only be granted by either (i) a majority of the Company’s Independent Directors or (ii) the Independent Compensation Committee.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Powers of Board.</w:t>
      </w:r>
      <w:r>
        <w:rPr>
          <w:rFonts w:ascii="Times New Roman;Times;serif" w:hAnsi="Times New Roman;Times;serif"/>
          <w:sz w:val="24"/>
        </w:rPr>
        <w:t xml:space="preserve">  </w:t>
      </w:r>
      <w:r>
        <w:rPr>
          <w:rFonts w:ascii="Times New Roman;Times;serif" w:hAnsi="Times New Roman;Times;serif"/>
          <w:sz w:val="22"/>
        </w:rPr>
        <w:t>The Board will have the power, subject to, and within the limitations of, the express provisions of the Plan and the Inducement Plan Rules: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provided, however, that Awards may only be granted by either (i) a majority of the Company’s Independent Directors or (ii) the Independent Compensation Committee.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To settle all controversies regarding the Plan and Awards granted under it.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w:t>
      </w:r>
      <w:bookmarkStart w:id="1308" w:name="_Ref197144730"/>
      <w:bookmarkEnd w:id="1308"/>
      <w:r>
        <w:rPr>
          <w:rFonts w:ascii="Times New Roman;Times;serif" w:hAnsi="Times New Roman;Times;serif"/>
          <w:sz w:val="22"/>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(vi)</w:t>
      </w:r>
      <w:r>
        <w:rPr>
          <w:rFonts w:ascii="Times New Roman;Times;serif" w:hAnsi="Times New Roman;Times;serif"/>
          <w:sz w:val="22"/>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(vii)</w:t>
      </w:r>
      <w:r>
        <w:rPr>
          <w:rFonts w:ascii="Times New Roman;Times;serif" w:hAnsi="Times New Roman;Times;serif"/>
          <w:sz w:val="22"/>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(viii)</w:t>
      </w:r>
      <w:r>
        <w:rPr>
          <w:rFonts w:ascii="Times New Roman;Times;serif" w:hAnsi="Times New Roman;Times;serif"/>
          <w:sz w:val="22"/>
        </w:rPr>
        <w:t>To submit any amendment to the Plan for stockholder approval if required by Applicable Law.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(ix)</w:t>
      </w:r>
      <w:r>
        <w:rPr>
          <w:rFonts w:ascii="Times New Roman;Times;serif" w:hAnsi="Times New Roman;Times;serif"/>
          <w:sz w:val="22"/>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not be Materially Impaired by any such amendment unless (1) the Company requests the consent of the affected Participant, and (2) such Participant consents in writing.</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(x)</w:t>
      </w:r>
      <w:r>
        <w:rPr>
          <w:rFonts w:ascii="Times New Roman;Times;serif" w:hAnsi="Times New Roman;Times;serif"/>
          <w:sz w:val="22"/>
        </w:rPr>
        <w:t>Generally, to exercise such powers and to perform such acts as the Board deems necessary or expedient to promote the best interests of the Company and that are not in conflict with the provisions of the Plan or Awards.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(xi)</w:t>
      </w:r>
      <w:r>
        <w:rPr>
          <w:rFonts w:ascii="Times New Roman;Times;serif" w:hAnsi="Times New Roman;Times;serif"/>
          <w:sz w:val="22"/>
        </w:rPr>
        <w:t>To adopt such procedures and sub-plans as are necessary or appropriate to permit and facilitate participation in the Plan by, or take advantage of specific tax treatment for Awards granted to, Employees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(xii)</w:t>
      </w:r>
      <w:r>
        <w:rPr>
          <w:rFonts w:ascii="Times New Roman;Times;serif" w:hAnsi="Times New Roman;Times;serif"/>
          <w:sz w:val="22"/>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bookmarkStart w:id="1309" w:name="_Ref92447106"/>
      <w:bookmarkEnd w:id="1309"/>
      <w:r>
        <w:rPr>
          <w:rFonts w:ascii="Times New Roman;Times;serif" w:hAnsi="Times New Roman;Times;serif"/>
          <w:b/>
          <w:sz w:val="22"/>
        </w:rPr>
        <w:t>Delegation to Committee.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bookmarkStart w:id="1310" w:name="_DV_M77"/>
      <w:bookmarkEnd w:id="1310"/>
      <w:r>
        <w:rPr>
          <w:rFonts w:ascii="Times New Roman;Times;serif" w:hAnsi="Times New Roman;Times;serif"/>
          <w:b/>
          <w:sz w:val="22"/>
        </w:rPr>
        <w:t>General.</w:t>
      </w:r>
      <w:r>
        <w:rPr>
          <w:rFonts w:ascii="Times New Roman;Times;serif" w:hAnsi="Times New Roman;Times;serif"/>
          <w:sz w:val="24"/>
        </w:rPr>
        <w:t xml:space="preserve">  </w:t>
      </w:r>
      <w:r>
        <w:rPr>
          <w:rFonts w:ascii="Times New Roman;Times;serif" w:hAnsi="Times New Roman;Times;serif"/>
          <w:sz w:val="22"/>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bookmarkStart w:id="1311" w:name="_DV_M78"/>
      <w:bookmarkEnd w:id="1311"/>
      <w:r>
        <w:rPr>
          <w:rFonts w:ascii="Times New Roman;Times;serif" w:hAnsi="Times New Roman;Times;serif"/>
          <w:b/>
          <w:sz w:val="22"/>
        </w:rPr>
        <w:t>Rule 16b-3 Compliance.</w:t>
      </w:r>
      <w:r>
        <w:rPr>
          <w:rFonts w:ascii="Times New Roman;Times;serif" w:hAnsi="Times New Roman;Times;serif"/>
          <w:sz w:val="24"/>
        </w:rPr>
        <w:t xml:space="preserve">  </w:t>
      </w:r>
      <w:r>
        <w:rPr>
          <w:rFonts w:ascii="Times New Roman;Times;serif" w:hAnsi="Times New Roman;Times;serif"/>
          <w:sz w:val="22"/>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bookmarkStart w:id="1312" w:name="_DV_M80"/>
      <w:bookmarkEnd w:id="1312"/>
      <w:r>
        <w:rPr>
          <w:rFonts w:ascii="Times New Roman;Times;serif" w:hAnsi="Times New Roman;Times;serif"/>
          <w:b/>
          <w:sz w:val="22"/>
        </w:rPr>
        <w:t>Effect of Board’s Decision.</w:t>
      </w:r>
      <w:r>
        <w:rPr>
          <w:rFonts w:ascii="Times New Roman;Times;serif" w:hAnsi="Times New Roman;Times;serif"/>
          <w:sz w:val="24"/>
        </w:rPr>
        <w:t xml:space="preserve"> </w:t>
      </w:r>
      <w:r>
        <w:rPr>
          <w:rFonts w:ascii="Times New Roman;Times;serif" w:hAnsi="Times New Roman;Times;serif"/>
          <w:sz w:val="22"/>
        </w:rPr>
        <w:t>All determinations, interpretations and constructions made by the Board or any Committee in good faith will not be subject to review by any person and will be final, binding and conclusive on all persons.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8.</w:t>
      </w:r>
      <w:bookmarkStart w:id="1313" w:name="_Toc533414082"/>
      <w:bookmarkEnd w:id="1313"/>
      <w:r>
        <w:rPr>
          <w:rFonts w:ascii="Times New Roman;Times;serif" w:hAnsi="Times New Roman;Times;serif"/>
          <w:b/>
          <w:smallCaps/>
          <w:sz w:val="22"/>
        </w:rPr>
        <w:t>Tax Withholding</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bookmarkStart w:id="1314" w:name="_Toc533414083"/>
      <w:bookmarkEnd w:id="1314"/>
      <w:r>
        <w:rPr>
          <w:rFonts w:ascii="Times New Roman;Times;serif" w:hAnsi="Times New Roman;Times;serif"/>
          <w:b/>
          <w:sz w:val="22"/>
        </w:rPr>
        <w:t>Withholding Authorization.</w:t>
      </w:r>
      <w:r>
        <w:rPr>
          <w:rFonts w:ascii="Times New Roman;Times;serif" w:hAnsi="Times New Roman;Times;serif"/>
          <w:sz w:val="24"/>
        </w:rPr>
        <w:t xml:space="preserve">  </w:t>
      </w:r>
      <w:r>
        <w:rPr>
          <w:rFonts w:ascii="Times New Roman;Times;serif" w:hAnsi="Times New Roman;Times;serif"/>
          <w:sz w:val="22"/>
        </w:rPr>
        <w:t xml:space="preserve">As a condition to acceptance of any Award under the Plan, a Participant authorizes withholding from payroll and any other amounts payable to such Participant, and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otherwise agree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Satisfaction of Withholding Obligation.</w:t>
      </w:r>
      <w:r>
        <w:rPr>
          <w:rFonts w:ascii="Times New Roman;Times;serif" w:hAnsi="Times New Roman;Times;serif"/>
          <w:sz w:val="24"/>
        </w:rPr>
        <w:t xml:space="preserve">  </w:t>
      </w:r>
      <w:r>
        <w:rPr>
          <w:rFonts w:ascii="Times New Roman;Times;serif" w:hAnsi="Times New Roman;Times;serif"/>
          <w:sz w:val="22"/>
        </w:rPr>
        <w:t>To the extent permitted by the terms of an Award Agreement, the Company may, in its sole 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r>
        <w:rPr>
          <w:rFonts w:ascii="Times New Roman;Times;serif" w:hAnsi="Times New Roman;Times;serif"/>
          <w:b/>
          <w:sz w:val="22"/>
        </w:rPr>
        <w:t>No Obligation to Notify or Minimize Taxes; No Liability to Claims.  </w:t>
      </w:r>
      <w:r>
        <w:rPr>
          <w:rFonts w:ascii="Times New Roman;Times;serif" w:hAnsi="Times New Roman;Times;serif"/>
          <w:sz w:val="22"/>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b/>
          <w:sz w:val="22"/>
        </w:rPr>
        <w:t xml:space="preserve">Withholding Indemnification. </w:t>
      </w:r>
      <w:r>
        <w:rPr>
          <w:rFonts w:ascii="Times New Roman;Times;serif" w:hAnsi="Times New Roman;Times;serif"/>
          <w:sz w:val="22"/>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9.</w:t>
      </w:r>
      <w:r>
        <w:rPr>
          <w:rFonts w:ascii="Times New Roman;Times;serif" w:hAnsi="Times New Roman;Times;serif"/>
          <w:b/>
          <w:smallCaps/>
          <w:sz w:val="22"/>
        </w:rPr>
        <w:t>Miscellaneous.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b/>
          <w:sz w:val="22"/>
        </w:rPr>
        <w:t>Source of Shares.</w:t>
      </w:r>
      <w:r>
        <w:rPr>
          <w:rFonts w:ascii="Times New Roman;Times;serif" w:hAnsi="Times New Roman;Times;serif"/>
          <w:sz w:val="24"/>
        </w:rPr>
        <w:t xml:space="preserve">  </w:t>
      </w:r>
      <w:r>
        <w:rPr>
          <w:rFonts w:ascii="Times New Roman;Times;serif" w:hAnsi="Times New Roman;Times;serif"/>
          <w:sz w:val="22"/>
        </w:rPr>
        <w:t>The stock issuable under the Plan will be shares of authorized but unissued or reacquired Common Stock, including shares repurchased by the Company on the open market or otherwise.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Use of Proceeds from Sales of Common Stock.  </w:t>
      </w:r>
      <w:r>
        <w:rPr>
          <w:rFonts w:ascii="Times New Roman;Times;serif" w:hAnsi="Times New Roman;Times;serif"/>
          <w:sz w:val="22"/>
        </w:rPr>
        <w:t>Proceeds from the sale of shares of Common Stock pursuant to Awards will constitute general funds of the Company.</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r>
        <w:rPr>
          <w:rFonts w:ascii="Times New Roman;Times;serif" w:hAnsi="Times New Roman;Times;serif"/>
          <w:b/>
          <w:sz w:val="22"/>
        </w:rPr>
        <w:t>Corporate Action Constituting Grant of Awards.</w:t>
      </w:r>
      <w:r>
        <w:rPr>
          <w:rFonts w:ascii="Times New Roman;Times;serif" w:hAnsi="Times New Roman;Times;serif"/>
          <w:sz w:val="24"/>
        </w:rPr>
        <w:t xml:space="preserve">  </w:t>
      </w:r>
      <w:r>
        <w:rPr>
          <w:rFonts w:ascii="Times New Roman;Times;serif" w:hAnsi="Times New Roman;Times;serif"/>
          <w:sz w:val="22"/>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b/>
          <w:sz w:val="22"/>
        </w:rPr>
        <w:t>Stockholder Rights.</w:t>
      </w:r>
      <w:r>
        <w:rPr>
          <w:rFonts w:ascii="Times New Roman;Times;serif" w:hAnsi="Times New Roman;Times;serif"/>
          <w:sz w:val="24"/>
        </w:rPr>
        <w:t xml:space="preserve">  </w:t>
      </w:r>
      <w:r>
        <w:rPr>
          <w:rFonts w:ascii="Times New Roman;Times;serif" w:hAnsi="Times New Roman;Times;serif"/>
          <w:sz w:val="22"/>
        </w:rPr>
        <w:t>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w:t>
      </w:r>
      <w:r>
        <w:rPr>
          <w:rFonts w:ascii="Times New Roman;Times;serif" w:hAnsi="Times New Roman;Times;serif"/>
          <w:b/>
          <w:sz w:val="22"/>
        </w:rPr>
        <w:t>No Employment or Other Service Rights.</w:t>
      </w:r>
      <w:r>
        <w:rPr>
          <w:rFonts w:ascii="Times New Roman;Times;serif" w:hAnsi="Times New Roman;Times;serif"/>
          <w:sz w:val="24"/>
        </w:rPr>
        <w:t xml:space="preserve">  </w:t>
      </w:r>
      <w:r>
        <w:rPr>
          <w:rFonts w:ascii="Times New Roman;Times;serif" w:hAnsi="Times New Roman;Times;serif"/>
          <w:sz w:val="22"/>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(f)</w:t>
      </w:r>
      <w:r>
        <w:rPr>
          <w:rFonts w:ascii="Times New Roman;Times;serif" w:hAnsi="Times New Roman;Times;serif"/>
          <w:b/>
          <w:sz w:val="22"/>
        </w:rPr>
        <w:t>Change in Time Commitment</w:t>
      </w:r>
      <w:r>
        <w:rPr>
          <w:rFonts w:ascii="Times New Roman;Times;serif" w:hAnsi="Times New Roman;Times;serif"/>
          <w:sz w:val="22"/>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(g)</w:t>
      </w:r>
      <w:r>
        <w:rPr>
          <w:rFonts w:ascii="Times New Roman;Times;serif" w:hAnsi="Times New Roman;Times;serif"/>
          <w:b/>
          <w:sz w:val="22"/>
        </w:rPr>
        <w:t>Execution of Additional Documents.</w:t>
      </w:r>
      <w:r>
        <w:rPr>
          <w:rFonts w:ascii="Times New Roman;Times;serif" w:hAnsi="Times New Roman;Times;serif"/>
          <w:sz w:val="24"/>
        </w:rPr>
        <w:t xml:space="preserve">  </w:t>
      </w:r>
      <w:r>
        <w:rPr>
          <w:rFonts w:ascii="Times New Roman;Times;serif" w:hAnsi="Times New Roman;Times;serif"/>
          <w:sz w:val="22"/>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(h)</w:t>
      </w:r>
      <w:r>
        <w:rPr>
          <w:rFonts w:ascii="Times New Roman;Times;serif" w:hAnsi="Times New Roman;Times;serif"/>
          <w:b/>
          <w:sz w:val="22"/>
        </w:rPr>
        <w:t>Electronic Delivery and Participation</w:t>
      </w:r>
      <w:r>
        <w:rPr>
          <w:rFonts w:ascii="Times New Roman;Times;serif" w:hAnsi="Times New Roman;Times;serif"/>
          <w:sz w:val="22"/>
        </w:rPr>
        <w:t xml:space="preserve">.  Any reference herein or in an Award Agreement to a “written” agreement or document will include any agreement or document delivered electronically, filed publicly at www.sec.gov (or any successor website thereto) or posted on the Company’s intranet (or other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Clawback/Recovery</w:t>
      </w:r>
      <w:r>
        <w:rPr>
          <w:rFonts w:ascii="Times New Roman;Times;serif" w:hAnsi="Times New Roman;Times;serif"/>
          <w:sz w:val="22"/>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(j)</w:t>
      </w:r>
      <w:r>
        <w:rPr>
          <w:rFonts w:ascii="Times New Roman;Times;serif" w:hAnsi="Times New Roman;Times;serif"/>
          <w:b/>
          <w:sz w:val="22"/>
        </w:rPr>
        <w:t>Securities Law Compliance.  </w:t>
      </w:r>
      <w:r>
        <w:rPr>
          <w:rFonts w:ascii="Times New Roman;Times;serif" w:hAnsi="Times New Roman;Times;serif"/>
          <w:sz w:val="22"/>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(k)</w:t>
      </w:r>
      <w:r>
        <w:rPr>
          <w:rFonts w:ascii="Times New Roman;Times;serif" w:hAnsi="Times New Roman;Times;serif"/>
          <w:b/>
          <w:sz w:val="22"/>
        </w:rPr>
        <w:t>Transfer or Assignment of Awards; Issued Shares.</w:t>
      </w:r>
      <w:r>
        <w:rPr>
          <w:rFonts w:ascii="Times New Roman;Times;serif" w:hAnsi="Times New Roman;Times;serif"/>
          <w:sz w:val="24"/>
        </w:rPr>
        <w:t xml:space="preserve">  </w:t>
      </w:r>
      <w:r>
        <w:rPr>
          <w:rFonts w:ascii="Times New Roman;Times;serif" w:hAnsi="Times New Roman;Times;serif"/>
          <w:sz w:val="22"/>
        </w:rPr>
        <w:t>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(l)</w:t>
      </w:r>
      <w:r>
        <w:rPr>
          <w:rFonts w:ascii="Times New Roman;Times;serif" w:hAnsi="Times New Roman;Times;serif"/>
          <w:b/>
          <w:sz w:val="22"/>
        </w:rPr>
        <w:t xml:space="preserve">Effect on Other Employee Benefit Plans. </w:t>
      </w:r>
      <w:r>
        <w:rPr>
          <w:rFonts w:ascii="Times New Roman;Times;serif" w:hAnsi="Times New Roman;Times;serif"/>
          <w:sz w:val="22"/>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(m)</w:t>
      </w:r>
      <w:r>
        <w:rPr>
          <w:rFonts w:ascii="Times New Roman;Times;serif" w:hAnsi="Times New Roman;Times;serif"/>
          <w:b/>
          <w:sz w:val="22"/>
        </w:rPr>
        <w:t>Deferrals.</w:t>
      </w:r>
      <w:r>
        <w:rPr>
          <w:rFonts w:ascii="Times New Roman;Times;serif" w:hAnsi="Times New Roman;Times;serif"/>
          <w:sz w:val="24"/>
        </w:rPr>
        <w:t xml:space="preserve">  </w:t>
      </w:r>
      <w:r>
        <w:rPr>
          <w:rFonts w:ascii="Times New Roman;Times;serif" w:hAnsi="Times New Roman;Times;serif"/>
          <w:sz w:val="22"/>
        </w:rPr>
        <w:t>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(n)</w:t>
      </w:r>
      <w:r>
        <w:rPr>
          <w:rFonts w:ascii="Times New Roman;Times;serif" w:hAnsi="Times New Roman;Times;serif"/>
          <w:b/>
          <w:sz w:val="22"/>
        </w:rPr>
        <w:t>Section 409A.  </w:t>
      </w:r>
      <w:r>
        <w:rPr>
          <w:rFonts w:ascii="Times New Roman;Times;serif" w:hAnsi="Times New Roman;Times;serif"/>
          <w:sz w:val="22"/>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jc w:val="both"/>
        <w:rPr/>
      </w:pPr>
      <w:r>
        <w:rPr/>
        <w:t>​</w:t>
      </w:r>
    </w:p>
    <w:p>
      <w:pPr>
        <w:pStyle w:val="TextBody"/>
        <w:spacing w:before="0" w:after="300"/>
        <w:ind w:left="0" w:right="0" w:hanging="0"/>
        <w:jc w:val="both"/>
        <w:rPr>
          <w:rFonts w:ascii="Times New Roman;Times;serif" w:hAnsi="Times New Roman;Times;serif"/>
          <w:sz w:val="22"/>
        </w:rPr>
      </w:pPr>
      <w:r>
        <w:rPr>
          <w:rFonts w:ascii="Times New Roman;Times;serif" w:hAnsi="Times New Roman;Times;serif"/>
          <w:sz w:val="22"/>
        </w:rPr>
        <w:t>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(o)</w:t>
      </w:r>
      <w:r>
        <w:rPr>
          <w:rFonts w:ascii="Times New Roman;Times;serif" w:hAnsi="Times New Roman;Times;serif"/>
          <w:b/>
          <w:sz w:val="22"/>
        </w:rPr>
        <w:t>Choice of Law.</w:t>
      </w:r>
      <w:r>
        <w:rPr>
          <w:rFonts w:ascii="Times New Roman;Times;serif" w:hAnsi="Times New Roman;Times;serif"/>
          <w:sz w:val="24"/>
        </w:rPr>
        <w:t xml:space="preserve"> </w:t>
      </w:r>
      <w:r>
        <w:rPr>
          <w:rFonts w:ascii="Times New Roman;Times;serif" w:hAnsi="Times New Roman;Times;serif"/>
          <w:sz w:val="22"/>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10.</w:t>
      </w:r>
      <w:bookmarkStart w:id="1315" w:name="_Toc533414084"/>
      <w:bookmarkEnd w:id="1315"/>
      <w:r>
        <w:rPr>
          <w:rFonts w:ascii="Times New Roman;Times;serif" w:hAnsi="Times New Roman;Times;serif"/>
          <w:b/>
          <w:smallCaps/>
          <w:sz w:val="22"/>
        </w:rPr>
        <w:t>Covenants of the Company.</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(a)</w:t>
      </w:r>
      <w:bookmarkStart w:id="1316" w:name="_Ref92447246"/>
      <w:bookmarkStart w:id="1317" w:name="_Toc533414085"/>
      <w:bookmarkEnd w:id="1316"/>
      <w:bookmarkEnd w:id="1317"/>
      <w:r>
        <w:rPr>
          <w:rFonts w:ascii="Times New Roman;Times;serif" w:hAnsi="Times New Roman;Times;serif"/>
          <w:b/>
          <w:sz w:val="22"/>
        </w:rPr>
        <w:t>Compliance with Law.</w:t>
      </w:r>
      <w:r>
        <w:rPr>
          <w:rFonts w:ascii="Times New Roman;Times;serif" w:hAnsi="Times New Roman;Times;serif"/>
          <w:sz w:val="24"/>
        </w:rPr>
        <w:t xml:space="preserve">  </w:t>
      </w:r>
      <w:r>
        <w:rPr>
          <w:rFonts w:ascii="Times New Roman;Times;serif" w:hAnsi="Times New Roman;Times;serif"/>
          <w:sz w:val="22"/>
        </w:rPr>
        <w:t>The Company will seek to obtain from each regulatory commission or agency, as may be deemed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11.</w:t>
      </w:r>
      <w:r>
        <w:rPr>
          <w:rFonts w:ascii="Times New Roman;Times;serif" w:hAnsi="Times New Roman;Times;serif"/>
          <w:b/>
          <w:smallCaps/>
          <w:sz w:val="22"/>
        </w:rPr>
        <w:t>Additional Rules for Awards Subject to Section 409A.</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b/>
          <w:sz w:val="22"/>
        </w:rPr>
        <w:t xml:space="preserve">Application. </w:t>
      </w:r>
      <w:r>
        <w:rPr>
          <w:rFonts w:ascii="Times New Roman;Times;serif" w:hAnsi="Times New Roman;Times;serif"/>
          <w:sz w:val="22"/>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spacing w:before="0" w:after="30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b/>
          <w:sz w:val="22"/>
        </w:rPr>
        <w:t>Non-Exempt Awards Subject to Non-Exempt Severance Arrangements.</w:t>
      </w:r>
      <w:r>
        <w:rPr>
          <w:rFonts w:ascii="Times New Roman;Times;serif" w:hAnsi="Times New Roman;Times;serif"/>
          <w:sz w:val="24"/>
        </w:rPr>
        <w:t xml:space="preserve">  </w:t>
      </w:r>
      <w:r>
        <w:rPr>
          <w:rFonts w:ascii="Times New Roman;Times;serif" w:hAnsi="Times New Roman;Times;serif"/>
          <w:sz w:val="22"/>
        </w:rPr>
        <w:t>To the extent a Non-Exempt Award is subject to Section 409A due to application of a Non-Exempt Severance Arrangement, the following provisions of this subsection (b) apply.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Times;serif" w:hAnsi="Times New Roman;Times;serif"/>
          <w:sz w:val="17"/>
        </w:rPr>
        <w:t>st</w:t>
      </w:r>
      <w:r>
        <w:rPr>
          <w:rFonts w:ascii="Times New Roman;Times;serif" w:hAnsi="Times New Roman;Times;serif"/>
          <w:sz w:val="24"/>
        </w:rPr>
        <w:t xml:space="preserve"> </w:t>
      </w:r>
      <w:r>
        <w:rPr>
          <w:rFonts w:ascii="Times New Roman;Times;serif" w:hAnsi="Times New Roman;Times;serif"/>
          <w:sz w:val="22"/>
        </w:rPr>
        <w:t>of the calendar year that includes the applicable vesting date, or (ii) the 60</w:t>
      </w:r>
      <w:r>
        <w:rPr>
          <w:rFonts w:ascii="Times New Roman;Times;serif" w:hAnsi="Times New Roman;Times;serif"/>
          <w:sz w:val="17"/>
        </w:rPr>
        <w:t>th</w:t>
      </w:r>
      <w:r>
        <w:rPr>
          <w:rFonts w:ascii="Times New Roman;Times;serif" w:hAnsi="Times New Roman;Times;serif"/>
          <w:sz w:val="24"/>
        </w:rPr>
        <w:t xml:space="preserve"> </w:t>
      </w:r>
      <w:r>
        <w:rPr>
          <w:rFonts w:ascii="Times New Roman;Times;serif" w:hAnsi="Times New Roman;Times;serif"/>
          <w:sz w:val="22"/>
        </w:rPr>
        <w:t xml:space="preserve">day that follows the applicable vesting date.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Times;serif" w:hAnsi="Times New Roman;Times;serif"/>
          <w:sz w:val="17"/>
        </w:rPr>
        <w:t>th</w:t>
      </w:r>
      <w:r>
        <w:rPr>
          <w:rFonts w:ascii="Times New Roman;Times;serif" w:hAnsi="Times New Roman;Times;serif"/>
          <w:sz w:val="24"/>
        </w:rPr>
        <w:t xml:space="preserve"> </w:t>
      </w:r>
      <w:r>
        <w:rPr>
          <w:rFonts w:ascii="Times New Roman;Times;serif" w:hAnsi="Times New Roman;Times;serif"/>
          <w:sz w:val="22"/>
        </w:rPr>
        <w:t>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r>
        <w:rPr>
          <w:rFonts w:ascii="Times New Roman;Times;serif" w:hAnsi="Times New Roman;Times;serif"/>
          <w:b/>
          <w:sz w:val="22"/>
        </w:rPr>
        <w:t>Treatment of Non-Exempt Awards Upon a Corporate Transaction for Employees and Consultants.</w:t>
      </w:r>
      <w:r>
        <w:rPr>
          <w:rFonts w:ascii="Times New Roman;Times;serif" w:hAnsi="Times New Roman;Times;serif"/>
          <w:color w:val="0070C0"/>
          <w:sz w:val="24"/>
        </w:rPr>
        <w:t xml:space="preserve"> </w:t>
      </w:r>
      <w:r>
        <w:rPr>
          <w:rFonts w:ascii="Times New Roman;Times;serif" w:hAnsi="Times New Roman;Times;serif"/>
          <w:sz w:val="22"/>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b/>
          <w:sz w:val="22"/>
        </w:rPr>
        <w:t>Vested Non-Exempt Awards.</w:t>
      </w:r>
      <w:r>
        <w:rPr>
          <w:rFonts w:ascii="Times New Roman;Times;serif" w:hAnsi="Times New Roman;Times;serif"/>
          <w:sz w:val="24"/>
        </w:rPr>
        <w:t xml:space="preserve">  </w:t>
      </w:r>
      <w:r>
        <w:rPr>
          <w:rFonts w:ascii="Times New Roman;Times;serif" w:hAnsi="Times New Roman;Times;serif"/>
          <w:sz w:val="22"/>
        </w:rPr>
        <w:t>The following provisions shall apply to any Vested Non-Exempt Award in connection with a Corporate Transaction:</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w:t>
      </w:r>
      <w:r>
        <w:rPr>
          <w:rFonts w:ascii="Times New Roman;Times;serif" w:hAnsi="Times New Roman;Times;serif"/>
          <w:sz w:val="22"/>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(2)</w:t>
      </w:r>
      <w:r>
        <w:rPr>
          <w:rFonts w:ascii="Times New Roman;Times;serif" w:hAnsi="Times New Roman;Times;serif"/>
          <w:sz w:val="22"/>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b/>
          <w:sz w:val="22"/>
        </w:rPr>
        <w:t>Unvested Non-Exempt Awards.</w:t>
      </w:r>
      <w:r>
        <w:rPr>
          <w:rFonts w:ascii="Times New Roman;Times;serif" w:hAnsi="Times New Roman;Times;serif"/>
          <w:sz w:val="24"/>
        </w:rPr>
        <w:t xml:space="preserve">  </w:t>
      </w:r>
      <w:r>
        <w:rPr>
          <w:rFonts w:ascii="Times New Roman;Times;serif" w:hAnsi="Times New Roman;Times;serif"/>
          <w:sz w:val="22"/>
        </w:rPr>
        <w:t>The following provisions shall apply to any Unvested Non-Exempt Award unless otherwise determined by the Board pursuant to subsection (e) of this Section.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w:t>
      </w:r>
      <w:r>
        <w:rPr>
          <w:rFonts w:ascii="Times New Roman;Times;serif" w:hAnsi="Times New Roman;Times;serif"/>
          <w:sz w:val="22"/>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(2)</w:t>
      </w:r>
      <w:r>
        <w:rPr>
          <w:rFonts w:ascii="Times New Roman;Times;serif" w:hAnsi="Times New Roman;Times;serif"/>
          <w:sz w:val="22"/>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(3)</w:t>
      </w:r>
      <w:r>
        <w:rPr>
          <w:rFonts w:ascii="Times New Roman;Times;serif" w:hAnsi="Times New Roman;Times;serif"/>
          <w:sz w:val="22"/>
        </w:rPr>
        <w:t>The foregoing treatment shall apply with respect to all Unvested Non-Exempt Awards upon any Corporate Transaction, and regardless of whether or not such Corporate Transaction is also a Section 409A Change in Control.</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sz w:val="22"/>
        </w:rPr>
        <w:t>If the RSU Award is a Non-Exempt Award, then the provisions in this Section 11(d) shall apply and supersede anything to the contrary that may be set forth in the Plan or the Award Agreement with respect to the permitted treatment of such Non-Exempt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months following the date of the Participant’s Separation From Service, or, if earlier, the date of the Participant’s death that occurs within such six month period.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The provisions in this subsection (d)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12.</w:t>
      </w:r>
      <w:bookmarkStart w:id="1318" w:name="_Toc533414086"/>
      <w:bookmarkEnd w:id="1318"/>
      <w:r>
        <w:rPr>
          <w:rFonts w:ascii="Times New Roman;Times;serif" w:hAnsi="Times New Roman;Times;serif"/>
          <w:b/>
          <w:smallCaps/>
          <w:sz w:val="22"/>
        </w:rPr>
        <w:t>Severability.</w:t>
      </w:r>
      <w:r>
        <w:rPr>
          <w:rFonts w:ascii="Times New Roman;Times;serif" w:hAnsi="Times New Roman;Times;serif"/>
          <w:smallCaps/>
          <w:sz w:val="24"/>
        </w:rPr>
        <w:t xml:space="preserve"> </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13.</w:t>
      </w:r>
      <w:bookmarkStart w:id="1319" w:name="_Toc533414087"/>
      <w:bookmarkEnd w:id="1319"/>
      <w:r>
        <w:rPr>
          <w:rFonts w:ascii="Times New Roman;Times;serif" w:hAnsi="Times New Roman;Times;serif"/>
          <w:b/>
          <w:smallCaps/>
          <w:sz w:val="22"/>
        </w:rPr>
        <w:t>Termination of the Plan.</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The Board may suspend or terminate the Plan at any time.  No Awards may be granted under the Plan while the Plan is suspended or after it is terminated.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14.</w:t>
      </w:r>
      <w:bookmarkStart w:id="1320" w:name="_Toc533414088"/>
      <w:bookmarkEnd w:id="1320"/>
      <w:r>
        <w:rPr>
          <w:rFonts w:ascii="Times New Roman;Times;serif" w:hAnsi="Times New Roman;Times;serif"/>
          <w:b/>
          <w:smallCaps/>
          <w:sz w:val="22"/>
        </w:rPr>
        <w:t>Definitions.</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As used in the Plan, the following definitions apply to the capitalized terms indicated below:</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w:t>
      </w:r>
      <w:r>
        <w:rPr>
          <w:rFonts w:ascii="Times New Roman;Times;serif" w:hAnsi="Times New Roman;Times;serif"/>
          <w:sz w:val="24"/>
        </w:rPr>
        <w:t>“</w:t>
      </w:r>
      <w:r>
        <w:rPr>
          <w:rFonts w:ascii="Times New Roman;Times;serif" w:hAnsi="Times New Roman;Times;serif"/>
          <w:b/>
          <w:i/>
          <w:sz w:val="22"/>
        </w:rPr>
        <w:t>Acquiring Entity</w:t>
      </w:r>
      <w:r>
        <w:rPr>
          <w:rFonts w:ascii="Times New Roman;Times;serif" w:hAnsi="Times New Roman;Times;serif"/>
          <w:sz w:val="24"/>
        </w:rPr>
        <w:t xml:space="preserve">” </w:t>
      </w:r>
      <w:r>
        <w:rPr>
          <w:rFonts w:ascii="Times New Roman;Times;serif" w:hAnsi="Times New Roman;Times;serif"/>
          <w:sz w:val="22"/>
        </w:rPr>
        <w:t>means the surviving or acquiring corporation (or its parent company) in connection with a Corporate Transaction.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w:t>
      </w:r>
      <w:r>
        <w:rPr>
          <w:rFonts w:ascii="Times New Roman;Times;serif" w:hAnsi="Times New Roman;Times;serif"/>
          <w:sz w:val="24"/>
        </w:rPr>
        <w:t>“</w:t>
      </w:r>
      <w:r>
        <w:rPr>
          <w:rFonts w:ascii="Times New Roman;Times;serif" w:hAnsi="Times New Roman;Times;serif"/>
          <w:b/>
          <w:i/>
          <w:sz w:val="22"/>
        </w:rPr>
        <w:t>Affiliate</w:t>
      </w:r>
      <w:r>
        <w:rPr>
          <w:rFonts w:ascii="Times New Roman;Times;serif" w:hAnsi="Times New Roman;Times;serif"/>
          <w:sz w:val="24"/>
        </w:rPr>
        <w:t xml:space="preserve">” </w:t>
      </w:r>
      <w:r>
        <w:rPr>
          <w:rFonts w:ascii="Times New Roman;Times;serif" w:hAnsi="Times New Roman;Times;serif"/>
          <w:sz w:val="22"/>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w:t>
      </w:r>
      <w:r>
        <w:rPr>
          <w:rFonts w:ascii="Times New Roman;Times;serif" w:hAnsi="Times New Roman;Times;serif"/>
          <w:sz w:val="24"/>
        </w:rPr>
        <w:t>“</w:t>
      </w:r>
      <w:r>
        <w:rPr>
          <w:rFonts w:ascii="Times New Roman;Times;serif" w:hAnsi="Times New Roman;Times;serif"/>
          <w:b/>
          <w:i/>
          <w:sz w:val="22"/>
        </w:rPr>
        <w:t>Applicable Law</w:t>
      </w:r>
      <w:r>
        <w:rPr>
          <w:rFonts w:ascii="Times New Roman;Times;serif" w:hAnsi="Times New Roman;Times;serif"/>
          <w:sz w:val="24"/>
        </w:rPr>
        <w:t xml:space="preserve">” </w:t>
      </w:r>
      <w:r>
        <w:rPr>
          <w:rFonts w:ascii="Times New Roman;Times;serif" w:hAnsi="Times New Roman;Times;serif"/>
          <w:sz w:val="22"/>
        </w:rPr>
        <w:t>means shall mean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w:t>
      </w:r>
      <w:r>
        <w:rPr>
          <w:rFonts w:ascii="Times New Roman;Times;serif" w:hAnsi="Times New Roman;Times;serif"/>
          <w:sz w:val="24"/>
        </w:rPr>
        <w:t>“</w:t>
      </w:r>
      <w:r>
        <w:rPr>
          <w:rFonts w:ascii="Times New Roman;Times;serif" w:hAnsi="Times New Roman;Times;serif"/>
          <w:b/>
          <w:i/>
          <w:sz w:val="22"/>
        </w:rPr>
        <w:t>Award</w:t>
      </w:r>
      <w:r>
        <w:rPr>
          <w:rFonts w:ascii="Times New Roman;Times;serif" w:hAnsi="Times New Roman;Times;serif"/>
          <w:sz w:val="24"/>
        </w:rPr>
        <w:t xml:space="preserve">” </w:t>
      </w:r>
      <w:r>
        <w:rPr>
          <w:rFonts w:ascii="Times New Roman;Times;serif" w:hAnsi="Times New Roman;Times;serif"/>
          <w:sz w:val="22"/>
        </w:rPr>
        <w:t>means any right to receive Common Stock, cash or other property granted under the Plan (including a Nonstatutory Stock Option, a Restricted Stock Award, a RSU Award, a SAR, a Performance Award or any Other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w:t>
      </w:r>
      <w:r>
        <w:rPr>
          <w:rFonts w:ascii="Times New Roman;Times;serif" w:hAnsi="Times New Roman;Times;serif"/>
          <w:sz w:val="24"/>
        </w:rPr>
        <w:t>“</w:t>
      </w:r>
      <w:r>
        <w:rPr>
          <w:rFonts w:ascii="Times New Roman;Times;serif" w:hAnsi="Times New Roman;Times;serif"/>
          <w:b/>
          <w:i/>
          <w:sz w:val="22"/>
        </w:rPr>
        <w:t>Award Agreement</w:t>
      </w:r>
      <w:r>
        <w:rPr>
          <w:rFonts w:ascii="Times New Roman;Times;serif" w:hAnsi="Times New Roman;Times;serif"/>
          <w:sz w:val="24"/>
        </w:rPr>
        <w:t xml:space="preserve">” </w:t>
      </w:r>
      <w:r>
        <w:rPr>
          <w:rFonts w:ascii="Times New Roman;Times;serif" w:hAnsi="Times New Roman;Times;serif"/>
          <w:sz w:val="22"/>
        </w:rPr>
        <w:t xml:space="preserve">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(f)</w:t>
      </w:r>
      <w:r>
        <w:rPr>
          <w:rFonts w:ascii="Times New Roman;Times;serif" w:hAnsi="Times New Roman;Times;serif"/>
          <w:sz w:val="24"/>
        </w:rPr>
        <w:t>“</w:t>
      </w:r>
      <w:r>
        <w:rPr>
          <w:rFonts w:ascii="Times New Roman;Times;serif" w:hAnsi="Times New Roman;Times;serif"/>
          <w:b/>
          <w:i/>
          <w:sz w:val="22"/>
        </w:rPr>
        <w:t>Board</w:t>
      </w:r>
      <w:r>
        <w:rPr>
          <w:rFonts w:ascii="Times New Roman;Times;serif" w:hAnsi="Times New Roman;Times;serif"/>
          <w:sz w:val="24"/>
        </w:rPr>
        <w:t xml:space="preserve">” </w:t>
      </w:r>
      <w:r>
        <w:rPr>
          <w:rFonts w:ascii="Times New Roman;Times;serif" w:hAnsi="Times New Roman;Times;serif"/>
          <w:sz w:val="22"/>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(g)</w:t>
      </w:r>
      <w:r>
        <w:rPr>
          <w:rFonts w:ascii="Times New Roman;Times;serif" w:hAnsi="Times New Roman;Times;serif"/>
          <w:sz w:val="24"/>
        </w:rPr>
        <w:t>“</w:t>
      </w:r>
      <w:r>
        <w:rPr>
          <w:rFonts w:ascii="Times New Roman;Times;serif" w:hAnsi="Times New Roman;Times;serif"/>
          <w:b/>
          <w:i/>
          <w:sz w:val="22"/>
        </w:rPr>
        <w:t>Capitalization Adjustment</w:t>
      </w:r>
      <w:r>
        <w:rPr>
          <w:rFonts w:ascii="Times New Roman;Times;serif" w:hAnsi="Times New Roman;Times;serif"/>
          <w:sz w:val="24"/>
        </w:rPr>
        <w:t xml:space="preserve">” </w:t>
      </w:r>
      <w:r>
        <w:rPr>
          <w:rFonts w:ascii="Times New Roman;Times;serif" w:hAnsi="Times New Roman;Times;serif"/>
          <w:sz w:val="22"/>
        </w:rPr>
        <w:t xml:space="preserve">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w:t>
      </w:r>
      <w:bookmarkStart w:id="1321" w:name="_DV_C421"/>
      <w:bookmarkEnd w:id="1321"/>
      <w:r>
        <w:rPr>
          <w:rFonts w:ascii="Times New Roman;Times;serif" w:hAnsi="Times New Roman;Times;serif"/>
          <w:sz w:val="22"/>
        </w:rPr>
        <w:t>Board Accounting Standards Codification Topic 718</w:t>
      </w:r>
      <w:r>
        <w:rPr>
          <w:rFonts w:ascii="Times New Roman;Times;serif" w:hAnsi="Times New Roman;Times;serif"/>
          <w:sz w:val="24"/>
        </w:rPr>
        <w:t xml:space="preserve"> </w:t>
      </w:r>
      <w:r>
        <w:rPr>
          <w:rFonts w:ascii="Times New Roman;Times;serif" w:hAnsi="Times New Roman;Times;serif"/>
          <w:sz w:val="22"/>
        </w:rPr>
        <w:t>(or any successor thereto).  Notwithstanding the foregoing, the conversion of any convertible securities of the Company will not be treated as a Capitalization Adjustment.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(h)</w:t>
      </w:r>
      <w:r>
        <w:rPr>
          <w:rFonts w:ascii="Times New Roman;Times;serif" w:hAnsi="Times New Roman;Times;serif"/>
          <w:sz w:val="24"/>
        </w:rPr>
        <w:t>“</w:t>
      </w:r>
      <w:r>
        <w:rPr>
          <w:rFonts w:ascii="Times New Roman;Times;serif" w:hAnsi="Times New Roman;Times;serif"/>
          <w:b/>
          <w:i/>
          <w:sz w:val="22"/>
        </w:rPr>
        <w:t>Cause</w:t>
      </w:r>
      <w:r>
        <w:rPr>
          <w:rFonts w:ascii="Times New Roman;Times;serif" w:hAnsi="Times New Roman;Times;serif"/>
          <w:sz w:val="24"/>
        </w:rPr>
        <w:t xml:space="preserve">” </w:t>
      </w:r>
      <w:r>
        <w:rPr>
          <w:rFonts w:ascii="Times New Roman;Times;serif" w:hAnsi="Times New Roman;Times;serif"/>
          <w:sz w:val="22"/>
        </w:rPr>
        <w:t xml:space="preserve">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intentional falsification of any Company or Affiliate documents or records; (ii) the Participant’s material failure to abide by the Company’s Code of Conduct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Times;serif" w:hAnsi="Times New Roman;Times;serif"/>
          <w:i/>
          <w:sz w:val="22"/>
        </w:rPr>
        <w:t>nolo contendere</w:t>
      </w:r>
      <w:r>
        <w:rPr>
          <w:rFonts w:ascii="Times New Roman;Times;serif" w:hAnsi="Times New Roman;Times;serif"/>
          <w:sz w:val="22"/>
        </w:rPr>
        <w:t>)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or his or her designee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4"/>
        </w:rPr>
        <w:t>“</w:t>
      </w:r>
      <w:r>
        <w:rPr>
          <w:rFonts w:ascii="Times New Roman;Times;serif" w:hAnsi="Times New Roman;Times;serif"/>
          <w:b/>
          <w:i/>
          <w:sz w:val="22"/>
        </w:rPr>
        <w:t>Change in Control</w:t>
      </w:r>
      <w:r>
        <w:rPr>
          <w:rFonts w:ascii="Times New Roman;Times;serif" w:hAnsi="Times New Roman;Times;serif"/>
          <w:sz w:val="24"/>
        </w:rPr>
        <w:t xml:space="preserve">” </w:t>
      </w:r>
      <w:r>
        <w:rPr>
          <w:rFonts w:ascii="Times New Roman;Times;serif" w:hAnsi="Times New Roman;Times;serif"/>
          <w:sz w:val="22"/>
        </w:rPr>
        <w:t>or “</w:t>
      </w:r>
      <w:r>
        <w:rPr>
          <w:rFonts w:ascii="Times New Roman;Times;serif" w:hAnsi="Times New Roman;Times;serif"/>
          <w:b/>
          <w:i/>
          <w:sz w:val="22"/>
        </w:rPr>
        <w:t>Change of Control</w:t>
      </w:r>
      <w:r>
        <w:rPr>
          <w:rFonts w:ascii="Times New Roman;Times;serif" w:hAnsi="Times New Roman;Times;serif"/>
          <w:sz w:val="24"/>
        </w:rPr>
        <w:t xml:space="preserve">” </w:t>
      </w:r>
      <w:r>
        <w:rPr>
          <w:rFonts w:ascii="Times New Roman;Times;serif" w:hAnsi="Times New Roman;Times;serif"/>
          <w:sz w:val="22"/>
        </w:rPr>
        <w:t>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2"/>
        </w:rPr>
        <w:t>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i/>
          <w:sz w:val="22"/>
        </w:rPr>
        <w:t>Subject Person</w:t>
      </w:r>
      <w:r>
        <w:rPr>
          <w:rFonts w:ascii="Times New Roman;Times;serif" w:hAnsi="Times New Roman;Times;serif"/>
          <w:sz w:val="24"/>
        </w:rPr>
        <w:t>”</w:t>
      </w:r>
      <w:r>
        <w:rPr>
          <w:rFonts w:ascii="Times New Roman;Times;serif" w:hAnsi="Times New Roman;Times;serif"/>
          <w:sz w:val="22"/>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w:t>
      </w:r>
      <w:r>
        <w:rPr>
          <w:rFonts w:ascii="Times New Roman;Times;serif" w:hAnsi="Times New Roman;Times;serif"/>
          <w:sz w:val="22"/>
        </w:rPr>
        <w:t>individuals who, on the date the Plan is adopted by the Board, are members of the Board (the “</w:t>
      </w:r>
      <w:r>
        <w:rPr>
          <w:rFonts w:ascii="Times New Roman;Times;serif" w:hAnsi="Times New Roman;Times;serif"/>
          <w:b/>
          <w:i/>
          <w:sz w:val="22"/>
        </w:rPr>
        <w:t>Incumbent Board</w:t>
      </w:r>
      <w:r>
        <w:rPr>
          <w:rFonts w:ascii="Times New Roman;Times;serif" w:hAnsi="Times New Roman;Times;serif"/>
          <w:sz w:val="24"/>
        </w:rPr>
        <w:t>”</w:t>
      </w:r>
      <w:r>
        <w:rPr>
          <w:rFonts w:ascii="Times New Roman;Times;serif" w:hAnsi="Times New Roman;Times;serif"/>
          <w:sz w:val="22"/>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(j)</w:t>
      </w:r>
      <w:r>
        <w:rPr>
          <w:rFonts w:ascii="Times New Roman;Times;serif" w:hAnsi="Times New Roman;Times;serif"/>
          <w:sz w:val="24"/>
        </w:rPr>
        <w:t>“</w:t>
      </w:r>
      <w:r>
        <w:rPr>
          <w:rFonts w:ascii="Times New Roman;Times;serif" w:hAnsi="Times New Roman;Times;serif"/>
          <w:b/>
          <w:i/>
          <w:sz w:val="22"/>
        </w:rPr>
        <w:t>Code</w:t>
      </w:r>
      <w:r>
        <w:rPr>
          <w:rFonts w:ascii="Times New Roman;Times;serif" w:hAnsi="Times New Roman;Times;serif"/>
          <w:sz w:val="24"/>
        </w:rPr>
        <w:t xml:space="preserve">” </w:t>
      </w:r>
      <w:r>
        <w:rPr>
          <w:rFonts w:ascii="Times New Roman;Times;serif" w:hAnsi="Times New Roman;Times;serif"/>
          <w:sz w:val="22"/>
        </w:rPr>
        <w:t>means the U.S. Internal Revenue Code of 1986, as amended, including any applicable regulations and guidance thereunder.</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(k)</w:t>
      </w:r>
      <w:r>
        <w:rPr>
          <w:rFonts w:ascii="Times New Roman;Times;serif" w:hAnsi="Times New Roman;Times;serif"/>
          <w:sz w:val="24"/>
        </w:rPr>
        <w:t>“</w:t>
      </w:r>
      <w:r>
        <w:rPr>
          <w:rFonts w:ascii="Times New Roman;Times;serif" w:hAnsi="Times New Roman;Times;serif"/>
          <w:b/>
          <w:i/>
          <w:sz w:val="22"/>
        </w:rPr>
        <w:t>Committee</w:t>
      </w:r>
      <w:r>
        <w:rPr>
          <w:rFonts w:ascii="Times New Roman;Times;serif" w:hAnsi="Times New Roman;Times;serif"/>
          <w:sz w:val="24"/>
        </w:rPr>
        <w:t xml:space="preserve">” </w:t>
      </w:r>
      <w:r>
        <w:rPr>
          <w:rFonts w:ascii="Times New Roman;Times;serif" w:hAnsi="Times New Roman;Times;serif"/>
          <w:sz w:val="22"/>
        </w:rPr>
        <w:t>means the Compensation Committee and any other committee of one or more Independent Directors to whom authority has been delegated by the Board or Compensation Committee in accordance with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(l)</w:t>
      </w:r>
      <w:r>
        <w:rPr>
          <w:rFonts w:ascii="Times New Roman;Times;serif" w:hAnsi="Times New Roman;Times;serif"/>
          <w:sz w:val="24"/>
        </w:rPr>
        <w:t>“</w:t>
      </w:r>
      <w:r>
        <w:rPr>
          <w:rFonts w:ascii="Times New Roman;Times;serif" w:hAnsi="Times New Roman;Times;serif"/>
          <w:b/>
          <w:i/>
          <w:sz w:val="22"/>
        </w:rPr>
        <w:t>Common Stock</w:t>
      </w:r>
      <w:r>
        <w:rPr>
          <w:rFonts w:ascii="Times New Roman;Times;serif" w:hAnsi="Times New Roman;Times;serif"/>
          <w:sz w:val="24"/>
        </w:rPr>
        <w:t xml:space="preserve">” </w:t>
      </w:r>
      <w:r>
        <w:rPr>
          <w:rFonts w:ascii="Times New Roman;Times;serif" w:hAnsi="Times New Roman;Times;serif"/>
          <w:sz w:val="22"/>
        </w:rPr>
        <w:t>means the common stock of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(m)</w:t>
      </w:r>
      <w:r>
        <w:rPr>
          <w:rFonts w:ascii="Times New Roman;Times;serif" w:hAnsi="Times New Roman;Times;serif"/>
          <w:sz w:val="24"/>
        </w:rPr>
        <w:t>“</w:t>
      </w:r>
      <w:r>
        <w:rPr>
          <w:rFonts w:ascii="Times New Roman;Times;serif" w:hAnsi="Times New Roman;Times;serif"/>
          <w:b/>
          <w:i/>
          <w:sz w:val="22"/>
        </w:rPr>
        <w:t>Company</w:t>
      </w:r>
      <w:r>
        <w:rPr>
          <w:rFonts w:ascii="Times New Roman;Times;serif" w:hAnsi="Times New Roman;Times;serif"/>
          <w:sz w:val="24"/>
        </w:rPr>
        <w:t xml:space="preserve">” </w:t>
      </w:r>
      <w:r>
        <w:rPr>
          <w:rFonts w:ascii="Times New Roman;Times;serif" w:hAnsi="Times New Roman;Times;serif"/>
          <w:sz w:val="22"/>
        </w:rPr>
        <w:t>means Olema Pharmaceuticals, Inc., a Delaware corporation, and any successor corporation thereto.</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(n)</w:t>
      </w:r>
      <w:r>
        <w:rPr>
          <w:rFonts w:ascii="Times New Roman;Times;serif" w:hAnsi="Times New Roman;Times;serif"/>
          <w:sz w:val="24"/>
        </w:rPr>
        <w:t>“</w:t>
      </w:r>
      <w:r>
        <w:rPr>
          <w:rFonts w:ascii="Times New Roman;Times;serif" w:hAnsi="Times New Roman;Times;serif"/>
          <w:b/>
          <w:i/>
          <w:sz w:val="22"/>
        </w:rPr>
        <w:t>Consultant</w:t>
      </w:r>
      <w:r>
        <w:rPr>
          <w:rFonts w:ascii="Times New Roman;Times;serif" w:hAnsi="Times New Roman;Times;serif"/>
          <w:sz w:val="24"/>
        </w:rPr>
        <w:t xml:space="preserve">” </w:t>
      </w:r>
      <w:r>
        <w:rPr>
          <w:rFonts w:ascii="Times New Roman;Times;serif" w:hAnsi="Times New Roman;Times;serif"/>
          <w:sz w:val="22"/>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r>
        <w:rPr>
          <w:rFonts w:ascii="Times New Roman;Times;serif" w:hAnsi="Times New Roman;Times;serif"/>
          <w:sz w:val="24"/>
        </w:rPr>
        <w:t xml:space="preserve"> </w:t>
      </w:r>
      <w:r>
        <w:rPr>
          <w:rFonts w:ascii="Times New Roman;Times;serif" w:hAnsi="Times New Roman;Times;serif"/>
          <w:sz w:val="22"/>
        </w:rPr>
        <w:t>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(o)</w:t>
      </w:r>
      <w:r>
        <w:rPr>
          <w:rFonts w:ascii="Times New Roman;Times;serif" w:hAnsi="Times New Roman;Times;serif"/>
          <w:sz w:val="24"/>
        </w:rPr>
        <w:t>“</w:t>
      </w:r>
      <w:r>
        <w:rPr>
          <w:rFonts w:ascii="Times New Roman;Times;serif" w:hAnsi="Times New Roman;Times;serif"/>
          <w:b/>
          <w:i/>
          <w:sz w:val="22"/>
        </w:rPr>
        <w:t>Continuous Service</w:t>
      </w:r>
      <w:r>
        <w:rPr>
          <w:rFonts w:ascii="Times New Roman;Times;serif" w:hAnsi="Times New Roman;Times;serif"/>
          <w:sz w:val="24"/>
        </w:rPr>
        <w:t xml:space="preserve">” </w:t>
      </w:r>
      <w:r>
        <w:rPr>
          <w:rFonts w:ascii="Times New Roman;Times;serif" w:hAnsi="Times New Roman;Times;serif"/>
          <w:sz w:val="22"/>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(p)</w:t>
      </w:r>
      <w:r>
        <w:rPr>
          <w:rFonts w:ascii="Times New Roman;Times;serif" w:hAnsi="Times New Roman;Times;serif"/>
          <w:sz w:val="24"/>
        </w:rPr>
        <w:t>“</w:t>
      </w:r>
      <w:r>
        <w:rPr>
          <w:rFonts w:ascii="Times New Roman;Times;serif" w:hAnsi="Times New Roman;Times;serif"/>
          <w:b/>
          <w:i/>
          <w:sz w:val="22"/>
        </w:rPr>
        <w:t>Corporate Transaction</w:t>
      </w:r>
      <w:r>
        <w:rPr>
          <w:rFonts w:ascii="Times New Roman;Times;serif" w:hAnsi="Times New Roman;Times;serif"/>
          <w:sz w:val="24"/>
        </w:rPr>
        <w:t xml:space="preserve">” </w:t>
      </w:r>
      <w:r>
        <w:rPr>
          <w:rFonts w:ascii="Times New Roman;Times;serif" w:hAnsi="Times New Roman;Times;serif"/>
          <w:sz w:val="22"/>
        </w:rPr>
        <w:t>means the consummation, in a single transaction or in a series of related transactions, of any one or more of the following events: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a sale</w:t>
      </w:r>
      <w:r>
        <w:rPr>
          <w:rFonts w:ascii="Times New Roman;Times;serif" w:hAnsi="Times New Roman;Times;serif"/>
          <w:sz w:val="24"/>
        </w:rPr>
        <w:t xml:space="preserve"> </w:t>
      </w:r>
      <w:r>
        <w:rPr>
          <w:rFonts w:ascii="Times New Roman;Times;serif" w:hAnsi="Times New Roman;Times;serif"/>
          <w:sz w:val="22"/>
        </w:rPr>
        <w:t>or other disposition of all or substantially all, as determined by the Board, of the consolidated assets of the Company and its Subsidiaries;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a sale or other disposition of at least 50% of the outstanding securities of the Company;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2"/>
        </w:rPr>
        <w:t>a merger, consolidation or similar transaction following which the Company is not the surviving corporation; or</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(iv)</w:t>
      </w:r>
      <w:r>
        <w:rPr>
          <w:rFonts w:ascii="Times New Roman;Times;serif" w:hAnsi="Times New Roman;Times;serif"/>
          <w:sz w:val="22"/>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(q)</w:t>
      </w:r>
      <w:r>
        <w:rPr>
          <w:rFonts w:ascii="Times New Roman;Times;serif" w:hAnsi="Times New Roman;Times;serif"/>
          <w:sz w:val="24"/>
        </w:rPr>
        <w:t>“</w:t>
      </w:r>
      <w:r>
        <w:rPr>
          <w:rFonts w:ascii="Times New Roman;Times;serif" w:hAnsi="Times New Roman;Times;serif"/>
          <w:b/>
          <w:i/>
          <w:sz w:val="22"/>
        </w:rPr>
        <w:t>Director</w:t>
      </w:r>
      <w:r>
        <w:rPr>
          <w:rFonts w:ascii="Times New Roman;Times;serif" w:hAnsi="Times New Roman;Times;serif"/>
          <w:sz w:val="24"/>
        </w:rPr>
        <w:t xml:space="preserve">” </w:t>
      </w:r>
      <w:r>
        <w:rPr>
          <w:rFonts w:ascii="Times New Roman;Times;serif" w:hAnsi="Times New Roman;Times;serif"/>
          <w:sz w:val="22"/>
        </w:rPr>
        <w:t>means a member of the Board. Directors are not eligible to receive Awards under the Plan with respect to their service in such capacity.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(r)</w:t>
      </w:r>
      <w:r>
        <w:rPr>
          <w:rFonts w:ascii="Times New Roman;Times;serif" w:hAnsi="Times New Roman;Times;serif"/>
          <w:sz w:val="24"/>
        </w:rPr>
        <w:t>“</w:t>
      </w:r>
      <w:r>
        <w:rPr>
          <w:rFonts w:ascii="Times New Roman;Times;serif" w:hAnsi="Times New Roman;Times;serif"/>
          <w:b/>
          <w:i/>
          <w:sz w:val="22"/>
        </w:rPr>
        <w:t>determine</w:t>
      </w:r>
      <w:r>
        <w:rPr>
          <w:rFonts w:ascii="Times New Roman;Times;serif" w:hAnsi="Times New Roman;Times;serif"/>
          <w:sz w:val="24"/>
        </w:rPr>
        <w:t xml:space="preserve">” </w:t>
      </w:r>
      <w:r>
        <w:rPr>
          <w:rFonts w:ascii="Times New Roman;Times;serif" w:hAnsi="Times New Roman;Times;serif"/>
          <w:b/>
          <w:i/>
          <w:sz w:val="22"/>
        </w:rPr>
        <w:t xml:space="preserve">or </w:t>
      </w:r>
      <w:r>
        <w:rPr>
          <w:rFonts w:ascii="Times New Roman;Times;serif" w:hAnsi="Times New Roman;Times;serif"/>
          <w:sz w:val="24"/>
        </w:rPr>
        <w:t>“</w:t>
      </w:r>
      <w:r>
        <w:rPr>
          <w:rFonts w:ascii="Times New Roman;Times;serif" w:hAnsi="Times New Roman;Times;serif"/>
          <w:b/>
          <w:i/>
          <w:sz w:val="22"/>
        </w:rPr>
        <w:t>determined</w:t>
      </w:r>
      <w:r>
        <w:rPr>
          <w:rFonts w:ascii="Times New Roman;Times;serif" w:hAnsi="Times New Roman;Times;serif"/>
          <w:sz w:val="24"/>
        </w:rPr>
        <w:t xml:space="preserve">” </w:t>
      </w:r>
      <w:r>
        <w:rPr>
          <w:rFonts w:ascii="Times New Roman;Times;serif" w:hAnsi="Times New Roman;Times;serif"/>
          <w:sz w:val="22"/>
        </w:rPr>
        <w:t>means as determined by the Board or the Committee (or its designee) in its sole discretion.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(s)</w:t>
      </w:r>
      <w:r>
        <w:rPr>
          <w:rFonts w:ascii="Times New Roman;Times;serif" w:hAnsi="Times New Roman;Times;serif"/>
          <w:sz w:val="24"/>
        </w:rPr>
        <w:t>“</w:t>
      </w:r>
      <w:r>
        <w:rPr>
          <w:rFonts w:ascii="Times New Roman;Times;serif" w:hAnsi="Times New Roman;Times;serif"/>
          <w:b/>
          <w:i/>
          <w:sz w:val="22"/>
        </w:rPr>
        <w:t>Disability</w:t>
      </w:r>
      <w:r>
        <w:rPr>
          <w:rFonts w:ascii="Times New Roman;Times;serif" w:hAnsi="Times New Roman;Times;serif"/>
          <w:sz w:val="24"/>
        </w:rPr>
        <w:t xml:space="preserve">” </w:t>
      </w:r>
      <w:r>
        <w:rPr>
          <w:rFonts w:ascii="Times New Roman;Times;serif" w:hAnsi="Times New Roman;Times;serif"/>
          <w:sz w:val="22"/>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(t)</w:t>
      </w:r>
      <w:r>
        <w:rPr>
          <w:rFonts w:ascii="Times New Roman;Times;serif" w:hAnsi="Times New Roman;Times;serif"/>
          <w:sz w:val="24"/>
        </w:rPr>
        <w:t>“</w:t>
      </w:r>
      <w:r>
        <w:rPr>
          <w:rFonts w:ascii="Times New Roman;Times;serif" w:hAnsi="Times New Roman;Times;serif"/>
          <w:b/>
          <w:i/>
          <w:sz w:val="22"/>
        </w:rPr>
        <w:t>Effective Date</w:t>
      </w:r>
      <w:r>
        <w:rPr>
          <w:rFonts w:ascii="Times New Roman;Times;serif" w:hAnsi="Times New Roman;Times;serif"/>
          <w:sz w:val="24"/>
        </w:rPr>
        <w:t xml:space="preserve">” </w:t>
      </w:r>
      <w:r>
        <w:rPr>
          <w:rFonts w:ascii="Times New Roman;Times;serif" w:hAnsi="Times New Roman;Times;serif"/>
          <w:sz w:val="22"/>
        </w:rPr>
        <w:t>means January 19, 2022.</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(u)</w:t>
      </w:r>
      <w:r>
        <w:rPr>
          <w:rFonts w:ascii="Times New Roman;Times;serif" w:hAnsi="Times New Roman;Times;serif"/>
          <w:sz w:val="24"/>
        </w:rPr>
        <w:t>“</w:t>
      </w:r>
      <w:r>
        <w:rPr>
          <w:rFonts w:ascii="Times New Roman;Times;serif" w:hAnsi="Times New Roman;Times;serif"/>
          <w:b/>
          <w:i/>
          <w:sz w:val="22"/>
        </w:rPr>
        <w:t>Employee</w:t>
      </w:r>
      <w:r>
        <w:rPr>
          <w:rFonts w:ascii="Times New Roman;Times;serif" w:hAnsi="Times New Roman;Times;serif"/>
          <w:sz w:val="24"/>
        </w:rPr>
        <w:t xml:space="preserve">” </w:t>
      </w:r>
      <w:r>
        <w:rPr>
          <w:rFonts w:ascii="Times New Roman;Times;serif" w:hAnsi="Times New Roman;Times;serif"/>
          <w:sz w:val="22"/>
        </w:rPr>
        <w:t>means any person employed by the Company or an Affiliate.  However, service solely as a Director, or payment of a fee for such services, will not cause a Director to be considered an “Employee” for purposes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w:t>
      </w:r>
      <w:r>
        <w:rPr>
          <w:rFonts w:ascii="Times New Roman;Times;serif" w:hAnsi="Times New Roman;Times;serif"/>
          <w:sz w:val="24"/>
        </w:rPr>
        <w:t>“</w:t>
      </w:r>
      <w:r>
        <w:rPr>
          <w:rFonts w:ascii="Times New Roman;Times;serif" w:hAnsi="Times New Roman;Times;serif"/>
          <w:b/>
          <w:i/>
          <w:sz w:val="22"/>
        </w:rPr>
        <w:t>Employer</w:t>
      </w:r>
      <w:r>
        <w:rPr>
          <w:rFonts w:ascii="Times New Roman;Times;serif" w:hAnsi="Times New Roman;Times;serif"/>
          <w:sz w:val="24"/>
        </w:rPr>
        <w:t xml:space="preserve">” </w:t>
      </w:r>
      <w:r>
        <w:rPr>
          <w:rFonts w:ascii="Times New Roman;Times;serif" w:hAnsi="Times New Roman;Times;serif"/>
          <w:sz w:val="22"/>
        </w:rPr>
        <w:t>means the Company or the Affiliate that employs the Participant.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(w)</w:t>
      </w:r>
      <w:r>
        <w:rPr>
          <w:rFonts w:ascii="Times New Roman;Times;serif" w:hAnsi="Times New Roman;Times;serif"/>
          <w:sz w:val="24"/>
        </w:rPr>
        <w:t>“</w:t>
      </w:r>
      <w:r>
        <w:rPr>
          <w:rFonts w:ascii="Times New Roman;Times;serif" w:hAnsi="Times New Roman;Times;serif"/>
          <w:b/>
          <w:i/>
          <w:sz w:val="22"/>
        </w:rPr>
        <w:t>Entity</w:t>
      </w:r>
      <w:r>
        <w:rPr>
          <w:rFonts w:ascii="Times New Roman;Times;serif" w:hAnsi="Times New Roman;Times;serif"/>
          <w:sz w:val="24"/>
        </w:rPr>
        <w:t xml:space="preserve">” </w:t>
      </w:r>
      <w:r>
        <w:rPr>
          <w:rFonts w:ascii="Times New Roman;Times;serif" w:hAnsi="Times New Roman;Times;serif"/>
          <w:sz w:val="22"/>
        </w:rPr>
        <w:t>means a corporation, partnership, limited liability company or other entity.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(x)</w:t>
      </w:r>
      <w:r>
        <w:rPr>
          <w:rFonts w:ascii="Times New Roman;Times;serif" w:hAnsi="Times New Roman;Times;serif"/>
          <w:sz w:val="24"/>
        </w:rPr>
        <w:t>“</w:t>
      </w:r>
      <w:r>
        <w:rPr>
          <w:rFonts w:ascii="Times New Roman;Times;serif" w:hAnsi="Times New Roman;Times;serif"/>
          <w:b/>
          <w:i/>
          <w:sz w:val="22"/>
        </w:rPr>
        <w:t>Exchange Act</w:t>
      </w:r>
      <w:r>
        <w:rPr>
          <w:rFonts w:ascii="Times New Roman;Times;serif" w:hAnsi="Times New Roman;Times;serif"/>
          <w:sz w:val="24"/>
        </w:rPr>
        <w:t xml:space="preserve">” </w:t>
      </w:r>
      <w:r>
        <w:rPr>
          <w:rFonts w:ascii="Times New Roman;Times;serif" w:hAnsi="Times New Roman;Times;serif"/>
          <w:sz w:val="22"/>
        </w:rPr>
        <w:t>means the U.S. Securities Exchange Act of 1934, as amended, and the rules and regulations promulgated thereunder.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(y)</w:t>
      </w:r>
      <w:r>
        <w:rPr>
          <w:rFonts w:ascii="Times New Roman;Times;serif" w:hAnsi="Times New Roman;Times;serif"/>
          <w:sz w:val="24"/>
        </w:rPr>
        <w:t>“</w:t>
      </w:r>
      <w:r>
        <w:rPr>
          <w:rFonts w:ascii="Times New Roman;Times;serif" w:hAnsi="Times New Roman;Times;serif"/>
          <w:b/>
          <w:i/>
          <w:sz w:val="22"/>
        </w:rPr>
        <w:t>Exchange Act Person</w:t>
      </w:r>
      <w:r>
        <w:rPr>
          <w:rFonts w:ascii="Times New Roman;Times;serif" w:hAnsi="Times New Roman;Times;serif"/>
          <w:sz w:val="24"/>
        </w:rPr>
        <w:t xml:space="preserve">” </w:t>
      </w:r>
      <w:r>
        <w:rPr>
          <w:rFonts w:ascii="Times New Roman;Times;serif" w:hAnsi="Times New Roman;Times;serif"/>
          <w:sz w:val="22"/>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(z)</w:t>
      </w:r>
      <w:r>
        <w:rPr>
          <w:rFonts w:ascii="Times New Roman;Times;serif" w:hAnsi="Times New Roman;Times;serif"/>
          <w:sz w:val="24"/>
        </w:rPr>
        <w:t>“</w:t>
      </w:r>
      <w:r>
        <w:rPr>
          <w:rFonts w:ascii="Times New Roman;Times;serif" w:hAnsi="Times New Roman;Times;serif"/>
          <w:b/>
          <w:i/>
          <w:sz w:val="22"/>
        </w:rPr>
        <w:t>Fair Market Value</w:t>
      </w:r>
      <w:r>
        <w:rPr>
          <w:rFonts w:ascii="Times New Roman;Times;serif" w:hAnsi="Times New Roman;Times;serif"/>
          <w:sz w:val="24"/>
        </w:rPr>
        <w:t xml:space="preserve">” </w:t>
      </w:r>
      <w:r>
        <w:rPr>
          <w:rFonts w:ascii="Times New Roman;Times;serif" w:hAnsi="Times New Roman;Times;serif"/>
          <w:sz w:val="22"/>
        </w:rPr>
        <w:t>means, as of any date, unless otherwise determined by the Board, the value of the Common Stock (as determined on a per share or aggregate basis, as applicable) determined as follows: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w:t>
      </w:r>
      <w:r>
        <w:rPr>
          <w:rFonts w:ascii="Times New Roman;Times;serif" w:hAnsi="Times New Roman;Times;serif"/>
          <w:sz w:val="22"/>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2"/>
        </w:rPr>
        <w:t>If there is no closing sales price for the Common Stock on the date of determination, then the Fair Market Value will be the closing selling price on the last preceding date for which such quotation exists.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bookmarkStart w:id="1322" w:name="_Ref92447285"/>
      <w:bookmarkEnd w:id="1322"/>
      <w:r>
        <w:rPr>
          <w:rFonts w:ascii="Times New Roman;Times;serif" w:hAnsi="Times New Roman;Times;serif"/>
          <w:sz w:val="22"/>
        </w:rPr>
        <w:t>In the absence of such markets for the Common Stock, or if otherwise determined by the Board, the Fair Market Value will be determined by the Board in good faith and in a manner that complies with Section 409A of the Code.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(aa)</w:t>
      </w:r>
      <w:r>
        <w:rPr>
          <w:rFonts w:ascii="Times New Roman;Times;serif" w:hAnsi="Times New Roman;Times;serif"/>
          <w:sz w:val="24"/>
        </w:rPr>
        <w:t>“</w:t>
      </w:r>
      <w:r>
        <w:rPr>
          <w:rFonts w:ascii="Times New Roman;Times;serif" w:hAnsi="Times New Roman;Times;serif"/>
          <w:b/>
          <w:i/>
          <w:sz w:val="22"/>
        </w:rPr>
        <w:t>Governmental</w:t>
      </w:r>
      <w:r>
        <w:rPr>
          <w:rFonts w:ascii="Times New Roman;Times;serif" w:hAnsi="Times New Roman;Times;serif"/>
          <w:sz w:val="24"/>
        </w:rPr>
        <w:t xml:space="preserve"> </w:t>
      </w:r>
      <w:r>
        <w:rPr>
          <w:rFonts w:ascii="Times New Roman;Times;serif" w:hAnsi="Times New Roman;Times;serif"/>
          <w:b/>
          <w:i/>
          <w:sz w:val="22"/>
        </w:rPr>
        <w:t>Body</w:t>
      </w:r>
      <w:r>
        <w:rPr>
          <w:rFonts w:ascii="Times New Roman;Times;serif" w:hAnsi="Times New Roman;Times;serif"/>
          <w:sz w:val="24"/>
        </w:rPr>
        <w:t xml:space="preserve">” </w:t>
      </w:r>
      <w:r>
        <w:rPr>
          <w:rFonts w:ascii="Times New Roman;Times;serif" w:hAnsi="Times New Roman;Times;serif"/>
          <w:sz w:val="22"/>
        </w:rPr>
        <w:t xml:space="preserve">means any: (a) nation, state, commonwealth, province, territory, county, municipality, district or other jurisdiction of any nature; (b) U.S. or non-U.S. federal, state, local, municipal, or other government; (c) governmental or </w:t>
      </w:r>
      <w:bookmarkStart w:id="1323" w:name="_cp_text_1_3250"/>
      <w:bookmarkEnd w:id="1323"/>
      <w:r>
        <w:rPr>
          <w:rFonts w:ascii="Times New Roman;Times;serif" w:hAnsi="Times New Roman;Times;serif"/>
          <w:sz w:val="22"/>
        </w:rPr>
        <w:t xml:space="preserve">regulatory body, or quasi-governmental body of any nature (including any governmental division, department, </w:t>
      </w:r>
      <w:bookmarkStart w:id="1324" w:name="_cp_text_1_3251"/>
      <w:bookmarkEnd w:id="1324"/>
      <w:r>
        <w:rPr>
          <w:rFonts w:ascii="Times New Roman;Times;serif" w:hAnsi="Times New Roman;Times;serif"/>
          <w:sz w:val="22"/>
        </w:rPr>
        <w:t>administrative agency</w:t>
      </w:r>
      <w:bookmarkStart w:id="1325" w:name="_cp_text_1_3252"/>
      <w:bookmarkEnd w:id="1325"/>
      <w:r>
        <w:rPr>
          <w:rFonts w:ascii="Times New Roman;Times;serif" w:hAnsi="Times New Roman;Times;serif"/>
          <w:sz w:val="24"/>
        </w:rPr>
        <w:t xml:space="preserve"> </w:t>
      </w:r>
      <w:r>
        <w:rPr>
          <w:rFonts w:ascii="Times New Roman;Times;serif" w:hAnsi="Times New Roman;Times;serif"/>
          <w:sz w:val="22"/>
        </w:rPr>
        <w:t>or bureau, commission</w:t>
      </w:r>
      <w:bookmarkStart w:id="1326" w:name="_cp_text_1_3253"/>
      <w:bookmarkEnd w:id="1326"/>
      <w:r>
        <w:rPr>
          <w:rFonts w:ascii="Times New Roman;Times;serif" w:hAnsi="Times New Roman;Times;serif"/>
          <w:sz w:val="22"/>
        </w:rPr>
        <w:t>, authority, instrumentality, official, ministry, fund, foundation, center, organization, unit, body or Entity and any court or other tribunal, and for the avoidance of doubt, any Tax authority)</w:t>
      </w:r>
      <w:bookmarkStart w:id="1327" w:name="_cp_text_1_3254"/>
      <w:bookmarkEnd w:id="1327"/>
      <w:r>
        <w:rPr>
          <w:rFonts w:ascii="Times New Roman;Times;serif" w:hAnsi="Times New Roman;Times;serif"/>
          <w:sz w:val="24"/>
        </w:rPr>
        <w:t xml:space="preserve"> </w:t>
      </w:r>
      <w:r>
        <w:rPr>
          <w:rFonts w:ascii="Times New Roman;Times;serif" w:hAnsi="Times New Roman;Times;serif"/>
          <w:sz w:val="22"/>
        </w:rPr>
        <w:t>or other body exercising similar powers or authority; or (d) self-regulatory organization (including the Nasdaq Stock Market, New York Stock Exchange, and the Financial Industry Regulatory Authority).</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(bb)</w:t>
      </w:r>
      <w:r>
        <w:rPr>
          <w:rFonts w:ascii="Times New Roman;Times;serif" w:hAnsi="Times New Roman;Times;serif"/>
          <w:sz w:val="24"/>
        </w:rPr>
        <w:t>“</w:t>
      </w:r>
      <w:r>
        <w:rPr>
          <w:rFonts w:ascii="Times New Roman;Times;serif" w:hAnsi="Times New Roman;Times;serif"/>
          <w:b/>
          <w:i/>
          <w:sz w:val="22"/>
        </w:rPr>
        <w:t>Grant Notice</w:t>
      </w:r>
      <w:r>
        <w:rPr>
          <w:rFonts w:ascii="Times New Roman;Times;serif" w:hAnsi="Times New Roman;Times;serif"/>
          <w:sz w:val="24"/>
        </w:rPr>
        <w:t xml:space="preserve">” </w:t>
      </w:r>
      <w:r>
        <w:rPr>
          <w:rFonts w:ascii="Times New Roman;Times;serif" w:hAnsi="Times New Roman;Times;serif"/>
          <w:sz w:val="22"/>
        </w:rPr>
        <w:t xml:space="preserve">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(cc)</w:t>
      </w:r>
      <w:r>
        <w:rPr>
          <w:rFonts w:ascii="Times New Roman;Times;serif" w:hAnsi="Times New Roman;Times;serif"/>
          <w:sz w:val="24"/>
        </w:rPr>
        <w:t>“</w:t>
      </w:r>
      <w:r>
        <w:rPr>
          <w:rFonts w:ascii="Times New Roman;Times;serif" w:hAnsi="Times New Roman;Times;serif"/>
          <w:b/>
          <w:i/>
          <w:sz w:val="22"/>
        </w:rPr>
        <w:t>Materially Impair</w:t>
      </w:r>
      <w:r>
        <w:rPr>
          <w:rFonts w:ascii="Times New Roman;Times;serif" w:hAnsi="Times New Roman;Times;serif"/>
          <w:sz w:val="24"/>
        </w:rPr>
        <w:t xml:space="preserve">” </w:t>
      </w:r>
      <w:r>
        <w:rPr>
          <w:rFonts w:ascii="Times New Roman;Times;serif" w:hAnsi="Times New Roman;Times;serif"/>
          <w:sz w:val="22"/>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(dd)</w:t>
      </w:r>
      <w:r>
        <w:rPr>
          <w:rFonts w:ascii="Times New Roman;Times;serif" w:hAnsi="Times New Roman;Times;serif"/>
          <w:sz w:val="24"/>
        </w:rPr>
        <w:t>“</w:t>
      </w:r>
      <w:r>
        <w:rPr>
          <w:rFonts w:ascii="Times New Roman;Times;serif" w:hAnsi="Times New Roman;Times;serif"/>
          <w:b/>
          <w:i/>
          <w:sz w:val="22"/>
        </w:rPr>
        <w:t>Non-Employee Director</w:t>
      </w:r>
      <w:r>
        <w:rPr>
          <w:rFonts w:ascii="Times New Roman;Times;serif" w:hAnsi="Times New Roman;Times;serif"/>
          <w:sz w:val="24"/>
        </w:rPr>
        <w:t xml:space="preserve">” </w:t>
      </w:r>
      <w:r>
        <w:rPr>
          <w:rFonts w:ascii="Times New Roman;Times;serif" w:hAnsi="Times New Roman;Times;serif"/>
          <w:sz w:val="22"/>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sz w:val="22"/>
        </w:rPr>
        <w:t>Regulation S-K</w:t>
      </w:r>
      <w:r>
        <w:rPr>
          <w:rFonts w:ascii="Times New Roman;Times;serif" w:hAnsi="Times New Roman;Times;serif"/>
          <w:sz w:val="24"/>
        </w:rPr>
        <w:t>”</w:t>
      </w:r>
      <w:r>
        <w:rPr>
          <w:rFonts w:ascii="Times New Roman;Times;serif" w:hAnsi="Times New Roman;Times;serif"/>
          <w:sz w:val="22"/>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(ee)</w:t>
      </w:r>
      <w:r>
        <w:rPr>
          <w:rFonts w:ascii="Times New Roman;Times;serif" w:hAnsi="Times New Roman;Times;serif"/>
          <w:sz w:val="24"/>
        </w:rPr>
        <w:t>“</w:t>
      </w:r>
      <w:r>
        <w:rPr>
          <w:rFonts w:ascii="Times New Roman;Times;serif" w:hAnsi="Times New Roman;Times;serif"/>
          <w:b/>
          <w:i/>
          <w:sz w:val="22"/>
        </w:rPr>
        <w:t>Non-Exempt Award</w:t>
      </w:r>
      <w:r>
        <w:rPr>
          <w:rFonts w:ascii="Times New Roman;Times;serif" w:hAnsi="Times New Roman;Times;serif"/>
          <w:sz w:val="24"/>
        </w:rPr>
        <w:t xml:space="preserve">” </w:t>
      </w:r>
      <w:r>
        <w:rPr>
          <w:rFonts w:ascii="Times New Roman;Times;serif" w:hAnsi="Times New Roman;Times;serif"/>
          <w:sz w:val="22"/>
        </w:rPr>
        <w:t>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(ff)</w:t>
      </w:r>
      <w:r>
        <w:rPr>
          <w:rFonts w:ascii="Times New Roman;Times;serif" w:hAnsi="Times New Roman;Times;serif"/>
          <w:sz w:val="24"/>
        </w:rPr>
        <w:t>“</w:t>
      </w:r>
      <w:r>
        <w:rPr>
          <w:rFonts w:ascii="Times New Roman;Times;serif" w:hAnsi="Times New Roman;Times;serif"/>
          <w:b/>
          <w:i/>
          <w:sz w:val="22"/>
        </w:rPr>
        <w:t>Non-Exempt Severance Arrangement</w:t>
      </w:r>
      <w:r>
        <w:rPr>
          <w:rFonts w:ascii="Times New Roman;Times;serif" w:hAnsi="Times New Roman;Times;serif"/>
          <w:sz w:val="24"/>
        </w:rPr>
        <w:t xml:space="preserve">” </w:t>
      </w:r>
      <w:r>
        <w:rPr>
          <w:rFonts w:ascii="Times New Roman;Times;serif" w:hAnsi="Times New Roman;Times;serif"/>
          <w:sz w:val="22"/>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Times;serif" w:hAnsi="Times New Roman;Times;serif"/>
          <w:b/>
          <w:i/>
          <w:sz w:val="22"/>
        </w:rPr>
        <w:t>Separation from Service</w:t>
      </w:r>
      <w:r>
        <w:rPr>
          <w:rFonts w:ascii="Times New Roman;Times;serif" w:hAnsi="Times New Roman;Times;serif"/>
          <w:sz w:val="24"/>
        </w:rPr>
        <w:t>”</w:t>
      </w:r>
      <w:r>
        <w:rPr>
          <w:rFonts w:ascii="Times New Roman;Times;serif" w:hAnsi="Times New Roman;Times;serif"/>
          <w:sz w:val="22"/>
        </w:rPr>
        <w:t>) and such severance benefit does not satisfy the requirements for an exemption from application of Section 409A provided under Treasury Regulations Section 1.409A-1(b)(4), 1.409A-1(b)(9) or otherwise.</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(gg)</w:t>
      </w:r>
      <w:r>
        <w:rPr>
          <w:rFonts w:ascii="Times New Roman;Times;serif" w:hAnsi="Times New Roman;Times;serif"/>
          <w:sz w:val="24"/>
        </w:rPr>
        <w:t>“</w:t>
      </w:r>
      <w:r>
        <w:rPr>
          <w:rFonts w:ascii="Times New Roman;Times;serif" w:hAnsi="Times New Roman;Times;serif"/>
          <w:b/>
          <w:i/>
          <w:sz w:val="22"/>
        </w:rPr>
        <w:t>Nonstatutory Stock Option</w:t>
      </w:r>
      <w:r>
        <w:rPr>
          <w:rFonts w:ascii="Times New Roman;Times;serif" w:hAnsi="Times New Roman;Times;serif"/>
          <w:sz w:val="24"/>
        </w:rPr>
        <w:t xml:space="preserve">” </w:t>
      </w:r>
      <w:r>
        <w:rPr>
          <w:rFonts w:ascii="Times New Roman;Times;serif" w:hAnsi="Times New Roman;Times;serif"/>
          <w:sz w:val="22"/>
        </w:rPr>
        <w:t>means any option granted pursuant to Section 4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(hh)</w:t>
      </w:r>
      <w:r>
        <w:rPr>
          <w:rFonts w:ascii="Times New Roman;Times;serif" w:hAnsi="Times New Roman;Times;serif"/>
          <w:sz w:val="24"/>
        </w:rPr>
        <w:t>“</w:t>
      </w:r>
      <w:r>
        <w:rPr>
          <w:rFonts w:ascii="Times New Roman;Times;serif" w:hAnsi="Times New Roman;Times;serif"/>
          <w:b/>
          <w:i/>
          <w:sz w:val="22"/>
        </w:rPr>
        <w:t>Officer</w:t>
      </w:r>
      <w:r>
        <w:rPr>
          <w:rFonts w:ascii="Times New Roman;Times;serif" w:hAnsi="Times New Roman;Times;serif"/>
          <w:sz w:val="24"/>
        </w:rPr>
        <w:t xml:space="preserve">” </w:t>
      </w:r>
      <w:r>
        <w:rPr>
          <w:rFonts w:ascii="Times New Roman;Times;serif" w:hAnsi="Times New Roman;Times;serif"/>
          <w:sz w:val="22"/>
        </w:rPr>
        <w:t>means a person who is an officer of the Company within the meaning of Section 16 of the Exchange Act.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w:t>
      </w:r>
      <w:r>
        <w:rPr>
          <w:rFonts w:ascii="Times New Roman;Times;serif" w:hAnsi="Times New Roman;Times;serif"/>
          <w:sz w:val="24"/>
        </w:rPr>
        <w:t>“</w:t>
      </w:r>
      <w:r>
        <w:rPr>
          <w:rFonts w:ascii="Times New Roman;Times;serif" w:hAnsi="Times New Roman;Times;serif"/>
          <w:b/>
          <w:i/>
          <w:sz w:val="22"/>
        </w:rPr>
        <w:t>Option</w:t>
      </w:r>
      <w:r>
        <w:rPr>
          <w:rFonts w:ascii="Times New Roman;Times;serif" w:hAnsi="Times New Roman;Times;serif"/>
          <w:sz w:val="24"/>
        </w:rPr>
        <w:t xml:space="preserve">” </w:t>
      </w:r>
      <w:r>
        <w:rPr>
          <w:rFonts w:ascii="Times New Roman;Times;serif" w:hAnsi="Times New Roman;Times;serif"/>
          <w:sz w:val="22"/>
        </w:rPr>
        <w:t>means a Nonstatutory Stock Option to purchase shares of Common Stock granted pursuant to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(jj)</w:t>
      </w:r>
      <w:r>
        <w:rPr>
          <w:rFonts w:ascii="Times New Roman;Times;serif" w:hAnsi="Times New Roman;Times;serif"/>
          <w:sz w:val="24"/>
        </w:rPr>
        <w:t>“</w:t>
      </w:r>
      <w:r>
        <w:rPr>
          <w:rFonts w:ascii="Times New Roman;Times;serif" w:hAnsi="Times New Roman;Times;serif"/>
          <w:b/>
          <w:i/>
          <w:sz w:val="22"/>
        </w:rPr>
        <w:t>Option Agreement</w:t>
      </w:r>
      <w:r>
        <w:rPr>
          <w:rFonts w:ascii="Times New Roman;Times;serif" w:hAnsi="Times New Roman;Times;serif"/>
          <w:sz w:val="24"/>
        </w:rPr>
        <w:t xml:space="preserve">” </w:t>
      </w:r>
      <w:r>
        <w:rPr>
          <w:rFonts w:ascii="Times New Roman;Times;serif" w:hAnsi="Times New Roman;Times;serif"/>
          <w:sz w:val="22"/>
        </w:rPr>
        <w:t>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(kk)</w:t>
      </w:r>
      <w:r>
        <w:rPr>
          <w:rFonts w:ascii="Times New Roman;Times;serif" w:hAnsi="Times New Roman;Times;serif"/>
          <w:sz w:val="24"/>
        </w:rPr>
        <w:t>“</w:t>
      </w:r>
      <w:r>
        <w:rPr>
          <w:rFonts w:ascii="Times New Roman;Times;serif" w:hAnsi="Times New Roman;Times;serif"/>
          <w:b/>
          <w:i/>
          <w:sz w:val="22"/>
        </w:rPr>
        <w:t>Optionholder</w:t>
      </w:r>
      <w:r>
        <w:rPr>
          <w:rFonts w:ascii="Times New Roman;Times;serif" w:hAnsi="Times New Roman;Times;serif"/>
          <w:sz w:val="24"/>
        </w:rPr>
        <w:t xml:space="preserve">” </w:t>
      </w:r>
      <w:r>
        <w:rPr>
          <w:rFonts w:ascii="Times New Roman;Times;serif" w:hAnsi="Times New Roman;Times;serif"/>
          <w:sz w:val="22"/>
        </w:rPr>
        <w:t>means a person to whom an Option is granted pursuant to the Plan or, if applicable, such other person who holds an outstanding Option.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(ll)</w:t>
      </w:r>
      <w:r>
        <w:rPr>
          <w:rFonts w:ascii="Times New Roman;Times;serif" w:hAnsi="Times New Roman;Times;serif"/>
          <w:sz w:val="24"/>
        </w:rPr>
        <w:t>“</w:t>
      </w:r>
      <w:r>
        <w:rPr>
          <w:rFonts w:ascii="Times New Roman;Times;serif" w:hAnsi="Times New Roman;Times;serif"/>
          <w:b/>
          <w:i/>
          <w:sz w:val="22"/>
        </w:rPr>
        <w:t>Other Award</w:t>
      </w:r>
      <w:r>
        <w:rPr>
          <w:rFonts w:ascii="Times New Roman;Times;serif" w:hAnsi="Times New Roman;Times;serif"/>
          <w:sz w:val="24"/>
        </w:rPr>
        <w:t xml:space="preserve">” </w:t>
      </w:r>
      <w:r>
        <w:rPr>
          <w:rFonts w:ascii="Times New Roman;Times;serif" w:hAnsi="Times New Roman;Times;serif"/>
          <w:sz w:val="22"/>
        </w:rPr>
        <w:t>means an award valued in whole or in part by reference to, or otherwise based on, Common Stock, including the appreciation in value thereof (e.g., options or stock rights with an exercise price or strike price less than 100% of the Fair Market Value at the time of grant) that is not a Nonstatutory Stock Option, SAR, Restricted Stock Award, RSU Award or Performance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(mm)</w:t>
      </w:r>
      <w:bookmarkStart w:id="1328" w:name="_DV_M50"/>
      <w:bookmarkEnd w:id="1328"/>
      <w:r>
        <w:rPr>
          <w:rFonts w:ascii="Times New Roman;Times;serif" w:hAnsi="Times New Roman;Times;serif"/>
          <w:sz w:val="24"/>
        </w:rPr>
        <w:t>“</w:t>
      </w:r>
      <w:r>
        <w:rPr>
          <w:rFonts w:ascii="Times New Roman;Times;serif" w:hAnsi="Times New Roman;Times;serif"/>
          <w:b/>
          <w:i/>
          <w:sz w:val="22"/>
        </w:rPr>
        <w:t>Other Award Agreement</w:t>
      </w:r>
      <w:r>
        <w:rPr>
          <w:rFonts w:ascii="Times New Roman;Times;serif" w:hAnsi="Times New Roman;Times;serif"/>
          <w:sz w:val="24"/>
        </w:rPr>
        <w:t xml:space="preserve">” </w:t>
      </w:r>
      <w:r>
        <w:rPr>
          <w:rFonts w:ascii="Times New Roman;Times;serif" w:hAnsi="Times New Roman;Times;serif"/>
          <w:sz w:val="22"/>
        </w:rPr>
        <w:t>means a written agreement between the Company and a holder of an Other Award evidencing the terms and conditions of an Other Award grant.  Each Other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(nn)</w:t>
      </w:r>
      <w:r>
        <w:rPr>
          <w:rFonts w:ascii="Times New Roman;Times;serif" w:hAnsi="Times New Roman;Times;serif"/>
          <w:sz w:val="24"/>
        </w:rPr>
        <w:t>“</w:t>
      </w:r>
      <w:r>
        <w:rPr>
          <w:rFonts w:ascii="Times New Roman;Times;serif" w:hAnsi="Times New Roman;Times;serif"/>
          <w:b/>
          <w:i/>
          <w:sz w:val="22"/>
        </w:rPr>
        <w:t>Own,</w:t>
      </w:r>
      <w:r>
        <w:rPr>
          <w:rFonts w:ascii="Times New Roman;Times;serif" w:hAnsi="Times New Roman;Times;serif"/>
          <w:sz w:val="24"/>
        </w:rPr>
        <w:t>” “</w:t>
      </w:r>
      <w:r>
        <w:rPr>
          <w:rFonts w:ascii="Times New Roman;Times;serif" w:hAnsi="Times New Roman;Times;serif"/>
          <w:b/>
          <w:i/>
          <w:sz w:val="22"/>
        </w:rPr>
        <w:t>Owned,</w:t>
      </w:r>
      <w:r>
        <w:rPr>
          <w:rFonts w:ascii="Times New Roman;Times;serif" w:hAnsi="Times New Roman;Times;serif"/>
          <w:sz w:val="24"/>
        </w:rPr>
        <w:t>” “</w:t>
      </w:r>
      <w:r>
        <w:rPr>
          <w:rFonts w:ascii="Times New Roman;Times;serif" w:hAnsi="Times New Roman;Times;serif"/>
          <w:b/>
          <w:i/>
          <w:sz w:val="22"/>
        </w:rPr>
        <w:t>Owner,</w:t>
      </w:r>
      <w:r>
        <w:rPr>
          <w:rFonts w:ascii="Times New Roman;Times;serif" w:hAnsi="Times New Roman;Times;serif"/>
          <w:sz w:val="24"/>
        </w:rPr>
        <w:t>” “</w:t>
      </w:r>
      <w:r>
        <w:rPr>
          <w:rFonts w:ascii="Times New Roman;Times;serif" w:hAnsi="Times New Roman;Times;serif"/>
          <w:b/>
          <w:i/>
          <w:sz w:val="22"/>
        </w:rPr>
        <w:t>Ownership</w:t>
      </w:r>
      <w:r>
        <w:rPr>
          <w:rFonts w:ascii="Times New Roman;Times;serif" w:hAnsi="Times New Roman;Times;serif"/>
          <w:sz w:val="24"/>
        </w:rPr>
        <w:t xml:space="preserve">” </w:t>
      </w:r>
      <w:r>
        <w:rPr>
          <w:rFonts w:ascii="Times New Roman;Times;serif" w:hAnsi="Times New Roman;Times;serif"/>
          <w:sz w:val="22"/>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(oo)</w:t>
      </w:r>
      <w:r>
        <w:rPr>
          <w:rFonts w:ascii="Times New Roman;Times;serif" w:hAnsi="Times New Roman;Times;serif"/>
          <w:sz w:val="24"/>
        </w:rPr>
        <w:t>“</w:t>
      </w:r>
      <w:r>
        <w:rPr>
          <w:rFonts w:ascii="Times New Roman;Times;serif" w:hAnsi="Times New Roman;Times;serif"/>
          <w:b/>
          <w:i/>
          <w:sz w:val="22"/>
        </w:rPr>
        <w:t>Participant</w:t>
      </w:r>
      <w:r>
        <w:rPr>
          <w:rFonts w:ascii="Times New Roman;Times;serif" w:hAnsi="Times New Roman;Times;serif"/>
          <w:sz w:val="24"/>
        </w:rPr>
        <w:t xml:space="preserve">” </w:t>
      </w:r>
      <w:r>
        <w:rPr>
          <w:rFonts w:ascii="Times New Roman;Times;serif" w:hAnsi="Times New Roman;Times;serif"/>
          <w:sz w:val="22"/>
        </w:rPr>
        <w:t>means an Employee to whom an Award is granted pursuant to the Plan or, if applicable, such other person who holds an outstanding Award.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(pp)</w:t>
      </w:r>
      <w:r>
        <w:rPr>
          <w:rFonts w:ascii="Times New Roman;Times;serif" w:hAnsi="Times New Roman;Times;serif"/>
          <w:sz w:val="24"/>
        </w:rPr>
        <w:t>“</w:t>
      </w:r>
      <w:r>
        <w:rPr>
          <w:rFonts w:ascii="Times New Roman;Times;serif" w:hAnsi="Times New Roman;Times;serif"/>
          <w:b/>
          <w:i/>
          <w:sz w:val="22"/>
        </w:rPr>
        <w:t>Performance Award</w:t>
      </w:r>
      <w:r>
        <w:rPr>
          <w:rFonts w:ascii="Times New Roman;Times;serif" w:hAnsi="Times New Roman;Times;serif"/>
          <w:sz w:val="24"/>
        </w:rPr>
        <w:t xml:space="preserve">” </w:t>
      </w:r>
      <w:r>
        <w:rPr>
          <w:rFonts w:ascii="Times New Roman;Times;serif" w:hAnsi="Times New Roman;Times;serif"/>
          <w:sz w:val="22"/>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(qq)</w:t>
      </w:r>
      <w:r>
        <w:rPr>
          <w:rFonts w:ascii="Times New Roman;Times;serif" w:hAnsi="Times New Roman;Times;serif"/>
          <w:sz w:val="24"/>
        </w:rPr>
        <w:t>“</w:t>
      </w:r>
      <w:r>
        <w:rPr>
          <w:rFonts w:ascii="Times New Roman;Times;serif" w:hAnsi="Times New Roman;Times;serif"/>
          <w:b/>
          <w:i/>
          <w:sz w:val="22"/>
        </w:rPr>
        <w:t>Performance Criteria</w:t>
      </w:r>
      <w:r>
        <w:rPr>
          <w:rFonts w:ascii="Times New Roman;Times;serif" w:hAnsi="Times New Roman;Times;serif"/>
          <w:sz w:val="24"/>
        </w:rPr>
        <w:t xml:space="preserve">” </w:t>
      </w:r>
      <w:r>
        <w:rPr>
          <w:rFonts w:ascii="Times New Roman;Times;serif" w:hAnsi="Times New Roman;Times;serif"/>
          <w:sz w:val="22"/>
        </w:rPr>
        <w:t xml:space="preserve">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w:t>
      </w:r>
      <w:bookmarkStart w:id="1329" w:name="_Ref315695832"/>
      <w:bookmarkEnd w:id="1329"/>
      <w:r>
        <w:rPr>
          <w:rFonts w:ascii="Times New Roman;Times;serif" w:hAnsi="Times New Roman;Times;serif"/>
          <w:sz w:val="22"/>
        </w:rPr>
        <w:t xml:space="preserve">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(rr)</w:t>
      </w:r>
      <w:r>
        <w:rPr>
          <w:rFonts w:ascii="Times New Roman;Times;serif" w:hAnsi="Times New Roman;Times;serif"/>
          <w:sz w:val="24"/>
        </w:rPr>
        <w:t>“</w:t>
      </w:r>
      <w:r>
        <w:rPr>
          <w:rFonts w:ascii="Times New Roman;Times;serif" w:hAnsi="Times New Roman;Times;serif"/>
          <w:b/>
          <w:i/>
          <w:sz w:val="22"/>
        </w:rPr>
        <w:t>Performance Goals</w:t>
      </w:r>
      <w:r>
        <w:rPr>
          <w:rFonts w:ascii="Times New Roman;Times;serif" w:hAnsi="Times New Roman;Times;serif"/>
          <w:sz w:val="24"/>
        </w:rPr>
        <w:t xml:space="preserve">” </w:t>
      </w:r>
      <w:r>
        <w:rPr>
          <w:rFonts w:ascii="Times New Roman;Times;serif" w:hAnsi="Times New Roman;Times;serif"/>
          <w:sz w:val="22"/>
        </w:rPr>
        <w:t>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r>
        <w:rPr>
          <w:rFonts w:ascii="Times New Roman;Times;serif" w:hAnsi="Times New Roman;Times;serif"/>
          <w:sz w:val="24"/>
        </w:rPr>
        <w:t xml:space="preserv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(ss)</w:t>
      </w:r>
      <w:r>
        <w:rPr>
          <w:rFonts w:ascii="Times New Roman;Times;serif" w:hAnsi="Times New Roman;Times;serif"/>
          <w:sz w:val="24"/>
        </w:rPr>
        <w:t>“</w:t>
      </w:r>
      <w:r>
        <w:rPr>
          <w:rFonts w:ascii="Times New Roman;Times;serif" w:hAnsi="Times New Roman;Times;serif"/>
          <w:b/>
          <w:i/>
          <w:sz w:val="22"/>
        </w:rPr>
        <w:t>Performance Period</w:t>
      </w:r>
      <w:r>
        <w:rPr>
          <w:rFonts w:ascii="Times New Roman;Times;serif" w:hAnsi="Times New Roman;Times;serif"/>
          <w:sz w:val="24"/>
        </w:rPr>
        <w:t xml:space="preserve">” </w:t>
      </w:r>
      <w:r>
        <w:rPr>
          <w:rFonts w:ascii="Times New Roman;Times;serif" w:hAnsi="Times New Roman;Times;serif"/>
          <w:sz w:val="22"/>
        </w:rPr>
        <w:t>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(tt)</w:t>
      </w:r>
      <w:r>
        <w:rPr>
          <w:rFonts w:ascii="Times New Roman;Times;serif" w:hAnsi="Times New Roman;Times;serif"/>
          <w:sz w:val="24"/>
        </w:rPr>
        <w:t>“</w:t>
      </w:r>
      <w:r>
        <w:rPr>
          <w:rFonts w:ascii="Times New Roman;Times;serif" w:hAnsi="Times New Roman;Times;serif"/>
          <w:b/>
          <w:i/>
          <w:sz w:val="22"/>
        </w:rPr>
        <w:t>Plan</w:t>
      </w:r>
      <w:r>
        <w:rPr>
          <w:rFonts w:ascii="Times New Roman;Times;serif" w:hAnsi="Times New Roman;Times;serif"/>
          <w:sz w:val="24"/>
        </w:rPr>
        <w:t xml:space="preserve">” </w:t>
      </w:r>
      <w:r>
        <w:rPr>
          <w:rFonts w:ascii="Times New Roman;Times;serif" w:hAnsi="Times New Roman;Times;serif"/>
          <w:sz w:val="22"/>
        </w:rPr>
        <w:t>means this Olema Pharmaceuticals, Inc. 2022 Inducement Plan, as amended from time to time.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(uu)</w:t>
      </w:r>
      <w:r>
        <w:rPr>
          <w:rFonts w:ascii="Times New Roman;Times;serif" w:hAnsi="Times New Roman;Times;serif"/>
          <w:sz w:val="24"/>
        </w:rPr>
        <w:t>“</w:t>
      </w:r>
      <w:r>
        <w:rPr>
          <w:rFonts w:ascii="Times New Roman;Times;serif" w:hAnsi="Times New Roman;Times;serif"/>
          <w:b/>
          <w:i/>
          <w:sz w:val="22"/>
        </w:rPr>
        <w:t>Plan Administrator</w:t>
      </w:r>
      <w:r>
        <w:rPr>
          <w:rFonts w:ascii="Times New Roman;Times;serif" w:hAnsi="Times New Roman;Times;serif"/>
          <w:sz w:val="24"/>
        </w:rPr>
        <w:t xml:space="preserve">” </w:t>
      </w:r>
      <w:r>
        <w:rPr>
          <w:rFonts w:ascii="Times New Roman;Times;serif" w:hAnsi="Times New Roman;Times;serif"/>
          <w:sz w:val="22"/>
        </w:rPr>
        <w:t>means the person, persons, and/or third-party administrator designated by the Company to administer the day to day operations of the Plan and the Company’s other equity incentive programs.</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(vv)</w:t>
      </w:r>
      <w:r>
        <w:rPr>
          <w:rFonts w:ascii="Times New Roman;Times;serif" w:hAnsi="Times New Roman;Times;serif"/>
          <w:sz w:val="24"/>
        </w:rPr>
        <w:t>“</w:t>
      </w:r>
      <w:r>
        <w:rPr>
          <w:rFonts w:ascii="Times New Roman;Times;serif" w:hAnsi="Times New Roman;Times;serif"/>
          <w:b/>
          <w:i/>
          <w:sz w:val="22"/>
        </w:rPr>
        <w:t>Post-Termination Exercise Period</w:t>
      </w:r>
      <w:r>
        <w:rPr>
          <w:rFonts w:ascii="Times New Roman;Times;serif" w:hAnsi="Times New Roman;Times;serif"/>
          <w:sz w:val="24"/>
        </w:rPr>
        <w:t xml:space="preserve">” </w:t>
      </w:r>
      <w:r>
        <w:rPr>
          <w:rFonts w:ascii="Times New Roman;Times;serif" w:hAnsi="Times New Roman;Times;serif"/>
          <w:sz w:val="22"/>
        </w:rPr>
        <w:t>means the period following termination of a Participant’s Continuous Service within which an Option or SAR is exercisable, as specified in Section 4(h).</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(ww)</w:t>
      </w:r>
      <w:r>
        <w:rPr>
          <w:rFonts w:ascii="Times New Roman;Times;serif" w:hAnsi="Times New Roman;Times;serif"/>
          <w:sz w:val="24"/>
        </w:rPr>
        <w:t>“</w:t>
      </w:r>
      <w:r>
        <w:rPr>
          <w:rFonts w:ascii="Times New Roman;Times;serif" w:hAnsi="Times New Roman;Times;serif"/>
          <w:b/>
          <w:i/>
          <w:sz w:val="22"/>
        </w:rPr>
        <w:t>Restricted Stock Award</w:t>
      </w:r>
      <w:r>
        <w:rPr>
          <w:rFonts w:ascii="Times New Roman;Times;serif" w:hAnsi="Times New Roman;Times;serif"/>
          <w:sz w:val="24"/>
        </w:rPr>
        <w:t xml:space="preserve">” </w:t>
      </w:r>
      <w:r>
        <w:rPr>
          <w:rFonts w:ascii="Times New Roman;Times;serif" w:hAnsi="Times New Roman;Times;serif"/>
          <w:sz w:val="22"/>
        </w:rPr>
        <w:t>or “</w:t>
      </w:r>
      <w:r>
        <w:rPr>
          <w:rFonts w:ascii="Times New Roman;Times;serif" w:hAnsi="Times New Roman;Times;serif"/>
          <w:b/>
          <w:i/>
          <w:sz w:val="22"/>
        </w:rPr>
        <w:t>RSA</w:t>
      </w:r>
      <w:r>
        <w:rPr>
          <w:rFonts w:ascii="Times New Roman;Times;serif" w:hAnsi="Times New Roman;Times;serif"/>
          <w:sz w:val="24"/>
        </w:rPr>
        <w:t xml:space="preserve">” </w:t>
      </w:r>
      <w:r>
        <w:rPr>
          <w:rFonts w:ascii="Times New Roman;Times;serif" w:hAnsi="Times New Roman;Times;serif"/>
          <w:sz w:val="22"/>
        </w:rPr>
        <w:t>means an Award of shares of Common Stock which is granted pursuant to the terms and conditions of Section 5(a).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(xx)</w:t>
      </w:r>
      <w:r>
        <w:rPr>
          <w:rFonts w:ascii="Times New Roman;Times;serif" w:hAnsi="Times New Roman;Times;serif"/>
          <w:sz w:val="24"/>
        </w:rPr>
        <w:t>“</w:t>
      </w:r>
      <w:r>
        <w:rPr>
          <w:rFonts w:ascii="Times New Roman;Times;serif" w:hAnsi="Times New Roman;Times;serif"/>
          <w:b/>
          <w:i/>
          <w:sz w:val="22"/>
        </w:rPr>
        <w:t>Restricted Stock Award Agreement</w:t>
      </w:r>
      <w:r>
        <w:rPr>
          <w:rFonts w:ascii="Times New Roman;Times;serif" w:hAnsi="Times New Roman;Times;serif"/>
          <w:sz w:val="24"/>
        </w:rPr>
        <w:t xml:space="preserve">” </w:t>
      </w:r>
      <w:r>
        <w:rPr>
          <w:rFonts w:ascii="Times New Roman;Times;serif" w:hAnsi="Times New Roman;Times;serif"/>
          <w:sz w:val="22"/>
        </w:rPr>
        <w:t>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(yy)</w:t>
      </w:r>
      <w:r>
        <w:rPr>
          <w:rFonts w:ascii="Times New Roman;Times;serif" w:hAnsi="Times New Roman;Times;serif"/>
          <w:sz w:val="24"/>
        </w:rPr>
        <w:t>“</w:t>
      </w:r>
      <w:r>
        <w:rPr>
          <w:rFonts w:ascii="Times New Roman;Times;serif" w:hAnsi="Times New Roman;Times;serif"/>
          <w:b/>
          <w:i/>
          <w:sz w:val="22"/>
        </w:rPr>
        <w:t>RSU Award</w:t>
      </w:r>
      <w:r>
        <w:rPr>
          <w:rFonts w:ascii="Times New Roman;Times;serif" w:hAnsi="Times New Roman;Times;serif"/>
          <w:sz w:val="24"/>
        </w:rPr>
        <w:t xml:space="preserve">” </w:t>
      </w:r>
      <w:r>
        <w:rPr>
          <w:rFonts w:ascii="Times New Roman;Times;serif" w:hAnsi="Times New Roman;Times;serif"/>
          <w:sz w:val="22"/>
        </w:rPr>
        <w:t>or “</w:t>
      </w:r>
      <w:r>
        <w:rPr>
          <w:rFonts w:ascii="Times New Roman;Times;serif" w:hAnsi="Times New Roman;Times;serif"/>
          <w:b/>
          <w:i/>
          <w:sz w:val="22"/>
        </w:rPr>
        <w:t>RSU</w:t>
      </w:r>
      <w:r>
        <w:rPr>
          <w:rFonts w:ascii="Times New Roman;Times;serif" w:hAnsi="Times New Roman;Times;serif"/>
          <w:sz w:val="24"/>
        </w:rPr>
        <w:t xml:space="preserve">” </w:t>
      </w:r>
      <w:r>
        <w:rPr>
          <w:rFonts w:ascii="Times New Roman;Times;serif" w:hAnsi="Times New Roman;Times;serif"/>
          <w:sz w:val="22"/>
        </w:rPr>
        <w:t>means an Award of restricted stock units representing the right to receive an issuance of shares of Common Stock which is granted pursuant to the terms and conditions of Section 5(a).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(zz)</w:t>
      </w:r>
      <w:bookmarkStart w:id="1330" w:name="_DV_M55"/>
      <w:bookmarkEnd w:id="1330"/>
      <w:r>
        <w:rPr>
          <w:rFonts w:ascii="Times New Roman;Times;serif" w:hAnsi="Times New Roman;Times;serif"/>
          <w:sz w:val="24"/>
        </w:rPr>
        <w:t>“</w:t>
      </w:r>
      <w:r>
        <w:rPr>
          <w:rFonts w:ascii="Times New Roman;Times;serif" w:hAnsi="Times New Roman;Times;serif"/>
          <w:b/>
          <w:i/>
          <w:sz w:val="22"/>
        </w:rPr>
        <w:t>RSU Award Agreement</w:t>
      </w:r>
      <w:r>
        <w:rPr>
          <w:rFonts w:ascii="Times New Roman;Times;serif" w:hAnsi="Times New Roman;Times;serif"/>
          <w:sz w:val="24"/>
        </w:rPr>
        <w:t xml:space="preserve">” </w:t>
      </w:r>
      <w:r>
        <w:rPr>
          <w:rFonts w:ascii="Times New Roman;Times;serif" w:hAnsi="Times New Roman;Times;serif"/>
          <w:sz w:val="22"/>
        </w:rPr>
        <w:t>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(aaa)</w:t>
      </w:r>
      <w:r>
        <w:rPr>
          <w:rFonts w:ascii="Times New Roman;Times;serif" w:hAnsi="Times New Roman;Times;serif"/>
          <w:sz w:val="24"/>
        </w:rPr>
        <w:t>“</w:t>
      </w:r>
      <w:r>
        <w:rPr>
          <w:rFonts w:ascii="Times New Roman;Times;serif" w:hAnsi="Times New Roman;Times;serif"/>
          <w:b/>
          <w:i/>
          <w:sz w:val="22"/>
        </w:rPr>
        <w:t>Rule 16b-3</w:t>
      </w:r>
      <w:r>
        <w:rPr>
          <w:rFonts w:ascii="Times New Roman;Times;serif" w:hAnsi="Times New Roman;Times;serif"/>
          <w:sz w:val="24"/>
        </w:rPr>
        <w:t xml:space="preserve">” </w:t>
      </w:r>
      <w:r>
        <w:rPr>
          <w:rFonts w:ascii="Times New Roman;Times;serif" w:hAnsi="Times New Roman;Times;serif"/>
          <w:sz w:val="22"/>
        </w:rPr>
        <w:t>means Rule 16b-3 promulgated under the Exchange Act or any successor to Rule 16b-3, as in effect from time to time.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(bbb)</w:t>
      </w:r>
      <w:r>
        <w:rPr>
          <w:rFonts w:ascii="Times New Roman;Times;serif" w:hAnsi="Times New Roman;Times;serif"/>
          <w:sz w:val="24"/>
        </w:rPr>
        <w:t>“</w:t>
      </w:r>
      <w:r>
        <w:rPr>
          <w:rFonts w:ascii="Times New Roman;Times;serif" w:hAnsi="Times New Roman;Times;serif"/>
          <w:b/>
          <w:i/>
          <w:sz w:val="22"/>
        </w:rPr>
        <w:t>Rule 405</w:t>
      </w:r>
      <w:r>
        <w:rPr>
          <w:rFonts w:ascii="Times New Roman;Times;serif" w:hAnsi="Times New Roman;Times;serif"/>
          <w:sz w:val="24"/>
        </w:rPr>
        <w:t xml:space="preserve">” </w:t>
      </w:r>
      <w:r>
        <w:rPr>
          <w:rFonts w:ascii="Times New Roman;Times;serif" w:hAnsi="Times New Roman;Times;serif"/>
          <w:sz w:val="22"/>
        </w:rPr>
        <w:t>means Rule 405 promulgated under the Securities Act.  </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(ccc)</w:t>
      </w:r>
      <w:r>
        <w:rPr>
          <w:rFonts w:ascii="Times New Roman;Times;serif" w:hAnsi="Times New Roman;Times;serif"/>
          <w:sz w:val="24"/>
        </w:rPr>
        <w:t>“</w:t>
      </w:r>
      <w:r>
        <w:rPr>
          <w:rFonts w:ascii="Times New Roman;Times;serif" w:hAnsi="Times New Roman;Times;serif"/>
          <w:b/>
          <w:i/>
          <w:sz w:val="22"/>
        </w:rPr>
        <w:t>Section 409A</w:t>
      </w:r>
      <w:r>
        <w:rPr>
          <w:rFonts w:ascii="Times New Roman;Times;serif" w:hAnsi="Times New Roman;Times;serif"/>
          <w:sz w:val="24"/>
        </w:rPr>
        <w:t xml:space="preserve">” </w:t>
      </w:r>
      <w:r>
        <w:rPr>
          <w:rFonts w:ascii="Times New Roman;Times;serif" w:hAnsi="Times New Roman;Times;serif"/>
          <w:sz w:val="22"/>
        </w:rPr>
        <w:t>means Section 409A of the Code and the regulations and other guidance thereunder.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(ddd)</w:t>
      </w:r>
      <w:r>
        <w:rPr>
          <w:rFonts w:ascii="Times New Roman;Times;serif" w:hAnsi="Times New Roman;Times;serif"/>
          <w:sz w:val="24"/>
        </w:rPr>
        <w:t>“</w:t>
      </w:r>
      <w:r>
        <w:rPr>
          <w:rFonts w:ascii="Times New Roman;Times;serif" w:hAnsi="Times New Roman;Times;serif"/>
          <w:b/>
          <w:i/>
          <w:sz w:val="22"/>
        </w:rPr>
        <w:t>Section 409A Change in Control</w:t>
      </w:r>
      <w:r>
        <w:rPr>
          <w:rFonts w:ascii="Times New Roman;Times;serif" w:hAnsi="Times New Roman;Times;serif"/>
          <w:sz w:val="24"/>
        </w:rPr>
        <w:t xml:space="preserve">” </w:t>
      </w:r>
      <w:r>
        <w:rPr>
          <w:rFonts w:ascii="Times New Roman;Times;serif" w:hAnsi="Times New Roman;Times;serif"/>
          <w:sz w:val="22"/>
        </w:rPr>
        <w:t>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(eee)</w:t>
      </w:r>
      <w:r>
        <w:rPr>
          <w:rFonts w:ascii="Times New Roman;Times;serif" w:hAnsi="Times New Roman;Times;serif"/>
          <w:sz w:val="24"/>
        </w:rPr>
        <w:t>“</w:t>
      </w:r>
      <w:r>
        <w:rPr>
          <w:rFonts w:ascii="Times New Roman;Times;serif" w:hAnsi="Times New Roman;Times;serif"/>
          <w:b/>
          <w:i/>
          <w:sz w:val="22"/>
        </w:rPr>
        <w:t>Securities Act</w:t>
      </w:r>
      <w:r>
        <w:rPr>
          <w:rFonts w:ascii="Times New Roman;Times;serif" w:hAnsi="Times New Roman;Times;serif"/>
          <w:sz w:val="24"/>
        </w:rPr>
        <w:t xml:space="preserve">” </w:t>
      </w:r>
      <w:r>
        <w:rPr>
          <w:rFonts w:ascii="Times New Roman;Times;serif" w:hAnsi="Times New Roman;Times;serif"/>
          <w:sz w:val="22"/>
        </w:rPr>
        <w:t>means the U.S. Securities Act of 1933, as amended.</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(fff)</w:t>
      </w:r>
      <w:r>
        <w:rPr>
          <w:rFonts w:ascii="Times New Roman;Times;serif" w:hAnsi="Times New Roman;Times;serif"/>
          <w:sz w:val="24"/>
        </w:rPr>
        <w:t>“</w:t>
      </w:r>
      <w:r>
        <w:rPr>
          <w:rFonts w:ascii="Times New Roman;Times;serif" w:hAnsi="Times New Roman;Times;serif"/>
          <w:b/>
          <w:i/>
          <w:sz w:val="22"/>
        </w:rPr>
        <w:t>Share Reserve</w:t>
      </w:r>
      <w:r>
        <w:rPr>
          <w:rFonts w:ascii="Times New Roman;Times;serif" w:hAnsi="Times New Roman;Times;serif"/>
          <w:sz w:val="24"/>
        </w:rPr>
        <w:t xml:space="preserve">” </w:t>
      </w:r>
      <w:r>
        <w:rPr>
          <w:rFonts w:ascii="Times New Roman;Times;serif" w:hAnsi="Times New Roman;Times;serif"/>
          <w:sz w:val="22"/>
        </w:rPr>
        <w:t>means the number of shares available for issuance under the Plan as set forth in Section 2(a).</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(ggg)</w:t>
      </w:r>
      <w:r>
        <w:rPr>
          <w:rFonts w:ascii="Times New Roman;Times;serif" w:hAnsi="Times New Roman;Times;serif"/>
          <w:sz w:val="24"/>
        </w:rPr>
        <w:t>“</w:t>
      </w:r>
      <w:r>
        <w:rPr>
          <w:rFonts w:ascii="Times New Roman;Times;serif" w:hAnsi="Times New Roman;Times;serif"/>
          <w:b/>
          <w:i/>
          <w:sz w:val="22"/>
        </w:rPr>
        <w:t>Stock Appreciation Right</w:t>
      </w:r>
      <w:r>
        <w:rPr>
          <w:rFonts w:ascii="Times New Roman;Times;serif" w:hAnsi="Times New Roman;Times;serif"/>
          <w:sz w:val="24"/>
        </w:rPr>
        <w:t xml:space="preserve">” </w:t>
      </w:r>
      <w:r>
        <w:rPr>
          <w:rFonts w:ascii="Times New Roman;Times;serif" w:hAnsi="Times New Roman;Times;serif"/>
          <w:sz w:val="22"/>
        </w:rPr>
        <w:t>or “</w:t>
      </w:r>
      <w:r>
        <w:rPr>
          <w:rFonts w:ascii="Times New Roman;Times;serif" w:hAnsi="Times New Roman;Times;serif"/>
          <w:b/>
          <w:i/>
          <w:sz w:val="22"/>
        </w:rPr>
        <w:t>SAR</w:t>
      </w:r>
      <w:r>
        <w:rPr>
          <w:rFonts w:ascii="Times New Roman;Times;serif" w:hAnsi="Times New Roman;Times;serif"/>
          <w:sz w:val="24"/>
        </w:rPr>
        <w:t xml:space="preserve">” </w:t>
      </w:r>
      <w:r>
        <w:rPr>
          <w:rFonts w:ascii="Times New Roman;Times;serif" w:hAnsi="Times New Roman;Times;serif"/>
          <w:sz w:val="22"/>
        </w:rPr>
        <w:t>means a right to receive the appreciation on Common Stock that is granted pursuant to the terms and conditions of Section 4.</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(hhh)</w:t>
      </w:r>
      <w:r>
        <w:rPr>
          <w:rFonts w:ascii="Times New Roman;Times;serif" w:hAnsi="Times New Roman;Times;serif"/>
          <w:sz w:val="24"/>
        </w:rPr>
        <w:t>“</w:t>
      </w:r>
      <w:r>
        <w:rPr>
          <w:rFonts w:ascii="Times New Roman;Times;serif" w:hAnsi="Times New Roman;Times;serif"/>
          <w:b/>
          <w:i/>
          <w:sz w:val="22"/>
        </w:rPr>
        <w:t>SAR Agreement</w:t>
      </w:r>
      <w:r>
        <w:rPr>
          <w:rFonts w:ascii="Times New Roman;Times;serif" w:hAnsi="Times New Roman;Times;serif"/>
          <w:sz w:val="24"/>
        </w:rPr>
        <w:t xml:space="preserve">” </w:t>
      </w:r>
      <w:r>
        <w:rPr>
          <w:rFonts w:ascii="Times New Roman;Times;serif" w:hAnsi="Times New Roman;Times;serif"/>
          <w:sz w:val="22"/>
        </w:rPr>
        <w:t>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(iii)</w:t>
      </w:r>
      <w:r>
        <w:rPr>
          <w:rFonts w:ascii="Times New Roman;Times;serif" w:hAnsi="Times New Roman;Times;serif"/>
          <w:sz w:val="24"/>
        </w:rPr>
        <w:t>“</w:t>
      </w:r>
      <w:r>
        <w:rPr>
          <w:rFonts w:ascii="Times New Roman;Times;serif" w:hAnsi="Times New Roman;Times;serif"/>
          <w:b/>
          <w:i/>
          <w:sz w:val="22"/>
        </w:rPr>
        <w:t>Subsidiary</w:t>
      </w:r>
      <w:r>
        <w:rPr>
          <w:rFonts w:ascii="Times New Roman;Times;serif" w:hAnsi="Times New Roman;Times;serif"/>
          <w:sz w:val="24"/>
        </w:rPr>
        <w:t xml:space="preserve">” </w:t>
      </w:r>
      <w:r>
        <w:rPr>
          <w:rFonts w:ascii="Times New Roman;Times;serif" w:hAnsi="Times New Roman;Times;serif"/>
          <w:sz w:val="22"/>
        </w:rPr>
        <w:t>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(jjj)</w:t>
      </w:r>
      <w:r>
        <w:rPr>
          <w:rFonts w:ascii="Times New Roman;Times;serif" w:hAnsi="Times New Roman;Times;serif"/>
          <w:sz w:val="24"/>
        </w:rPr>
        <w:t>“</w:t>
      </w:r>
      <w:r>
        <w:rPr>
          <w:rFonts w:ascii="Times New Roman;Times;serif" w:hAnsi="Times New Roman;Times;serif"/>
          <w:b/>
          <w:i/>
          <w:sz w:val="22"/>
        </w:rPr>
        <w:t>Trading Policy</w:t>
      </w:r>
      <w:r>
        <w:rPr>
          <w:rFonts w:ascii="Times New Roman;Times;serif" w:hAnsi="Times New Roman;Times;serif"/>
          <w:sz w:val="24"/>
        </w:rPr>
        <w:t xml:space="preserve">” </w:t>
      </w:r>
      <w:r>
        <w:rPr>
          <w:rFonts w:ascii="Times New Roman;Times;serif" w:hAnsi="Times New Roman;Times;serif"/>
          <w:sz w:val="22"/>
        </w:rPr>
        <w:t>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(kkk)</w:t>
      </w:r>
      <w:r>
        <w:rPr>
          <w:rFonts w:ascii="Times New Roman;Times;serif" w:hAnsi="Times New Roman;Times;serif"/>
          <w:sz w:val="24"/>
        </w:rPr>
        <w:t>“</w:t>
      </w:r>
      <w:r>
        <w:rPr>
          <w:rFonts w:ascii="Times New Roman;Times;serif" w:hAnsi="Times New Roman;Times;serif"/>
          <w:b/>
          <w:i/>
          <w:sz w:val="22"/>
        </w:rPr>
        <w:t>Unvested Non-Exempt Award</w:t>
      </w:r>
      <w:r>
        <w:rPr>
          <w:rFonts w:ascii="Times New Roman;Times;serif" w:hAnsi="Times New Roman;Times;serif"/>
          <w:sz w:val="24"/>
        </w:rPr>
        <w:t xml:space="preserve">” </w:t>
      </w:r>
      <w:r>
        <w:rPr>
          <w:rFonts w:ascii="Times New Roman;Times;serif" w:hAnsi="Times New Roman;Times;serif"/>
          <w:sz w:val="22"/>
        </w:rPr>
        <w:t>means the portion of any Non-Exempt Award that had not vested in accordance with its terms upon or prior to the date of any Corporate Transaction.</w:t>
      </w:r>
    </w:p>
    <w:p>
      <w:pPr>
        <w:pStyle w:val="TextBody"/>
        <w:spacing w:before="0" w:after="240"/>
        <w:ind w:left="0" w:right="0" w:hanging="0"/>
        <w:jc w:val="both"/>
        <w:rPr>
          <w:rFonts w:ascii="Times New Roman;Times;serif" w:hAnsi="Times New Roman;Times;serif"/>
          <w:sz w:val="24"/>
        </w:rPr>
      </w:pPr>
      <w:r>
        <w:rPr>
          <w:rFonts w:ascii="Times New Roman Bold" w:hAnsi="Times New Roman Bold"/>
          <w:b/>
          <w:sz w:val="22"/>
        </w:rPr>
        <w:t>(lll)</w:t>
      </w:r>
      <w:r>
        <w:rPr>
          <w:rFonts w:ascii="Times New Roman;Times;serif" w:hAnsi="Times New Roman;Times;serif"/>
          <w:sz w:val="24"/>
        </w:rPr>
        <w:t>“</w:t>
      </w:r>
      <w:r>
        <w:rPr>
          <w:rFonts w:ascii="Times New Roman;Times;serif" w:hAnsi="Times New Roman;Times;serif"/>
          <w:b/>
          <w:i/>
          <w:sz w:val="22"/>
        </w:rPr>
        <w:t>Vested Non-Exempt Award</w:t>
      </w:r>
      <w:r>
        <w:rPr>
          <w:rFonts w:ascii="Times New Roman;Times;serif" w:hAnsi="Times New Roman;Times;serif"/>
          <w:sz w:val="24"/>
        </w:rPr>
        <w:t xml:space="preserve">” </w:t>
      </w:r>
      <w:r>
        <w:rPr>
          <w:rFonts w:ascii="Times New Roman;Times;serif" w:hAnsi="Times New Roman;Times;serif"/>
          <w:sz w:val="22"/>
        </w:rPr>
        <w:t>means the portion of any Non-Exempt Award that had vested in accordance with its terms upon or prior to the date of a Corporate Transaction.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rPr/>
      </w:pPr>
      <w:r>
        <w:rPr/>
      </w:r>
      <w:r>
        <w:br w:type="page"/>
      </w:r>
    </w:p>
    <w:p>
      <w:pPr>
        <w:pStyle w:val="TextBody"/>
        <w:spacing w:before="0" w:after="0"/>
        <w:ind w:left="0" w:right="0" w:hanging="0"/>
        <w:jc w:val="right"/>
        <w:rPr/>
      </w:pPr>
      <w:bookmarkStart w:id="1331" w:name="olma-20211231xex10d18.htm"/>
      <w:bookmarkStart w:id="1332" w:name="ksolma20211231xex10d18"/>
      <w:bookmarkEnd w:id="1331"/>
      <w:bookmarkEnd w:id="1332"/>
      <w:r>
        <w:rPr/>
        <w:t>​</w:t>
      </w:r>
    </w:p>
    <w:p>
      <w:pPr>
        <w:pStyle w:val="TextBody"/>
        <w:spacing w:before="0" w:after="120"/>
        <w:ind w:left="0" w:right="0" w:hanging="0"/>
        <w:jc w:val="right"/>
        <w:rPr>
          <w:rFonts w:ascii="Times New Roman Bold" w:hAnsi="Times New Roman Bold"/>
          <w:b/>
          <w:caps w:val="false"/>
          <w:smallCaps w:val="false"/>
          <w:sz w:val="20"/>
        </w:rPr>
      </w:pPr>
      <w:r>
        <w:rPr>
          <w:rFonts w:ascii="Times New Roman Bold" w:hAnsi="Times New Roman Bold"/>
          <w:b/>
          <w:caps w:val="false"/>
          <w:smallCaps w:val="false"/>
          <w:sz w:val="20"/>
        </w:rPr>
        <w:t>Exhibit 10.18</w:t>
      </w:r>
    </w:p>
    <w:p>
      <w:pPr>
        <w:pStyle w:val="TextBody"/>
        <w:spacing w:before="0" w:after="480"/>
        <w:ind w:left="0" w:right="0" w:hanging="0"/>
        <w:jc w:val="center"/>
        <w:rPr>
          <w:rFonts w:ascii="Times New Roman Bold" w:hAnsi="Times New Roman Bold"/>
          <w:b/>
          <w:smallCaps/>
          <w:sz w:val="24"/>
        </w:rPr>
      </w:pPr>
      <w:r>
        <w:rPr>
          <w:rFonts w:ascii="Times New Roman Bold" w:hAnsi="Times New Roman Bold"/>
          <w:b/>
          <w:smallCaps/>
          <w:sz w:val="28"/>
        </w:rPr>
        <w:t>Olema Pharmaceuticals, Inc.</w:t>
        <w:br/>
        <w:t>Stock Option Grant Notice</w:t>
        <w:br/>
      </w:r>
      <w:r>
        <w:rPr>
          <w:rFonts w:ascii="Times New Roman Bold" w:hAnsi="Times New Roman Bold"/>
          <w:b/>
          <w:smallCaps/>
          <w:sz w:val="24"/>
        </w:rPr>
        <w:t>(2022 Inducement Plan)</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Olema Pharmaceuticals, Inc. (the “</w:t>
      </w:r>
      <w:r>
        <w:rPr>
          <w:rFonts w:ascii="Times New Roman;Times;serif" w:hAnsi="Times New Roman;Times;serif"/>
          <w:b/>
          <w:i/>
          <w:sz w:val="20"/>
        </w:rPr>
        <w:t>Company</w:t>
      </w:r>
      <w:r>
        <w:rPr>
          <w:rFonts w:ascii="Times New Roman;Times;serif" w:hAnsi="Times New Roman;Times;serif"/>
          <w:sz w:val="20"/>
        </w:rPr>
        <w:t>”), pursuant to its 2022 Inducement Plan (the “</w:t>
      </w:r>
      <w:r>
        <w:rPr>
          <w:rFonts w:ascii="Times New Roman;Times;serif" w:hAnsi="Times New Roman;Times;serif"/>
          <w:b/>
          <w:i/>
          <w:sz w:val="20"/>
        </w:rPr>
        <w:t>Plan</w:t>
      </w:r>
      <w:r>
        <w:rPr>
          <w:rFonts w:ascii="Times New Roman;Times;serif" w:hAnsi="Times New Roman;Times;serif"/>
          <w:sz w:val="20"/>
        </w:rPr>
        <w:t>”), has granted to you (“</w:t>
      </w:r>
      <w:r>
        <w:rPr>
          <w:rFonts w:ascii="Times New Roman;Times;serif" w:hAnsi="Times New Roman;Times;serif"/>
          <w:b/>
          <w:i/>
          <w:sz w:val="20"/>
        </w:rPr>
        <w:t>Optionholder”)</w:t>
      </w:r>
      <w:r>
        <w:rPr>
          <w:rFonts w:ascii="Times New Roman;Times;serif" w:hAnsi="Times New Roman;Times;serif"/>
          <w:sz w:val="20"/>
        </w:rPr>
        <w:t xml:space="preserve"> an option to purchase the number of shares of the Common Stock set forth below (the “</w:t>
      </w:r>
      <w:r>
        <w:rPr>
          <w:rFonts w:ascii="Times New Roman;Times;serif" w:hAnsi="Times New Roman;Times;serif"/>
          <w:b/>
          <w:i/>
          <w:sz w:val="20"/>
        </w:rPr>
        <w:t>Option</w:t>
      </w:r>
      <w:r>
        <w:rPr>
          <w:rFonts w:ascii="Times New Roman;Times;serif" w:hAnsi="Times New Roman;Times;serif"/>
          <w:sz w:val="20"/>
        </w:rPr>
        <w:t>”).  Your Option is subject to all of the terms and conditions as set forth herein and in the Plan and the Stock Option Agreement, all of which are attached hereto and incorporated herein in their entirety.  Capitalized terms not explicitly defined herein but defined in the Plan or the Stock Option Agreement shall have the meanings set forth in the Plan or the Stock Option Agreement, as applicable.  </w:t>
      </w:r>
    </w:p>
    <w:tbl>
      <w:tblPr>
        <w:tblW w:w="4760" w:type="dxa"/>
        <w:jc w:val="center"/>
        <w:tblInd w:w="0" w:type="dxa"/>
        <w:tblCellMar>
          <w:top w:w="0" w:type="dxa"/>
          <w:left w:w="0" w:type="dxa"/>
          <w:bottom w:w="0" w:type="dxa"/>
          <w:right w:w="0" w:type="dxa"/>
        </w:tblCellMar>
      </w:tblPr>
      <w:tblGrid>
        <w:gridCol w:w="4606"/>
        <w:gridCol w:w="154"/>
      </w:tblGrid>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Optionholder:</w:t>
            </w:r>
          </w:p>
        </w:tc>
        <w:tc>
          <w:tcPr>
            <w:tcW w:w="154" w:type="dxa"/>
            <w:tcBorders/>
            <w:shd w:fill="auto" w:val="clear"/>
            <w:vAlign w:val="center"/>
          </w:tcPr>
          <w:p>
            <w:pPr>
              <w:pStyle w:val="TableContents"/>
              <w:pBdr>
                <w:bottom w:val="single" w:sz="2" w:space="1" w:color="000000"/>
              </w:pBdr>
              <w:spacing w:before="0" w:after="0"/>
              <w:ind w:left="0" w:right="0" w:hanging="0"/>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of Grant:</w:t>
            </w:r>
          </w:p>
        </w:tc>
        <w:tc>
          <w:tcPr>
            <w:tcW w:w="154" w:type="dxa"/>
            <w:tcBorders/>
            <w:shd w:fill="auto" w:val="clear"/>
            <w:vAlign w:val="center"/>
          </w:tcPr>
          <w:p>
            <w:pPr>
              <w:pStyle w:val="TableContents"/>
              <w:pBdr>
                <w:bottom w:val="single" w:sz="2" w:space="1" w:color="000000"/>
              </w:pBdr>
              <w:spacing w:before="0" w:after="0"/>
              <w:ind w:left="0" w:right="0" w:hanging="0"/>
              <w:jc w:val="both"/>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Vesting Commencement Date:</w:t>
            </w:r>
          </w:p>
        </w:tc>
        <w:tc>
          <w:tcPr>
            <w:tcW w:w="154" w:type="dxa"/>
            <w:tcBorders/>
            <w:shd w:fill="auto" w:val="clear"/>
            <w:vAlign w:val="center"/>
          </w:tcPr>
          <w:p>
            <w:pPr>
              <w:pStyle w:val="TableContents"/>
              <w:pBdr>
                <w:bottom w:val="single" w:sz="2" w:space="1" w:color="000000"/>
              </w:pBdr>
              <w:spacing w:before="0" w:after="0"/>
              <w:ind w:left="0" w:right="0" w:hanging="0"/>
              <w:jc w:val="both"/>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Number of Shares of Common Stock Subject to Option:</w:t>
            </w:r>
          </w:p>
        </w:tc>
        <w:tc>
          <w:tcPr>
            <w:tcW w:w="154" w:type="dxa"/>
            <w:tcBorders/>
            <w:shd w:fill="auto" w:val="clear"/>
            <w:vAlign w:val="center"/>
          </w:tcPr>
          <w:p>
            <w:pPr>
              <w:pStyle w:val="TableContents"/>
              <w:pBdr>
                <w:bottom w:val="single" w:sz="2" w:space="1" w:color="000000"/>
              </w:pBdr>
              <w:spacing w:before="0" w:after="0"/>
              <w:ind w:left="0" w:right="0" w:hanging="0"/>
              <w:jc w:val="both"/>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Price (Per Share):</w:t>
            </w:r>
          </w:p>
        </w:tc>
        <w:tc>
          <w:tcPr>
            <w:tcW w:w="154" w:type="dxa"/>
            <w:tcBorders/>
            <w:shd w:fill="auto" w:val="clear"/>
            <w:vAlign w:val="center"/>
          </w:tcPr>
          <w:p>
            <w:pPr>
              <w:pStyle w:val="TableContents"/>
              <w:pBdr>
                <w:bottom w:val="single" w:sz="2" w:space="1" w:color="000000"/>
              </w:pBdr>
              <w:spacing w:before="0" w:after="0"/>
              <w:ind w:left="0" w:right="0" w:hanging="0"/>
              <w:jc w:val="both"/>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Exercise Price:</w:t>
            </w:r>
          </w:p>
        </w:tc>
        <w:tc>
          <w:tcPr>
            <w:tcW w:w="154" w:type="dxa"/>
            <w:tcBorders/>
            <w:shd w:fill="auto" w:val="clear"/>
            <w:vAlign w:val="center"/>
          </w:tcPr>
          <w:p>
            <w:pPr>
              <w:pStyle w:val="TableContents"/>
              <w:pBdr>
                <w:bottom w:val="single" w:sz="2" w:space="1" w:color="000000"/>
              </w:pBdr>
              <w:spacing w:before="0" w:after="0"/>
              <w:ind w:left="0" w:right="0" w:hanging="0"/>
              <w:jc w:val="both"/>
              <w:rPr/>
            </w:pPr>
            <w:r>
              <w:rPr/>
              <w:t>​</w:t>
            </w:r>
          </w:p>
        </w:tc>
      </w:tr>
      <w:tr>
        <w:trPr/>
        <w:tc>
          <w:tcPr>
            <w:tcW w:w="4606" w:type="dxa"/>
            <w:tcBorders/>
            <w:shd w:fill="auto" w:val="clear"/>
            <w:vAlign w:val="center"/>
          </w:tcPr>
          <w:p>
            <w:pPr>
              <w:pStyle w:val="TableContents"/>
              <w:spacing w:before="0" w:after="240"/>
              <w:ind w:left="0" w:right="0" w:hanging="0"/>
              <w:rPr>
                <w:rFonts w:ascii="Times New Roman;Times;serif" w:hAnsi="Times New Roman;Times;serif"/>
                <w:sz w:val="20"/>
              </w:rPr>
            </w:pPr>
            <w:r>
              <w:rPr>
                <w:rFonts w:ascii="Times New Roman;Times;serif" w:hAnsi="Times New Roman;Times;serif"/>
                <w:sz w:val="20"/>
              </w:rPr>
              <w:t>Expiration Date:</w:t>
            </w:r>
          </w:p>
        </w:tc>
        <w:tc>
          <w:tcPr>
            <w:tcW w:w="154" w:type="dxa"/>
            <w:tcBorders/>
            <w:shd w:fill="auto" w:val="clear"/>
            <w:vAlign w:val="center"/>
          </w:tcPr>
          <w:p>
            <w:pPr>
              <w:pStyle w:val="TableContents"/>
              <w:pBdr>
                <w:bottom w:val="single" w:sz="2" w:space="1" w:color="000000"/>
              </w:pBdr>
              <w:spacing w:before="0" w:after="240"/>
              <w:ind w:left="0" w:right="0" w:hanging="0"/>
              <w:jc w:val="both"/>
              <w:rPr/>
            </w:pPr>
            <w:r>
              <w:rPr/>
              <w:t>​</w:t>
            </w:r>
          </w:p>
        </w:tc>
      </w:tr>
    </w:tbl>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b/>
          <w:i w:val="false"/>
          <w:caps w:val="false"/>
          <w:smallCaps w:val="false"/>
          <w:sz w:val="20"/>
        </w:rPr>
        <w:t>Type of Grant:</w:t>
      </w:r>
      <w:r>
        <w:rPr>
          <w:rFonts w:ascii="Times New Roman;Times;serif" w:hAnsi="Times New Roman;Times;serif"/>
          <w:sz w:val="20"/>
        </w:rPr>
        <w:t>Nonstatutory Stock Option</w:t>
      </w:r>
    </w:p>
    <w:p>
      <w:pPr>
        <w:pStyle w:val="TextBody"/>
        <w:pBdr/>
        <w:spacing w:before="0" w:after="0"/>
        <w:ind w:left="0" w:right="0" w:hanging="1800"/>
        <w:jc w:val="both"/>
        <w:rPr>
          <w:rFonts w:ascii="Times New Roman;Times;serif" w:hAnsi="Times New Roman;Times;serif"/>
          <w:b/>
          <w:sz w:val="20"/>
        </w:rPr>
      </w:pPr>
      <w:r>
        <w:rPr>
          <w:rFonts w:ascii="Times New Roman;Times;serif" w:hAnsi="Times New Roman;Times;serif"/>
          <w:b/>
          <w:sz w:val="20"/>
        </w:rPr>
        <w:t xml:space="preserve">Exercise and </w:t>
      </w:r>
    </w:p>
    <w:tbl>
      <w:tblPr>
        <w:tblW w:w="10205" w:type="dxa"/>
        <w:jc w:val="left"/>
        <w:tblInd w:w="0" w:type="dxa"/>
        <w:tblCellMar>
          <w:top w:w="0" w:type="dxa"/>
          <w:left w:w="0" w:type="dxa"/>
          <w:bottom w:w="0" w:type="dxa"/>
          <w:right w:w="0" w:type="dxa"/>
        </w:tblCellMar>
      </w:tblPr>
      <w:tblGrid>
        <w:gridCol w:w="1459"/>
        <w:gridCol w:w="8746"/>
      </w:tblGrid>
      <w:tr>
        <w:trPr/>
        <w:tc>
          <w:tcPr>
            <w:tcW w:w="1459" w:type="dxa"/>
            <w:tcBorders/>
            <w:shd w:fill="auto" w:val="clear"/>
            <w:vAlign w:val="center"/>
          </w:tcPr>
          <w:p>
            <w:pPr>
              <w:pStyle w:val="TableContents"/>
              <w:spacing w:before="0" w:after="200"/>
              <w:jc w:val="both"/>
              <w:rPr>
                <w:rFonts w:ascii="Times New Roman;Times;serif" w:hAnsi="Times New Roman;Times;serif"/>
                <w:sz w:val="24"/>
              </w:rPr>
            </w:pPr>
            <w:r>
              <w:rPr>
                <w:rFonts w:ascii="Times New Roman;Times;serif" w:hAnsi="Times New Roman;Times;serif"/>
                <w:b/>
                <w:sz w:val="20"/>
              </w:rPr>
              <w:t>Vesting Schedule</w:t>
            </w:r>
            <w:r>
              <w:rPr>
                <w:rFonts w:ascii="Times New Roman;Times;serif" w:hAnsi="Times New Roman;Times;serif"/>
                <w:sz w:val="20"/>
              </w:rPr>
              <w:t xml:space="preserve">: </w:t>
            </w:r>
          </w:p>
        </w:tc>
        <w:tc>
          <w:tcPr>
            <w:tcW w:w="8746" w:type="dxa"/>
            <w:tcBorders/>
            <w:shd w:fill="auto" w:val="clear"/>
            <w:vAlign w:val="center"/>
          </w:tcPr>
          <w:p>
            <w:pPr>
              <w:pStyle w:val="TableContents"/>
              <w:spacing w:before="0" w:after="200"/>
              <w:jc w:val="both"/>
              <w:rPr>
                <w:rFonts w:ascii="Times New Roman;Times;serif" w:hAnsi="Times New Roman;Times;serif"/>
                <w:sz w:val="20"/>
              </w:rPr>
            </w:pPr>
            <w:r>
              <w:rPr>
                <w:rFonts w:ascii="Times New Roman;Times;serif" w:hAnsi="Times New Roman;Times;serif"/>
                <w:sz w:val="20"/>
              </w:rPr>
              <w:t>Subject to the Optionholder’s Continuous Service through each applicable vesting date, the Option will vest as follows:</w:t>
            </w:r>
          </w:p>
        </w:tc>
      </w:tr>
    </w:tbl>
    <w:p>
      <w:pPr>
        <w:pStyle w:val="TextBody"/>
        <w:spacing w:before="0" w:after="200"/>
        <w:ind w:left="1800" w:right="0" w:hanging="0"/>
        <w:jc w:val="both"/>
        <w:rPr>
          <w:rFonts w:ascii="Times New Roman;Times;serif" w:hAnsi="Times New Roman;Times;serif"/>
          <w:sz w:val="20"/>
        </w:rPr>
      </w:pPr>
      <w:r>
        <w:rPr>
          <w:rFonts w:ascii="Times New Roman;Times;serif" w:hAnsi="Times New Roman;Times;serif"/>
          <w:sz w:val="20"/>
        </w:rPr>
        <w:t>[__________]</w:t>
      </w:r>
    </w:p>
    <w:p>
      <w:pPr>
        <w:pStyle w:val="TextBody"/>
        <w:spacing w:before="120" w:after="120"/>
        <w:ind w:left="0" w:right="0" w:hanging="0"/>
        <w:jc w:val="both"/>
        <w:rPr>
          <w:rFonts w:ascii="Times New Roman;Times;serif" w:hAnsi="Times New Roman;Times;serif"/>
          <w:sz w:val="20"/>
        </w:rPr>
      </w:pPr>
      <w:r>
        <w:rPr>
          <w:rFonts w:ascii="Times New Roman;Times;serif" w:hAnsi="Times New Roman;Times;serif"/>
          <w:b/>
          <w:sz w:val="20"/>
        </w:rPr>
        <w:t>Optionholder Acknowledgements:</w:t>
      </w:r>
      <w:r>
        <w:rPr>
          <w:rFonts w:ascii="Times New Roman;Times;serif" w:hAnsi="Times New Roman;Times;serif"/>
          <w:sz w:val="20"/>
        </w:rPr>
        <w:t xml:space="preserve">  By your signature below or by electronic acceptance or authentication in a form authorized by the Company, you understand and agree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pPr>
            <w:r>
              <w:rPr>
                <w:rFonts w:ascii="Times New Roman;Times;serif" w:hAnsi="Times New Roman;Times;serif"/>
                <w:b w:val="false"/>
                <w:i w:val="false"/>
                <w:caps w:val="false"/>
                <w:smallCaps w:val="false"/>
                <w:sz w:val="20"/>
              </w:rPr>
              <w:t>The Option is governed by this Stock Option Grant Notice, and the provisions of the Plan and the Stock Option Agreement, all of which are made a part of this document.  Unless otherwise provided in the Plan, this Grant Notice and the Stock Option Agreement (together, the “</w:t>
            </w:r>
            <w:r>
              <w:rPr>
                <w:rFonts w:ascii="Times New Roman;Times;serif" w:hAnsi="Times New Roman;Times;serif"/>
                <w:b/>
                <w:i/>
                <w:sz w:val="20"/>
              </w:rPr>
              <w:t>Option Agreement</w:t>
            </w:r>
            <w:r>
              <w:rPr>
                <w:caps w:val="false"/>
                <w:smallCaps w:val="false"/>
              </w:rPr>
              <w:t>”</w:t>
            </w:r>
            <w:r>
              <w:rPr>
                <w:rFonts w:ascii="Times New Roman;Times;serif" w:hAnsi="Times New Roman;Times;serif"/>
                <w:b w:val="false"/>
                <w:i w:val="false"/>
                <w:caps w:val="false"/>
                <w:smallCaps w:val="false"/>
                <w:sz w:val="20"/>
              </w:rPr>
              <w:t>) may not be modified, amended or revised except in a writing signed by you and a duly authorized officer of the Company.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read and are familiar with the provisions of the Plan, the Stock Option Agreement, and the Prospectus.  In the event of any conflict between the provisions in this Grant Notice, the Option Agreement, or the Prospectus and the terms of the Plan, the terms of the Plan shall control.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  </w:t>
            </w:r>
          </w:p>
        </w:tc>
      </w:tr>
    </w:tbl>
    <w:p>
      <w:pPr>
        <w:pStyle w:val="HorizontalLine"/>
        <w:rPr/>
      </w:pPr>
      <w:r>
        <w:rPr/>
      </w:r>
    </w:p>
    <w:p>
      <w:pPr>
        <w:pStyle w:val="TextBody"/>
        <w:spacing w:before="0" w:after="0"/>
        <w:ind w:left="0" w:right="0" w:hanging="0"/>
        <w:jc w:val="right"/>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tc>
      </w:tr>
    </w:tbl>
    <w:p>
      <w:pPr>
        <w:pStyle w:val="TextBody"/>
        <w:spacing w:before="0" w:after="240"/>
        <w:ind w:left="720" w:right="0" w:hanging="0"/>
        <w:jc w:val="both"/>
        <w:rPr/>
      </w:pPr>
      <w:r>
        <w:rPr/>
        <w:t>​</w:t>
      </w:r>
    </w:p>
    <w:tbl>
      <w:tblPr>
        <w:tblW w:w="5473" w:type="dxa"/>
        <w:jc w:val="center"/>
        <w:tblInd w:w="0" w:type="dxa"/>
        <w:tblCellMar>
          <w:top w:w="0" w:type="dxa"/>
          <w:left w:w="0" w:type="dxa"/>
          <w:bottom w:w="0" w:type="dxa"/>
          <w:right w:w="0" w:type="dxa"/>
        </w:tblCellMar>
      </w:tblPr>
      <w:tblGrid>
        <w:gridCol w:w="1097"/>
        <w:gridCol w:w="1903"/>
        <w:gridCol w:w="326"/>
        <w:gridCol w:w="541"/>
        <w:gridCol w:w="1606"/>
      </w:tblGrid>
      <w:tr>
        <w:trPr/>
        <w:tc>
          <w:tcPr>
            <w:tcW w:w="3000" w:type="dxa"/>
            <w:gridSpan w:val="2"/>
            <w:tcBorders/>
            <w:shd w:fill="auto" w:val="clear"/>
            <w:vAlign w:val="center"/>
          </w:tcPr>
          <w:p>
            <w:pPr>
              <w:pStyle w:val="TableContents"/>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 xml:space="preserve">Olema Pharmaceuticals, Inc. </w:t>
            </w:r>
          </w:p>
        </w:tc>
        <w:tc>
          <w:tcPr>
            <w:tcW w:w="326" w:type="dxa"/>
            <w:tcBorders/>
            <w:shd w:fill="auto" w:val="clear"/>
            <w:vAlign w:val="center"/>
          </w:tcPr>
          <w:p>
            <w:pPr>
              <w:pStyle w:val="TableContents"/>
              <w:spacing w:before="0" w:after="0"/>
              <w:ind w:left="0" w:right="0" w:hanging="0"/>
              <w:jc w:val="both"/>
              <w:rPr/>
            </w:pPr>
            <w:r>
              <w:rPr/>
              <w:t>    </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shd w:fill="auto" w:val="clear"/>
            <w:vAlign w:val="center"/>
          </w:tcPr>
          <w:p>
            <w:pPr>
              <w:pStyle w:val="TableContents"/>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Optionholder:</w:t>
            </w:r>
          </w:p>
        </w:tc>
      </w:tr>
      <w:tr>
        <w:trPr/>
        <w:tc>
          <w:tcPr>
            <w:tcW w:w="1097" w:type="dxa"/>
            <w:tcBorders/>
            <w:shd w:fill="auto" w:val="clear"/>
            <w:vAlign w:val="center"/>
          </w:tcPr>
          <w:p>
            <w:pPr>
              <w:pStyle w:val="TableContents"/>
              <w:spacing w:before="0" w:after="0"/>
              <w:ind w:left="0" w:right="0" w:hanging="0"/>
              <w:jc w:val="both"/>
              <w:rPr/>
            </w:pPr>
            <w:r>
              <w:rPr/>
              <w:t>​</w:t>
            </w:r>
          </w:p>
        </w:tc>
        <w:tc>
          <w:tcPr>
            <w:tcW w:w="190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shd w:fill="auto" w:val="cle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903"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pPr>
            <w:r>
              <w:rPr/>
              <w:t>​</w:t>
            </w:r>
          </w:p>
        </w:tc>
        <w:tc>
          <w:tcPr>
            <w:tcW w:w="1903"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r>
      <w:tr>
        <w:trPr/>
        <w:tc>
          <w:tcPr>
            <w:tcW w:w="1097" w:type="dxa"/>
            <w:tcBorders/>
            <w:shd w:fill="auto" w:val="clear"/>
            <w:vAlign w:val="center"/>
          </w:tcPr>
          <w:p>
            <w:pPr>
              <w:pStyle w:val="TableContents"/>
              <w:spacing w:before="0" w:after="0"/>
              <w:ind w:left="0" w:right="0" w:hanging="0"/>
              <w:jc w:val="both"/>
              <w:rPr/>
            </w:pPr>
            <w:r>
              <w:rPr/>
              <w:t>​</w:t>
            </w:r>
          </w:p>
        </w:tc>
        <w:tc>
          <w:tcPr>
            <w:tcW w:w="190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shd w:fill="auto" w:val="cle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03"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pPr>
            <w:r>
              <w:rPr/>
              <w:t>​</w:t>
            </w:r>
          </w:p>
        </w:tc>
        <w:tc>
          <w:tcPr>
            <w:tcW w:w="1903" w:type="dxa"/>
            <w:tcBorders>
              <w:top w:val="single" w:sz="2" w:space="0" w:color="000000"/>
            </w:tcBorders>
            <w:shd w:fill="auto" w:val="clear"/>
            <w:tcMar>
              <w:top w:w="28" w:type="dxa"/>
            </w:tcM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top w:val="single" w:sz="2" w:space="0" w:color="000000"/>
            </w:tcBorders>
            <w:shd w:fill="auto" w:val="clear"/>
            <w:tcMar>
              <w:top w:w="28" w:type="dxa"/>
            </w:tcM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pPr>
            <w:r>
              <w:rPr/>
              <w:t>​</w:t>
            </w:r>
          </w:p>
        </w:tc>
        <w:tc>
          <w:tcPr>
            <w:tcW w:w="190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shd w:fill="auto" w:val="clear"/>
            <w:vAlign w:val="center"/>
          </w:tcPr>
          <w:p>
            <w:pPr>
              <w:pStyle w:val="TableContents"/>
              <w:spacing w:before="0" w:after="0"/>
              <w:ind w:left="0" w:right="0" w:hanging="0"/>
              <w:jc w:val="both"/>
              <w:rPr/>
            </w:pPr>
            <w:r>
              <w:rPr/>
              <w:t>​</w:t>
            </w:r>
          </w:p>
        </w:tc>
      </w:tr>
      <w:tr>
        <w:trPr/>
        <w:tc>
          <w:tcPr>
            <w:tcW w:w="1097"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903"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541" w:type="dxa"/>
            <w:tcBorders/>
            <w:shd w:fill="auto" w:val="clear"/>
            <w:vAlign w:val="center"/>
          </w:tcPr>
          <w:p>
            <w:pPr>
              <w:pStyle w:val="TableContents"/>
              <w:spacing w:before="0" w:after="0"/>
              <w:ind w:left="0" w:right="0" w:hanging="0"/>
              <w:jc w:val="both"/>
              <w:rPr/>
            </w:pPr>
            <w:r>
              <w:rPr/>
              <w:t>​</w:t>
            </w:r>
          </w:p>
        </w:tc>
        <w:tc>
          <w:tcPr>
            <w:tcW w:w="1606" w:type="dxa"/>
            <w:tcBorders/>
            <w:shd w:fill="auto" w:val="clear"/>
            <w:vAlign w:val="center"/>
          </w:tcPr>
          <w:p>
            <w:pPr>
              <w:pStyle w:val="TableContents"/>
              <w:spacing w:before="0" w:after="0"/>
              <w:ind w:left="0" w:right="0" w:hanging="0"/>
              <w:jc w:val="both"/>
              <w:rPr/>
            </w:pPr>
            <w:r>
              <w:rPr/>
              <w:t>​</w:t>
            </w:r>
          </w:p>
        </w:tc>
      </w:tr>
    </w:tbl>
    <w:p>
      <w:pPr>
        <w:pStyle w:val="TextBody"/>
        <w:spacing w:before="0" w:after="240"/>
        <w:ind w:left="720" w:right="0" w:hanging="0"/>
        <w:jc w:val="both"/>
        <w:rPr/>
      </w:pPr>
      <w:r>
        <w:rPr/>
        <w:t>​</w:t>
      </w:r>
    </w:p>
    <w:p>
      <w:pPr>
        <w:pStyle w:val="TextBody"/>
        <w:spacing w:before="0" w:after="0"/>
        <w:ind w:left="0" w:right="0" w:hanging="0"/>
        <w:jc w:val="both"/>
        <w:rPr/>
      </w:pPr>
      <w:r>
        <w:rPr/>
        <w:t>​</w:t>
      </w:r>
    </w:p>
    <w:p>
      <w:pPr>
        <w:pStyle w:val="TextBody"/>
        <w:spacing w:before="0" w:after="120"/>
        <w:ind w:left="72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center"/>
        <w:rPr>
          <w:rFonts w:ascii="Times New Roman Bold" w:hAnsi="Times New Roman Bold"/>
          <w:b/>
          <w:smallCaps/>
          <w:sz w:val="28"/>
        </w:rPr>
      </w:pPr>
      <w:r>
        <w:rPr>
          <w:rFonts w:ascii="Times New Roman Bold" w:hAnsi="Times New Roman Bold"/>
          <w:b/>
          <w:smallCaps/>
          <w:sz w:val="28"/>
        </w:rPr>
        <w:t>Olema Pharmaceuticals, Inc.</w:t>
        <w:br/>
      </w:r>
      <w:r>
        <w:rPr>
          <w:rFonts w:ascii="Times New Roman Bold" w:hAnsi="Times New Roman Bold"/>
          <w:b/>
          <w:smallCaps/>
          <w:sz w:val="29"/>
        </w:rPr>
        <w:t>2022 Inducement Plan</w:t>
        <w:br/>
        <w:br/>
      </w:r>
      <w:r>
        <w:rPr>
          <w:rFonts w:ascii="Times New Roman Bold" w:hAnsi="Times New Roman Bold"/>
          <w:b/>
          <w:smallCaps/>
          <w:sz w:val="28"/>
        </w:rPr>
        <w:t xml:space="preserve">Stock Option Agreement </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As reflected by your Stock Option Grant Notice (“</w:t>
      </w:r>
      <w:r>
        <w:rPr>
          <w:rFonts w:ascii="Times New Roman;Times;serif" w:hAnsi="Times New Roman;Times;serif"/>
          <w:b/>
          <w:i/>
          <w:sz w:val="24"/>
        </w:rPr>
        <w:t>Grant Notice</w:t>
      </w:r>
      <w:r>
        <w:rPr>
          <w:rFonts w:ascii="Times New Roman;Times;serif" w:hAnsi="Times New Roman;Times;serif"/>
          <w:sz w:val="24"/>
        </w:rPr>
        <w:t>”) Olema Pharmaceuticals, Inc. (the “</w:t>
      </w:r>
      <w:r>
        <w:rPr>
          <w:rFonts w:ascii="Times New Roman;Times;serif" w:hAnsi="Times New Roman;Times;serif"/>
          <w:b/>
          <w:i/>
          <w:sz w:val="24"/>
        </w:rPr>
        <w:t>Company</w:t>
      </w:r>
      <w:r>
        <w:rPr>
          <w:rFonts w:ascii="Times New Roman;Times;serif" w:hAnsi="Times New Roman;Times;serif"/>
          <w:sz w:val="24"/>
        </w:rPr>
        <w:t>”) has granted you an option under its 2022 Inducement Plan (the “</w:t>
      </w:r>
      <w:r>
        <w:rPr>
          <w:rFonts w:ascii="Times New Roman;Times;serif" w:hAnsi="Times New Roman;Times;serif"/>
          <w:b/>
          <w:i/>
          <w:sz w:val="24"/>
        </w:rPr>
        <w:t>Plan</w:t>
      </w:r>
      <w:r>
        <w:rPr>
          <w:rFonts w:ascii="Times New Roman;Times;serif" w:hAnsi="Times New Roman;Times;serif"/>
          <w:sz w:val="24"/>
        </w:rPr>
        <w:t>”) to purchase a number of shares of Common Stock at the exercise price indicated in your Grant Notice (the “</w:t>
      </w:r>
      <w:r>
        <w:rPr>
          <w:rFonts w:ascii="Times New Roman;Times;serif" w:hAnsi="Times New Roman;Times;serif"/>
          <w:b/>
          <w:i/>
          <w:sz w:val="24"/>
        </w:rPr>
        <w:t>Option</w:t>
      </w:r>
      <w:r>
        <w:rPr>
          <w:rFonts w:ascii="Times New Roman;Times;serif" w:hAnsi="Times New Roman;Times;serif"/>
          <w:sz w:val="24"/>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general terms and conditions applicable to your Option are as follows:</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w:t>
      </w:r>
      <w:r>
        <w:rPr>
          <w:rFonts w:ascii="Times New Roman;Times;serif" w:hAnsi="Times New Roman;Times;serif"/>
          <w:b/>
          <w:smallCaps/>
          <w:sz w:val="24"/>
        </w:rPr>
        <w:t>Governing Plan Document.</w:t>
      </w:r>
      <w:r>
        <w:rPr>
          <w:rFonts w:ascii="Times New Roman;Times;serif" w:hAnsi="Times New Roman;Times;serif"/>
          <w:sz w:val="24"/>
        </w:rPr>
        <w:t xml:space="preserve">  Your Option is subject to all the provisions of the Plan. 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2.</w:t>
      </w:r>
      <w:r>
        <w:rPr>
          <w:rFonts w:ascii="Times New Roman;Times;serif" w:hAnsi="Times New Roman;Times;serif"/>
          <w:b/>
          <w:smallCaps/>
          <w:sz w:val="24"/>
        </w:rPr>
        <w:t>Exercise.</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(a)</w:t>
      </w:r>
      <w:r>
        <w:rPr>
          <w:rFonts w:ascii="Times New Roman;Times;serif" w:hAnsi="Times New Roman;Times;serif"/>
          <w:sz w:val="24"/>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the Plan, which may restrict or prohibit your ability to exercise your Option during certain periods.</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(b)</w:t>
      </w:r>
      <w:r>
        <w:rPr>
          <w:rFonts w:ascii="Times New Roman;Times;serif" w:hAnsi="Times New Roman;Times;serif"/>
          <w:sz w:val="24"/>
        </w:rPr>
        <w:t>To the extent permitted by Applicable Law, you may pay your Option exercise price as follows:</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(i)</w:t>
      </w:r>
      <w:r>
        <w:rPr>
          <w:rFonts w:ascii="Times New Roman;Times;serif" w:hAnsi="Times New Roman;Times;serif"/>
          <w:sz w:val="24"/>
        </w:rPr>
        <w:t>cash, check, bank draft or money order;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(ii)</w:t>
      </w:r>
      <w:r>
        <w:rPr>
          <w:rFonts w:ascii="Times New Roman;Times;serif" w:hAnsi="Times New Roman;Times;serif"/>
          <w:sz w:val="24"/>
        </w:rPr>
        <w:t>subject to Company and/or Committee consent at the time of exercise, pursuant to a “cashless exercise” program as further described in the Plan if at the time of exercise the Common Stock is publicly traded;</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(iii)</w:t>
      </w:r>
      <w:r>
        <w:rPr>
          <w:rFonts w:ascii="Times New Roman;Times;serif" w:hAnsi="Times New Roman;Times;serif"/>
          <w:sz w:val="24"/>
        </w:rPr>
        <w:t>subject to Company and/or Committee consent at the time of exercise, by delivery of previously owned shares of Common Stock as further described in the Plan; or</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(iv)</w:t>
      </w:r>
      <w:r>
        <w:rPr>
          <w:rFonts w:ascii="Times New Roman;Times;serif" w:hAnsi="Times New Roman;Times;serif"/>
          <w:sz w:val="24"/>
        </w:rPr>
        <w:t>subject to Company and/or Committee consent at the time of exercise, if the Option is a Nonstatutory Stock Option, by a “net exercise” arrangement as further described in the Plan.</w:t>
      </w:r>
    </w:p>
    <w:p>
      <w:pPr>
        <w:pStyle w:val="TextBody"/>
        <w:spacing w:lineRule="atLeast" w:line="200"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3.</w:t>
      </w:r>
      <w:r>
        <w:rPr>
          <w:rFonts w:ascii="Times New Roman;Times;serif" w:hAnsi="Times New Roman;Times;serif"/>
          <w:b/>
          <w:smallCaps/>
          <w:sz w:val="24"/>
        </w:rPr>
        <w:t>Term.</w:t>
      </w:r>
      <w:r>
        <w:rPr>
          <w:rFonts w:ascii="Times New Roman;Times;serif" w:hAnsi="Times New Roman;Times;serif"/>
          <w:sz w:val="24"/>
        </w:rPr>
        <w:t xml:space="preserve">  You may not exercise your Option before the commencement of its term or after its term expires.  The term of your option commences on the Date of Grant and expires upon the earliest of the following:</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(a)</w:t>
      </w:r>
      <w:r>
        <w:rPr>
          <w:rFonts w:ascii="Times New Roman;Times;serif" w:hAnsi="Times New Roman;Times;serif"/>
          <w:sz w:val="24"/>
        </w:rPr>
        <w:t xml:space="preserve"> immediately upon the termination of your Continuous Service for Cause;</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(b)</w:t>
      </w:r>
      <w:r>
        <w:rPr>
          <w:rFonts w:ascii="Times New Roman;Times;serif" w:hAnsi="Times New Roman;Times;serif"/>
          <w:sz w:val="24"/>
        </w:rPr>
        <w:t>three months after the termination of your Continuous Service for any reason other than Cause, Disability or death;</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(c)</w:t>
      </w:r>
      <w:r>
        <w:rPr>
          <w:rFonts w:ascii="Times New Roman;Times;serif" w:hAnsi="Times New Roman;Times;serif"/>
          <w:sz w:val="24"/>
        </w:rPr>
        <w:t>12 months after the termination of your Continuous Service due to your Disability;</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(d)</w:t>
      </w:r>
      <w:r>
        <w:rPr>
          <w:rFonts w:ascii="Times New Roman;Times;serif" w:hAnsi="Times New Roman;Times;serif"/>
          <w:sz w:val="24"/>
        </w:rPr>
        <w:t>18 months after your death if you die during your Continuous Service;</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(e)</w:t>
      </w:r>
      <w:r>
        <w:rPr>
          <w:rFonts w:ascii="Times New Roman;Times;serif" w:hAnsi="Times New Roman;Times;serif"/>
          <w:sz w:val="24"/>
        </w:rPr>
        <w:t>immediately upon a Corporate Transaction if the Board has determined that the Option will terminate in connection with a Corporate Transaction,</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(f)</w:t>
      </w:r>
      <w:r>
        <w:rPr>
          <w:rFonts w:ascii="Times New Roman;Times;serif" w:hAnsi="Times New Roman;Times;serif"/>
          <w:sz w:val="24"/>
        </w:rPr>
        <w:t>the Expiration Date indicated in your Grant Notice; or</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(g)</w:t>
      </w:r>
      <w:r>
        <w:rPr>
          <w:rFonts w:ascii="Times New Roman;Times;serif" w:hAnsi="Times New Roman;Times;serif"/>
          <w:sz w:val="24"/>
        </w:rPr>
        <w:t>the day before the 10th anniversary of the Date of Grant.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the Plan.</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4.</w:t>
      </w:r>
      <w:r>
        <w:rPr>
          <w:rFonts w:ascii="Times New Roman;Times;serif" w:hAnsi="Times New Roman;Times;serif"/>
          <w:b/>
          <w:smallCaps/>
          <w:sz w:val="24"/>
        </w:rPr>
        <w:t>Withholding Obligations.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(a)</w:t>
      </w:r>
      <w:r>
        <w:rPr>
          <w:rFonts w:ascii="Times New Roman;Times;serif" w:hAnsi="Times New Roman;Times;serif"/>
          <w:sz w:val="24"/>
        </w:rPr>
        <w:t>Regardless of any action taken by the Company or, if different, the Affiliate to which you provide Continuous Service (the “</w:t>
      </w:r>
      <w:r>
        <w:rPr>
          <w:rFonts w:ascii="Times New Roman;Times;serif" w:hAnsi="Times New Roman;Times;serif"/>
          <w:b/>
          <w:i/>
          <w:sz w:val="24"/>
        </w:rPr>
        <w:t>Service Recipient</w:t>
      </w:r>
      <w:r>
        <w:rPr>
          <w:rFonts w:ascii="Times New Roman;Times;serif" w:hAnsi="Times New Roman;Times;serif"/>
          <w:sz w:val="24"/>
        </w:rPr>
        <w:t>”) with respect to any income tax, social insurance, payroll tax, fringe benefits tax, payment on account, or other tax-related items associated with the grant, vesting or exercise of the Option or sale of the underlying Common Stock or other tax-related items related to your participation in the Plan and legally applicable to you (the “</w:t>
      </w:r>
      <w:r>
        <w:rPr>
          <w:rFonts w:ascii="Times New Roman;Times;serif" w:hAnsi="Times New Roman;Times;serif"/>
          <w:b/>
          <w:i/>
          <w:sz w:val="24"/>
        </w:rPr>
        <w:t>Tax Liability</w:t>
      </w:r>
      <w:r>
        <w:rPr>
          <w:rFonts w:ascii="Times New Roman;Times;serif" w:hAnsi="Times New Roman;Times;serif"/>
          <w:sz w:val="24"/>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Option, including, but not limited to, the grant, vesting or exercise of the Option, the issuance of Common Stock pursuant to such exercise, the subsequent sale of shares of Common Stock, and the payment of any dividends on the shares; and (ii) do not commit to and are under no obligation to structure the terms of the grant or any aspect of the Option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pStyle w:val="TextBody"/>
        <w:spacing w:lineRule="atLeast" w:line="200"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(b)</w:t>
      </w:r>
      <w:r>
        <w:rPr>
          <w:rFonts w:ascii="Times New Roman;Times;serif" w:hAnsi="Times New Roman;Times;serif"/>
          <w:sz w:val="24"/>
        </w:rPr>
        <w:t xml:space="preserve">Prior to any relevant taxable or tax withholding event, as applicable, you agree to make adequate arrangements satisfactory to the Company and/or the Service Recipient to satisfy all Tax Liability. As further provided in Section 7 of the Plan, you hereby authorize the Company and any applicable Service Recipient to satisfy any applicable withholding obligations with regard to the Tax Liability by one or a combination of the following methods: (i) causing you to pay any portion of the Tax Liability in cash or cash equivalent in a form acceptable to the Company; (ii) withholding from any compensation otherwise payable to you by the Company or the Service Recipient; (iii) withholding from the proceeds of the sale of shares of Common Stock issued upon exercise of the Option (including by means of a “cashless exercise” pursuant to a program developed under Regulation T as promulgated by the Federal Reserve Board to the extent permitted by the Company, or by means of the Company acting as your agent to sell sufficient shares of Common Stock for the proceeds to settle such withholding requirements, on your behalf pursuant to this authorization without further consent); (iv) withholding shares of Common Stock otherwise issuable to you upon the exercise of the Option, </w:t>
      </w:r>
      <w:bookmarkStart w:id="1333" w:name="_cp_text_2_66"/>
      <w:bookmarkEnd w:id="1333"/>
      <w:r>
        <w:rPr>
          <w:rFonts w:ascii="Times New Roman;Times;serif" w:hAnsi="Times New Roman;Times;serif"/>
          <w:sz w:val="24"/>
        </w:rPr>
        <w:t>provided that to the extent necessary to qualify for an exemption from application of Section 16(b) of the Exchange Act, if applicable, such share withholding procedure will be subject to the express prior approval of the Board or the Company’s Compensation Committee;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or the Service Recipient, you agree to indemnify and hold the Company and/or the Service Recipient (as applicable) harmless from any failure by the Company or the applicable Service Recipient to withhold the proper amount.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(c)</w:t>
      </w:r>
      <w:r>
        <w:rPr>
          <w:rFonts w:ascii="Times New Roman;Times;serif" w:hAnsi="Times New Roman;Times;serif"/>
          <w:sz w:val="24"/>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exercised portion of the Option, notwithstanding that a number of the shares of Common Stock is held back solely for the purpose of paying such Tax Liability.</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(d)</w:t>
      </w:r>
      <w:r>
        <w:rPr>
          <w:rFonts w:ascii="Times New Roman;Times;serif" w:hAnsi="Times New Roman;Times;serif"/>
          <w:sz w:val="24"/>
        </w:rPr>
        <w:t xml:space="preserve">You acknowledge that you may not be able to exercise your Option even though the Option is vested, and that the Company shall have no obligation to issue shares of Common Stock, in each case, unless and until you have fully satisfied any applicable Tax Liability, as determined by the Company. Unless any withholding obligation for the Tax Liability is satisfied, the Company shall have no obligation to deliver to you any Common Stock in respect of the Option. </w:t>
      </w:r>
    </w:p>
    <w:p>
      <w:pPr>
        <w:pStyle w:val="TextBody"/>
        <w:spacing w:lineRule="atLeast" w:line="200"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5.</w:t>
      </w:r>
      <w:r>
        <w:rPr>
          <w:rFonts w:ascii="Times New Roman;Times;serif" w:hAnsi="Times New Roman;Times;serif"/>
          <w:b/>
          <w:smallCaps/>
          <w:sz w:val="24"/>
        </w:rPr>
        <w:t>Transferability.</w:t>
      </w:r>
      <w:r>
        <w:rPr>
          <w:rFonts w:ascii="Times New Roman;Times;serif" w:hAnsi="Times New Roman;Times;serif"/>
          <w:sz w:val="24"/>
        </w:rPr>
        <w:t xml:space="preserve">  Except as otherwise provided in the Plan, your Option is not transferable, except by will or by the applicable laws of descent and distribution, and is exercisable during your life only by you.  </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6.</w:t>
      </w:r>
      <w:r>
        <w:rPr>
          <w:rFonts w:ascii="Times New Roman;Times;serif" w:hAnsi="Times New Roman;Times;serif"/>
          <w:b/>
          <w:smallCaps/>
          <w:sz w:val="24"/>
        </w:rPr>
        <w:t>Corporate Transaction.</w:t>
      </w:r>
      <w:r>
        <w:rPr>
          <w:rFonts w:ascii="Times New Roman;Times;serif" w:hAnsi="Times New Roman;Times;serif"/>
          <w:sz w:val="24"/>
        </w:rPr>
        <w:t xml:space="preserve">  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7.</w:t>
      </w:r>
      <w:r>
        <w:rPr>
          <w:rFonts w:ascii="Times New Roman;Times;serif" w:hAnsi="Times New Roman;Times;serif"/>
          <w:b/>
          <w:smallCaps/>
          <w:sz w:val="24"/>
        </w:rPr>
        <w:t>No Liability for Taxes</w:t>
      </w:r>
      <w:r>
        <w:rPr>
          <w:rFonts w:ascii="Times New Roman;Times;serif" w:hAnsi="Times New Roman;Times;serif"/>
          <w:sz w:val="24"/>
        </w:rPr>
        <w:t>.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8.</w:t>
      </w:r>
      <w:r>
        <w:rPr>
          <w:rFonts w:ascii="Times New Roman;Times;serif" w:hAnsi="Times New Roman;Times;serif"/>
          <w:b/>
          <w:smallCaps/>
          <w:sz w:val="24"/>
        </w:rPr>
        <w:t>Obligations; Recoupment.</w:t>
      </w:r>
      <w:r>
        <w:rPr>
          <w:rFonts w:ascii="Times New Roman;Times;serif" w:hAnsi="Times New Roman;Times;serif"/>
          <w:sz w:val="24"/>
        </w:rPr>
        <w:t xml:space="preserve"> You hereby acknowledge that the grant of your Option is additional consideration for any obligations (whether during or after employment) that you have to the Company not to compete, not to  solicit its customers, clients or employees, not to disclose or misuse confidential information or similar obligations.  Accordingly, if the Company reasonably determines that you breached such obligations, in addition to any other available remedy, the Company may, to the extent permitted by Applicable Law, recoup any income realized by you with respect to the exercise of your Option within two years of such breach.  In addition, to the extent permitted by Applicable Law, this right to recoupment by the Company applies in the event that your employment is terminated for Cause or if the Company reasonably determines that circumstances existed that it could have terminated your employment for Cause.</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9.</w:t>
      </w:r>
      <w:r>
        <w:rPr>
          <w:rFonts w:ascii="Times New Roman Bold" w:hAnsi="Times New Roman Bold"/>
          <w:b/>
          <w:smallCaps/>
          <w:sz w:val="24"/>
        </w:rPr>
        <w:t>Severability</w:t>
      </w:r>
      <w:r>
        <w:rPr>
          <w:rFonts w:ascii="Times New Roman;Times;serif" w:hAnsi="Times New Roman;Times;serif"/>
          <w:sz w:val="24"/>
        </w:rPr>
        <w:t>.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10.</w:t>
      </w:r>
      <w:r>
        <w:rPr>
          <w:rFonts w:ascii="Times New Roman;Times;serif" w:hAnsi="Times New Roman;Times;serif"/>
          <w:b/>
          <w:smallCaps/>
          <w:sz w:val="24"/>
        </w:rPr>
        <w:t>Indebtedness to the company</w:t>
      </w:r>
      <w:r>
        <w:rPr>
          <w:rFonts w:ascii="Times New Roman;Times;serif" w:hAnsi="Times New Roman;Times;serif"/>
          <w:sz w:val="24"/>
        </w:rPr>
        <w:t>.  In the event that you have any loans, draws, advances or any other indebtedness owing to the Company at the time of exercise of all or a portion of the Option, the Company may deduct and not deliver that number of shares of Common Stock with a Fair Market Value subject to the Option equal to such indebtedness to satisfy all or a portion of such indebtedness, to the extent permitted by law and in a manner consistent with Section 409A of the Code, if applicable.</w:t>
      </w:r>
    </w:p>
    <w:p>
      <w:pPr>
        <w:pStyle w:val="TextBody"/>
        <w:spacing w:lineRule="atLeast" w:line="200"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11.</w:t>
      </w:r>
      <w:r>
        <w:rPr>
          <w:rFonts w:ascii="Times New Roman;Times;serif" w:hAnsi="Times New Roman;Times;serif"/>
          <w:b/>
          <w:smallCaps/>
          <w:sz w:val="24"/>
        </w:rPr>
        <w:t>Other Documents.</w:t>
      </w:r>
      <w:r>
        <w:rPr>
          <w:rFonts w:ascii="Times New Roman;Times;serif" w:hAnsi="Times New Roman;Times;serif"/>
          <w:sz w:val="24"/>
        </w:rPr>
        <w:t>  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spacing w:before="0" w:after="240"/>
        <w:ind w:left="0" w:right="0" w:hanging="0"/>
        <w:jc w:val="both"/>
        <w:rPr>
          <w:rFonts w:ascii="Times New Roman;Times;serif" w:hAnsi="Times New Roman;Times;serif"/>
          <w:sz w:val="24"/>
        </w:rPr>
      </w:pPr>
      <w:r>
        <w:rPr>
          <w:rFonts w:ascii="Times New Roman" w:hAnsi="Times New Roman"/>
          <w:b/>
          <w:sz w:val="24"/>
        </w:rPr>
        <w:t>12.</w:t>
      </w:r>
      <w:r>
        <w:rPr>
          <w:rFonts w:ascii="Times New Roman;Times;serif" w:hAnsi="Times New Roman;Times;serif"/>
          <w:b/>
          <w:smallCaps/>
          <w:sz w:val="24"/>
        </w:rPr>
        <w:t xml:space="preserve">Questions. </w:t>
      </w:r>
      <w:r>
        <w:rPr>
          <w:rFonts w:ascii="Times New Roman;Times;serif" w:hAnsi="Times New Roman;Times;serif"/>
          <w:sz w:val="24"/>
        </w:rPr>
        <w:t>If you have questions regarding these or any other terms and conditions applicable to your Option, including a summary of the applicable federal income tax consequences please see the Prospectus.</w:t>
      </w:r>
    </w:p>
    <w:p>
      <w:pPr>
        <w:pStyle w:val="TextBody"/>
        <w:spacing w:before="240" w:after="480"/>
        <w:ind w:left="0" w:right="0" w:hanging="0"/>
        <w:jc w:val="center"/>
        <w:rPr>
          <w:rFonts w:ascii="Times New Roman;Times;serif" w:hAnsi="Times New Roman;Times;serif"/>
          <w:b/>
          <w:smallCaps/>
          <w:sz w:val="24"/>
        </w:rPr>
      </w:pPr>
      <w:r>
        <w:rPr>
          <w:rFonts w:ascii="Times New Roman;Times;serif" w:hAnsi="Times New Roman;Times;serif"/>
          <w:b/>
          <w:smallCaps/>
          <w:sz w:val="24"/>
        </w:rPr>
        <w:t>* * * *</w:t>
      </w:r>
    </w:p>
    <w:p>
      <w:pPr>
        <w:pStyle w:val="TextBody"/>
        <w:spacing w:lineRule="atLeast" w:line="200" w:before="0" w:after="0"/>
        <w:ind w:left="0" w:right="0" w:hanging="0"/>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r>
        <w:br w:type="page"/>
      </w:r>
    </w:p>
    <w:p>
      <w:pPr>
        <w:pStyle w:val="TextBody"/>
        <w:spacing w:before="0" w:after="0"/>
        <w:ind w:left="0" w:right="0" w:hanging="0"/>
        <w:rPr/>
      </w:pPr>
      <w:bookmarkStart w:id="1334" w:name="olma-20211231xex10d19.htm"/>
      <w:bookmarkStart w:id="1335" w:name="ksolma20211231xex10d19"/>
      <w:bookmarkEnd w:id="1334"/>
      <w:bookmarkEnd w:id="1335"/>
      <w:r>
        <w:rPr/>
        <w:t>​</w:t>
      </w:r>
    </w:p>
    <w:p>
      <w:pPr>
        <w:pStyle w:val="TextBody"/>
        <w:spacing w:before="10" w:after="0"/>
        <w:ind w:left="0" w:right="0" w:hanging="0"/>
        <w:rPr/>
      </w:pPr>
      <w:r>
        <w:rPr/>
        <w:t>​</w:t>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10.19</w:t>
      </w:r>
    </w:p>
    <w:p>
      <w:pPr>
        <w:pStyle w:val="TextBody"/>
        <w:spacing w:before="0" w:after="0"/>
        <w:ind w:left="0" w:right="0" w:hanging="0"/>
        <w:jc w:val="right"/>
        <w:rPr/>
      </w:pPr>
      <w:r>
        <w:rPr/>
        <w:t>​</w:t>
      </w:r>
    </w:p>
    <w:p>
      <w:pPr>
        <w:pStyle w:val="TextBody"/>
        <w:spacing w:before="0" w:after="0"/>
        <w:ind w:left="0" w:right="0" w:hanging="0"/>
        <w:jc w:val="right"/>
        <w:rPr/>
      </w:pPr>
      <w:r>
        <w:rPr/>
        <w:drawing>
          <wp:inline distT="0" distB="0" distL="0" distR="0">
            <wp:extent cx="2004695" cy="594360"/>
            <wp:effectExtent l="0" t="0" r="0" b="0"/>
            <wp:docPr id="2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33" descr=""/>
                    <pic:cNvPicPr>
                      <a:picLocks noChangeAspect="1" noChangeArrowheads="1"/>
                    </pic:cNvPicPr>
                  </pic:nvPicPr>
                  <pic:blipFill>
                    <a:blip r:embed="rId55"/>
                    <a:stretch>
                      <a:fillRect/>
                    </a:stretch>
                  </pic:blipFill>
                  <pic:spPr bwMode="auto">
                    <a:xfrm>
                      <a:off x="0" y="0"/>
                      <a:ext cx="2004695" cy="594360"/>
                    </a:xfrm>
                    <a:prstGeom prst="rect">
                      <a:avLst/>
                    </a:prstGeom>
                  </pic:spPr>
                </pic:pic>
              </a:graphicData>
            </a:graphic>
          </wp:inline>
        </w:drawing>
      </w:r>
    </w:p>
    <w:p>
      <w:pPr>
        <w:pStyle w:val="TextBody"/>
        <w:spacing w:before="6" w:after="0"/>
        <w:ind w:left="0" w:right="0" w:hanging="0"/>
        <w:rPr/>
      </w:pPr>
      <w:r>
        <w:rPr/>
        <w:t>​</w:t>
      </w:r>
    </w:p>
    <w:p>
      <w:pPr>
        <w:pStyle w:val="TextBody"/>
        <w:spacing w:before="90" w:after="0"/>
        <w:ind w:left="0" w:right="0" w:hanging="0"/>
        <w:rPr>
          <w:rFonts w:ascii="Times New Roman;Times;serif" w:hAnsi="Times New Roman;Times;serif"/>
          <w:sz w:val="24"/>
        </w:rPr>
      </w:pPr>
      <w:r>
        <w:rPr>
          <w:rFonts w:ascii="Times New Roman;Times;serif" w:hAnsi="Times New Roman;Times;serif"/>
          <w:sz w:val="24"/>
        </w:rPr>
        <w:t>December 15,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 xml:space="preserve">Naseem Zojwalla, M.D. VIA </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EMAIL/DOCUSIGN</w:t>
      </w:r>
    </w:p>
    <w:p>
      <w:pPr>
        <w:pStyle w:val="TextBody"/>
        <w:spacing w:before="0" w:after="0"/>
        <w:ind w:left="0" w:right="0" w:hanging="0"/>
        <w:rPr/>
      </w:pPr>
      <w:r>
        <w:rPr/>
        <w:t>​</w:t>
      </w:r>
    </w:p>
    <w:p>
      <w:pPr>
        <w:pStyle w:val="TextBody"/>
        <w:spacing w:before="0" w:after="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Re:</w:t>
      </w:r>
      <w:r>
        <w:rPr>
          <w:rFonts w:ascii="Times New Roman;Times;serif" w:hAnsi="Times New Roman;Times;serif"/>
          <w:b/>
          <w:sz w:val="24"/>
        </w:rPr>
        <w:t>Employment Terms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Dear Naseem:</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Olema Pharmaceuticals, Inc. (the “Company”) is pleased to offer you employment as its Chief Medical Officer, pursuant to the terms of this offer letter agreement (the</w:t>
      </w:r>
      <w:r>
        <w:rPr>
          <w:rFonts w:ascii="Times New Roman;Times;serif" w:hAnsi="Times New Roman;Times;serif"/>
          <w:spacing w:val="-11"/>
          <w:sz w:val="24"/>
        </w:rPr>
        <w:t xml:space="preserve"> </w:t>
      </w:r>
      <w:r>
        <w:rPr>
          <w:rFonts w:ascii="Times New Roman;Times;serif" w:hAnsi="Times New Roman;Times;serif"/>
          <w:sz w:val="24"/>
        </w:rPr>
        <w:t>“Agreement”).</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w:t>
      </w:r>
      <w:r>
        <w:rPr>
          <w:rFonts w:ascii="Times New Roman;Times;serif" w:hAnsi="Times New Roman;Times;serif"/>
          <w:b/>
          <w:sz w:val="24"/>
        </w:rPr>
        <w:t xml:space="preserve">Position; Duties. </w:t>
      </w:r>
      <w:r>
        <w:rPr>
          <w:rFonts w:ascii="Times New Roman;Times;serif" w:hAnsi="Times New Roman;Times;serif"/>
          <w:sz w:val="24"/>
        </w:rPr>
        <w:t xml:space="preserve">You will serve as </w:t>
      </w:r>
      <w:r>
        <w:rPr>
          <w:rFonts w:ascii="Times New Roman;Times;serif" w:hAnsi="Times New Roman;Times;serif"/>
          <w:b/>
          <w:sz w:val="24"/>
        </w:rPr>
        <w:t>Chief Medical Officer</w:t>
      </w:r>
      <w:r>
        <w:rPr>
          <w:rFonts w:ascii="Times New Roman;Times;serif" w:hAnsi="Times New Roman;Times;serif"/>
          <w:sz w:val="24"/>
        </w:rPr>
        <w:t xml:space="preserve">, reporting directly to the Company’s Chief Executive Officer, working out of the Company’s San Francisco area offices or at other locations as mutually agreed. You agree to devote your best efforts and full business time, skill and attention to the performance of your duties. You are also required to adhere to the general employment policies and practices of the Company that may be in effect from time to time, except that when the terms of this Agreement conflict with the Company’s general employment policies or practices, this Agreement will control. The Company may change your position, duties, work location and compensation from time to time in its discretion, subject to the terms and conditions set forth herein. </w:t>
      </w:r>
      <w:r>
        <w:rPr>
          <w:rFonts w:ascii="Times New Roman;Times;serif" w:hAnsi="Times New Roman;Times;serif"/>
          <w:b/>
          <w:sz w:val="24"/>
        </w:rPr>
        <w:t>Your start date will be January 31,</w:t>
      </w:r>
      <w:r>
        <w:rPr>
          <w:rFonts w:ascii="Times New Roman;Times;serif" w:hAnsi="Times New Roman;Times;serif"/>
          <w:spacing w:val="-16"/>
          <w:sz w:val="22"/>
        </w:rPr>
        <w:t xml:space="preserve"> </w:t>
      </w:r>
      <w:r>
        <w:rPr>
          <w:rFonts w:ascii="Times New Roman;Times;serif" w:hAnsi="Times New Roman;Times;serif"/>
          <w:b/>
          <w:sz w:val="24"/>
        </w:rPr>
        <w:t>2022.</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2.</w:t>
      </w:r>
      <w:r>
        <w:rPr>
          <w:rFonts w:ascii="Times New Roman;Times;serif" w:hAnsi="Times New Roman;Times;serif"/>
          <w:b/>
          <w:sz w:val="24"/>
        </w:rPr>
        <w:t xml:space="preserve">Salary. </w:t>
      </w:r>
      <w:r>
        <w:rPr>
          <w:rFonts w:ascii="Times New Roman;Times;serif" w:hAnsi="Times New Roman;Times;serif"/>
          <w:sz w:val="24"/>
        </w:rPr>
        <w:t xml:space="preserve">Your annual base salary will be </w:t>
      </w:r>
      <w:r>
        <w:rPr>
          <w:rFonts w:ascii="Times New Roman;Times;serif" w:hAnsi="Times New Roman;Times;serif"/>
          <w:b/>
          <w:sz w:val="24"/>
        </w:rPr>
        <w:t>$450,000</w:t>
      </w:r>
      <w:r>
        <w:rPr>
          <w:rFonts w:ascii="Times New Roman;Times;serif" w:hAnsi="Times New Roman;Times;serif"/>
          <w:sz w:val="24"/>
        </w:rPr>
        <w:t>, less applicable deductions and withholdings, payable in accordance with the Company’s payroll practices, as may be in effect from time to</w:t>
      </w:r>
      <w:r>
        <w:rPr>
          <w:rFonts w:ascii="Times New Roman;Times;serif" w:hAnsi="Times New Roman;Times;serif"/>
          <w:spacing w:val="2"/>
          <w:sz w:val="22"/>
        </w:rPr>
        <w:t xml:space="preserve"> </w:t>
      </w:r>
      <w:r>
        <w:rPr>
          <w:rFonts w:ascii="Times New Roman;Times;serif" w:hAnsi="Times New Roman;Times;serif"/>
          <w:sz w:val="24"/>
        </w:rPr>
        <w:t>time.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3.</w:t>
      </w:r>
      <w:r>
        <w:rPr>
          <w:rFonts w:ascii="Times New Roman;Times;serif" w:hAnsi="Times New Roman;Times;serif"/>
          <w:b/>
          <w:sz w:val="24"/>
        </w:rPr>
        <w:t xml:space="preserve">Benefits. </w:t>
      </w:r>
      <w:r>
        <w:rPr>
          <w:rFonts w:ascii="Times New Roman;Times;serif" w:hAnsi="Times New Roman;Times;serif"/>
          <w:sz w:val="24"/>
        </w:rPr>
        <w:t>You will be eligible to participate in the Company’s standard benefit programs, subject to the terms and conditions of such plans. The Company may, from time to time, change these benefits in its</w:t>
      </w:r>
      <w:r>
        <w:rPr>
          <w:rFonts w:ascii="Times New Roman;Times;serif" w:hAnsi="Times New Roman;Times;serif"/>
          <w:spacing w:val="-10"/>
          <w:sz w:val="22"/>
        </w:rPr>
        <w:t xml:space="preserve"> </w:t>
      </w:r>
      <w:r>
        <w:rPr>
          <w:rFonts w:ascii="Times New Roman;Times;serif" w:hAnsi="Times New Roman;Times;serif"/>
          <w:sz w:val="24"/>
        </w:rPr>
        <w:t>discretion.</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4.</w:t>
      </w:r>
      <w:r>
        <w:rPr>
          <w:rFonts w:ascii="Times New Roman;Times;serif" w:hAnsi="Times New Roman;Times;serif"/>
          <w:b/>
          <w:sz w:val="24"/>
        </w:rPr>
        <w:t xml:space="preserve">Equity Awards. </w:t>
      </w:r>
      <w:r>
        <w:rPr>
          <w:rFonts w:ascii="Times New Roman;Times;serif" w:hAnsi="Times New Roman;Times;serif"/>
          <w:sz w:val="24"/>
        </w:rPr>
        <w:t xml:space="preserve">Subject to approval by the Board of Directors, the Company  will grant you an option to purchase </w:t>
      </w:r>
      <w:r>
        <w:rPr>
          <w:rFonts w:ascii="Times New Roman;Times;serif" w:hAnsi="Times New Roman;Times;serif"/>
          <w:b/>
          <w:sz w:val="24"/>
        </w:rPr>
        <w:t xml:space="preserve">250,000 </w:t>
      </w:r>
      <w:r>
        <w:rPr>
          <w:rFonts w:ascii="Times New Roman;Times;serif" w:hAnsi="Times New Roman;Times;serif"/>
          <w:sz w:val="24"/>
        </w:rPr>
        <w:t>shares of the Company’s common stock (the “Option”). The Option shall vest over a four-year period, with one quarter (1/4) of the shares subject to the Option vesting on the one year anniversary of the date of grant, and the remaining shares vesting equally over the following thirty-six (36) months of continuous service. The Option shall be issued pursuant to the terms and conditions of the Company’s Equity Incentive Plan (the “Plan”), at an exercise price equal to 100% of the fair market value of the Company’s common stock on the date of grant, as provided in the Plan and consistent with the requirements for an exemption from the application of Section 409A of the Internal Revenue Code (the “Code”), and shall be governed in all respects by the terms of the Plan, the grant notices and the option</w:t>
      </w:r>
      <w:r>
        <w:rPr>
          <w:rFonts w:ascii="Times New Roman;Times;serif" w:hAnsi="Times New Roman;Times;serif"/>
          <w:spacing w:val="-1"/>
          <w:sz w:val="22"/>
        </w:rPr>
        <w:t xml:space="preserve"> </w:t>
      </w:r>
      <w:r>
        <w:rPr>
          <w:rFonts w:ascii="Times New Roman;Times;serif" w:hAnsi="Times New Roman;Times;serif"/>
          <w:sz w:val="24"/>
        </w:rPr>
        <w:t>agreements.</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5.</w:t>
      </w:r>
      <w:r>
        <w:rPr>
          <w:rFonts w:ascii="Times New Roman;Times;serif" w:hAnsi="Times New Roman;Times;serif"/>
          <w:b/>
          <w:sz w:val="24"/>
        </w:rPr>
        <w:t xml:space="preserve">Performance Bonuses. </w:t>
      </w:r>
      <w:r>
        <w:rPr>
          <w:rFonts w:ascii="Times New Roman;Times;serif" w:hAnsi="Times New Roman;Times;serif"/>
          <w:sz w:val="24"/>
        </w:rPr>
        <w:t xml:space="preserve">You will be eligible to earn an annual incentive bonus, with a target equal to </w:t>
      </w:r>
      <w:r>
        <w:rPr>
          <w:rFonts w:ascii="Times New Roman;Times;serif" w:hAnsi="Times New Roman;Times;serif"/>
          <w:b/>
          <w:sz w:val="24"/>
        </w:rPr>
        <w:t xml:space="preserve">40% </w:t>
      </w:r>
      <w:r>
        <w:rPr>
          <w:rFonts w:ascii="Times New Roman;Times;serif" w:hAnsi="Times New Roman;Times;serif"/>
          <w:sz w:val="24"/>
        </w:rPr>
        <w:t>of your annual base salary. Whether you receive a bonus, and the amount of any such bonus, shall be determined by the Board in its sole discretion, and shall be based upon achievement of performance objectives to be mutually agreed upon between you and the Chief Executive Officer and other criteria to be determined by the Board. Any annual bonus shall be paid within 30 days after the Board’s determination that a bonus shall be awarded and in any event shall be paid by March 15 for the immediately preceding year. If your employment terminates for any reason prior to the end of the calendar year, then you will not have earned a bonus for that year and will not receive any portion of it. Notwithstanding the foregoing, if your employment is terminated by the Company without Cause (as defined below), or you resign for Good Reason (as defined below), in either case after the end of a calendar year, but before the bonus for that year has been paid, then you will remain eligible to a bonus for that preceding year, to be awarded and paid on the same terms as the remaining executive</w:t>
      </w:r>
      <w:r>
        <w:rPr>
          <w:rFonts w:ascii="Times New Roman;Times;serif" w:hAnsi="Times New Roman;Times;serif"/>
          <w:spacing w:val="-13"/>
          <w:sz w:val="22"/>
        </w:rPr>
        <w:t xml:space="preserve"> </w:t>
      </w:r>
      <w:r>
        <w:rPr>
          <w:rFonts w:ascii="Times New Roman;Times;serif" w:hAnsi="Times New Roman;Times;serif"/>
          <w:sz w:val="24"/>
        </w:rPr>
        <w:t>team.</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6.</w:t>
      </w:r>
      <w:r>
        <w:rPr>
          <w:rFonts w:ascii="Times New Roman;Times;serif" w:hAnsi="Times New Roman;Times;serif"/>
          <w:b/>
          <w:sz w:val="24"/>
        </w:rPr>
        <w:t xml:space="preserve">Signing Bonus. </w:t>
      </w:r>
      <w:r>
        <w:rPr>
          <w:rFonts w:ascii="Times New Roman;Times;serif" w:hAnsi="Times New Roman;Times;serif"/>
          <w:sz w:val="24"/>
        </w:rPr>
        <w:t xml:space="preserve">Within thirty (30) days after the Start Date, the Company will  pay you a signing bonus of </w:t>
      </w:r>
      <w:r>
        <w:rPr>
          <w:rFonts w:ascii="Times New Roman;Times;serif" w:hAnsi="Times New Roman;Times;serif"/>
          <w:b/>
          <w:sz w:val="24"/>
        </w:rPr>
        <w:t xml:space="preserve">$150,000, </w:t>
      </w:r>
      <w:r>
        <w:rPr>
          <w:rFonts w:ascii="Times New Roman;Times;serif" w:hAnsi="Times New Roman;Times;serif"/>
          <w:sz w:val="24"/>
        </w:rPr>
        <w:t xml:space="preserve">less deductions and withholdings. In the event your employment with the Company ends due to a termination for Cause, or you resign without Good Reason, within one (1) year after the Start Date, you will be required to repay 100% of the gross amount of the signing bonus to the Company within thirty (30) days after your last day </w:t>
      </w:r>
      <w:r>
        <w:rPr>
          <w:rFonts w:ascii="Times New Roman;Times;serif" w:hAnsi="Times New Roman;Times;serif"/>
          <w:spacing w:val="-5"/>
          <w:sz w:val="24"/>
        </w:rPr>
        <w:t xml:space="preserve">of </w:t>
      </w:r>
      <w:r>
        <w:rPr>
          <w:rFonts w:ascii="Times New Roman;Times;serif" w:hAnsi="Times New Roman;Times;serif"/>
          <w:sz w:val="24"/>
        </w:rPr>
        <w:t>employment. In the event your employment with the Company ends due to a termination for Cause, or you resign without Good Reason, after you complete one (1) year of employment with the Company, but before you complete (2) years of employment with the Company, then you will be required to repay 50% of the gross amount of the signing bonus to the Company within thirty (30) days after your last day of</w:t>
      </w:r>
      <w:r>
        <w:rPr>
          <w:rFonts w:ascii="Times New Roman;Times;serif" w:hAnsi="Times New Roman;Times;serif"/>
          <w:spacing w:val="-9"/>
          <w:sz w:val="22"/>
        </w:rPr>
        <w:t xml:space="preserve"> </w:t>
      </w:r>
      <w:r>
        <w:rPr>
          <w:rFonts w:ascii="Times New Roman;Times;serif" w:hAnsi="Times New Roman;Times;serif"/>
          <w:sz w:val="24"/>
        </w:rPr>
        <w:t>employment.</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7.</w:t>
      </w:r>
      <w:r>
        <w:rPr>
          <w:rFonts w:ascii="Times New Roman;Times;serif" w:hAnsi="Times New Roman;Times;serif"/>
          <w:b/>
          <w:sz w:val="24"/>
        </w:rPr>
        <w:t>At Will Employment; Severance.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(a)</w:t>
      </w:r>
      <w:r>
        <w:rPr>
          <w:rFonts w:ascii="Times New Roman;Times;serif" w:hAnsi="Times New Roman;Times;serif"/>
          <w:b/>
          <w:sz w:val="24"/>
        </w:rPr>
        <w:t>At-Will Employment</w:t>
      </w:r>
      <w:r>
        <w:rPr>
          <w:rFonts w:ascii="Times New Roman;Times;serif" w:hAnsi="Times New Roman;Times;serif"/>
          <w:sz w:val="24"/>
        </w:rPr>
        <w:t xml:space="preserve">. Your employment with Company will </w:t>
      </w:r>
      <w:r>
        <w:rPr>
          <w:rFonts w:ascii="Times New Roman;Times;serif" w:hAnsi="Times New Roman;Times;serif"/>
          <w:spacing w:val="-3"/>
          <w:sz w:val="24"/>
        </w:rPr>
        <w:t xml:space="preserve">be </w:t>
      </w:r>
      <w:r>
        <w:rPr>
          <w:rFonts w:ascii="Times New Roman;Times;serif" w:hAnsi="Times New Roman;Times;serif"/>
          <w:sz w:val="22"/>
        </w:rPr>
        <w:t>“</w:t>
      </w:r>
      <w:r>
        <w:rPr>
          <w:rFonts w:ascii="Times New Roman;Times;serif" w:hAnsi="Times New Roman;Times;serif"/>
          <w:sz w:val="24"/>
        </w:rPr>
        <w:t>at- will.” This means that either you or Company may terminate your employment at any time, with or without Cause (as defined below), and with or without advance</w:t>
      </w:r>
      <w:r>
        <w:rPr>
          <w:rFonts w:ascii="Times New Roman;Times;serif" w:hAnsi="Times New Roman;Times;serif"/>
          <w:spacing w:val="-5"/>
          <w:sz w:val="22"/>
        </w:rPr>
        <w:t xml:space="preserve"> </w:t>
      </w:r>
      <w:r>
        <w:rPr>
          <w:rFonts w:ascii="Times New Roman;Times;serif" w:hAnsi="Times New Roman;Times;serif"/>
          <w:sz w:val="24"/>
        </w:rPr>
        <w:t>notice.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(b)</w:t>
      </w:r>
      <w:r>
        <w:rPr>
          <w:rFonts w:ascii="Times New Roman;Times;serif" w:hAnsi="Times New Roman;Times;serif"/>
          <w:b/>
          <w:sz w:val="24"/>
        </w:rPr>
        <w:t xml:space="preserve">Termination For Cause; Resignation Without Good Reason. </w:t>
      </w:r>
      <w:r>
        <w:rPr>
          <w:rFonts w:ascii="Times New Roman;Times;serif" w:hAnsi="Times New Roman;Times;serif"/>
          <w:sz w:val="24"/>
        </w:rPr>
        <w:t>If, at any time, the Company terminates your employment for Cause (as defined herein), or if you resign without Good Reason (as defined below), or if your employment terminates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severance</w:t>
      </w:r>
      <w:r>
        <w:rPr>
          <w:rFonts w:ascii="Times New Roman;Times;serif" w:hAnsi="Times New Roman;Times;serif"/>
          <w:spacing w:val="-2"/>
          <w:sz w:val="22"/>
        </w:rPr>
        <w:t xml:space="preserve"> </w:t>
      </w:r>
      <w:r>
        <w:rPr>
          <w:rFonts w:ascii="Times New Roman;Times;serif" w:hAnsi="Times New Roman;Times;serif"/>
          <w:sz w:val="24"/>
        </w:rPr>
        <w:t>benefits.</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(c)</w:t>
      </w:r>
      <w:r>
        <w:rPr>
          <w:rFonts w:ascii="Times New Roman;Times;serif" w:hAnsi="Times New Roman;Times;serif"/>
          <w:b/>
          <w:sz w:val="24"/>
        </w:rPr>
        <w:t xml:space="preserve">Termination without Cause or Resignation for Good Reason Unrelated to Change in Control. </w:t>
      </w:r>
      <w:r>
        <w:rPr>
          <w:rFonts w:ascii="Times New Roman;Times;serif" w:hAnsi="Times New Roman;Times;serif"/>
          <w:sz w:val="24"/>
        </w:rPr>
        <w:t>If, at any time outside the Change in Control Period (as defined below), the Company terminates your employment without Cause, or you resign for Good Reason, and other than as a result of your death or disability, and provided such termination constitutes a “separation from service” (as defined under Treasury Regulation Section 1.409A-1(h), without regard to any alternative definition thereunder, a “Separation from Service”), then subject to the preconditions set forth in Section 8 below, you shall be entitled to receive the following severance</w:t>
      </w:r>
      <w:r>
        <w:rPr>
          <w:rFonts w:ascii="Times New Roman;Times;serif" w:hAnsi="Times New Roman;Times;serif"/>
          <w:spacing w:val="2"/>
          <w:sz w:val="22"/>
        </w:rPr>
        <w:t xml:space="preserve"> </w:t>
      </w:r>
      <w:r>
        <w:rPr>
          <w:rFonts w:ascii="Times New Roman;Times;serif" w:hAnsi="Times New Roman;Times;serif"/>
          <w:sz w:val="24"/>
        </w:rPr>
        <w:t>benefits:</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w:t>
      </w:r>
      <w:r>
        <w:rPr>
          <w:rFonts w:ascii="Times New Roman;Times;serif" w:hAnsi="Times New Roman;Times;serif"/>
          <w:sz w:val="24"/>
        </w:rPr>
        <w:t>The Company will pay you an amount equal to 12 months of your then-current base salary (excluding any salary reduction that served as the basis for any Good Reason resignation), less all applicable withholdings and deductions, paid over such 12-month period, on the schedule described in Section 8 below.</w:t>
      </w:r>
    </w:p>
    <w:p>
      <w:pPr>
        <w:pStyle w:val="TextBody"/>
        <w:spacing w:before="9"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(ii)</w:t>
      </w:r>
      <w:r>
        <w:rPr>
          <w:rFonts w:ascii="Times New Roman;Times;serif" w:hAnsi="Times New Roman;Times;serif"/>
          <w:sz w:val="24"/>
        </w:rPr>
        <w:t>You will remain eligible for an annual bonus for the year in which your Separation from Service is effective, with the bonus amount to be determined by the Board (or the Compensation Committee thereof) based on corporate performance during the year, and then prorated based on your months of service during the applicable bonus year. Any bonus awarded will be subject to deductions and withholdings and paid at the same time as when bonuses are paid to the rest of senior</w:t>
      </w:r>
      <w:r>
        <w:rPr>
          <w:rFonts w:ascii="Times New Roman;Times;serif" w:hAnsi="Times New Roman;Times;serif"/>
          <w:spacing w:val="-4"/>
          <w:sz w:val="22"/>
        </w:rPr>
        <w:t xml:space="preserve"> </w:t>
      </w:r>
      <w:r>
        <w:rPr>
          <w:rFonts w:ascii="Times New Roman;Times;serif" w:hAnsi="Times New Roman;Times;serif"/>
          <w:sz w:val="24"/>
        </w:rPr>
        <w:t>management.</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(iii)</w:t>
      </w:r>
      <w:r>
        <w:rPr>
          <w:rFonts w:ascii="Times New Roman;Times;serif" w:hAnsi="Times New Roman;Times;serif"/>
          <w:sz w:val="24"/>
        </w:rPr>
        <w:t>If you timely elect continued coverage under COBRA for yourself and your covered dependents under the Company’s group health plans following such termination or resignation of employment, then the Company shall pay the entire COBRA premiums necessary to continue your health insurance coverage in effect for yourself and your eligible dependents on the termination date until the earliest of (A) the close of the 12 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w:t>
      </w:r>
      <w:r>
        <w:rPr>
          <w:rFonts w:ascii="Times New Roman;Times;serif" w:hAnsi="Times New Roman;Times;serif"/>
          <w:spacing w:val="-15"/>
          <w:sz w:val="22"/>
        </w:rPr>
        <w:t xml:space="preserve"> </w:t>
      </w:r>
      <w:r>
        <w:rPr>
          <w:rFonts w:ascii="Times New Roman;Times;serif" w:hAnsi="Times New Roman;Times;serif"/>
          <w:sz w:val="24"/>
        </w:rPr>
        <w:t>cease.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(iv)</w:t>
      </w:r>
      <w:r>
        <w:rPr>
          <w:rFonts w:ascii="Times New Roman;Times;serif" w:hAnsi="Times New Roman;Times;serif"/>
          <w:sz w:val="24"/>
        </w:rPr>
        <w:t>In the event your separation occurs after you complete one year of service with the Company, then the Company will accelerate the vesting of the Option such that 50% of the then unvested shares shall be deemed vested and</w:t>
      </w:r>
      <w:r>
        <w:rPr>
          <w:rFonts w:ascii="Times New Roman;Times;serif" w:hAnsi="Times New Roman;Times;serif"/>
          <w:spacing w:val="-5"/>
          <w:sz w:val="22"/>
        </w:rPr>
        <w:t xml:space="preserve"> </w:t>
      </w:r>
      <w:r>
        <w:rPr>
          <w:rFonts w:ascii="Times New Roman;Times;serif" w:hAnsi="Times New Roman;Times;serif"/>
          <w:sz w:val="24"/>
        </w:rPr>
        <w:t>exercisable.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(d)</w:t>
      </w:r>
      <w:r>
        <w:rPr>
          <w:rFonts w:ascii="Times New Roman;Times;serif" w:hAnsi="Times New Roman;Times;serif"/>
          <w:b/>
          <w:sz w:val="24"/>
        </w:rPr>
        <w:t xml:space="preserve">Termination without Cause or Resignation for Good Reason In Connection With Change in Control. </w:t>
      </w:r>
      <w:r>
        <w:rPr>
          <w:rFonts w:ascii="Times New Roman;Times;serif" w:hAnsi="Times New Roman;Times;serif"/>
          <w:sz w:val="24"/>
        </w:rPr>
        <w:t>If, at any time within the Change in Control Period (as defined below), the Company terminates your employment without Cause, or you resign for Good Reason, and other than as a result of your death or disability, and provided such termination constitutes a Separation from Service, then subject to the preconditions set forth in Section 8 below, you shall be entitled to receive the following severance</w:t>
      </w:r>
      <w:r>
        <w:rPr>
          <w:rFonts w:ascii="Times New Roman;Times;serif" w:hAnsi="Times New Roman;Times;serif"/>
          <w:spacing w:val="-5"/>
          <w:sz w:val="22"/>
        </w:rPr>
        <w:t xml:space="preserve"> </w:t>
      </w:r>
      <w:r>
        <w:rPr>
          <w:rFonts w:ascii="Times New Roman;Times;serif" w:hAnsi="Times New Roman;Times;serif"/>
          <w:sz w:val="24"/>
        </w:rPr>
        <w:t>benefits:</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w:t>
      </w:r>
      <w:r>
        <w:rPr>
          <w:rFonts w:ascii="Times New Roman;Times;serif" w:hAnsi="Times New Roman;Times;serif"/>
          <w:sz w:val="24"/>
        </w:rPr>
        <w:t>The Company will pay you a lump-sum amount equal to 12 months of your then-current base salary plus your target bonus for the year in which your termination occurs (less deductions and withholdings)(excluding any salary or bonus reduction that served as the basis for any Good Reason</w:t>
      </w:r>
      <w:r>
        <w:rPr>
          <w:rFonts w:ascii="Times New Roman;Times;serif" w:hAnsi="Times New Roman;Times;serif"/>
          <w:spacing w:val="-7"/>
          <w:sz w:val="22"/>
        </w:rPr>
        <w:t xml:space="preserve"> </w:t>
      </w:r>
      <w:r>
        <w:rPr>
          <w:rFonts w:ascii="Times New Roman;Times;serif" w:hAnsi="Times New Roman;Times;serif"/>
          <w:sz w:val="24"/>
        </w:rPr>
        <w:t>resignation).</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(ii)</w:t>
      </w:r>
      <w:r>
        <w:rPr>
          <w:rFonts w:ascii="Times New Roman;Times;serif" w:hAnsi="Times New Roman;Times;serif"/>
          <w:sz w:val="24"/>
        </w:rPr>
        <w:t>You will remain eligible for an annual bonus for the year in which your Separation from Service is effective, with the bonus amount to be determined by the Board (or the Compensation Committee thereof) based on corporate performance during the year, and then prorated based on your months of service during the applicable bonus year. Any bonus awarded will be subject to deductions and withholdings and paid at the same time as when bonuses are paid to the rest of senior</w:t>
      </w:r>
      <w:r>
        <w:rPr>
          <w:rFonts w:ascii="Times New Roman;Times;serif" w:hAnsi="Times New Roman;Times;serif"/>
          <w:spacing w:val="-4"/>
          <w:sz w:val="22"/>
        </w:rPr>
        <w:t xml:space="preserve"> </w:t>
      </w:r>
      <w:r>
        <w:rPr>
          <w:rFonts w:ascii="Times New Roman;Times;serif" w:hAnsi="Times New Roman;Times;serif"/>
          <w:sz w:val="24"/>
        </w:rPr>
        <w:t>management.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(iii)</w:t>
      </w:r>
      <w:r>
        <w:rPr>
          <w:rFonts w:ascii="Times New Roman;Times;serif" w:hAnsi="Times New Roman;Times;serif"/>
          <w:sz w:val="24"/>
        </w:rPr>
        <w:t>If you timely elect continued coverage under COBRA for yourself and your covered dependents under the Company’s group health plans following such termination or resignation of employment, then the Company shall pay the entire COBRA premiums necessary to continue your health insurance coverage in effect for yourself and your eligible dependents on the termination date until the earliest of (A) the close of the 12 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r>
        <w:rPr>
          <w:rFonts w:ascii="Times New Roman;Times;serif" w:hAnsi="Times New Roman;Times;serif"/>
          <w:spacing w:val="-17"/>
          <w:sz w:val="22"/>
        </w:rPr>
        <w:t xml:space="preserve"> </w:t>
      </w:r>
      <w:r>
        <w:rPr>
          <w:rFonts w:ascii="Times New Roman;Times;serif" w:hAnsi="Times New Roman;Times;serif"/>
          <w:sz w:val="24"/>
        </w:rPr>
        <w:t>and</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(iv)</w:t>
      </w:r>
      <w:r>
        <w:rPr>
          <w:rFonts w:ascii="Times New Roman;Times;serif" w:hAnsi="Times New Roman;Times;serif"/>
          <w:sz w:val="24"/>
        </w:rPr>
        <w:t>The Company will accelerate the time-based vesting of your equity grants such that you will be deemed fully vested as to service in all such shares.</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8.</w:t>
      </w:r>
      <w:r>
        <w:rPr>
          <w:rFonts w:ascii="Times New Roman;Times;serif" w:hAnsi="Times New Roman;Times;serif"/>
          <w:b/>
          <w:sz w:val="24"/>
        </w:rPr>
        <w:t xml:space="preserve">Severance Conditions. </w:t>
      </w:r>
      <w:r>
        <w:rPr>
          <w:rFonts w:ascii="Times New Roman;Times;serif" w:hAnsi="Times New Roman;Times;serif"/>
          <w:sz w:val="24"/>
        </w:rPr>
        <w:t>Your receipt of the severance benefits set  forth  in Section 7 is conditional upon (a) your continuing to comply with your obligations under your Employee Proprietary Information and Invention Assignment Agreement; and (b) your delivering to the Company an effective, general release of claims in favor of the Company within 60 days following your termination date. The salary continuation set forth in Section 7(c)(i) will be paid in equal installments on the Company’s regular payroll schedule and will be subject to applicable tax withholdings over the period outlined above following the date of your termination date; provided, however, that no payments will be made prior to the 60th day following your Separation from Service. On the 60th day following your Separation from Service, the Company will pay you in a lump sum the salary continuation that you would have received on or prior to such date under the original schedule but for the delay while waiting for the 60th day in compliance with Section 409A (“Section 409A”) of the Internal Revenue Code of 1986, as amended (the “Code”) and the effectiveness of the release, with the balance of the salary continuation being paid as originally</w:t>
      </w:r>
      <w:r>
        <w:rPr>
          <w:rFonts w:ascii="Times New Roman;Times;serif" w:hAnsi="Times New Roman;Times;serif"/>
          <w:spacing w:val="-7"/>
          <w:sz w:val="22"/>
        </w:rPr>
        <w:t xml:space="preserve"> </w:t>
      </w:r>
      <w:r>
        <w:rPr>
          <w:rFonts w:ascii="Times New Roman;Times;serif" w:hAnsi="Times New Roman;Times;serif"/>
          <w:sz w:val="24"/>
        </w:rPr>
        <w:t>scheduled.</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9.</w:t>
      </w:r>
      <w:r>
        <w:rPr>
          <w:rFonts w:ascii="Times New Roman;Times;serif" w:hAnsi="Times New Roman;Times;serif"/>
          <w:b/>
          <w:sz w:val="22"/>
        </w:rPr>
        <w:t>Definitions.</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(a)</w:t>
      </w:r>
      <w:r>
        <w:rPr>
          <w:rFonts w:ascii="Times New Roman;Times;serif" w:hAnsi="Times New Roman;Times;serif"/>
          <w:b/>
          <w:sz w:val="24"/>
        </w:rPr>
        <w:t xml:space="preserve">Cause. </w:t>
      </w:r>
      <w:r>
        <w:rPr>
          <w:rFonts w:ascii="Times New Roman;Times;serif" w:hAnsi="Times New Roman;Times;serif"/>
          <w:sz w:val="24"/>
        </w:rPr>
        <w:t>For purposes of this Agreement, “Cause” means any of the following: (i) theft, breach of fiduciary duty, or intentional falsification of Company documents or records; (ii) material failure to abide by any Company policy after written notice from the Company regarding failure to abide by such policy; (iii) intentional and unauthorized use, misappropriation, destruction or diversion of any material tangible or intangible asset or corporate opportunity of the Company (including, without limitation, improper use or disclosure of the Company’s confidential or proprietary information); (iv) any intentional act that has a material detrimental effect on the Company’s reputation or business; (v) repeated failure or inability to perform any reasonable assigned duties after written notice from the Company of, and a reasonable opportunity to cure, such failure or inability; (vi) any material breach of any contractual or legal obligation to the Company and the failure to cure within ten days after delivery of written notice thereof (to the extent such breach or violation is curable); or (vii) conviction (including any plea of guilty or nolo contendere) of any</w:t>
      </w:r>
      <w:r>
        <w:rPr>
          <w:rFonts w:ascii="Times New Roman;Times;serif" w:hAnsi="Times New Roman;Times;serif"/>
          <w:spacing w:val="-7"/>
          <w:sz w:val="22"/>
        </w:rPr>
        <w:t xml:space="preserve"> </w:t>
      </w:r>
      <w:r>
        <w:rPr>
          <w:rFonts w:ascii="Times New Roman;Times;serif" w:hAnsi="Times New Roman;Times;serif"/>
          <w:sz w:val="24"/>
        </w:rPr>
        <w:t>felony.</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(b)</w:t>
      </w:r>
      <w:r>
        <w:rPr>
          <w:rFonts w:ascii="Times New Roman;Times;serif" w:hAnsi="Times New Roman;Times;serif"/>
          <w:b/>
          <w:sz w:val="24"/>
        </w:rPr>
        <w:t>Good</w:t>
      </w:r>
      <w:r>
        <w:rPr>
          <w:rFonts w:ascii="Times New Roman;Times;serif" w:hAnsi="Times New Roman;Times;serif"/>
          <w:spacing w:val="44"/>
          <w:sz w:val="22"/>
        </w:rPr>
        <w:t xml:space="preserve"> </w:t>
      </w:r>
      <w:r>
        <w:rPr>
          <w:rFonts w:ascii="Times New Roman;Times;serif" w:hAnsi="Times New Roman;Times;serif"/>
          <w:b/>
          <w:sz w:val="24"/>
        </w:rPr>
        <w:t xml:space="preserve">Reason. </w:t>
      </w:r>
      <w:r>
        <w:rPr>
          <w:rFonts w:ascii="Times New Roman;Times;serif" w:hAnsi="Times New Roman;Times;serif"/>
          <w:sz w:val="24"/>
        </w:rPr>
        <w:t>For</w:t>
      </w:r>
      <w:r>
        <w:rPr>
          <w:rFonts w:ascii="Times New Roman;Times;serif" w:hAnsi="Times New Roman;Times;serif"/>
          <w:spacing w:val="46"/>
          <w:sz w:val="22"/>
        </w:rPr>
        <w:t xml:space="preserve"> </w:t>
      </w:r>
      <w:r>
        <w:rPr>
          <w:rFonts w:ascii="Times New Roman;Times;serif" w:hAnsi="Times New Roman;Times;serif"/>
          <w:sz w:val="24"/>
        </w:rPr>
        <w:t>purposes</w:t>
      </w:r>
      <w:r>
        <w:rPr>
          <w:rFonts w:ascii="Times New Roman;Times;serif" w:hAnsi="Times New Roman;Times;serif"/>
          <w:spacing w:val="45"/>
          <w:sz w:val="22"/>
        </w:rPr>
        <w:t xml:space="preserve"> </w:t>
      </w:r>
      <w:r>
        <w:rPr>
          <w:rFonts w:ascii="Times New Roman;Times;serif" w:hAnsi="Times New Roman;Times;serif"/>
          <w:sz w:val="24"/>
        </w:rPr>
        <w:t>of</w:t>
      </w:r>
      <w:r>
        <w:rPr>
          <w:rFonts w:ascii="Times New Roman;Times;serif" w:hAnsi="Times New Roman;Times;serif"/>
          <w:spacing w:val="46"/>
          <w:sz w:val="22"/>
        </w:rPr>
        <w:t xml:space="preserve"> </w:t>
      </w:r>
      <w:r>
        <w:rPr>
          <w:rFonts w:ascii="Times New Roman;Times;serif" w:hAnsi="Times New Roman;Times;serif"/>
          <w:sz w:val="24"/>
        </w:rPr>
        <w:t>this</w:t>
      </w:r>
      <w:r>
        <w:rPr>
          <w:rFonts w:ascii="Times New Roman;Times;serif" w:hAnsi="Times New Roman;Times;serif"/>
          <w:spacing w:val="45"/>
          <w:sz w:val="22"/>
        </w:rPr>
        <w:t xml:space="preserve"> </w:t>
      </w:r>
      <w:r>
        <w:rPr>
          <w:rFonts w:ascii="Times New Roman;Times;serif" w:hAnsi="Times New Roman;Times;serif"/>
          <w:sz w:val="24"/>
        </w:rPr>
        <w:t>Agreement,</w:t>
      </w:r>
      <w:r>
        <w:rPr>
          <w:rFonts w:ascii="Times New Roman;Times;serif" w:hAnsi="Times New Roman;Times;serif"/>
          <w:spacing w:val="45"/>
          <w:sz w:val="22"/>
        </w:rPr>
        <w:t xml:space="preserve"> </w:t>
      </w:r>
      <w:r>
        <w:rPr>
          <w:rFonts w:ascii="Times New Roman;Times;serif" w:hAnsi="Times New Roman;Times;serif"/>
          <w:sz w:val="22"/>
        </w:rPr>
        <w:t>“</w:t>
      </w:r>
      <w:r>
        <w:rPr>
          <w:rFonts w:ascii="Times New Roman;Times;serif" w:hAnsi="Times New Roman;Times;serif"/>
          <w:sz w:val="24"/>
        </w:rPr>
        <w:t>Good</w:t>
      </w:r>
      <w:r>
        <w:rPr>
          <w:rFonts w:ascii="Times New Roman;Times;serif" w:hAnsi="Times New Roman;Times;serif"/>
          <w:spacing w:val="47"/>
          <w:sz w:val="22"/>
        </w:rPr>
        <w:t xml:space="preserve"> </w:t>
      </w:r>
      <w:r>
        <w:rPr>
          <w:rFonts w:ascii="Times New Roman;Times;serif" w:hAnsi="Times New Roman;Times;serif"/>
          <w:sz w:val="24"/>
        </w:rPr>
        <w:t>Reason”</w:t>
      </w:r>
      <w:r>
        <w:rPr>
          <w:rFonts w:ascii="Times New Roman;Times;serif" w:hAnsi="Times New Roman;Times;serif"/>
          <w:spacing w:val="44"/>
          <w:sz w:val="22"/>
        </w:rPr>
        <w:t xml:space="preserve"> </w:t>
      </w:r>
      <w:r>
        <w:rPr>
          <w:rFonts w:ascii="Times New Roman;Times;serif" w:hAnsi="Times New Roman;Times;serif"/>
          <w:sz w:val="24"/>
        </w:rPr>
        <w:t>shall</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mean that you have resigned based on the occurrence of any of the following events: (i) a material diminution in your total target cash compensation (base and bonus) of more than 10% except for across-the-board salary reductions similarly affecting all or substantially all senior executives of the Company; (ii) a change in the geographic location of your primary place of work that results in an increase in your one-way commute by more than 25 miles (provided, however, that this subclause (ii) shall only be applicable after the Company resumes normal in- person office operations in connection with the COVID-19 pandemic); (iii) a material reduction in your job duties or responsibilities reporting directly to the Chief Executive Officer; or (iv) a material breach of this Agreement by the Company; provided, however, that you shall not be deemed to have Good Reason if the Company survives as a separate legal entity following a Change in Control and you hold materially the same position in such legal entity as before the Change in Control. A resignation will only be for Good Reason if you deliver written notice of such condition to the Company within 30 days after the initial occurrence of such condition, the Company has failed to cure such condition within 30 days after the delivery of such notice, and you in fact resign within 45 days after you deliver the initial notice.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(c)</w:t>
      </w:r>
      <w:r>
        <w:rPr>
          <w:rFonts w:ascii="Times New Roman;Times;serif" w:hAnsi="Times New Roman;Times;serif"/>
          <w:b/>
          <w:sz w:val="24"/>
        </w:rPr>
        <w:t xml:space="preserve">Change in Control. </w:t>
      </w:r>
      <w:r>
        <w:rPr>
          <w:rFonts w:ascii="Times New Roman;Times;serif" w:hAnsi="Times New Roman;Times;serif"/>
          <w:sz w:val="24"/>
        </w:rPr>
        <w:t>For purposes of this Agreement, “Change in  Control” means (i) a sale of all or substantially all of the Company’s assets other than to an Excluded Entity (as defined below); (ii) a merger, consolidation or other capital reorganization or business combination transaction of the Company with or into another corporation,</w:t>
      </w:r>
      <w:r>
        <w:rPr>
          <w:rFonts w:ascii="Times New Roman;Times;serif" w:hAnsi="Times New Roman;Times;serif"/>
          <w:spacing w:val="28"/>
          <w:sz w:val="22"/>
        </w:rPr>
        <w:t xml:space="preserve"> </w:t>
      </w:r>
      <w:r>
        <w:rPr>
          <w:rFonts w:ascii="Times New Roman;Times;serif" w:hAnsi="Times New Roman;Times;serif"/>
          <w:sz w:val="24"/>
        </w:rPr>
        <w:t>limited liability company or other entity other than an Excluded Entity; or (iii) the consummation of a transaction, or series of related transactions, in which any “person” (as such term is used in Sections 13(d) and 14(d) of the Securities Exchange Act of 1934, as amended) becomes the “beneficial owner” (as defined in Rule 13d-3 of the Securities Exchange Act of 1934, as amended), directly or indirectly, of all of the Company’s then outstanding voting securities. An “Excluded Entity” means a corporation or other entity of which the holders of voting capital stock of the Company outstanding immediately prior to such transaction are the direct or indirect holders of voting securities representing a majority of the votes entitled to be cast by all of such corporation’s or other entity’s voting securities outstanding immediately after such</w:t>
      </w:r>
      <w:r>
        <w:rPr>
          <w:rFonts w:ascii="Times New Roman;Times;serif" w:hAnsi="Times New Roman;Times;serif"/>
          <w:spacing w:val="-17"/>
          <w:sz w:val="22"/>
        </w:rPr>
        <w:t xml:space="preserve"> </w:t>
      </w:r>
      <w:r>
        <w:rPr>
          <w:rFonts w:ascii="Times New Roman;Times;serif" w:hAnsi="Times New Roman;Times;serif"/>
          <w:sz w:val="24"/>
        </w:rPr>
        <w:t>transaction.</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(d)</w:t>
      </w:r>
      <w:r>
        <w:rPr>
          <w:rFonts w:ascii="Times New Roman;Times;serif" w:hAnsi="Times New Roman;Times;serif"/>
          <w:b/>
          <w:sz w:val="24"/>
        </w:rPr>
        <w:t xml:space="preserve">Change in Control Period. </w:t>
      </w:r>
      <w:r>
        <w:rPr>
          <w:rFonts w:ascii="Times New Roman;Times;serif" w:hAnsi="Times New Roman;Times;serif"/>
          <w:sz w:val="24"/>
        </w:rPr>
        <w:t>For purposes of this Agreement, the “Change in Control Period” shall be the period starting three months before the effective date of a Change in Control and extending through the period ending 18 months following the effective date of a Change in</w:t>
      </w:r>
      <w:r>
        <w:rPr>
          <w:rFonts w:ascii="Times New Roman;Times;serif" w:hAnsi="Times New Roman;Times;serif"/>
          <w:spacing w:val="1"/>
          <w:sz w:val="22"/>
        </w:rPr>
        <w:t xml:space="preserve"> </w:t>
      </w:r>
      <w:r>
        <w:rPr>
          <w:rFonts w:ascii="Times New Roman;Times;serif" w:hAnsi="Times New Roman;Times;serif"/>
          <w:sz w:val="24"/>
        </w:rPr>
        <w:t>Control.</w:t>
      </w:r>
    </w:p>
    <w:p>
      <w:pPr>
        <w:pStyle w:val="TextBody"/>
        <w:spacing w:before="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10.</w:t>
      </w:r>
      <w:r>
        <w:rPr>
          <w:rFonts w:ascii="Times New Roman;Times;serif" w:hAnsi="Times New Roman;Times;serif"/>
          <w:b/>
          <w:sz w:val="24"/>
        </w:rPr>
        <w:t xml:space="preserve">Section 409A. </w:t>
      </w:r>
      <w:r>
        <w:rPr>
          <w:rFonts w:ascii="Times New Roman;Times;serif" w:hAnsi="Times New Roman;Times;serif"/>
          <w:sz w:val="24"/>
        </w:rPr>
        <w:t>The payments and benefits under this Agreement are intended to qualify for exemptions from the application of Section 409A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w:t>
      </w:r>
      <w:r>
        <w:rPr>
          <w:rFonts w:ascii="Times New Roman;Times;serif" w:hAnsi="Times New Roman;Times;serif"/>
          <w:spacing w:val="28"/>
          <w:sz w:val="22"/>
        </w:rPr>
        <w:t xml:space="preserve"> </w:t>
      </w:r>
      <w:r>
        <w:rPr>
          <w:rFonts w:ascii="Times New Roman;Times;serif" w:hAnsi="Times New Roman;Times;serif"/>
          <w:sz w:val="24"/>
        </w:rPr>
        <w:t>a</w:t>
      </w:r>
      <w:r>
        <w:rPr>
          <w:rFonts w:ascii="Times New Roman;Times;serif" w:hAnsi="Times New Roman;Times;serif"/>
          <w:spacing w:val="29"/>
          <w:sz w:val="22"/>
        </w:rPr>
        <w:t xml:space="preserve"> </w:t>
      </w:r>
      <w:r>
        <w:rPr>
          <w:rFonts w:ascii="Times New Roman;Times;serif" w:hAnsi="Times New Roman;Times;serif"/>
          <w:sz w:val="24"/>
        </w:rPr>
        <w:t>separate</w:t>
      </w:r>
      <w:r>
        <w:rPr>
          <w:rFonts w:ascii="Times New Roman;Times;serif" w:hAnsi="Times New Roman;Times;serif"/>
          <w:spacing w:val="30"/>
          <w:sz w:val="22"/>
        </w:rPr>
        <w:t xml:space="preserve"> </w:t>
      </w:r>
      <w:r>
        <w:rPr>
          <w:rFonts w:ascii="Times New Roman;Times;serif" w:hAnsi="Times New Roman;Times;serif"/>
          <w:sz w:val="24"/>
        </w:rPr>
        <w:t>and</w:t>
      </w:r>
      <w:r>
        <w:rPr>
          <w:rFonts w:ascii="Times New Roman;Times;serif" w:hAnsi="Times New Roman;Times;serif"/>
          <w:spacing w:val="28"/>
          <w:sz w:val="22"/>
        </w:rPr>
        <w:t xml:space="preserve"> </w:t>
      </w:r>
      <w:r>
        <w:rPr>
          <w:rFonts w:ascii="Times New Roman;Times;serif" w:hAnsi="Times New Roman;Times;serif"/>
          <w:sz w:val="24"/>
        </w:rPr>
        <w:t>distinct</w:t>
      </w:r>
      <w:r>
        <w:rPr>
          <w:rFonts w:ascii="Times New Roman;Times;serif" w:hAnsi="Times New Roman;Times;serif"/>
          <w:spacing w:val="30"/>
          <w:sz w:val="22"/>
        </w:rPr>
        <w:t xml:space="preserve"> </w:t>
      </w:r>
      <w:r>
        <w:rPr>
          <w:rFonts w:ascii="Times New Roman;Times;serif" w:hAnsi="Times New Roman;Times;serif"/>
          <w:sz w:val="24"/>
        </w:rPr>
        <w:t>payment.</w:t>
      </w:r>
      <w:r>
        <w:rPr>
          <w:rFonts w:ascii="Times New Roman;Times;serif" w:hAnsi="Times New Roman;Times;serif"/>
          <w:spacing w:val="56"/>
          <w:sz w:val="22"/>
        </w:rPr>
        <w:t xml:space="preserve"> </w:t>
      </w:r>
      <w:r>
        <w:rPr>
          <w:rFonts w:ascii="Times New Roman;Times;serif" w:hAnsi="Times New Roman;Times;serif"/>
          <w:sz w:val="24"/>
        </w:rPr>
        <w:t>Notwithstanding</w:t>
      </w:r>
      <w:r>
        <w:rPr>
          <w:rFonts w:ascii="Times New Roman;Times;serif" w:hAnsi="Times New Roman;Times;serif"/>
          <w:spacing w:val="28"/>
          <w:sz w:val="22"/>
        </w:rPr>
        <w:t xml:space="preserve"> </w:t>
      </w:r>
      <w:r>
        <w:rPr>
          <w:rFonts w:ascii="Times New Roman;Times;serif" w:hAnsi="Times New Roman;Times;serif"/>
          <w:sz w:val="24"/>
        </w:rPr>
        <w:t>any</w:t>
      </w:r>
      <w:r>
        <w:rPr>
          <w:rFonts w:ascii="Times New Roman;Times;serif" w:hAnsi="Times New Roman;Times;serif"/>
          <w:spacing w:val="29"/>
          <w:sz w:val="22"/>
        </w:rPr>
        <w:t xml:space="preserve"> </w:t>
      </w:r>
      <w:r>
        <w:rPr>
          <w:rFonts w:ascii="Times New Roman;Times;serif" w:hAnsi="Times New Roman;Times;serif"/>
          <w:sz w:val="24"/>
        </w:rPr>
        <w:t>provision</w:t>
      </w:r>
      <w:r>
        <w:rPr>
          <w:rFonts w:ascii="Times New Roman;Times;serif" w:hAnsi="Times New Roman;Times;serif"/>
          <w:spacing w:val="28"/>
          <w:sz w:val="22"/>
        </w:rPr>
        <w:t xml:space="preserve"> </w:t>
      </w:r>
      <w:r>
        <w:rPr>
          <w:rFonts w:ascii="Times New Roman;Times;serif" w:hAnsi="Times New Roman;Times;serif"/>
          <w:sz w:val="24"/>
        </w:rPr>
        <w:t>to</w:t>
      </w:r>
      <w:r>
        <w:rPr>
          <w:rFonts w:ascii="Times New Roman;Times;serif" w:hAnsi="Times New Roman;Times;serif"/>
          <w:spacing w:val="28"/>
          <w:sz w:val="22"/>
        </w:rPr>
        <w:t xml:space="preserve"> </w:t>
      </w:r>
      <w:r>
        <w:rPr>
          <w:rFonts w:ascii="Times New Roman;Times;serif" w:hAnsi="Times New Roman;Times;serif"/>
          <w:sz w:val="24"/>
        </w:rPr>
        <w:t>the</w:t>
      </w:r>
      <w:r>
        <w:rPr>
          <w:rFonts w:ascii="Times New Roman;Times;serif" w:hAnsi="Times New Roman;Times;serif"/>
          <w:spacing w:val="30"/>
          <w:sz w:val="22"/>
        </w:rPr>
        <w:t xml:space="preserve"> </w:t>
      </w:r>
      <w:r>
        <w:rPr>
          <w:rFonts w:ascii="Times New Roman;Times;serif" w:hAnsi="Times New Roman;Times;serif"/>
          <w:sz w:val="24"/>
        </w:rPr>
        <w:t>contrary</w:t>
      </w:r>
      <w:r>
        <w:rPr>
          <w:rFonts w:ascii="Times New Roman;Times;serif" w:hAnsi="Times New Roman;Times;serif"/>
          <w:spacing w:val="28"/>
          <w:sz w:val="22"/>
        </w:rPr>
        <w:t xml:space="preserve"> </w:t>
      </w:r>
      <w:r>
        <w:rPr>
          <w:rFonts w:ascii="Times New Roman;Times;serif" w:hAnsi="Times New Roman;Times;serif"/>
          <w:sz w:val="24"/>
        </w:rPr>
        <w:t xml:space="preserve">in </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six-month period measured from the date of Separation from Service, (b) the date of your death or (c) such earlier date as permitted under Section 409A without the imposition of adverse taxation. With respect to payments to be made upon execution of an effective release, if the release revocation period spans two calendar years, payments will be made in the second of the two calendar years to the extent necessary to avoid adverse taxation under Section 409A. With respect to reimbursements or in-kind benefits provided hereunder (or otherwise) that are not exempt from Section 409A, the following rules shall apply: (x) the amount of expenses eligible for reimbursement, or in-kind benefits provided, during any one taxable year shall not affect the expenses eligible for reimbursement, or in-kind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in-kind benefits shall not be subject to liquidation or exchange for another</w:t>
      </w:r>
      <w:r>
        <w:rPr>
          <w:rFonts w:ascii="Times New Roman;Times;serif" w:hAnsi="Times New Roman;Times;serif"/>
          <w:spacing w:val="-10"/>
          <w:sz w:val="24"/>
        </w:rPr>
        <w:t xml:space="preserve"> </w:t>
      </w:r>
      <w:r>
        <w:rPr>
          <w:rFonts w:ascii="Times New Roman;Times;serif" w:hAnsi="Times New Roman;Times;serif"/>
          <w:sz w:val="24"/>
        </w:rPr>
        <w:t>benefit.</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11.</w:t>
      </w:r>
      <w:r>
        <w:rPr>
          <w:rFonts w:ascii="Times New Roman;Times;serif" w:hAnsi="Times New Roman;Times;serif"/>
          <w:b/>
          <w:sz w:val="22"/>
        </w:rPr>
        <w:t>280G.</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(a)</w:t>
      </w:r>
      <w:r>
        <w:rPr>
          <w:rFonts w:ascii="Times New Roman;Times;serif" w:hAnsi="Times New Roman;Times;serif"/>
          <w:sz w:val="24"/>
        </w:rPr>
        <w:t xml:space="preserve">If any payment or benefit you will or may receive from the Company or from another source </w:t>
      </w:r>
      <w:r>
        <w:rPr>
          <w:rFonts w:ascii="Times New Roman;Times;serif" w:hAnsi="Times New Roman;Times;serif"/>
          <w:b/>
          <w:sz w:val="24"/>
        </w:rPr>
        <w:t>(</w:t>
      </w:r>
      <w:r>
        <w:rPr>
          <w:rFonts w:ascii="Times New Roman;Times;serif" w:hAnsi="Times New Roman;Times;serif"/>
          <w:sz w:val="24"/>
        </w:rPr>
        <w:t xml:space="preserve">a “280G Payment”) would (i) constitute a “parachute payment” within </w:t>
      </w:r>
      <w:r>
        <w:rPr>
          <w:rFonts w:ascii="Times New Roman;Times;serif" w:hAnsi="Times New Roman;Times;serif"/>
          <w:spacing w:val="-3"/>
          <w:sz w:val="24"/>
        </w:rPr>
        <w:t xml:space="preserve">the </w:t>
      </w:r>
      <w:r>
        <w:rPr>
          <w:rFonts w:ascii="Times New Roman;Times;serif" w:hAnsi="Times New Roman;Times;serif"/>
          <w:sz w:val="24"/>
        </w:rPr>
        <w:t>meaning of Section 280G of the Code, and (ii) but for this sentence, be subject to the excise tax imposed by Section 4999 of the Code (the “Excise Tax”), then any such 280G Payment pursuant to this Agreement (a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w:t>
      </w:r>
      <w:r>
        <w:rPr>
          <w:rFonts w:ascii="Times New Roman;Times;serif" w:hAnsi="Times New Roman;Times;serif"/>
          <w:spacing w:val="1"/>
          <w:sz w:val="22"/>
        </w:rPr>
        <w:t xml:space="preserve"> </w:t>
      </w:r>
      <w:r>
        <w:rPr>
          <w:rFonts w:ascii="Times New Roman;Times;serif" w:hAnsi="Times New Roman;Times;serif"/>
          <w:sz w:val="24"/>
        </w:rPr>
        <w:t>Method”).</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(b)</w:t>
      </w:r>
      <w:r>
        <w:rPr>
          <w:rFonts w:ascii="Times New Roman;Times;serif" w:hAnsi="Times New Roman;Times;serif"/>
          <w:sz w:val="24"/>
        </w:rPr>
        <w:t>Notwithstanding any provision of paragraph (a)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w:t>
      </w:r>
      <w:r>
        <w:rPr>
          <w:rFonts w:ascii="Times New Roman;Times;serif" w:hAnsi="Times New Roman;Times;serif"/>
          <w:spacing w:val="31"/>
          <w:sz w:val="22"/>
        </w:rPr>
        <w:t xml:space="preserve"> </w:t>
      </w:r>
      <w:r>
        <w:rPr>
          <w:rFonts w:ascii="Times New Roman;Times;serif" w:hAnsi="Times New Roman;Times;serif"/>
          <w:sz w:val="24"/>
        </w:rPr>
        <w:t>the</w:t>
      </w:r>
      <w:r>
        <w:rPr>
          <w:rFonts w:ascii="Times New Roman;Times;serif" w:hAnsi="Times New Roman;Times;serif"/>
          <w:spacing w:val="33"/>
          <w:sz w:val="22"/>
        </w:rPr>
        <w:t xml:space="preserve"> </w:t>
      </w:r>
      <w:r>
        <w:rPr>
          <w:rFonts w:ascii="Times New Roman;Times;serif" w:hAnsi="Times New Roman;Times;serif"/>
          <w:sz w:val="24"/>
        </w:rPr>
        <w:t>greatest</w:t>
      </w:r>
      <w:r>
        <w:rPr>
          <w:rFonts w:ascii="Times New Roman;Times;serif" w:hAnsi="Times New Roman;Times;serif"/>
          <w:spacing w:val="6"/>
          <w:sz w:val="22"/>
        </w:rPr>
        <w:t xml:space="preserve"> </w:t>
      </w:r>
      <w:r>
        <w:rPr>
          <w:rFonts w:ascii="Times New Roman;Times;serif" w:hAnsi="Times New Roman;Times;serif"/>
          <w:sz w:val="24"/>
        </w:rPr>
        <w:t>economic</w:t>
      </w:r>
      <w:r>
        <w:rPr>
          <w:rFonts w:ascii="Times New Roman;Times;serif" w:hAnsi="Times New Roman;Times;serif"/>
          <w:spacing w:val="34"/>
          <w:sz w:val="22"/>
        </w:rPr>
        <w:t xml:space="preserve"> </w:t>
      </w:r>
      <w:r>
        <w:rPr>
          <w:rFonts w:ascii="Times New Roman;Times;serif" w:hAnsi="Times New Roman;Times;serif"/>
          <w:sz w:val="24"/>
        </w:rPr>
        <w:t>benefit</w:t>
      </w:r>
      <w:r>
        <w:rPr>
          <w:rFonts w:ascii="Times New Roman;Times;serif" w:hAnsi="Times New Roman;Times;serif"/>
          <w:spacing w:val="29"/>
          <w:sz w:val="22"/>
        </w:rPr>
        <w:t xml:space="preserve"> </w:t>
      </w:r>
      <w:r>
        <w:rPr>
          <w:rFonts w:ascii="Times New Roman;Times;serif" w:hAnsi="Times New Roman;Times;serif"/>
          <w:sz w:val="24"/>
        </w:rPr>
        <w:t>for</w:t>
      </w:r>
      <w:r>
        <w:rPr>
          <w:rFonts w:ascii="Times New Roman;Times;serif" w:hAnsi="Times New Roman;Times;serif"/>
          <w:spacing w:val="33"/>
          <w:sz w:val="22"/>
        </w:rPr>
        <w:t xml:space="preserve"> </w:t>
      </w:r>
      <w:r>
        <w:rPr>
          <w:rFonts w:ascii="Times New Roman;Times;serif" w:hAnsi="Times New Roman;Times;serif"/>
          <w:sz w:val="24"/>
        </w:rPr>
        <w:t>you</w:t>
      </w:r>
      <w:r>
        <w:rPr>
          <w:rFonts w:ascii="Times New Roman;Times;serif" w:hAnsi="Times New Roman;Times;serif"/>
          <w:spacing w:val="32"/>
          <w:sz w:val="22"/>
        </w:rPr>
        <w:t xml:space="preserve"> </w:t>
      </w:r>
      <w:r>
        <w:rPr>
          <w:rFonts w:ascii="Times New Roman;Times;serif" w:hAnsi="Times New Roman;Times;serif"/>
          <w:sz w:val="24"/>
        </w:rPr>
        <w:t>as</w:t>
      </w:r>
      <w:r>
        <w:rPr>
          <w:rFonts w:ascii="Times New Roman;Times;serif" w:hAnsi="Times New Roman;Times;serif"/>
          <w:spacing w:val="31"/>
          <w:sz w:val="22"/>
        </w:rPr>
        <w:t xml:space="preserve"> </w:t>
      </w:r>
      <w:r>
        <w:rPr>
          <w:rFonts w:ascii="Times New Roman;Times;serif" w:hAnsi="Times New Roman;Times;serif"/>
          <w:sz w:val="24"/>
        </w:rPr>
        <w:t>determined</w:t>
      </w:r>
      <w:r>
        <w:rPr>
          <w:rFonts w:ascii="Times New Roman;Times;serif" w:hAnsi="Times New Roman;Times;serif"/>
          <w:spacing w:val="31"/>
          <w:sz w:val="22"/>
        </w:rPr>
        <w:t xml:space="preserve"> </w:t>
      </w:r>
      <w:r>
        <w:rPr>
          <w:rFonts w:ascii="Times New Roman;Times;serif" w:hAnsi="Times New Roman;Times;serif"/>
          <w:sz w:val="24"/>
        </w:rPr>
        <w:t>on</w:t>
      </w:r>
      <w:r>
        <w:rPr>
          <w:rFonts w:ascii="Times New Roman;Times;serif" w:hAnsi="Times New Roman;Times;serif"/>
          <w:spacing w:val="32"/>
          <w:sz w:val="22"/>
        </w:rPr>
        <w:t xml:space="preserve"> </w:t>
      </w:r>
      <w:r>
        <w:rPr>
          <w:rFonts w:ascii="Times New Roman;Times;serif" w:hAnsi="Times New Roman;Times;serif"/>
          <w:sz w:val="24"/>
        </w:rPr>
        <w:t>an</w:t>
      </w:r>
      <w:r>
        <w:rPr>
          <w:rFonts w:ascii="Times New Roman;Times;serif" w:hAnsi="Times New Roman;Times;serif"/>
          <w:spacing w:val="31"/>
          <w:sz w:val="22"/>
        </w:rPr>
        <w:t xml:space="preserve"> </w:t>
      </w:r>
      <w:r>
        <w:rPr>
          <w:rFonts w:ascii="Times New Roman;Times;serif" w:hAnsi="Times New Roman;Times;serif"/>
          <w:sz w:val="24"/>
        </w:rPr>
        <w:t>after-tax</w:t>
      </w:r>
      <w:r>
        <w:rPr>
          <w:rFonts w:ascii="Times New Roman;Times;serif" w:hAnsi="Times New Roman;Times;serif"/>
          <w:spacing w:val="32"/>
          <w:sz w:val="22"/>
        </w:rPr>
        <w:t xml:space="preserve"> </w:t>
      </w:r>
      <w:r>
        <w:rPr>
          <w:rFonts w:ascii="Times New Roman;Times;serif" w:hAnsi="Times New Roman;Times;serif"/>
          <w:sz w:val="24"/>
        </w:rPr>
        <w:t>basis;</w:t>
      </w:r>
      <w:r>
        <w:rPr>
          <w:rFonts w:ascii="Times New Roman;Times;serif" w:hAnsi="Times New Roman;Times;serif"/>
          <w:spacing w:val="33"/>
          <w:sz w:val="22"/>
        </w:rPr>
        <w:t xml:space="preserve"> </w:t>
      </w:r>
      <w:r>
        <w:rPr>
          <w:rFonts w:ascii="Times New Roman;Times;serif" w:hAnsi="Times New Roman;Times;serif"/>
          <w:sz w:val="24"/>
        </w:rPr>
        <w:t>(B)</w:t>
      </w:r>
      <w:r>
        <w:rPr>
          <w:rFonts w:ascii="Times New Roman;Times;serif" w:hAnsi="Times New Roman;Times;serif"/>
          <w:spacing w:val="32"/>
          <w:sz w:val="22"/>
        </w:rPr>
        <w:t xml:space="preserve"> </w:t>
      </w:r>
      <w:r>
        <w:rPr>
          <w:rFonts w:ascii="Times New Roman;Times;serif" w:hAnsi="Times New Roman;Times;serif"/>
          <w:sz w:val="24"/>
        </w:rPr>
        <w:t>as</w:t>
      </w:r>
      <w:r>
        <w:rPr>
          <w:rFonts w:ascii="Times New Roman;Times;serif" w:hAnsi="Times New Roman;Times;serif"/>
          <w:spacing w:val="30"/>
          <w:sz w:val="22"/>
        </w:rPr>
        <w:t xml:space="preserve"> </w:t>
      </w:r>
      <w:r>
        <w:rPr>
          <w:rFonts w:ascii="Times New Roman;Times;serif" w:hAnsi="Times New Roman;Times;serif"/>
          <w:sz w:val="24"/>
        </w:rPr>
        <w:t xml:space="preserve">a </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pStyle w:val="TextBody"/>
        <w:spacing w:before="9"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(c)</w:t>
      </w:r>
      <w:r>
        <w:rPr>
          <w:rFonts w:ascii="Times New Roman;Times;serif" w:hAnsi="Times New Roman;Times;serif"/>
          <w:sz w:val="24"/>
        </w:rPr>
        <w:t>If you receive a Payment for which the Reduced Amount was determined pursuant to clause (x) of Section 11(a) and the Internal Revenue Service determines thereafter that some portion of the Payment is subject to the Excise Tax, you agree to promptly return to  the Company a sufficient amount of the Payment (after reduction pursuant to clause (x) of Section 11(a)) so that no portion of the remaining Payment is subject to the Excise Tax. For the avoidance of doubt, if the Reduced Amount was determined pursuant to clause (y) of Section 11(a), you shall have no obligation to return any portion of the Payment pursuant to the preceding sentence.</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12.</w:t>
      </w:r>
      <w:r>
        <w:rPr>
          <w:rFonts w:ascii="Times New Roman;Times;serif" w:hAnsi="Times New Roman;Times;serif"/>
          <w:b/>
          <w:sz w:val="22"/>
        </w:rPr>
        <w:t>Confidentiality</w:t>
      </w:r>
      <w:r>
        <w:rPr>
          <w:rFonts w:ascii="Times New Roman;Times;serif" w:hAnsi="Times New Roman;Times;serif"/>
          <w:sz w:val="22"/>
        </w:rPr>
        <w:t xml:space="preserve"> </w:t>
      </w:r>
      <w:r>
        <w:rPr>
          <w:rFonts w:ascii="Times New Roman;Times;serif" w:hAnsi="Times New Roman;Times;serif"/>
          <w:b/>
          <w:sz w:val="24"/>
        </w:rPr>
        <w:t xml:space="preserve">Obligations. </w:t>
      </w:r>
      <w:r>
        <w:rPr>
          <w:rFonts w:ascii="Times New Roman;Times;serif" w:hAnsi="Times New Roman;Times;serif"/>
          <w:sz w:val="24"/>
        </w:rPr>
        <w:t>As a condition of your employment, you are required to execute the Company’s standard form of Employee Proprietary Information and Invention Assignment Agreement.</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13.</w:t>
      </w:r>
      <w:r>
        <w:rPr>
          <w:rFonts w:ascii="Times New Roman;Times;serif" w:hAnsi="Times New Roman;Times;serif"/>
          <w:b/>
          <w:sz w:val="22"/>
        </w:rPr>
        <w:t>Arbitration</w:t>
      </w:r>
      <w:r>
        <w:rPr>
          <w:rFonts w:ascii="Times New Roman;Times;serif" w:hAnsi="Times New Roman;Times;serif"/>
          <w:b/>
          <w:sz w:val="24"/>
        </w:rPr>
        <w:t xml:space="preserve">. </w:t>
      </w:r>
      <w:r>
        <w:rPr>
          <w:rFonts w:ascii="Times New Roman;Times;serif" w:hAnsi="Times New Roman;Times;serif"/>
          <w:sz w:val="24"/>
        </w:rPr>
        <w:t>To ensure the timely and economical resolution of disputes that  may arise between you and the Company, both you and the Company mutually agree that pursuant to the Federal Arbitration Act, 9 U.S.C. §1-16, and to the fullest extent permitted by applicable law, you will submit solely to final, binding and confidential arbitration any and all disputes, claims, or causes of action arising from or relating to: the negotiation, execution, interpretation, performance, breach or enforcement of this Agreement; or your employment with the Company (including but not limited to all statutory claims); or the termination of your employment with the Company (including but not limited to all statutory claims). BY AGREEING TO THIS ARBITRATION PROCEDURE, BOTH YOU AND THE COMPANY WAIVE THE RIGHT TO RESOLVE ANY SUCH DISPUTES THROUGH A TRIAL BY JURY OR JUDGE OR THROUGH AN ADMINISTRATIVE PROCEEDING.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paragraph are found to violate applicable law or are otherwise found unenforceable, any claim(s) alleged or brought on behalf of a class shall proceed in a court of law rather than by arbitration. Any arbitration proceeding under this Arbitration section shall be presided over by a single arbitrator and conducted by JAMS, Inc. (“JAMS”) in San Francisco, CA under the then applicable JAMS rules for the resolution of employment disputes (available upon request and also currently available at http://www.jamsadr.com/rules-employment-arbitration/).</w:t>
      </w:r>
      <w:r>
        <w:rPr>
          <w:rFonts w:ascii="Times New Roman;Times;serif" w:hAnsi="Times New Roman;Times;serif"/>
          <w:sz w:val="22"/>
        </w:rPr>
        <w:t xml:space="preserve"> </w:t>
      </w:r>
      <w:r>
        <w:rPr>
          <w:rFonts w:ascii="Times New Roman;Times;serif" w:hAnsi="Times New Roman;Times;serif"/>
          <w:sz w:val="24"/>
        </w:rPr>
        <w:t>You and the  Company both have the right to be represented by legal counsel at any arbitration proceeding, at each party’s</w:t>
      </w:r>
      <w:r>
        <w:rPr>
          <w:rFonts w:ascii="Times New Roman;Times;serif" w:hAnsi="Times New Roman;Times;serif"/>
          <w:spacing w:val="12"/>
          <w:sz w:val="22"/>
        </w:rPr>
        <w:t xml:space="preserve"> </w:t>
      </w:r>
      <w:r>
        <w:rPr>
          <w:rFonts w:ascii="Times New Roman;Times;serif" w:hAnsi="Times New Roman;Times;serif"/>
          <w:sz w:val="24"/>
        </w:rPr>
        <w:t>own</w:t>
      </w:r>
      <w:r>
        <w:rPr>
          <w:rFonts w:ascii="Times New Roman;Times;serif" w:hAnsi="Times New Roman;Times;serif"/>
          <w:spacing w:val="15"/>
          <w:sz w:val="22"/>
        </w:rPr>
        <w:t xml:space="preserve"> </w:t>
      </w:r>
      <w:r>
        <w:rPr>
          <w:rFonts w:ascii="Times New Roman;Times;serif" w:hAnsi="Times New Roman;Times;serif"/>
          <w:sz w:val="24"/>
        </w:rPr>
        <w:t>expense.</w:t>
      </w:r>
      <w:r>
        <w:rPr>
          <w:rFonts w:ascii="Times New Roman;Times;serif" w:hAnsi="Times New Roman;Times;serif"/>
          <w:spacing w:val="26"/>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Arbitrator</w:t>
      </w:r>
      <w:r>
        <w:rPr>
          <w:rFonts w:ascii="Times New Roman;Times;serif" w:hAnsi="Times New Roman;Times;serif"/>
          <w:spacing w:val="11"/>
          <w:sz w:val="22"/>
        </w:rPr>
        <w:t xml:space="preserve"> </w:t>
      </w:r>
      <w:r>
        <w:rPr>
          <w:rFonts w:ascii="Times New Roman;Times;serif" w:hAnsi="Times New Roman;Times;serif"/>
          <w:sz w:val="24"/>
        </w:rPr>
        <w:t>shall:</w:t>
      </w:r>
      <w:r>
        <w:rPr>
          <w:rFonts w:ascii="Times New Roman;Times;serif" w:hAnsi="Times New Roman;Times;serif"/>
          <w:spacing w:val="16"/>
          <w:sz w:val="22"/>
        </w:rPr>
        <w:t xml:space="preserve"> </w:t>
      </w:r>
      <w:r>
        <w:rPr>
          <w:rFonts w:ascii="Times New Roman;Times;serif" w:hAnsi="Times New Roman;Times;serif"/>
          <w:sz w:val="24"/>
        </w:rPr>
        <w:t>(a)</w:t>
      </w:r>
      <w:r>
        <w:rPr>
          <w:rFonts w:ascii="Times New Roman;Times;serif" w:hAnsi="Times New Roman;Times;serif"/>
          <w:spacing w:val="15"/>
          <w:sz w:val="22"/>
        </w:rPr>
        <w:t xml:space="preserve"> </w:t>
      </w:r>
      <w:r>
        <w:rPr>
          <w:rFonts w:ascii="Times New Roman;Times;serif" w:hAnsi="Times New Roman;Times;serif"/>
          <w:sz w:val="24"/>
        </w:rPr>
        <w:t>have</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authority</w:t>
      </w:r>
      <w:r>
        <w:rPr>
          <w:rFonts w:ascii="Times New Roman;Times;serif" w:hAnsi="Times New Roman;Times;serif"/>
          <w:spacing w:val="11"/>
          <w:sz w:val="22"/>
        </w:rPr>
        <w:t xml:space="preserve"> </w:t>
      </w:r>
      <w:r>
        <w:rPr>
          <w:rFonts w:ascii="Times New Roman;Times;serif" w:hAnsi="Times New Roman;Times;serif"/>
          <w:sz w:val="24"/>
        </w:rPr>
        <w:t>to</w:t>
      </w:r>
      <w:r>
        <w:rPr>
          <w:rFonts w:ascii="Times New Roman;Times;serif" w:hAnsi="Times New Roman;Times;serif"/>
          <w:spacing w:val="11"/>
          <w:sz w:val="22"/>
        </w:rPr>
        <w:t xml:space="preserve"> </w:t>
      </w:r>
      <w:r>
        <w:rPr>
          <w:rFonts w:ascii="Times New Roman;Times;serif" w:hAnsi="Times New Roman;Times;serif"/>
          <w:sz w:val="24"/>
        </w:rPr>
        <w:t>compel</w:t>
      </w:r>
      <w:r>
        <w:rPr>
          <w:rFonts w:ascii="Times New Roman;Times;serif" w:hAnsi="Times New Roman;Times;serif"/>
          <w:spacing w:val="16"/>
          <w:sz w:val="22"/>
        </w:rPr>
        <w:t xml:space="preserve"> </w:t>
      </w:r>
      <w:r>
        <w:rPr>
          <w:rFonts w:ascii="Times New Roman;Times;serif" w:hAnsi="Times New Roman;Times;serif"/>
          <w:sz w:val="24"/>
        </w:rPr>
        <w:t>adequate</w:t>
      </w:r>
      <w:r>
        <w:rPr>
          <w:rFonts w:ascii="Times New Roman;Times;serif" w:hAnsi="Times New Roman;Times;serif"/>
          <w:spacing w:val="12"/>
          <w:sz w:val="22"/>
        </w:rPr>
        <w:t xml:space="preserve"> </w:t>
      </w:r>
      <w:r>
        <w:rPr>
          <w:rFonts w:ascii="Times New Roman;Times;serif" w:hAnsi="Times New Roman;Times;serif"/>
          <w:sz w:val="24"/>
        </w:rPr>
        <w:t xml:space="preserve">discovery </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pBdr/>
        <w:spacing w:before="0" w:after="0"/>
        <w:ind w:left="0" w:right="0" w:hanging="1"/>
        <w:jc w:val="both"/>
        <w:rPr>
          <w:rFonts w:ascii="Times New Roman;Times;serif" w:hAnsi="Times New Roman;Times;serif"/>
          <w:sz w:val="24"/>
        </w:rPr>
      </w:pPr>
      <w:r>
        <w:rPr>
          <w:rFonts w:ascii="Times New Roman;Times;serif" w:hAnsi="Times New Roman;Times;serif"/>
          <w:sz w:val="24"/>
        </w:rPr>
        <w:t>for the resolution of the dispute; (b) issue a written arbitration decision, to include the arbitrator’s essential findings and conclusions and a statement of the award; and (c) be authorized to award any or all remedies that you or the Company would be entitled to seek in a court of law. The Company shall pay all JAMS arbitration fees in excess of the amount of court fees that would be required of you if the dispute were decided in a court of law. This section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 is not preempted by the Federal Arbitration Act or otherwise invalid (collectively, the “Excluded Claims”). In the event you intend to bring multiple claims, including one of the Excluded Claims listed above, the Excluded Claims may be filed with a court, while any other claims will remain subject to mandatory arbitration.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spacing w:before="10" w:after="0"/>
        <w:ind w:left="0" w:right="0" w:hanging="0"/>
        <w:rPr/>
      </w:pPr>
      <w:r>
        <w:rPr/>
        <w:t>​</w:t>
      </w:r>
    </w:p>
    <w:p>
      <w:pPr>
        <w:pStyle w:val="TextBody"/>
        <w:ind w:left="0" w:right="0" w:hanging="0"/>
        <w:jc w:val="both"/>
        <w:rPr>
          <w:rFonts w:ascii="Times New Roman;Times;serif" w:hAnsi="Times New Roman;Times;serif"/>
          <w:sz w:val="22"/>
        </w:rPr>
      </w:pPr>
      <w:r>
        <w:rPr>
          <w:rFonts w:ascii="Times New Roman" w:hAnsi="Times New Roman"/>
          <w:b/>
          <w:sz w:val="24"/>
        </w:rPr>
        <w:t>14.</w:t>
      </w:r>
      <w:r>
        <w:rPr>
          <w:rFonts w:ascii="Times New Roman;Times;serif" w:hAnsi="Times New Roman;Times;serif"/>
          <w:b/>
          <w:sz w:val="22"/>
        </w:rPr>
        <w:t>Miscellaneous</w:t>
      </w:r>
      <w:r>
        <w:rPr>
          <w:rFonts w:ascii="Times New Roman;Times;serif" w:hAnsi="Times New Roman;Times;serif"/>
          <w:b/>
          <w:sz w:val="24"/>
        </w:rPr>
        <w:t xml:space="preserve">. </w:t>
      </w:r>
      <w:r>
        <w:rPr>
          <w:rFonts w:ascii="Times New Roman;Times;serif" w:hAnsi="Times New Roman;Times;serif"/>
          <w:sz w:val="24"/>
        </w:rPr>
        <w:t>This Agreement (including the agreement referenced herein) is the complete and exclusive statement of your agreement with the Company on the subject matters herein, and supersedes and replaces any and all prior agreements or representations with regard to the subject matter hereof, whether written or oral (including those set forth in the Offer Letter). It is entered into without reliance on any promise or representation other than those expressly contained herein, and it cannot be modified, amended or extended except in a writing signed by you and a duly authorized member of the Board. This Agreement is intended to bind and inure to the benefit of and be enforceable by you and the Company, and our respective successors, assigns, heirs, executors and administrators, except that you may not assign any of your duties or rights hereunder without the express written consent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as if such invalid, illegal or unenforceable provisions had never been contained herein. This Agreement and the terms of your employment with the Company shall be governed in all aspects by the laws of the State of California.</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lineRule="auto" w:line="532" w:before="0" w:after="0"/>
        <w:ind w:left="0" w:right="0" w:hanging="0"/>
        <w:rPr>
          <w:rFonts w:ascii="Times New Roman;Times;serif" w:hAnsi="Times New Roman;Times;serif"/>
          <w:sz w:val="24"/>
        </w:rPr>
      </w:pPr>
      <w:r>
        <w:rPr>
          <w:rFonts w:ascii="Times New Roman;Times;serif" w:hAnsi="Times New Roman;Times;serif"/>
          <w:sz w:val="24"/>
        </w:rPr>
        <w:t xml:space="preserve">If you agree to the terms and conditions set forth herein, please sign below. </w:t>
      </w:r>
    </w:p>
    <w:p>
      <w:pPr>
        <w:pStyle w:val="TextBody"/>
        <w:spacing w:lineRule="auto" w:line="532" w:before="0" w:after="360"/>
        <w:ind w:left="0" w:right="0" w:hanging="0"/>
        <w:rPr>
          <w:rFonts w:ascii="Times New Roman;Times;serif" w:hAnsi="Times New Roman;Times;serif"/>
          <w:sz w:val="24"/>
        </w:rPr>
      </w:pPr>
      <w:r>
        <w:rPr>
          <w:rFonts w:ascii="Times New Roman;Times;serif" w:hAnsi="Times New Roman;Times;serif"/>
          <w:sz w:val="24"/>
        </w:rPr>
        <w:t>Best regards,</w:t>
      </w:r>
    </w:p>
    <w:tbl>
      <w:tblPr>
        <w:tblW w:w="2735" w:type="dxa"/>
        <w:jc w:val="left"/>
        <w:tblInd w:w="0" w:type="dxa"/>
        <w:tblCellMar>
          <w:top w:w="0" w:type="dxa"/>
          <w:left w:w="0" w:type="dxa"/>
          <w:bottom w:w="0" w:type="dxa"/>
          <w:right w:w="0" w:type="dxa"/>
        </w:tblCellMar>
      </w:tblPr>
      <w:tblGrid>
        <w:gridCol w:w="2581"/>
        <w:gridCol w:w="154"/>
      </w:tblGrid>
      <w:tr>
        <w:trPr/>
        <w:tc>
          <w:tcPr>
            <w:tcW w:w="25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581" w:type="dxa"/>
            <w:tcBorders>
              <w:bottom w:val="single" w:sz="2" w:space="0" w:color="000000"/>
            </w:tcBorders>
            <w:shd w:fill="auto" w:val="clear"/>
            <w:tcMar>
              <w:bottom w:w="28" w:type="dxa"/>
            </w:tcMar>
            <w:vAlign w:val="center"/>
          </w:tcPr>
          <w:p>
            <w:pPr>
              <w:pStyle w:val="TableContents"/>
              <w:spacing w:before="0" w:after="0"/>
              <w:ind w:left="0" w:right="0" w:hanging="0"/>
              <w:rPr/>
            </w:pPr>
            <w:r>
              <w:rPr/>
              <w:drawing>
                <wp:inline distT="0" distB="0" distL="0" distR="0">
                  <wp:extent cx="976630" cy="457200"/>
                  <wp:effectExtent l="0" t="0" r="0" b="0"/>
                  <wp:docPr id="2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34" descr=""/>
                          <pic:cNvPicPr>
                            <a:picLocks noChangeAspect="1" noChangeArrowheads="1"/>
                          </pic:cNvPicPr>
                        </pic:nvPicPr>
                        <pic:blipFill>
                          <a:blip r:embed="rId56"/>
                          <a:stretch>
                            <a:fillRect/>
                          </a:stretch>
                        </pic:blipFill>
                        <pic:spPr bwMode="auto">
                          <a:xfrm>
                            <a:off x="0" y="0"/>
                            <a:ext cx="976630" cy="457200"/>
                          </a:xfrm>
                          <a:prstGeom prst="rect">
                            <a:avLst/>
                          </a:prstGeom>
                        </pic:spPr>
                      </pic:pic>
                    </a:graphicData>
                  </a:graphic>
                </wp:inline>
              </w:drawing>
            </w:r>
          </w:p>
        </w:tc>
        <w:tc>
          <w:tcPr>
            <w:tcW w:w="154" w:type="dxa"/>
            <w:tcBorders/>
            <w:shd w:fill="auto" w:val="clear"/>
            <w:vAlign w:val="center"/>
          </w:tcPr>
          <w:p>
            <w:pPr>
              <w:pStyle w:val="TableContents"/>
              <w:spacing w:before="0" w:after="0"/>
              <w:ind w:left="0" w:right="0" w:hanging="0"/>
              <w:rPr/>
            </w:pPr>
            <w:r>
              <w:rPr/>
              <w:t>​</w:t>
            </w:r>
          </w:p>
        </w:tc>
      </w:tr>
      <w:tr>
        <w:trPr/>
        <w:tc>
          <w:tcPr>
            <w:tcW w:w="258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Sean Bohen, M.D., Ph.D.</w:t>
            </w:r>
          </w:p>
        </w:tc>
        <w:tc>
          <w:tcPr>
            <w:tcW w:w="154" w:type="dxa"/>
            <w:tcBorders/>
            <w:shd w:fill="auto" w:val="clear"/>
            <w:vAlign w:val="center"/>
          </w:tcPr>
          <w:p>
            <w:pPr>
              <w:pStyle w:val="TableContents"/>
              <w:spacing w:before="0" w:after="0"/>
              <w:ind w:left="0" w:right="0" w:hanging="0"/>
              <w:rPr/>
            </w:pPr>
            <w:r>
              <w:rPr/>
              <w:t>​</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Accepted and agreed:</w:t>
      </w:r>
    </w:p>
    <w:p>
      <w:pPr>
        <w:pStyle w:val="TextBody"/>
        <w:spacing w:before="0" w:after="0"/>
        <w:ind w:left="0" w:right="0" w:hanging="0"/>
        <w:rPr/>
      </w:pPr>
      <w:r>
        <w:rPr/>
        <w:t>​</w:t>
      </w:r>
    </w:p>
    <w:tbl>
      <w:tblPr>
        <w:tblW w:w="2895" w:type="dxa"/>
        <w:jc w:val="left"/>
        <w:tblInd w:w="0" w:type="dxa"/>
        <w:tblCellMar>
          <w:top w:w="0" w:type="dxa"/>
          <w:left w:w="0" w:type="dxa"/>
          <w:bottom w:w="28" w:type="dxa"/>
          <w:right w:w="0" w:type="dxa"/>
        </w:tblCellMar>
      </w:tblPr>
      <w:tblGrid>
        <w:gridCol w:w="2741"/>
        <w:gridCol w:w="154"/>
      </w:tblGrid>
      <w:tr>
        <w:trPr/>
        <w:tc>
          <w:tcPr>
            <w:tcW w:w="2741" w:type="dxa"/>
            <w:tcBorders>
              <w:bottom w:val="single" w:sz="2" w:space="0" w:color="000000"/>
            </w:tcBorders>
            <w:shd w:fill="auto" w:val="clear"/>
            <w:vAlign w:val="center"/>
          </w:tcPr>
          <w:p>
            <w:pPr>
              <w:pStyle w:val="TableContents"/>
              <w:spacing w:before="0" w:after="0"/>
              <w:ind w:left="0" w:right="0" w:hanging="0"/>
              <w:rPr/>
            </w:pPr>
            <w:r>
              <w:rPr/>
              <w:drawing>
                <wp:inline distT="0" distB="0" distL="0" distR="0">
                  <wp:extent cx="1676400" cy="457200"/>
                  <wp:effectExtent l="0" t="0" r="0" b="0"/>
                  <wp:docPr id="2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35" descr=""/>
                          <pic:cNvPicPr>
                            <a:picLocks noChangeAspect="1" noChangeArrowheads="1"/>
                          </pic:cNvPicPr>
                        </pic:nvPicPr>
                        <pic:blipFill>
                          <a:blip r:embed="rId57"/>
                          <a:stretch>
                            <a:fillRect/>
                          </a:stretch>
                        </pic:blipFill>
                        <pic:spPr bwMode="auto">
                          <a:xfrm>
                            <a:off x="0" y="0"/>
                            <a:ext cx="1676400" cy="457200"/>
                          </a:xfrm>
                          <a:prstGeom prst="rect">
                            <a:avLst/>
                          </a:prstGeom>
                        </pic:spPr>
                      </pic:pic>
                    </a:graphicData>
                  </a:graphic>
                </wp:inline>
              </w:drawing>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741"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Naseem Zojwalla, M.D.</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tbl>
      <w:tblPr>
        <w:tblW w:w="1971" w:type="dxa"/>
        <w:jc w:val="left"/>
        <w:tblInd w:w="0" w:type="dxa"/>
        <w:tblCellMar>
          <w:top w:w="0" w:type="dxa"/>
          <w:left w:w="0" w:type="dxa"/>
          <w:bottom w:w="0" w:type="dxa"/>
          <w:right w:w="0" w:type="dxa"/>
        </w:tblCellMar>
      </w:tblPr>
      <w:tblGrid>
        <w:gridCol w:w="631"/>
        <w:gridCol w:w="1186"/>
        <w:gridCol w:w="154"/>
      </w:tblGrid>
      <w:tr>
        <w:trPr/>
        <w:tc>
          <w:tcPr>
            <w:tcW w:w="631"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6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12/15/2021</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336" w:name="olma-20211231xex21d1.htm"/>
      <w:bookmarkStart w:id="1337" w:name="ksolma20211231xex21d1"/>
      <w:bookmarkEnd w:id="1336"/>
      <w:bookmarkEnd w:id="1337"/>
      <w:r>
        <w:rPr>
          <w:rFonts w:ascii="Times New Roman;Times;serif" w:hAnsi="Times New Roman;Times;serif"/>
          <w:b/>
          <w:sz w:val="20"/>
        </w:rPr>
        <w:t>Exhibit 21.1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Olema Pharmaceuticals,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spacing w:before="0" w:after="0"/>
        <w:ind w:left="0" w:right="0" w:hanging="0"/>
        <w:jc w:val="center"/>
        <w:rPr/>
      </w:pPr>
      <w:r>
        <w:rPr/>
        <w:t>​</w:t>
      </w:r>
    </w:p>
    <w:tbl>
      <w:tblPr>
        <w:tblW w:w="5732" w:type="dxa"/>
        <w:jc w:val="left"/>
        <w:tblInd w:w="0" w:type="dxa"/>
        <w:tblCellMar>
          <w:top w:w="0" w:type="dxa"/>
          <w:left w:w="0" w:type="dxa"/>
          <w:bottom w:w="0" w:type="dxa"/>
          <w:right w:w="0" w:type="dxa"/>
        </w:tblCellMar>
      </w:tblPr>
      <w:tblGrid>
        <w:gridCol w:w="3106"/>
        <w:gridCol w:w="2626"/>
      </w:tblGrid>
      <w:tr>
        <w:trPr/>
        <w:tc>
          <w:tcPr>
            <w:tcW w:w="3106"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0"/>
              <w:ind w:left="0" w:right="0" w:hanging="0"/>
              <w:rPr/>
            </w:pPr>
            <w:r>
              <w:rPr/>
              <w:t>​</w:t>
            </w:r>
          </w:p>
        </w:tc>
      </w:tr>
      <w:tr>
        <w:trPr/>
        <w:tc>
          <w:tcPr>
            <w:tcW w:w="31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 of Subsidiary</w:t>
            </w:r>
          </w:p>
        </w:tc>
        <w:tc>
          <w:tcPr>
            <w:tcW w:w="262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Jurisdiction of Incorporation</w:t>
            </w:r>
          </w:p>
        </w:tc>
      </w:tr>
      <w:tr>
        <w:trPr/>
        <w:tc>
          <w:tcPr>
            <w:tcW w:w="3106" w:type="dxa"/>
            <w:tcBorders/>
            <w:shd w:fill="auto" w:val="clear"/>
            <w:vAlign w:val="center"/>
          </w:tcPr>
          <w:p>
            <w:pPr>
              <w:pStyle w:val="TableContents"/>
              <w:spacing w:before="120" w:after="240"/>
              <w:ind w:left="0" w:right="0" w:hanging="0"/>
              <w:rPr>
                <w:rFonts w:ascii="Times New Roman;Times;serif" w:hAnsi="Times New Roman;Times;serif"/>
                <w:sz w:val="20"/>
              </w:rPr>
            </w:pPr>
            <w:r>
              <w:rPr>
                <w:rFonts w:ascii="Times New Roman;Times;serif" w:hAnsi="Times New Roman;Times;serif"/>
                <w:sz w:val="20"/>
              </w:rPr>
              <w:t>Olema Oncology Australia PTY LTD</w:t>
            </w:r>
          </w:p>
          <w:p>
            <w:pPr>
              <w:pStyle w:val="TableContents"/>
              <w:spacing w:before="0" w:after="0"/>
              <w:ind w:left="0" w:right="0" w:hanging="0"/>
              <w:rPr/>
            </w:pPr>
            <w:r>
              <w:rPr/>
              <w:t>​</w:t>
            </w:r>
          </w:p>
        </w:tc>
        <w:tc>
          <w:tcPr>
            <w:tcW w:w="2626" w:type="dxa"/>
            <w:tcBorders/>
            <w:shd w:fill="auto" w:val="clear"/>
            <w:vAlign w:val="center"/>
          </w:tcPr>
          <w:p>
            <w:pPr>
              <w:pStyle w:val="TableContents"/>
              <w:spacing w:before="120" w:after="0"/>
              <w:ind w:left="0" w:right="0" w:hanging="0"/>
              <w:rPr>
                <w:rFonts w:ascii="Times New Roman;Times;serif" w:hAnsi="Times New Roman;Times;serif"/>
                <w:sz w:val="20"/>
              </w:rPr>
            </w:pPr>
            <w:r>
              <w:rPr>
                <w:rFonts w:ascii="Times New Roman;Times;serif" w:hAnsi="Times New Roman;Times;serif"/>
                <w:sz w:val="20"/>
              </w:rPr>
              <w:t>Australia</w:t>
            </w:r>
          </w:p>
        </w:tc>
      </w:tr>
    </w:tbl>
    <w:p>
      <w:pPr>
        <w:pStyle w:val="TextBody"/>
        <w:spacing w:before="0" w:after="0"/>
        <w:ind w:left="0" w:right="0" w:hanging="0"/>
        <w:rPr/>
      </w:pPr>
      <w:r>
        <w:rPr/>
        <w:t>​</w:t>
      </w:r>
    </w:p>
    <w:p>
      <w:pPr>
        <w:pStyle w:val="HorizontalLine"/>
        <w:rPr/>
      </w:pPr>
      <w:r>
        <w:rPr/>
      </w:r>
      <w:r>
        <w:br w:type="page"/>
      </w:r>
    </w:p>
    <w:p>
      <w:pPr>
        <w:pStyle w:val="TextBody"/>
        <w:spacing w:before="0" w:after="200"/>
        <w:ind w:left="0" w:right="0" w:hanging="0"/>
        <w:jc w:val="right"/>
        <w:rPr>
          <w:rFonts w:ascii="Times New Roman;Times;serif" w:hAnsi="Times New Roman;Times;serif"/>
          <w:b/>
          <w:sz w:val="20"/>
        </w:rPr>
      </w:pPr>
      <w:bookmarkStart w:id="1338" w:name="olma-20211231xex23d1.htm"/>
      <w:bookmarkStart w:id="1339" w:name="ksolma20211231xex23d1"/>
      <w:bookmarkEnd w:id="1338"/>
      <w:bookmarkEnd w:id="1339"/>
      <w:r>
        <w:rPr>
          <w:rFonts w:ascii="Times New Roman;Times;serif" w:hAnsi="Times New Roman;Times;serif"/>
          <w:b/>
          <w:sz w:val="20"/>
        </w:rPr>
        <w:t>EXHIBIT 23.1</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(1)</w:t>
            </w:r>
          </w:p>
        </w:tc>
        <w:tc>
          <w:tcPr>
            <w:tcW w:w="10008" w:type="dxa"/>
            <w:tcBorders/>
            <w:shd w:fill="auto" w:val="clear"/>
            <w:vAlign w:val="center"/>
          </w:tcPr>
          <w:p>
            <w:pPr>
              <w:pStyle w:val="TableContents"/>
              <w:spacing w:before="0" w:after="200"/>
              <w:rPr>
                <w:rFonts w:ascii="Times New Roman;Times;serif" w:hAnsi="Times New Roman;Times;serif"/>
                <w:sz w:val="20"/>
              </w:rPr>
            </w:pPr>
            <w:r>
              <w:rPr>
                <w:rFonts w:ascii="Times New Roman;Times;serif" w:hAnsi="Times New Roman;Times;serif"/>
                <w:sz w:val="20"/>
              </w:rPr>
              <w:t>Registration Statements on Form S-8 (Nos. 333-250209 and 333-254403) pertaining to the 2020 Equity Incentive Plan and the 2020 Employee Stock Purchase Plan of Olema Pharmaceuticals, Inc., of our reports dated February 28, 2022, with respect to the consolidated financial statements of Olema Pharmaceuticals, Inc. and the effectiveness of internal control over financial reporting of Olema Pharmaceuticals, Inc. included in this Annual Report (Form 10-K) of Olema Pharmaceuticals, Inc. for the year ended December 31, 2021.</w:t>
            </w:r>
          </w:p>
        </w:tc>
      </w:tr>
    </w:tbl>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/s/ Ernst &amp; Young LLP</w:t>
      </w:r>
    </w:p>
    <w:p>
      <w:pPr>
        <w:pStyle w:val="TextBody"/>
        <w:spacing w:before="0" w:after="20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Iselin, New Jersey</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February 28, 2022</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340" w:name="olma-20211231xex31d1.htm"/>
      <w:bookmarkStart w:id="1341" w:name="ksolma20211231xex31d1"/>
      <w:bookmarkEnd w:id="1340"/>
      <w:bookmarkEnd w:id="1341"/>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spacing w:before="0" w:after="0"/>
        <w:ind w:left="0" w:right="0" w:hanging="0"/>
        <w:jc w:val="center"/>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Sean Bohen, certify that:</w:t>
      </w:r>
    </w:p>
    <w:tbl>
      <w:tblPr>
        <w:tblW w:w="6820" w:type="dxa"/>
        <w:jc w:val="left"/>
        <w:tblInd w:w="0" w:type="dxa"/>
        <w:tblCellMar>
          <w:top w:w="0" w:type="dxa"/>
          <w:left w:w="0" w:type="dxa"/>
          <w:bottom w:w="0" w:type="dxa"/>
          <w:right w:w="0" w:type="dxa"/>
        </w:tblCellMar>
      </w:tblPr>
      <w:tblGrid>
        <w:gridCol w:w="170"/>
        <w:gridCol w:w="6650"/>
      </w:tblGrid>
      <w:tr>
        <w:trPr/>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Olema Pharmaceuticals,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1006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100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10064" w:type="dxa"/>
            <w:tcBorders/>
            <w:shd w:fill="auto" w:val="clear"/>
            <w:vAlign w:val="center"/>
          </w:tcPr>
          <w:p>
            <w:pPr>
              <w:pStyle w:val="TableContents"/>
              <w:spacing w:before="0" w:after="283"/>
              <w:jc w:val="left"/>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w:t>
            </w:r>
            <w:r>
              <w:rPr>
                <w:caps w:val="false"/>
                <w:smallCaps w:val="false"/>
              </w:rPr>
              <w:t xml:space="preserve"> </w:t>
            </w:r>
            <w:r>
              <w:rPr>
                <w:rFonts w:ascii="Times New Roman;Times;serif" w:hAnsi="Times New Roman;Times;serif"/>
                <w:b w:val="false"/>
                <w:i w:val="false"/>
                <w:caps w:val="false"/>
                <w:smallCaps w:val="false"/>
                <w:sz w:val="20"/>
              </w:rPr>
              <w:t>and internal control over financial reporting (as defined in Exchange Act Rules 13a-15(f) and 15d-15(f))</w:t>
            </w:r>
            <w:r>
              <w:rPr>
                <w:caps w:val="false"/>
                <w:smallCaps w:val="false"/>
              </w:rPr>
              <w:t xml:space="preserve"> </w:t>
            </w:r>
            <w:r>
              <w:rPr>
                <w:rFonts w:ascii="Times New Roman;Times;serif" w:hAnsi="Times New Roman;Times;serif"/>
                <w:b w:val="false"/>
                <w:i w:val="false"/>
                <w:caps w:val="false"/>
                <w:smallCaps w:val="false"/>
                <w:sz w:val="20"/>
              </w:rPr>
              <w:t>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9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7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w:t>
            </w:r>
          </w:p>
        </w:tc>
        <w:tc>
          <w:tcPr>
            <w:tcW w:w="998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w:t>
            </w:r>
          </w:p>
        </w:tc>
        <w:tc>
          <w:tcPr>
            <w:tcW w:w="997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5.</w:t>
            </w:r>
          </w:p>
        </w:tc>
        <w:tc>
          <w:tcPr>
            <w:tcW w:w="100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7"/>
        <w:gridCol w:w="9985"/>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812" w:type="dxa"/>
        <w:jc w:val="left"/>
        <w:tblInd w:w="0" w:type="dxa"/>
        <w:tblCellMar>
          <w:top w:w="0" w:type="dxa"/>
          <w:left w:w="0" w:type="dxa"/>
          <w:bottom w:w="0" w:type="dxa"/>
          <w:right w:w="0" w:type="dxa"/>
        </w:tblCellMar>
      </w:tblPr>
      <w:tblGrid>
        <w:gridCol w:w="2086"/>
        <w:gridCol w:w="109"/>
        <w:gridCol w:w="406"/>
        <w:gridCol w:w="3211"/>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24610" cy="175260"/>
                      <wp:effectExtent l="0" t="0" r="0" b="0"/>
                      <wp:wrapNone/>
                      <wp:docPr id="256" name="Frame221"/>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38985" cy="175260"/>
                      <wp:effectExtent l="0" t="0" r="0" b="0"/>
                      <wp:wrapNone/>
                      <wp:docPr id="258" name="Frame223"/>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February 28, 2022</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Sean Bohen</w:t>
            </w:r>
          </w:p>
        </w:tc>
      </w:tr>
      <w:tr>
        <w:trPr/>
        <w:tc>
          <w:tcPr>
            <w:tcW w:w="208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Sean Bohen</w:t>
            </w:r>
          </w:p>
        </w:tc>
      </w:tr>
      <w:tr>
        <w:trPr/>
        <w:tc>
          <w:tcPr>
            <w:tcW w:w="20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342" w:name="olma-20211231xex31d2.htm"/>
      <w:bookmarkStart w:id="1343" w:name="ksolma20211231xex31d2"/>
      <w:bookmarkEnd w:id="1342"/>
      <w:bookmarkEnd w:id="1343"/>
      <w:r>
        <w:rPr>
          <w:rFonts w:ascii="Times New Roman;Times;serif" w:hAnsi="Times New Roman;Times;serif"/>
          <w:b/>
          <w:sz w:val="20"/>
        </w:rPr>
        <w:t>Exhibit 31.2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Shane Kovacs, certify that:</w:t>
      </w:r>
    </w:p>
    <w:tbl>
      <w:tblPr>
        <w:tblW w:w="6820" w:type="dxa"/>
        <w:jc w:val="left"/>
        <w:tblInd w:w="0" w:type="dxa"/>
        <w:tblCellMar>
          <w:top w:w="0" w:type="dxa"/>
          <w:left w:w="0" w:type="dxa"/>
          <w:bottom w:w="0" w:type="dxa"/>
          <w:right w:w="0" w:type="dxa"/>
        </w:tblCellMar>
      </w:tblPr>
      <w:tblGrid>
        <w:gridCol w:w="170"/>
        <w:gridCol w:w="6650"/>
      </w:tblGrid>
      <w:tr>
        <w:trPr/>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65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Olema Pharmaceuticals,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1006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100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10064" w:type="dxa"/>
            <w:tcBorders/>
            <w:shd w:fill="auto" w:val="clear"/>
            <w:vAlign w:val="center"/>
          </w:tcPr>
          <w:p>
            <w:pPr>
              <w:pStyle w:val="TableContents"/>
              <w:spacing w:before="0" w:after="283"/>
              <w:jc w:val="left"/>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w:t>
            </w:r>
            <w:r>
              <w:rPr>
                <w:caps w:val="false"/>
                <w:smallCaps w:val="false"/>
              </w:rPr>
              <w:t xml:space="preserve"> </w:t>
            </w:r>
            <w:r>
              <w:rPr>
                <w:rFonts w:ascii="Times New Roman;Times;serif" w:hAnsi="Times New Roman;Times;serif"/>
                <w:b w:val="false"/>
                <w:i w:val="false"/>
                <w:caps w:val="false"/>
                <w:smallCaps w:val="false"/>
                <w:sz w:val="20"/>
              </w:rPr>
              <w:t>and internal control over financial reporting (as defined in Exchange Act Rules 13a-15(f) and 15d-15(f))</w:t>
            </w:r>
            <w:r>
              <w:rPr>
                <w:caps w:val="false"/>
                <w:smallCaps w:val="false"/>
              </w:rPr>
              <w:t xml:space="preserve"> </w:t>
            </w:r>
            <w:r>
              <w:rPr>
                <w:rFonts w:ascii="Times New Roman;Times;serif" w:hAnsi="Times New Roman;Times;serif"/>
                <w:b w:val="false"/>
                <w:i w:val="false"/>
                <w:caps w:val="false"/>
                <w:smallCaps w:val="false"/>
                <w:sz w:val="20"/>
              </w:rPr>
              <w:t>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9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7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w:t>
            </w:r>
          </w:p>
        </w:tc>
        <w:tc>
          <w:tcPr>
            <w:tcW w:w="998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w:t>
            </w:r>
          </w:p>
        </w:tc>
        <w:tc>
          <w:tcPr>
            <w:tcW w:w="997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5.</w:t>
            </w:r>
          </w:p>
        </w:tc>
        <w:tc>
          <w:tcPr>
            <w:tcW w:w="10061"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7"/>
        <w:gridCol w:w="9985"/>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5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812" w:type="dxa"/>
        <w:jc w:val="left"/>
        <w:tblInd w:w="0" w:type="dxa"/>
        <w:tblCellMar>
          <w:top w:w="0" w:type="dxa"/>
          <w:left w:w="0" w:type="dxa"/>
          <w:bottom w:w="0" w:type="dxa"/>
          <w:right w:w="0" w:type="dxa"/>
        </w:tblCellMar>
      </w:tblPr>
      <w:tblGrid>
        <w:gridCol w:w="2086"/>
        <w:gridCol w:w="109"/>
        <w:gridCol w:w="406"/>
        <w:gridCol w:w="3211"/>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24610" cy="14605"/>
                      <wp:effectExtent l="0" t="0" r="0" b="0"/>
                      <wp:wrapNone/>
                      <wp:docPr id="259" name="Frame224"/>
                      <a:graphic xmlns:a="http://schemas.openxmlformats.org/drawingml/2006/main">
                        <a:graphicData uri="http://schemas.microsoft.com/office/word/2010/wordprocessingShape">
                          <wps:wsp>
                            <wps:cNvSpPr txBox="1"/>
                            <wps:spPr>
                              <a:xfrm>
                                <a:off x="0" y="0"/>
                                <a:ext cx="1324610" cy="14605"/>
                              </a:xfrm>
                              <a:prstGeom prst="rect"/>
                            </wps:spPr>
                            <wps:txbx>
                              <w:txbxContent>
                                <w:p>
                                  <w:pPr>
                                    <w:pStyle w:val="TableContents"/>
                                    <w:spacing w:before="0" w:after="0"/>
                                    <w:ind w:left="0" w:right="0" w:hanging="0"/>
                                    <w:rPr>
                                      <w:rFonts w:ascii="Times New Roman;Times;serif" w:hAnsi="Times New Roman;Times;serif"/>
                                      <w:sz w:val="2"/>
                                    </w:rPr>
                                  </w:pPr>
                                  <w:r>
                                    <w:rPr>
                                      <w:rFonts w:ascii="Times New Roman;Times;serif" w:hAnsi="Times New Roman;Times;serif"/>
                                      <w:sz w:val="2"/>
                                    </w:rPr>
                                    <w:t>Ebruary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
                              </w:rPr>
                            </w:pPr>
                            <w:r>
                              <w:rPr>
                                <w:rFonts w:ascii="Times New Roman;Times;serif" w:hAnsi="Times New Roman;Times;serif"/>
                                <w:sz w:val="2"/>
                              </w:rPr>
                              <w:t>Ebruary 28</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38985" cy="175260"/>
                      <wp:effectExtent l="0" t="0" r="0" b="0"/>
                      <wp:wrapNone/>
                      <wp:docPr id="261" name="Frame226"/>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February 28, 2022</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Shane Kovacs</w:t>
            </w:r>
          </w:p>
        </w:tc>
      </w:tr>
      <w:tr>
        <w:trPr/>
        <w:tc>
          <w:tcPr>
            <w:tcW w:w="208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Shane Kovacs</w:t>
            </w:r>
          </w:p>
        </w:tc>
      </w:tr>
      <w:tr>
        <w:trPr/>
        <w:tc>
          <w:tcPr>
            <w:tcW w:w="20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Operating and Financial Officer</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344" w:name="olma-20211231xex32d1.htm"/>
      <w:bookmarkStart w:id="1345" w:name="ksolma20211231xex32d1"/>
      <w:bookmarkEnd w:id="1344"/>
      <w:bookmarkEnd w:id="1345"/>
      <w:r>
        <w:rPr>
          <w:rFonts w:ascii="Times New Roman;Times;serif" w:hAnsi="Times New Roman;Times;serif"/>
          <w:b/>
          <w:sz w:val="20"/>
        </w:rPr>
        <w:t>Exhibit 32.1</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Annual Report of Olema Pharmaceuticals, Inc. (the “Company”) on Form 10-K for the period ending December 31, 2021 as filed with the Securities and Exchange Commission on the date hereof (the “Report”), I certify, pursuant to 18 U.S.C. § 1350, as adopted pursuant to § 906 of the Sarbanes-Oxley Act of 2002, that: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9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4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703" w:type="dxa"/>
        <w:jc w:val="left"/>
        <w:tblInd w:w="0" w:type="dxa"/>
        <w:tblCellMar>
          <w:top w:w="0" w:type="dxa"/>
          <w:left w:w="0" w:type="dxa"/>
          <w:bottom w:w="0" w:type="dxa"/>
          <w:right w:w="0" w:type="dxa"/>
        </w:tblCellMar>
      </w:tblPr>
      <w:tblGrid>
        <w:gridCol w:w="2086"/>
        <w:gridCol w:w="406"/>
        <w:gridCol w:w="3211"/>
      </w:tblGrid>
      <w:tr>
        <w:trPr/>
        <w:tc>
          <w:tcPr>
            <w:tcW w:w="2086" w:type="dxa"/>
            <w:tcBorders/>
            <w:shd w:fill="auto" w:val="clear"/>
            <w:vAlign w:val="center"/>
          </w:tcPr>
          <w:p>
            <w:pPr>
              <w:pStyle w:val="TableContents"/>
              <w:spacing w:before="0" w:after="0"/>
              <w:ind w:left="0" w:right="0" w:hanging="0"/>
              <w:rPr>
                <w:rFonts w:ascii="Times New Roman;Times;serif" w:hAnsi="Times New Roman;Times;serif"/>
                <w:sz w:val="2"/>
              </w:rPr>
            </w:pPr>
            <w:r>
              <w:rPr>
                <w:rFonts w:ascii="Times New Roman;Times;serif" w:hAnsi="Times New Roman;Times;serif"/>
                <w:sz w:val="2"/>
              </w:rPr>
              <w:t>ebrua</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February 28, 2022</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Sean Bohen</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Sean Bohen</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346" w:name="olma-20211231xex32d2.htm"/>
      <w:bookmarkStart w:id="1347" w:name="ksolma20211231xex32d2"/>
      <w:bookmarkEnd w:id="1346"/>
      <w:bookmarkEnd w:id="1347"/>
      <w:r>
        <w:rPr>
          <w:rFonts w:ascii="Times New Roman;Times;serif" w:hAnsi="Times New Roman;Times;serif"/>
          <w:b/>
          <w:sz w:val="20"/>
        </w:rPr>
        <w:t>Exhibit 32.2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 connection with the Annual Report of Olema Pharmaceuticals, Inc. (the “Company”) on Form 10-K for the period ending December 31, 2021 as filed with the Securities and Exchange Commission on the date hereof (the “Report”), I certify, pursuant to 18 U.S.C. § 1350, as adopted pursuant to § 906 of the Sarbanes-Oxley Act of 2002, that: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9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4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tbl>
      <w:tblPr>
        <w:tblW w:w="5703" w:type="dxa"/>
        <w:jc w:val="left"/>
        <w:tblInd w:w="0" w:type="dxa"/>
        <w:tblCellMar>
          <w:top w:w="0" w:type="dxa"/>
          <w:left w:w="0" w:type="dxa"/>
          <w:bottom w:w="0" w:type="dxa"/>
          <w:right w:w="0" w:type="dxa"/>
        </w:tblCellMar>
      </w:tblPr>
      <w:tblGrid>
        <w:gridCol w:w="2086"/>
        <w:gridCol w:w="406"/>
        <w:gridCol w:w="3211"/>
      </w:tblGrid>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pPr>
            <w:r>
              <w:rPr/>
              <w:t>​</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February 28, 2022</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Shane Kovacs</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Shane Kovacs</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Operating and Financial Officer</w:t>
            </w:r>
          </w:p>
        </w:tc>
      </w:tr>
      <w:tr>
        <w:trPr/>
        <w:tc>
          <w:tcPr>
            <w:tcW w:w="20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 w:name="Symbol">
    <w:charset w:val="00"/>
    <w:family w:val="auto"/>
    <w:pitch w:val="default"/>
  </w:font>
  <w:font w:name="Times New Roman Bold">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hyperlink" Target="https://www.sec.gov/Archives/edgar/data/1750284/000110465920128482/tm2027048d18_ex3-1.htm" TargetMode="External"/><Relationship Id="rId35" Type="http://schemas.openxmlformats.org/officeDocument/2006/relationships/hyperlink" Target="https://www.sec.gov/Archives/edgar/data/1750284/000110465920128482/tm2027048d18_ex3-2.htm" TargetMode="External"/><Relationship Id="rId36" Type="http://schemas.openxmlformats.org/officeDocument/2006/relationships/hyperlink" Target="https://www.sec.gov/Archives/edgar/data/1750284/000110465920125281/tm2027048d10_ex4-1.htm" TargetMode="External"/><Relationship Id="rId37" Type="http://schemas.openxmlformats.org/officeDocument/2006/relationships/hyperlink" Target="https://www.sec.gov/Archives/edgar/data/1750284/000110465920119971/tm2027048d8_ex4-2.htm" TargetMode="External"/><Relationship Id="rId38" Type="http://schemas.openxmlformats.org/officeDocument/2006/relationships/hyperlink" Target="https://www.sec.gov/Archives/edgar/data/1750284/000155837021003141/tmb-20201231xex4d3.htm" TargetMode="External"/><Relationship Id="rId39" Type="http://schemas.openxmlformats.org/officeDocument/2006/relationships/hyperlink" Target="https://www.sec.gov/Archives/edgar/data/1750284/000110465920119971/tm2027048d8_ex10-1.htm" TargetMode="External"/><Relationship Id="rId40" Type="http://schemas.openxmlformats.org/officeDocument/2006/relationships/hyperlink" Target="https://www.sec.gov/Archives/edgar/data/1750284/000110465920119971/tm2027048d8_ex10-2.htm" TargetMode="External"/><Relationship Id="rId41" Type="http://schemas.openxmlformats.org/officeDocument/2006/relationships/hyperlink" Target="https://www.sec.gov/Archives/edgar/data/1750284/000110465920125281/tm2027048d10_ex10-3.htm" TargetMode="External"/><Relationship Id="rId42" Type="http://schemas.openxmlformats.org/officeDocument/2006/relationships/hyperlink" Target="https://www.sec.gov/Archives/edgar/data/1750284/000110465920119971/tm2027048d8_ex10-4.htm" TargetMode="External"/><Relationship Id="rId43" Type="http://schemas.openxmlformats.org/officeDocument/2006/relationships/hyperlink" Target="https://www.sec.gov/Archives/edgar/data/1750284/000110465920119971/tm2027048d8_ex10-5.htm" TargetMode="External"/><Relationship Id="rId44" Type="http://schemas.openxmlformats.org/officeDocument/2006/relationships/hyperlink" Target="https://www.sec.gov/Archives/edgar/data/1750284/000110465920125281/tm2027048d10_ex10-6.htm" TargetMode="External"/><Relationship Id="rId45" Type="http://schemas.openxmlformats.org/officeDocument/2006/relationships/hyperlink" Target="https://www.sec.gov/Archives/edgar/data/1750284/000110465920125281/tm2027048d10_ex10-7.htm" TargetMode="External"/><Relationship Id="rId46" Type="http://schemas.openxmlformats.org/officeDocument/2006/relationships/hyperlink" Target="https://www.sec.gov/Archives/edgar/data/1750284/000110465920119971/tm2027048d8_ex10-8.htm" TargetMode="External"/><Relationship Id="rId47" Type="http://schemas.openxmlformats.org/officeDocument/2006/relationships/hyperlink" Target="https://www.sec.gov/Archives/edgar/data/1750284/000110465920125281/tm2027048d10_ex10-9.htm" TargetMode="External"/><Relationship Id="rId48" Type="http://schemas.openxmlformats.org/officeDocument/2006/relationships/hyperlink" Target="https://www.sec.gov/Archives/edgar/data/1750284/000110465920125281/tm2027048d10_ex10-10.htm" TargetMode="External"/><Relationship Id="rId49" Type="http://schemas.openxmlformats.org/officeDocument/2006/relationships/hyperlink" Target="https://www.sec.gov/Archives/edgar/data/1750284/000110465920125281/tm2027048d10_ex10-11.htm" TargetMode="External"/><Relationship Id="rId50" Type="http://schemas.openxmlformats.org/officeDocument/2006/relationships/hyperlink" Target="https://www.sec.gov/Archives/edgar/data/1750284/000110465920125281/tm2027048d10_ex10-12.htm" TargetMode="External"/><Relationship Id="rId51" Type="http://schemas.openxmlformats.org/officeDocument/2006/relationships/hyperlink" Target="https://www.sec.gov/Archives/edgar/data/1750284/000110465920125281/tm2027048d10_ex10-13.htm" TargetMode="External"/><Relationship Id="rId52" Type="http://schemas.openxmlformats.org/officeDocument/2006/relationships/hyperlink" Target="https://www.sec.gov/Archives/edgar/data/1750284/000110465920125281/tm2027048d10_ex10-14.htm" TargetMode="External"/><Relationship Id="rId53" Type="http://schemas.openxmlformats.org/officeDocument/2006/relationships/hyperlink" Target="https://www.sec.gov/Archives/edgar/data/1750284/000110465920125281/tm2027048d10_ex10-15.htm" TargetMode="External"/><Relationship Id="rId54" Type="http://schemas.openxmlformats.org/officeDocument/2006/relationships/hyperlink" Target="https://www.sec.gov/Archives/edgar/data/1750284/000110465920119971/tm2027048d8_ex10-16.htm" TargetMode="External"/><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119301</Words>
  <CharactersWithSpaces>780489</CharactersWithSpaces>
  <Paragraphs>7552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