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color w:val="auto"/>
        </w:rPr>
        <w:t>`</w:t>
      </w:r>
    </w:p>
    <w:p>
      <w:pPr>
        <w:jc w:val="center"/>
        <w:spacing w:after="0" w:line="234" w:lineRule="auto"/>
        <w:rPr>
          <w:sz w:val="20"/>
          <w:szCs w:val="20"/>
          <w:color w:val="auto"/>
        </w:rPr>
      </w:pPr>
      <w:r>
        <w:rPr>
          <w:rFonts w:ascii="Arial" w:cs="Arial" w:eastAsia="Arial" w:hAnsi="Arial"/>
          <w:sz w:val="18"/>
          <w:szCs w:val="18"/>
          <w:b w:val="1"/>
          <w:bCs w:val="1"/>
          <w:color w:val="auto"/>
        </w:rPr>
        <w:t>UNITED STATES</w:t>
      </w:r>
    </w:p>
    <w:p>
      <w:pPr>
        <w:jc w:val="center"/>
        <w:spacing w:after="0" w:line="235"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69215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2" w:lineRule="exact"/>
        <w:rPr>
          <w:sz w:val="24"/>
          <w:szCs w:val="24"/>
          <w:color w:val="auto"/>
        </w:rPr>
      </w:pPr>
    </w:p>
    <w:p>
      <w:pPr>
        <w:ind w:left="3720" w:right="2020" w:hanging="3712"/>
        <w:spacing w:after="0" w:line="344" w:lineRule="auto"/>
        <w:tabs>
          <w:tab w:leader="none" w:pos="32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3580" w:right="1680" w:hanging="3572"/>
        <w:spacing w:after="0" w:line="344" w:lineRule="auto"/>
        <w:tabs>
          <w:tab w:leader="none" w:pos="33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 to ______</w:t>
      </w:r>
    </w:p>
    <w:p>
      <w:pPr>
        <w:ind w:left="40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001-39712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69215</wp:posOffset>
            </wp:positionV>
            <wp:extent cx="1800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57785</wp:posOffset>
            </wp:positionV>
            <wp:extent cx="18002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60" w:type="dxa"/>
            <w:vAlign w:val="bottom"/>
          </w:tcPr>
          <w:p>
            <w:pPr>
              <w:jc w:val="center"/>
              <w:ind w:left="1108"/>
              <w:spacing w:after="0"/>
              <w:rPr>
                <w:sz w:val="20"/>
                <w:szCs w:val="20"/>
                <w:color w:val="auto"/>
              </w:rPr>
            </w:pPr>
            <w:r>
              <w:rPr>
                <w:rFonts w:ascii="Arial" w:cs="Arial" w:eastAsia="Arial" w:hAnsi="Arial"/>
                <w:sz w:val="14"/>
                <w:szCs w:val="14"/>
                <w:b w:val="1"/>
                <w:bCs w:val="1"/>
                <w:color w:val="auto"/>
              </w:rPr>
              <w:t>Delaware</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0" w:type="dxa"/>
            <w:vAlign w:val="bottom"/>
          </w:tcPr>
          <w:p>
            <w:pPr>
              <w:jc w:val="right"/>
              <w:ind w:right="1908"/>
              <w:spacing w:after="0"/>
              <w:rPr>
                <w:sz w:val="20"/>
                <w:szCs w:val="20"/>
                <w:color w:val="auto"/>
              </w:rPr>
            </w:pPr>
            <w:r>
              <w:rPr>
                <w:rFonts w:ascii="Arial" w:cs="Arial" w:eastAsia="Arial" w:hAnsi="Arial"/>
                <w:sz w:val="14"/>
                <w:szCs w:val="14"/>
                <w:b w:val="1"/>
                <w:bCs w:val="1"/>
                <w:color w:val="auto"/>
              </w:rPr>
              <w:t>30-0409740</w:t>
            </w:r>
          </w:p>
        </w:tc>
      </w:tr>
      <w:tr>
        <w:trPr>
          <w:trHeight w:val="196"/>
        </w:trPr>
        <w:tc>
          <w:tcPr>
            <w:tcW w:w="7640" w:type="dxa"/>
            <w:vAlign w:val="bottom"/>
            <w:gridSpan w:val="6"/>
          </w:tcPr>
          <w:p>
            <w:pPr>
              <w:jc w:val="center"/>
              <w:ind w:right="290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3600" w:type="dxa"/>
            <w:vAlign w:val="bottom"/>
          </w:tcPr>
          <w:p>
            <w:pPr>
              <w:jc w:val="center"/>
              <w:ind w:right="1048"/>
              <w:spacing w:after="0"/>
              <w:rPr>
                <w:sz w:val="20"/>
                <w:szCs w:val="20"/>
                <w:color w:val="auto"/>
              </w:rPr>
            </w:pPr>
            <w:r>
              <w:rPr>
                <w:rFonts w:ascii="Arial" w:cs="Arial" w:eastAsia="Arial" w:hAnsi="Arial"/>
                <w:sz w:val="14"/>
                <w:szCs w:val="14"/>
                <w:b w:val="1"/>
                <w:bCs w:val="1"/>
                <w:color w:val="auto"/>
              </w:rPr>
              <w:t>(I.R.S. Employer Identification No.)</w:t>
            </w:r>
          </w:p>
        </w:tc>
      </w:tr>
      <w:tr>
        <w:trPr>
          <w:trHeight w:val="222"/>
        </w:trPr>
        <w:tc>
          <w:tcPr>
            <w:tcW w:w="3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780 Brannan Street</w:t>
            </w:r>
          </w:p>
        </w:tc>
        <w:tc>
          <w:tcPr>
            <w:tcW w:w="3600" w:type="dxa"/>
            <w:vAlign w:val="bottom"/>
          </w:tcPr>
          <w:p>
            <w:pPr>
              <w:spacing w:after="0"/>
              <w:rPr>
                <w:sz w:val="19"/>
                <w:szCs w:val="19"/>
                <w:color w:val="auto"/>
              </w:rPr>
            </w:pPr>
          </w:p>
        </w:tc>
      </w:tr>
      <w:tr>
        <w:trPr>
          <w:trHeight w:val="153"/>
        </w:trPr>
        <w:tc>
          <w:tcPr>
            <w:tcW w:w="3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60" w:type="dxa"/>
            <w:vAlign w:val="bottom"/>
            <w:gridSpan w:val="3"/>
          </w:tcPr>
          <w:p>
            <w:pPr>
              <w:jc w:val="center"/>
              <w:ind w:right="680"/>
              <w:spacing w:after="0" w:line="153" w:lineRule="exact"/>
              <w:rPr>
                <w:sz w:val="20"/>
                <w:szCs w:val="20"/>
                <w:color w:val="auto"/>
              </w:rPr>
            </w:pPr>
            <w:r>
              <w:rPr>
                <w:rFonts w:ascii="Arial" w:cs="Arial" w:eastAsia="Arial" w:hAnsi="Arial"/>
                <w:sz w:val="14"/>
                <w:szCs w:val="14"/>
                <w:b w:val="1"/>
                <w:bCs w:val="1"/>
                <w:color w:val="auto"/>
              </w:rPr>
              <w:t>San Francisco, California 94103</w:t>
            </w:r>
          </w:p>
        </w:tc>
        <w:tc>
          <w:tcPr>
            <w:tcW w:w="3600" w:type="dxa"/>
            <w:vAlign w:val="bottom"/>
          </w:tcPr>
          <w:p>
            <w:pPr>
              <w:spacing w:after="0"/>
              <w:rPr>
                <w:sz w:val="13"/>
                <w:szCs w:val="13"/>
                <w:color w:val="auto"/>
              </w:rPr>
            </w:pPr>
          </w:p>
        </w:tc>
      </w:tr>
      <w:tr>
        <w:trPr>
          <w:trHeight w:val="135"/>
        </w:trPr>
        <w:tc>
          <w:tcPr>
            <w:tcW w:w="3560" w:type="dxa"/>
            <w:vAlign w:val="bottom"/>
          </w:tcPr>
          <w:p>
            <w:pPr>
              <w:spacing w:after="0"/>
              <w:rPr>
                <w:sz w:val="11"/>
                <w:szCs w:val="11"/>
                <w:color w:val="auto"/>
              </w:rPr>
            </w:pPr>
          </w:p>
        </w:tc>
        <w:tc>
          <w:tcPr>
            <w:tcW w:w="408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7"/>
              </w:rPr>
              <w:t>(Address of principal executive offices and zip code)</w:t>
            </w:r>
          </w:p>
        </w:tc>
        <w:tc>
          <w:tcPr>
            <w:tcW w:w="3600" w:type="dxa"/>
            <w:vAlign w:val="bottom"/>
          </w:tcPr>
          <w:p>
            <w:pPr>
              <w:spacing w:after="0"/>
              <w:rPr>
                <w:sz w:val="11"/>
                <w:szCs w:val="11"/>
                <w:color w:val="auto"/>
              </w:rPr>
            </w:pPr>
          </w:p>
        </w:tc>
      </w:tr>
      <w:tr>
        <w:trPr>
          <w:trHeight w:val="172"/>
        </w:trPr>
        <w:tc>
          <w:tcPr>
            <w:tcW w:w="3560" w:type="dxa"/>
            <w:vAlign w:val="bottom"/>
          </w:tcPr>
          <w:p>
            <w:pPr>
              <w:spacing w:after="0"/>
              <w:rPr>
                <w:sz w:val="14"/>
                <w:szCs w:val="14"/>
                <w:color w:val="auto"/>
              </w:rPr>
            </w:pPr>
          </w:p>
        </w:tc>
        <w:tc>
          <w:tcPr>
            <w:tcW w:w="4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Registrant’s telephone number, including area code: (415) 651-3316</w:t>
            </w:r>
          </w:p>
        </w:tc>
        <w:tc>
          <w:tcPr>
            <w:tcW w:w="3600" w:type="dxa"/>
            <w:vAlign w:val="bottom"/>
          </w:tcPr>
          <w:p>
            <w:pPr>
              <w:spacing w:after="0"/>
              <w:rPr>
                <w:sz w:val="14"/>
                <w:szCs w:val="14"/>
                <w:color w:val="auto"/>
              </w:rPr>
            </w:pPr>
          </w:p>
        </w:tc>
      </w:tr>
      <w:tr>
        <w:trPr>
          <w:trHeight w:val="230"/>
        </w:trPr>
        <w:tc>
          <w:tcPr>
            <w:tcW w:w="3560" w:type="dxa"/>
            <w:vAlign w:val="bottom"/>
          </w:tcPr>
          <w:p>
            <w:pPr>
              <w:spacing w:after="0"/>
              <w:rPr>
                <w:sz w:val="19"/>
                <w:szCs w:val="19"/>
                <w:color w:val="auto"/>
              </w:rPr>
            </w:pPr>
          </w:p>
        </w:tc>
        <w:tc>
          <w:tcPr>
            <w:tcW w:w="408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Securities registered pursuant to Section 12(b) of the Act:</w:t>
            </w:r>
          </w:p>
        </w:tc>
        <w:tc>
          <w:tcPr>
            <w:tcW w:w="3600" w:type="dxa"/>
            <w:vAlign w:val="bottom"/>
          </w:tcPr>
          <w:p>
            <w:pPr>
              <w:spacing w:after="0"/>
              <w:rPr>
                <w:sz w:val="19"/>
                <w:szCs w:val="19"/>
                <w:color w:val="auto"/>
              </w:rPr>
            </w:pPr>
          </w:p>
        </w:tc>
      </w:tr>
      <w:tr>
        <w:trPr>
          <w:trHeight w:val="238"/>
        </w:trPr>
        <w:tc>
          <w:tcPr>
            <w:tcW w:w="3560" w:type="dxa"/>
            <w:vAlign w:val="bottom"/>
          </w:tcPr>
          <w:p>
            <w:pPr>
              <w:jc w:val="center"/>
              <w:ind w:left="428"/>
              <w:spacing w:after="0"/>
              <w:rPr>
                <w:sz w:val="20"/>
                <w:szCs w:val="20"/>
                <w:color w:val="auto"/>
              </w:rPr>
            </w:pPr>
            <w:r>
              <w:rPr>
                <w:rFonts w:ascii="Arial" w:cs="Arial" w:eastAsia="Arial" w:hAnsi="Arial"/>
                <w:sz w:val="14"/>
                <w:szCs w:val="14"/>
                <w:b w:val="1"/>
                <w:bCs w:val="1"/>
                <w:color w:val="auto"/>
              </w:rPr>
              <w:t>Title of Each Class of Securities Registered</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Trading Symbol</w:t>
            </w:r>
          </w:p>
        </w:tc>
        <w:tc>
          <w:tcPr>
            <w:tcW w:w="3600" w:type="dxa"/>
            <w:vAlign w:val="bottom"/>
          </w:tcPr>
          <w:p>
            <w:pPr>
              <w:jc w:val="center"/>
              <w:ind w:right="34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560" w:type="dxa"/>
            <w:vAlign w:val="bottom"/>
            <w:tcBorders>
              <w:top w:val="single" w:sz="8" w:color="auto"/>
            </w:tcBorders>
          </w:tcPr>
          <w:p>
            <w:pPr>
              <w:jc w:val="center"/>
              <w:ind w:left="428"/>
              <w:spacing w:after="0"/>
              <w:rPr>
                <w:sz w:val="20"/>
                <w:szCs w:val="20"/>
                <w:color w:val="auto"/>
              </w:rPr>
            </w:pPr>
            <w:r>
              <w:rPr>
                <w:rFonts w:ascii="Arial" w:cs="Arial" w:eastAsia="Arial" w:hAnsi="Arial"/>
                <w:sz w:val="14"/>
                <w:szCs w:val="14"/>
                <w:color w:val="auto"/>
              </w:rPr>
              <w:t>Common Stock, par value $0.0001 per share</w:t>
            </w: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OLMA</w:t>
            </w:r>
          </w:p>
        </w:tc>
        <w:tc>
          <w:tcPr>
            <w:tcW w:w="22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600" w:type="dxa"/>
            <w:vAlign w:val="bottom"/>
            <w:tcBorders>
              <w:top w:val="single" w:sz="8" w:color="auto"/>
            </w:tcBorders>
          </w:tcPr>
          <w:p>
            <w:pPr>
              <w:jc w:val="center"/>
              <w:ind w:right="368"/>
              <w:spacing w:after="0"/>
              <w:rPr>
                <w:sz w:val="20"/>
                <w:szCs w:val="20"/>
                <w:color w:val="auto"/>
              </w:rPr>
            </w:pPr>
            <w:r>
              <w:rPr>
                <w:rFonts w:ascii="Arial" w:cs="Arial" w:eastAsia="Arial" w:hAnsi="Arial"/>
                <w:sz w:val="14"/>
                <w:szCs w:val="14"/>
                <w:color w:val="auto"/>
              </w:rPr>
              <w:t>The Nasdaq Global Select Market</w:t>
            </w:r>
          </w:p>
        </w:tc>
      </w:tr>
    </w:tbl>
    <w:p>
      <w:pPr>
        <w:spacing w:after="0" w:line="48"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12(g) of the Act: None</w:t>
      </w:r>
    </w:p>
    <w:p>
      <w:pPr>
        <w:spacing w:after="0" w:line="65"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9"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Arial Unicode MS" w:cs="Arial Unicode MS" w:eastAsia="Arial Unicode MS" w:hAnsi="Arial Unicode MS"/>
          <w:sz w:val="13"/>
          <w:szCs w:val="13"/>
          <w:color w:val="auto"/>
        </w:rPr>
        <w:t>‑</w:t>
      </w:r>
      <w:r>
        <w:rPr>
          <w:rFonts w:ascii="Arial" w:cs="Arial" w:eastAsia="Arial" w:hAnsi="Arial"/>
          <w:sz w:val="13"/>
          <w:szCs w:val="13"/>
          <w:color w:val="auto"/>
        </w:rPr>
        <w:t>2 of the Exchange Act.</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16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840" w:type="dxa"/>
            <w:vAlign w:val="bottom"/>
          </w:tcPr>
          <w:p>
            <w:pPr>
              <w:ind w:left="3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ind w:left="2380"/>
              <w:spacing w:after="0"/>
              <w:rPr>
                <w:sz w:val="20"/>
                <w:szCs w:val="20"/>
                <w:color w:val="auto"/>
              </w:rPr>
            </w:pPr>
            <w:r>
              <w:rPr>
                <w:rFonts w:ascii="Arial" w:cs="Arial" w:eastAsia="Arial" w:hAnsi="Arial"/>
                <w:sz w:val="13"/>
                <w:szCs w:val="13"/>
                <w:color w:val="auto"/>
              </w:rPr>
              <w:t>Accelerated filer</w:t>
            </w:r>
          </w:p>
        </w:tc>
        <w:tc>
          <w:tcPr>
            <w:tcW w:w="1260" w:type="dxa"/>
            <w:vAlign w:val="bottom"/>
          </w:tcPr>
          <w:p>
            <w:pPr>
              <w:ind w:left="116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r>
        <w:trPr>
          <w:trHeight w:val="191"/>
        </w:trPr>
        <w:tc>
          <w:tcPr>
            <w:tcW w:w="1600" w:type="dxa"/>
            <w:vAlign w:val="bottom"/>
          </w:tcPr>
          <w:p>
            <w:pPr>
              <w:spacing w:after="0"/>
              <w:rPr>
                <w:sz w:val="20"/>
                <w:szCs w:val="20"/>
                <w:color w:val="auto"/>
              </w:rPr>
            </w:pPr>
            <w:r>
              <w:rPr>
                <w:rFonts w:ascii="Arial" w:cs="Arial" w:eastAsia="Arial" w:hAnsi="Arial"/>
                <w:sz w:val="13"/>
                <w:szCs w:val="13"/>
                <w:color w:val="auto"/>
              </w:rPr>
              <w:t>Non-accelerated filer</w:t>
            </w:r>
          </w:p>
        </w:tc>
        <w:tc>
          <w:tcPr>
            <w:tcW w:w="2840" w:type="dxa"/>
            <w:vAlign w:val="bottom"/>
          </w:tcPr>
          <w:p>
            <w:pPr>
              <w:ind w:left="3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ind w:left="2380"/>
              <w:spacing w:after="0"/>
              <w:rPr>
                <w:sz w:val="20"/>
                <w:szCs w:val="20"/>
                <w:color w:val="auto"/>
              </w:rPr>
            </w:pPr>
            <w:r>
              <w:rPr>
                <w:rFonts w:ascii="Arial" w:cs="Arial" w:eastAsia="Arial" w:hAnsi="Arial"/>
                <w:sz w:val="13"/>
                <w:szCs w:val="13"/>
                <w:color w:val="auto"/>
              </w:rPr>
              <w:t>Smaller reporting company</w:t>
            </w:r>
          </w:p>
        </w:tc>
        <w:tc>
          <w:tcPr>
            <w:tcW w:w="1260" w:type="dxa"/>
            <w:vAlign w:val="bottom"/>
          </w:tcPr>
          <w:p>
            <w:pPr>
              <w:ind w:left="116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r>
        <w:trPr>
          <w:trHeight w:val="224"/>
        </w:trPr>
        <w:tc>
          <w:tcPr>
            <w:tcW w:w="16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020" w:type="dxa"/>
            <w:vAlign w:val="bottom"/>
          </w:tcPr>
          <w:p>
            <w:pPr>
              <w:ind w:left="2380"/>
              <w:spacing w:after="0"/>
              <w:rPr>
                <w:sz w:val="20"/>
                <w:szCs w:val="20"/>
                <w:color w:val="auto"/>
              </w:rPr>
            </w:pPr>
            <w:r>
              <w:rPr>
                <w:rFonts w:ascii="Arial" w:cs="Arial" w:eastAsia="Arial" w:hAnsi="Arial"/>
                <w:sz w:val="13"/>
                <w:szCs w:val="13"/>
                <w:color w:val="auto"/>
              </w:rPr>
              <w:t>Emerging growth company</w:t>
            </w:r>
          </w:p>
        </w:tc>
        <w:tc>
          <w:tcPr>
            <w:tcW w:w="1260" w:type="dxa"/>
            <w:vAlign w:val="bottom"/>
          </w:tcPr>
          <w:p>
            <w:pPr>
              <w:ind w:left="1160"/>
              <w:spacing w:after="0" w:line="175" w:lineRule="exact"/>
              <w:rPr>
                <w:sz w:val="20"/>
                <w:szCs w:val="20"/>
                <w:color w:val="auto"/>
              </w:rPr>
            </w:pPr>
            <w:r>
              <w:rPr>
                <w:rFonts w:ascii="Arial Unicode MS" w:cs="Arial Unicode MS" w:eastAsia="Arial Unicode MS" w:hAnsi="Arial Unicode MS"/>
                <w:sz w:val="13"/>
                <w:szCs w:val="13"/>
                <w:color w:val="auto"/>
                <w:w w:val="83"/>
              </w:rPr>
              <w:t>☐</w:t>
            </w:r>
          </w:p>
        </w:tc>
      </w:tr>
    </w:tbl>
    <w:p>
      <w:pPr>
        <w:spacing w:after="0" w:line="46" w:lineRule="exact"/>
        <w:rPr>
          <w:sz w:val="24"/>
          <w:szCs w:val="24"/>
          <w:color w:val="auto"/>
        </w:rPr>
      </w:pPr>
    </w:p>
    <w:p>
      <w:pPr>
        <w:jc w:val="both"/>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31"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Indicate by check mark whether the registrant is a shell company (as defined in Rule 12b</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2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4" w:lineRule="exact"/>
        <w:rPr>
          <w:sz w:val="24"/>
          <w:szCs w:val="24"/>
          <w:color w:val="auto"/>
        </w:rPr>
      </w:pPr>
    </w:p>
    <w:p>
      <w:pPr>
        <w:jc w:val="both"/>
        <w:ind w:right="20"/>
        <w:spacing w:after="0" w:line="243" w:lineRule="auto"/>
        <w:rPr>
          <w:sz w:val="20"/>
          <w:szCs w:val="20"/>
          <w:color w:val="auto"/>
        </w:rPr>
      </w:pPr>
      <w:r>
        <w:rPr>
          <w:rFonts w:ascii="Arial" w:cs="Arial" w:eastAsia="Arial" w:hAnsi="Arial"/>
          <w:sz w:val="13"/>
          <w:szCs w:val="13"/>
          <w:color w:val="auto"/>
        </w:rPr>
        <w:t>The aggregate market value of common stock held by non-affiliates of the Registrant, based on the closing sales price for such stock on June 30, 2025 as reported by The Nasdaq Global Select Market, was approximately $243.1 million.</w:t>
      </w:r>
    </w:p>
    <w:p>
      <w:pPr>
        <w:spacing w:after="0" w:line="62" w:lineRule="exact"/>
        <w:rPr>
          <w:sz w:val="24"/>
          <w:szCs w:val="24"/>
          <w:color w:val="auto"/>
        </w:rPr>
      </w:pPr>
    </w:p>
    <w:p>
      <w:pPr>
        <w:jc w:val="both"/>
        <w:spacing w:after="0" w:line="233" w:lineRule="auto"/>
        <w:rPr>
          <w:sz w:val="20"/>
          <w:szCs w:val="20"/>
          <w:color w:val="auto"/>
        </w:rPr>
      </w:pPr>
      <w:r>
        <w:rPr>
          <w:rFonts w:ascii="Arial" w:cs="Arial" w:eastAsia="Arial" w:hAnsi="Arial"/>
          <w:sz w:val="13"/>
          <w:szCs w:val="13"/>
          <w:color w:val="auto"/>
        </w:rPr>
        <w:t>As of March 11, 2026, the number of outstanding shares of the Registrant’s common stock was 87,156,961. This number does not include 13,594,149 shares of common stock issuable upon the exercise of pre-funded warrants (which are immediately exercisable at an exercise price of $0.0001 per share of common stock, subject to beneficial ownership limitations) (See Notes 2 and 7 to the Registrant's consolidated financial statements).</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80" w:lineRule="exact"/>
        <w:rPr>
          <w:sz w:val="24"/>
          <w:szCs w:val="24"/>
          <w:color w:val="auto"/>
        </w:rPr>
      </w:pPr>
    </w:p>
    <w:p>
      <w:pPr>
        <w:jc w:val="both"/>
        <w:ind w:right="20"/>
        <w:spacing w:after="0" w:line="166" w:lineRule="exact"/>
        <w:rPr>
          <w:sz w:val="20"/>
          <w:szCs w:val="20"/>
          <w:color w:val="auto"/>
        </w:rPr>
      </w:pPr>
      <w:r>
        <w:rPr>
          <w:rFonts w:ascii="Arial" w:cs="Arial" w:eastAsia="Arial" w:hAnsi="Arial"/>
          <w:sz w:val="13"/>
          <w:szCs w:val="13"/>
          <w:color w:val="auto"/>
        </w:rPr>
        <w:t>Portions of the registrant’s definitive Proxy Statement for the 2026 Annual Meeting of Stockholders to be filed with the U.S. Securities and Exchange Commission pursuant to Regulation 14A not later than 120 days after the end of the fiscal year covered by this Annual Report on Form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K are incorporated by reference in Part III, Items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14 of this Annual Report on Form 10</w:t>
      </w:r>
      <w:r>
        <w:rPr>
          <w:rFonts w:ascii="Arial Unicode MS" w:cs="Arial Unicode MS" w:eastAsia="Arial Unicode MS" w:hAnsi="Arial Unicode MS"/>
          <w:sz w:val="13"/>
          <w:szCs w:val="13"/>
          <w:color w:val="auto"/>
        </w:rPr>
        <w:t>‑</w:t>
      </w:r>
      <w:r>
        <w:rPr>
          <w:rFonts w:ascii="Arial" w:cs="Arial" w:eastAsia="Arial" w:hAnsi="Arial"/>
          <w:sz w:val="13"/>
          <w:szCs w:val="13"/>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619760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80" w:type="dxa"/>
            <w:vAlign w:val="bottom"/>
            <w:gridSpan w:val="13"/>
          </w:tcPr>
          <w:p>
            <w:pPr>
              <w:jc w:val="center"/>
              <w:ind w:right="2640"/>
              <w:spacing w:after="0"/>
              <w:rPr>
                <w:sz w:val="20"/>
                <w:szCs w:val="20"/>
                <w:color w:val="auto"/>
              </w:rPr>
            </w:pPr>
            <w:r>
              <w:rPr>
                <w:rFonts w:ascii="Arial" w:cs="Arial" w:eastAsia="Arial" w:hAnsi="Arial"/>
                <w:sz w:val="22"/>
                <w:szCs w:val="22"/>
                <w:b w:val="1"/>
                <w:bCs w:val="1"/>
                <w:color w:val="auto"/>
                <w:w w:val="98"/>
              </w:rPr>
              <w:t>OLEMA PHARMACEUTICALS, INC.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80" w:type="dxa"/>
            <w:vAlign w:val="bottom"/>
            <w:gridSpan w:val="13"/>
          </w:tcPr>
          <w:p>
            <w:pPr>
              <w:jc w:val="center"/>
              <w:ind w:right="2660"/>
              <w:spacing w:after="0" w:line="253" w:lineRule="exact"/>
              <w:rPr>
                <w:sz w:val="20"/>
                <w:szCs w:val="20"/>
                <w:color w:val="auto"/>
              </w:rPr>
            </w:pPr>
            <w:r>
              <w:rPr>
                <w:rFonts w:ascii="Arial" w:cs="Arial" w:eastAsia="Arial" w:hAnsi="Arial"/>
                <w:sz w:val="22"/>
                <w:szCs w:val="22"/>
                <w:b w:val="1"/>
                <w:bCs w:val="1"/>
                <w:color w:val="auto"/>
                <w:w w:val="98"/>
              </w:rPr>
              <w:t>2025 ANNUAL REPORT ON FORM 10</w:t>
            </w:r>
            <w:r>
              <w:rPr>
                <w:rFonts w:ascii="MS PGothic" w:cs="MS PGothic" w:eastAsia="MS PGothic" w:hAnsi="MS PGothic"/>
                <w:sz w:val="22"/>
                <w:szCs w:val="22"/>
                <w:color w:val="auto"/>
                <w:strike w:val="1"/>
                <w:w w:val="98"/>
              </w:rPr>
              <w:t>‑</w:t>
            </w:r>
            <w:r>
              <w:rPr>
                <w:rFonts w:ascii="Arial" w:cs="Arial" w:eastAsia="Arial" w:hAnsi="Arial"/>
                <w:sz w:val="22"/>
                <w:szCs w:val="22"/>
                <w:b w:val="1"/>
                <w:bCs w:val="1"/>
                <w:color w:val="auto"/>
                <w:w w:val="98"/>
              </w:rPr>
              <w:t>K</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780" w:type="dxa"/>
            <w:vAlign w:val="bottom"/>
            <w:gridSpan w:val="13"/>
          </w:tcPr>
          <w:p>
            <w:pPr>
              <w:jc w:val="center"/>
              <w:ind w:right="2660"/>
              <w:spacing w:after="0"/>
              <w:rPr>
                <w:sz w:val="20"/>
                <w:szCs w:val="20"/>
                <w:color w:val="auto"/>
              </w:rPr>
            </w:pPr>
            <w:r>
              <w:rPr>
                <w:rFonts w:ascii="Arial" w:cs="Arial" w:eastAsia="Arial" w:hAnsi="Arial"/>
                <w:sz w:val="22"/>
                <w:szCs w:val="22"/>
                <w:b w:val="1"/>
                <w:bCs w:val="1"/>
                <w:color w:val="auto"/>
                <w:w w:val="97"/>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220" w:type="dxa"/>
            <w:vAlign w:val="bottom"/>
            <w:gridSpan w:val="12"/>
            <w:vMerge w:val="restart"/>
          </w:tcPr>
          <w:p>
            <w:pPr>
              <w:spacing w:after="0"/>
              <w:rPr>
                <w:sz w:val="20"/>
                <w:szCs w:val="20"/>
                <w:color w:val="auto"/>
              </w:rPr>
            </w:pPr>
            <w:r>
              <w:rPr>
                <w:rFonts w:ascii="Arial" w:cs="Arial" w:eastAsia="Arial" w:hAnsi="Arial"/>
                <w:sz w:val="18"/>
                <w:szCs w:val="18"/>
                <w:color w:val="0000FF"/>
              </w:rPr>
              <w:t>PART I</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220" w:type="dxa"/>
            <w:vAlign w:val="bottom"/>
            <w:gridSpan w:val="12"/>
            <w:vMerge w:val="continue"/>
          </w:tcPr>
          <w:p>
            <w:pPr>
              <w:spacing w:after="0"/>
              <w:rPr>
                <w:sz w:val="14"/>
                <w:szCs w:val="14"/>
                <w:color w:val="auto"/>
              </w:rPr>
            </w:pPr>
          </w:p>
        </w:tc>
        <w:tc>
          <w:tcPr>
            <w:tcW w:w="40" w:type="dxa"/>
            <w:vAlign w:val="bottom"/>
            <w:vMerge w:val="restart"/>
          </w:tcPr>
          <w:p>
            <w:pPr>
              <w:spacing w:after="0"/>
              <w:rPr>
                <w:sz w:val="14"/>
                <w:szCs w:val="14"/>
                <w:color w:val="auto"/>
              </w:rPr>
            </w:pPr>
          </w:p>
        </w:tc>
        <w:tc>
          <w:tcPr>
            <w:tcW w:w="9080" w:type="dxa"/>
            <w:vAlign w:val="bottom"/>
            <w:gridSpan w:val="24"/>
            <w:vMerge w:val="restart"/>
          </w:tcPr>
          <w:p>
            <w:pPr>
              <w:spacing w:after="0"/>
              <w:rPr>
                <w:sz w:val="20"/>
                <w:szCs w:val="20"/>
                <w:color w:val="auto"/>
              </w:rPr>
            </w:pPr>
            <w:r>
              <w:rPr>
                <w:rFonts w:ascii="Arial" w:cs="Arial" w:eastAsia="Arial" w:hAnsi="Arial"/>
                <w:sz w:val="18"/>
                <w:szCs w:val="18"/>
                <w:color w:val="0000FF"/>
              </w:rPr>
              <w:t>Business.</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1.</w:t>
            </w: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9080" w:type="dxa"/>
            <w:vAlign w:val="bottom"/>
            <w:gridSpan w:val="24"/>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54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Item 1A.</w:t>
            </w:r>
          </w:p>
        </w:tc>
        <w:tc>
          <w:tcPr>
            <w:tcW w:w="20" w:type="dxa"/>
            <w:vAlign w:val="bottom"/>
            <w:tcBorders>
              <w:bottom w:val="single" w:sz="8" w:color="0000EE"/>
            </w:tcBorders>
          </w:tcPr>
          <w:p>
            <w:pPr>
              <w:spacing w:after="0"/>
              <w:rPr>
                <w:sz w:val="15"/>
                <w:szCs w:val="15"/>
                <w:color w:val="auto"/>
              </w:rPr>
            </w:pPr>
          </w:p>
        </w:tc>
        <w:tc>
          <w:tcPr>
            <w:tcW w:w="460" w:type="dxa"/>
            <w:vAlign w:val="bottom"/>
            <w:gridSpan w:val="4"/>
          </w:tcPr>
          <w:p>
            <w:pPr>
              <w:spacing w:after="0"/>
              <w:rPr>
                <w:sz w:val="15"/>
                <w:szCs w:val="15"/>
                <w:color w:val="auto"/>
              </w:rPr>
            </w:pPr>
          </w:p>
        </w:tc>
        <w:tc>
          <w:tcPr>
            <w:tcW w:w="40" w:type="dxa"/>
            <w:vAlign w:val="bottom"/>
            <w:vMerge w:val="continue"/>
          </w:tcPr>
          <w:p>
            <w:pPr>
              <w:spacing w:after="0"/>
              <w:rPr>
                <w:sz w:val="15"/>
                <w:szCs w:val="15"/>
                <w:color w:val="auto"/>
              </w:rPr>
            </w:pPr>
          </w:p>
        </w:tc>
        <w:tc>
          <w:tcPr>
            <w:tcW w:w="106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8"/>
              </w:rPr>
              <w:t>Risk Factors.</w:t>
            </w:r>
          </w:p>
        </w:tc>
        <w:tc>
          <w:tcPr>
            <w:tcW w:w="8020" w:type="dxa"/>
            <w:vAlign w:val="bottom"/>
            <w:gridSpan w:val="20"/>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6"/>
          </w:tcPr>
          <w:p>
            <w:pPr>
              <w:spacing w:after="0" w:line="182" w:lineRule="exact"/>
              <w:rPr>
                <w:sz w:val="20"/>
                <w:szCs w:val="20"/>
                <w:color w:val="auto"/>
              </w:rPr>
            </w:pPr>
            <w:r>
              <w:rPr>
                <w:rFonts w:ascii="Arial" w:cs="Arial" w:eastAsia="Arial" w:hAnsi="Arial"/>
                <w:sz w:val="18"/>
                <w:szCs w:val="18"/>
                <w:color w:val="0000FF"/>
              </w:rPr>
              <w:t>Item 1B.</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gridSpan w:val="4"/>
          </w:tcPr>
          <w:p>
            <w:pPr>
              <w:spacing w:after="0" w:line="182" w:lineRule="exact"/>
              <w:rPr>
                <w:sz w:val="20"/>
                <w:szCs w:val="20"/>
                <w:color w:val="auto"/>
              </w:rPr>
            </w:pPr>
            <w:r>
              <w:rPr>
                <w:rFonts w:ascii="Arial" w:cs="Arial" w:eastAsia="Arial" w:hAnsi="Arial"/>
                <w:sz w:val="18"/>
                <w:szCs w:val="18"/>
                <w:color w:val="0000FF"/>
              </w:rPr>
              <w:t>Unresolved</w:t>
            </w:r>
          </w:p>
        </w:tc>
        <w:tc>
          <w:tcPr>
            <w:tcW w:w="8020" w:type="dxa"/>
            <w:vAlign w:val="bottom"/>
            <w:gridSpan w:val="20"/>
          </w:tcPr>
          <w:p>
            <w:pPr>
              <w:spacing w:after="0" w:line="182" w:lineRule="exact"/>
              <w:rPr>
                <w:sz w:val="20"/>
                <w:szCs w:val="20"/>
                <w:color w:val="auto"/>
              </w:rPr>
            </w:pPr>
            <w:r>
              <w:rPr>
                <w:rFonts w:ascii="Arial" w:cs="Arial" w:eastAsia="Arial" w:hAnsi="Arial"/>
                <w:sz w:val="18"/>
                <w:szCs w:val="18"/>
                <w:color w:val="0000FF"/>
              </w:rPr>
              <w:t>Staff Comments.</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Item 1C.</w:t>
            </w: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Cybersecurity</w:t>
            </w:r>
            <w:r>
              <w:rPr>
                <w:rFonts w:ascii="Arial" w:cs="Arial" w:eastAsia="Arial" w:hAnsi="Arial"/>
                <w:sz w:val="18"/>
                <w:szCs w:val="18"/>
                <w:color w:val="000000"/>
              </w:rPr>
              <w:t>.</w:t>
            </w: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Item 2.</w:t>
            </w:r>
          </w:p>
        </w:tc>
        <w:tc>
          <w:tcPr>
            <w:tcW w:w="18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Properties.</w:t>
            </w:r>
          </w:p>
        </w:tc>
        <w:tc>
          <w:tcPr>
            <w:tcW w:w="220" w:type="dxa"/>
            <w:vAlign w:val="bottom"/>
            <w:tcBorders>
              <w:top w:val="single" w:sz="8" w:color="0000FF"/>
            </w:tcBorders>
            <w:gridSpan w:val="2"/>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Pr>
          <w:p>
            <w:pPr>
              <w:spacing w:after="0" w:line="182" w:lineRule="exact"/>
              <w:rPr>
                <w:sz w:val="20"/>
                <w:szCs w:val="20"/>
                <w:color w:val="auto"/>
              </w:rPr>
            </w:pPr>
            <w:r>
              <w:rPr>
                <w:rFonts w:ascii="Arial" w:cs="Arial" w:eastAsia="Arial" w:hAnsi="Arial"/>
                <w:sz w:val="18"/>
                <w:szCs w:val="18"/>
                <w:color w:val="0000FF"/>
                <w:w w:val="98"/>
              </w:rPr>
              <w:t>Item 3.</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80" w:type="dxa"/>
            <w:vAlign w:val="bottom"/>
            <w:gridSpan w:val="24"/>
          </w:tcPr>
          <w:p>
            <w:pPr>
              <w:spacing w:after="0" w:line="182" w:lineRule="exact"/>
              <w:rPr>
                <w:sz w:val="20"/>
                <w:szCs w:val="20"/>
                <w:color w:val="auto"/>
              </w:rPr>
            </w:pPr>
            <w:r>
              <w:rPr>
                <w:rFonts w:ascii="Arial" w:cs="Arial" w:eastAsia="Arial" w:hAnsi="Arial"/>
                <w:sz w:val="18"/>
                <w:szCs w:val="18"/>
                <w:color w:val="0000FF"/>
              </w:rPr>
              <w:t>Legal Proceedings.</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Pr>
          <w:p>
            <w:pPr>
              <w:spacing w:after="0" w:line="182" w:lineRule="exact"/>
              <w:rPr>
                <w:sz w:val="20"/>
                <w:szCs w:val="20"/>
                <w:color w:val="auto"/>
              </w:rPr>
            </w:pPr>
            <w:r>
              <w:rPr>
                <w:rFonts w:ascii="Arial" w:cs="Arial" w:eastAsia="Arial" w:hAnsi="Arial"/>
                <w:sz w:val="18"/>
                <w:szCs w:val="18"/>
                <w:color w:val="0000FF"/>
                <w:w w:val="98"/>
              </w:rPr>
              <w:t>Item 4.</w:t>
            </w: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080" w:type="dxa"/>
            <w:vAlign w:val="bottom"/>
            <w:gridSpan w:val="24"/>
          </w:tcPr>
          <w:p>
            <w:pPr>
              <w:spacing w:after="0" w:line="182" w:lineRule="exact"/>
              <w:rPr>
                <w:sz w:val="20"/>
                <w:szCs w:val="20"/>
                <w:color w:val="auto"/>
              </w:rPr>
            </w:pPr>
            <w:r>
              <w:rPr>
                <w:rFonts w:ascii="Arial" w:cs="Arial" w:eastAsia="Arial" w:hAnsi="Arial"/>
                <w:sz w:val="18"/>
                <w:szCs w:val="18"/>
                <w:color w:val="0000FF"/>
              </w:rPr>
              <w:t>Mine Safety Disclosures.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200" w:type="dxa"/>
            <w:vAlign w:val="bottom"/>
            <w:gridSpan w:val="11"/>
          </w:tcPr>
          <w:p>
            <w:pPr>
              <w:spacing w:after="0" w:line="182" w:lineRule="exact"/>
              <w:rPr>
                <w:sz w:val="20"/>
                <w:szCs w:val="20"/>
                <w:color w:val="auto"/>
              </w:rPr>
            </w:pPr>
            <w:r>
              <w:rPr>
                <w:rFonts w:ascii="Arial" w:cs="Arial" w:eastAsia="Arial" w:hAnsi="Arial"/>
                <w:sz w:val="18"/>
                <w:szCs w:val="18"/>
                <w:color w:val="0000FF"/>
              </w:rPr>
              <w:t>PART II</w:t>
            </w:r>
          </w:p>
        </w:tc>
        <w:tc>
          <w:tcPr>
            <w:tcW w:w="40" w:type="dxa"/>
            <w:vAlign w:val="bottom"/>
            <w:vMerge w:val="restart"/>
          </w:tcPr>
          <w:p>
            <w:pPr>
              <w:spacing w:after="0"/>
              <w:rPr>
                <w:sz w:val="15"/>
                <w:szCs w:val="15"/>
                <w:color w:val="auto"/>
              </w:rPr>
            </w:pPr>
          </w:p>
        </w:tc>
        <w:tc>
          <w:tcPr>
            <w:tcW w:w="9080" w:type="dxa"/>
            <w:vAlign w:val="bottom"/>
            <w:gridSpan w:val="24"/>
            <w:vMerge w:val="restart"/>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83"/>
        </w:trPr>
        <w:tc>
          <w:tcPr>
            <w:tcW w:w="2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5.</w:t>
            </w:r>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9080" w:type="dxa"/>
            <w:vAlign w:val="bottom"/>
            <w:gridSpan w:val="24"/>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top w:val="single" w:sz="8" w:color="0000FF"/>
            </w:tcBorders>
          </w:tcPr>
          <w:p>
            <w:pPr>
              <w:spacing w:after="0" w:line="182" w:lineRule="exact"/>
              <w:rPr>
                <w:sz w:val="20"/>
                <w:szCs w:val="20"/>
                <w:color w:val="auto"/>
              </w:rPr>
            </w:pPr>
            <w:r>
              <w:rPr>
                <w:rFonts w:ascii="Arial" w:cs="Arial" w:eastAsia="Arial" w:hAnsi="Arial"/>
                <w:sz w:val="18"/>
                <w:szCs w:val="18"/>
                <w:color w:val="0000FF"/>
                <w:w w:val="98"/>
              </w:rPr>
              <w:t>Item 6.</w:t>
            </w: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94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Reserved.</w:t>
            </w:r>
          </w:p>
        </w:tc>
        <w:tc>
          <w:tcPr>
            <w:tcW w:w="140" w:type="dxa"/>
            <w:vAlign w:val="bottom"/>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Item 7.</w:t>
            </w:r>
          </w:p>
        </w:tc>
        <w:tc>
          <w:tcPr>
            <w:tcW w:w="60" w:type="dxa"/>
            <w:vAlign w:val="bottom"/>
            <w:gridSpan w:val="3"/>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140" w:type="dxa"/>
            <w:vAlign w:val="bottom"/>
            <w:tcBorders>
              <w:bottom w:val="single" w:sz="8" w:color="0000FF"/>
            </w:tcBorders>
            <w:gridSpan w:val="20"/>
          </w:tcPr>
          <w:p>
            <w:pPr>
              <w:spacing w:after="0" w:line="182"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940" w:type="dxa"/>
            <w:vAlign w:val="bottom"/>
            <w:gridSpan w:val="4"/>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6"/>
          </w:tcPr>
          <w:p>
            <w:pPr>
              <w:spacing w:after="0" w:line="182" w:lineRule="exact"/>
              <w:rPr>
                <w:sz w:val="20"/>
                <w:szCs w:val="20"/>
                <w:color w:val="auto"/>
              </w:rPr>
            </w:pPr>
            <w:r>
              <w:rPr>
                <w:rFonts w:ascii="Arial" w:cs="Arial" w:eastAsia="Arial" w:hAnsi="Arial"/>
                <w:sz w:val="18"/>
                <w:szCs w:val="18"/>
                <w:color w:val="0000FF"/>
              </w:rPr>
              <w:t>Item 7A.</w:t>
            </w:r>
          </w:p>
        </w:tc>
        <w:tc>
          <w:tcPr>
            <w:tcW w:w="48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7140" w:type="dxa"/>
            <w:vAlign w:val="bottom"/>
            <w:gridSpan w:val="20"/>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gridSpan w:val="2"/>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Item 8.</w:t>
            </w:r>
          </w:p>
        </w:tc>
        <w:tc>
          <w:tcPr>
            <w:tcW w:w="140" w:type="dxa"/>
            <w:vAlign w:val="bottom"/>
            <w:gridSpan w:val="5"/>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88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9"/>
              </w:rPr>
              <w:t>Consolidated Financial Statements and Supplementary Data.</w:t>
            </w:r>
          </w:p>
        </w:tc>
        <w:tc>
          <w:tcPr>
            <w:tcW w:w="4200" w:type="dxa"/>
            <w:vAlign w:val="bottom"/>
            <w:gridSpan w:val="8"/>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80" w:type="dxa"/>
            <w:vAlign w:val="bottom"/>
          </w:tcPr>
          <w:p>
            <w:pPr>
              <w:spacing w:after="0" w:line="182" w:lineRule="exact"/>
              <w:rPr>
                <w:sz w:val="20"/>
                <w:szCs w:val="20"/>
                <w:color w:val="auto"/>
              </w:rPr>
            </w:pPr>
            <w:r>
              <w:rPr>
                <w:rFonts w:ascii="Arial" w:cs="Arial" w:eastAsia="Arial" w:hAnsi="Arial"/>
                <w:sz w:val="18"/>
                <w:szCs w:val="18"/>
                <w:color w:val="0000FF"/>
                <w:w w:val="98"/>
              </w:rPr>
              <w:t>Item 9.</w:t>
            </w: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80" w:type="dxa"/>
            <w:vAlign w:val="bottom"/>
            <w:gridSpan w:val="24"/>
          </w:tcPr>
          <w:p>
            <w:pPr>
              <w:spacing w:after="0" w:line="182"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1020" w:type="dxa"/>
            <w:vAlign w:val="bottom"/>
            <w:gridSpan w:val="2"/>
            <w:vMerge w:val="restart"/>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179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6"/>
          </w:tcPr>
          <w:p>
            <w:pPr>
              <w:spacing w:after="0" w:line="182" w:lineRule="exact"/>
              <w:rPr>
                <w:sz w:val="20"/>
                <w:szCs w:val="20"/>
                <w:color w:val="auto"/>
              </w:rPr>
            </w:pPr>
            <w:r>
              <w:rPr>
                <w:rFonts w:ascii="Arial" w:cs="Arial" w:eastAsia="Arial" w:hAnsi="Arial"/>
                <w:sz w:val="18"/>
                <w:szCs w:val="18"/>
                <w:color w:val="0000FF"/>
              </w:rPr>
              <w:t>Item 9A.</w:t>
            </w:r>
          </w:p>
        </w:tc>
        <w:tc>
          <w:tcPr>
            <w:tcW w:w="2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40" w:type="dxa"/>
            <w:vAlign w:val="bottom"/>
            <w:vMerge w:val="continue"/>
          </w:tcPr>
          <w:p>
            <w:pPr>
              <w:spacing w:after="0"/>
              <w:rPr>
                <w:sz w:val="15"/>
                <w:szCs w:val="15"/>
                <w:color w:val="auto"/>
              </w:rPr>
            </w:pPr>
          </w:p>
        </w:tc>
        <w:tc>
          <w:tcPr>
            <w:tcW w:w="7180" w:type="dxa"/>
            <w:vAlign w:val="bottom"/>
            <w:gridSpan w:val="21"/>
          </w:tcPr>
          <w:p>
            <w:pPr>
              <w:spacing w:after="0" w:line="182" w:lineRule="exact"/>
              <w:rPr>
                <w:sz w:val="20"/>
                <w:szCs w:val="20"/>
                <w:color w:val="auto"/>
              </w:rPr>
            </w:pPr>
            <w:r>
              <w:rPr>
                <w:rFonts w:ascii="Arial" w:cs="Arial" w:eastAsia="Arial" w:hAnsi="Arial"/>
                <w:sz w:val="18"/>
                <w:szCs w:val="18"/>
                <w:color w:val="0000FF"/>
              </w:rPr>
              <w:t>Controls and Procedures.</w:t>
            </w:r>
          </w:p>
        </w:tc>
        <w:tc>
          <w:tcPr>
            <w:tcW w:w="8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Item 9B.</w:t>
            </w:r>
          </w:p>
        </w:tc>
        <w:tc>
          <w:tcPr>
            <w:tcW w:w="20" w:type="dxa"/>
            <w:vAlign w:val="bottom"/>
            <w:tcBorders>
              <w:top w:val="single" w:sz="8" w:color="0000EE"/>
            </w:tcBorders>
          </w:tcPr>
          <w:p>
            <w:pPr>
              <w:spacing w:after="0"/>
              <w:rPr>
                <w:sz w:val="15"/>
                <w:szCs w:val="15"/>
                <w:color w:val="auto"/>
              </w:rPr>
            </w:pPr>
          </w:p>
        </w:tc>
        <w:tc>
          <w:tcPr>
            <w:tcW w:w="40" w:type="dxa"/>
            <w:vAlign w:val="bottom"/>
            <w:gridSpan w:val="2"/>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4"/>
          </w:tcPr>
          <w:p>
            <w:pPr>
              <w:spacing w:after="0"/>
              <w:rPr>
                <w:sz w:val="15"/>
                <w:szCs w:val="15"/>
                <w:color w:val="auto"/>
              </w:rPr>
            </w:pPr>
          </w:p>
        </w:tc>
        <w:tc>
          <w:tcPr>
            <w:tcW w:w="120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920" w:type="dxa"/>
            <w:vAlign w:val="bottom"/>
            <w:gridSpan w:val="4"/>
          </w:tcPr>
          <w:p>
            <w:pPr>
              <w:spacing w:after="0"/>
              <w:rPr>
                <w:sz w:val="15"/>
                <w:szCs w:val="15"/>
                <w:color w:val="auto"/>
              </w:rPr>
            </w:pPr>
          </w:p>
        </w:tc>
        <w:tc>
          <w:tcPr>
            <w:tcW w:w="1020" w:type="dxa"/>
            <w:vAlign w:val="bottom"/>
            <w:gridSpan w:val="2"/>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8"/>
              </w:rPr>
              <w:t>Item 9C</w:t>
            </w:r>
          </w:p>
        </w:tc>
        <w:tc>
          <w:tcPr>
            <w:tcW w:w="8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60" w:type="dxa"/>
            <w:vAlign w:val="bottom"/>
            <w:tcBorders>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9"/>
              </w:rPr>
              <w:t>Disclosure Regarding Foreign Jurisdictions that Prevent Inspections.</w:t>
            </w:r>
          </w:p>
        </w:tc>
        <w:tc>
          <w:tcPr>
            <w:tcW w:w="3620" w:type="dxa"/>
            <w:vAlign w:val="bottom"/>
            <w:gridSpan w:val="7"/>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FF"/>
            </w:tcBorders>
          </w:tcPr>
          <w:p>
            <w:pPr>
              <w:spacing w:after="0"/>
              <w:rPr>
                <w:sz w:val="15"/>
                <w:szCs w:val="15"/>
                <w:color w:val="auto"/>
              </w:rPr>
            </w:pPr>
          </w:p>
        </w:tc>
        <w:tc>
          <w:tcPr>
            <w:tcW w:w="640" w:type="dxa"/>
            <w:vAlign w:val="bottom"/>
            <w:tcBorders>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1"/>
              </w:rPr>
              <w:t>PART III</w:t>
            </w:r>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4560" w:type="dxa"/>
            <w:vAlign w:val="bottom"/>
            <w:gridSpan w:val="13"/>
            <w:vMerge w:val="restart"/>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520" w:type="dxa"/>
            <w:vAlign w:val="bottom"/>
            <w:gridSpan w:val="11"/>
            <w:vMerge w:val="restart"/>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Item 10.</w:t>
            </w: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4560" w:type="dxa"/>
            <w:vAlign w:val="bottom"/>
            <w:tcBorders>
              <w:bottom w:val="single" w:sz="8" w:color="0000FF"/>
            </w:tcBorders>
            <w:gridSpan w:val="13"/>
            <w:vMerge w:val="continue"/>
          </w:tcPr>
          <w:p>
            <w:pPr>
              <w:spacing w:after="0"/>
              <w:rPr>
                <w:sz w:val="15"/>
                <w:szCs w:val="15"/>
                <w:color w:val="auto"/>
              </w:rPr>
            </w:pPr>
          </w:p>
        </w:tc>
        <w:tc>
          <w:tcPr>
            <w:tcW w:w="4520" w:type="dxa"/>
            <w:vAlign w:val="bottom"/>
            <w:gridSpan w:val="11"/>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5"/>
          </w:tcPr>
          <w:p>
            <w:pPr>
              <w:spacing w:after="0" w:line="182" w:lineRule="exact"/>
              <w:rPr>
                <w:sz w:val="20"/>
                <w:szCs w:val="20"/>
                <w:color w:val="auto"/>
              </w:rPr>
            </w:pPr>
            <w:r>
              <w:rPr>
                <w:rFonts w:ascii="Arial" w:cs="Arial" w:eastAsia="Arial" w:hAnsi="Arial"/>
                <w:sz w:val="18"/>
                <w:szCs w:val="18"/>
                <w:color w:val="0000FF"/>
                <w:w w:val="98"/>
              </w:rPr>
              <w:t>Item 11.</w:t>
            </w:r>
          </w:p>
        </w:tc>
        <w:tc>
          <w:tcPr>
            <w:tcW w:w="10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560" w:type="dxa"/>
            <w:vAlign w:val="bottom"/>
            <w:gridSpan w:val="13"/>
          </w:tcPr>
          <w:p>
            <w:pPr>
              <w:spacing w:after="0" w:line="182" w:lineRule="exact"/>
              <w:rPr>
                <w:sz w:val="20"/>
                <w:szCs w:val="20"/>
                <w:color w:val="auto"/>
              </w:rPr>
            </w:pPr>
            <w:r>
              <w:rPr>
                <w:rFonts w:ascii="Arial" w:cs="Arial" w:eastAsia="Arial" w:hAnsi="Arial"/>
                <w:sz w:val="18"/>
                <w:szCs w:val="18"/>
                <w:color w:val="0000FF"/>
              </w:rPr>
              <w:t>Executive Compensation.</w:t>
            </w:r>
          </w:p>
        </w:tc>
        <w:tc>
          <w:tcPr>
            <w:tcW w:w="20" w:type="dxa"/>
            <w:vAlign w:val="bottom"/>
          </w:tcPr>
          <w:p>
            <w:pPr>
              <w:spacing w:after="0"/>
              <w:rPr>
                <w:sz w:val="15"/>
                <w:szCs w:val="15"/>
                <w:color w:val="auto"/>
              </w:rPr>
            </w:pPr>
          </w:p>
        </w:tc>
        <w:tc>
          <w:tcPr>
            <w:tcW w:w="1560" w:type="dxa"/>
            <w:vAlign w:val="bottom"/>
            <w:gridSpan w:val="4"/>
          </w:tcPr>
          <w:p>
            <w:pPr>
              <w:spacing w:after="0"/>
              <w:rPr>
                <w:sz w:val="15"/>
                <w:szCs w:val="15"/>
                <w:color w:val="auto"/>
              </w:rPr>
            </w:pPr>
          </w:p>
        </w:tc>
        <w:tc>
          <w:tcPr>
            <w:tcW w:w="1920" w:type="dxa"/>
            <w:vAlign w:val="bottom"/>
            <w:gridSpan w:val="4"/>
          </w:tcPr>
          <w:p>
            <w:pPr>
              <w:spacing w:after="0"/>
              <w:rPr>
                <w:sz w:val="15"/>
                <w:szCs w:val="15"/>
                <w:color w:val="auto"/>
              </w:rPr>
            </w:pPr>
          </w:p>
        </w:tc>
        <w:tc>
          <w:tcPr>
            <w:tcW w:w="1020" w:type="dxa"/>
            <w:vAlign w:val="bottom"/>
            <w:gridSpan w:val="2"/>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gridSpan w:val="4"/>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740" w:type="dxa"/>
            <w:vAlign w:val="bottom"/>
            <w:gridSpan w:val="8"/>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0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5"/>
          </w:tcPr>
          <w:p>
            <w:pPr>
              <w:spacing w:after="0" w:line="182" w:lineRule="exact"/>
              <w:rPr>
                <w:sz w:val="20"/>
                <w:szCs w:val="20"/>
                <w:color w:val="auto"/>
              </w:rPr>
            </w:pPr>
            <w:r>
              <w:rPr>
                <w:rFonts w:ascii="Arial" w:cs="Arial" w:eastAsia="Arial" w:hAnsi="Arial"/>
                <w:sz w:val="18"/>
                <w:szCs w:val="18"/>
                <w:color w:val="0000FF"/>
                <w:w w:val="98"/>
              </w:rPr>
              <w:t>Item 12.</w:t>
            </w:r>
          </w:p>
        </w:tc>
        <w:tc>
          <w:tcPr>
            <w:tcW w:w="100" w:type="dxa"/>
            <w:vAlign w:val="bottom"/>
            <w:gridSpan w:val="4"/>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9080" w:type="dxa"/>
            <w:vAlign w:val="bottom"/>
            <w:gridSpan w:val="24"/>
          </w:tcPr>
          <w:p>
            <w:pPr>
              <w:spacing w:after="0" w:line="182"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Item 13.</w:t>
            </w:r>
          </w:p>
        </w:tc>
        <w:tc>
          <w:tcPr>
            <w:tcW w:w="10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140" w:type="dxa"/>
            <w:vAlign w:val="bottom"/>
            <w:tcBorders>
              <w:top w:val="single" w:sz="8" w:color="0000FF"/>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4"/>
          </w:tcPr>
          <w:p>
            <w:pPr>
              <w:spacing w:after="0"/>
              <w:rPr>
                <w:sz w:val="15"/>
                <w:szCs w:val="15"/>
                <w:color w:val="auto"/>
              </w:rPr>
            </w:pPr>
          </w:p>
        </w:tc>
        <w:tc>
          <w:tcPr>
            <w:tcW w:w="1020" w:type="dxa"/>
            <w:vAlign w:val="bottom"/>
            <w:gridSpan w:val="2"/>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Item 14.</w:t>
            </w:r>
          </w:p>
        </w:tc>
        <w:tc>
          <w:tcPr>
            <w:tcW w:w="10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40" w:type="dxa"/>
            <w:vAlign w:val="bottom"/>
            <w:tcBorders>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9"/>
              </w:rPr>
              <w:t>Principal Accountant Fees and Services.</w:t>
            </w:r>
          </w:p>
        </w:tc>
        <w:tc>
          <w:tcPr>
            <w:tcW w:w="2900" w:type="dxa"/>
            <w:vAlign w:val="bottom"/>
            <w:gridSpan w:val="6"/>
          </w:tcPr>
          <w:p>
            <w:pPr>
              <w:spacing w:after="0"/>
              <w:rPr>
                <w:sz w:val="15"/>
                <w:szCs w:val="15"/>
                <w:color w:val="auto"/>
              </w:rPr>
            </w:pPr>
          </w:p>
        </w:tc>
        <w:tc>
          <w:tcPr>
            <w:tcW w:w="2940" w:type="dxa"/>
            <w:vAlign w:val="bottom"/>
            <w:gridSpan w:val="6"/>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181</w:t>
            </w:r>
          </w:p>
        </w:tc>
        <w:tc>
          <w:tcPr>
            <w:tcW w:w="0" w:type="dxa"/>
            <w:vAlign w:val="bottom"/>
          </w:tcPr>
          <w:p>
            <w:pPr>
              <w:spacing w:after="0"/>
              <w:rPr>
                <w:sz w:val="1"/>
                <w:szCs w:val="1"/>
                <w:color w:val="auto"/>
              </w:rPr>
            </w:pPr>
          </w:p>
        </w:tc>
      </w:tr>
      <w:tr>
        <w:trPr>
          <w:trHeight w:val="183"/>
        </w:trPr>
        <w:tc>
          <w:tcPr>
            <w:tcW w:w="20" w:type="dxa"/>
            <w:vAlign w:val="bottom"/>
            <w:tcBorders>
              <w:bottom w:val="single" w:sz="8" w:color="0000FF"/>
            </w:tcBorders>
          </w:tcPr>
          <w:p>
            <w:pPr>
              <w:spacing w:after="0"/>
              <w:rPr>
                <w:sz w:val="15"/>
                <w:szCs w:val="15"/>
                <w:color w:val="auto"/>
              </w:rPr>
            </w:pPr>
          </w:p>
        </w:tc>
        <w:tc>
          <w:tcPr>
            <w:tcW w:w="68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1"/>
              </w:rPr>
              <w:t>PART IV</w:t>
            </w:r>
          </w:p>
        </w:tc>
        <w:tc>
          <w:tcPr>
            <w:tcW w:w="100" w:type="dxa"/>
            <w:vAlign w:val="bottom"/>
            <w:tcBorders>
              <w:bottom w:val="single" w:sz="8" w:color="0000FF"/>
            </w:tcBorders>
            <w:gridSpan w:val="4"/>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4580" w:type="dxa"/>
            <w:vAlign w:val="bottom"/>
            <w:gridSpan w:val="14"/>
            <w:vMerge w:val="restart"/>
          </w:tcPr>
          <w:p>
            <w:pPr>
              <w:spacing w:after="0"/>
              <w:rPr>
                <w:sz w:val="20"/>
                <w:szCs w:val="20"/>
                <w:color w:val="auto"/>
              </w:rPr>
            </w:pPr>
            <w:r>
              <w:rPr>
                <w:rFonts w:ascii="Arial" w:cs="Arial" w:eastAsia="Arial" w:hAnsi="Arial"/>
                <w:sz w:val="18"/>
                <w:szCs w:val="18"/>
                <w:color w:val="0000FF"/>
                <w:w w:val="99"/>
              </w:rPr>
              <w:t>Exhibit and Consolidated Financial Statement Schedules.</w:t>
            </w:r>
          </w:p>
        </w:tc>
        <w:tc>
          <w:tcPr>
            <w:tcW w:w="4500" w:type="dxa"/>
            <w:vAlign w:val="bottom"/>
            <w:gridSpan w:val="10"/>
            <w:vMerge w:val="restart"/>
          </w:tcPr>
          <w:p>
            <w:pPr>
              <w:spacing w:after="0"/>
              <w:rPr>
                <w:sz w:val="15"/>
                <w:szCs w:val="15"/>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Item 15.</w:t>
            </w:r>
          </w:p>
        </w:tc>
        <w:tc>
          <w:tcPr>
            <w:tcW w:w="100" w:type="dxa"/>
            <w:vAlign w:val="bottom"/>
            <w:gridSpan w:val="4"/>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4580" w:type="dxa"/>
            <w:vAlign w:val="bottom"/>
            <w:tcBorders>
              <w:bottom w:val="single" w:sz="8" w:color="0000FF"/>
            </w:tcBorders>
            <w:gridSpan w:val="14"/>
            <w:vMerge w:val="continue"/>
          </w:tcPr>
          <w:p>
            <w:pPr>
              <w:spacing w:after="0"/>
              <w:rPr>
                <w:sz w:val="15"/>
                <w:szCs w:val="15"/>
                <w:color w:val="auto"/>
              </w:rPr>
            </w:pPr>
          </w:p>
        </w:tc>
        <w:tc>
          <w:tcPr>
            <w:tcW w:w="4500" w:type="dxa"/>
            <w:vAlign w:val="bottom"/>
            <w:gridSpan w:val="10"/>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Borders>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8"/>
              </w:rPr>
              <w:t>Item 16.</w:t>
            </w:r>
          </w:p>
        </w:tc>
        <w:tc>
          <w:tcPr>
            <w:tcW w:w="480" w:type="dxa"/>
            <w:vAlign w:val="bottom"/>
            <w:gridSpan w:val="5"/>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Form 10</w:t>
            </w:r>
            <w:r>
              <w:rPr>
                <w:rFonts w:ascii="MS PGothic" w:cs="MS PGothic" w:eastAsia="MS PGothic" w:hAnsi="MS PGothic"/>
                <w:sz w:val="18"/>
                <w:szCs w:val="18"/>
                <w:color w:val="0000FF"/>
              </w:rPr>
              <w:t>‑</w:t>
            </w:r>
            <w:r>
              <w:rPr>
                <w:rFonts w:ascii="Arial" w:cs="Arial" w:eastAsia="Arial" w:hAnsi="Arial"/>
                <w:sz w:val="18"/>
                <w:szCs w:val="18"/>
                <w:color w:val="0000FF"/>
              </w:rPr>
              <w:t>K Summary.</w:t>
            </w:r>
          </w:p>
        </w:tc>
        <w:tc>
          <w:tcPr>
            <w:tcW w:w="2840" w:type="dxa"/>
            <w:vAlign w:val="bottom"/>
            <w:gridSpan w:val="6"/>
          </w:tcPr>
          <w:p>
            <w:pPr>
              <w:spacing w:after="0"/>
              <w:rPr>
                <w:sz w:val="15"/>
                <w:szCs w:val="15"/>
                <w:color w:val="auto"/>
              </w:rPr>
            </w:pPr>
          </w:p>
        </w:tc>
        <w:tc>
          <w:tcPr>
            <w:tcW w:w="4500" w:type="dxa"/>
            <w:vAlign w:val="bottom"/>
            <w:gridSpan w:val="10"/>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200" w:type="dxa"/>
            <w:vAlign w:val="bottom"/>
            <w:gridSpan w:val="11"/>
          </w:tcPr>
          <w:p>
            <w:pPr>
              <w:spacing w:after="0" w:line="182" w:lineRule="exact"/>
              <w:rPr>
                <w:sz w:val="20"/>
                <w:szCs w:val="20"/>
                <w:color w:val="auto"/>
              </w:rPr>
            </w:pPr>
            <w:r>
              <w:rPr>
                <w:rFonts w:ascii="Arial" w:cs="Arial" w:eastAsia="Arial" w:hAnsi="Arial"/>
                <w:sz w:val="18"/>
                <w:szCs w:val="18"/>
                <w:color w:val="0000FF"/>
              </w:rPr>
              <w:t>SIGNATURES</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9"/>
              </w:rPr>
              <w:t>187</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28" w:lineRule="exact"/>
        <w:rPr>
          <w:sz w:val="20"/>
          <w:szCs w:val="20"/>
          <w:color w:val="auto"/>
        </w:rPr>
      </w:pPr>
      <w:r>
        <w:rPr>
          <w:rFonts w:ascii="Arial" w:cs="Arial" w:eastAsia="Arial" w:hAnsi="Arial"/>
          <w:sz w:val="18"/>
          <w:szCs w:val="18"/>
          <w:color w:val="auto"/>
        </w:rPr>
        <w:t>Unless the context suggests otherwise, references in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(the Annual Report), to “us,” “our,” “Olema,” “Olema Pharmaceuticals,” “we,” the “Company” and similar designations refer to Olema Pharmaceuticals, Inc. and, where appropriate,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Annual Report that are not purely historical are forward-looking statements within the meaning of Section 27A of the Securities Act of 1933, as amended (the Securities Act), and Section 21E of the Securities Exchange Act of 1934, as amended (the Exchange Act). Forward-looking statements are often identified by the use of words such as, but not limited to, “anticipate,” “believe,” “could,” “estimate,” “expect,” “intend,” “may,” "might," “plan,” “potential,” “predict,”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Annual Report include, but are not limited to, statements about:</w:t>
      </w:r>
    </w:p>
    <w:p>
      <w:pPr>
        <w:spacing w:after="0" w:line="183"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financial performance;</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sufficiency of our existing cash to fund our future operating expenses and capital expenditure requirements;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accuracy of our estimates regarding expenses, future revenue, capital requirements, and needs for additional financing;</w:t>
      </w:r>
    </w:p>
    <w:p>
      <w:pPr>
        <w:spacing w:after="0" w:line="184" w:lineRule="exact"/>
        <w:rPr>
          <w:rFonts w:ascii="Times New Roman" w:cs="Times New Roman" w:eastAsia="Times New Roman" w:hAnsi="Times New Roman"/>
          <w:sz w:val="18"/>
          <w:szCs w:val="18"/>
          <w:color w:val="231F20"/>
        </w:rPr>
      </w:pPr>
    </w:p>
    <w:p>
      <w:pPr>
        <w:jc w:val="both"/>
        <w:ind w:left="760" w:hanging="378"/>
        <w:spacing w:after="0" w:line="228" w:lineRule="exact"/>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developing palazestrant (OP</w:t>
      </w:r>
      <w:r>
        <w:rPr>
          <w:rFonts w:ascii="MS PGothic" w:cs="MS PGothic" w:eastAsia="MS PGothic" w:hAnsi="MS PGothic"/>
          <w:sz w:val="18"/>
          <w:szCs w:val="18"/>
          <w:color w:val="231F20"/>
        </w:rPr>
        <w:t>‑</w:t>
      </w:r>
      <w:r>
        <w:rPr>
          <w:rFonts w:ascii="Arial" w:cs="Arial" w:eastAsia="Arial" w:hAnsi="Arial"/>
          <w:sz w:val="18"/>
          <w:szCs w:val="18"/>
          <w:color w:val="231F20"/>
        </w:rPr>
        <w:t>1250), OP-3136, or any future product candidates we may develop, and conducting non-clinical studies and clinical trials, including for our OP-3136 Phase 1 clinical study and our palazestrant Phase 1/2 clinical studies and Phase 3 clinical trials;</w:t>
      </w:r>
    </w:p>
    <w:p>
      <w:pPr>
        <w:spacing w:after="0" w:line="179"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costs involved in obtaining and maintaining regulatory approval of palazestrant, OP-3136, or any future product candidates we may develop, and the timing or likelihood of regulatory filings and approvals, including our expectation to seek special designations for our product candidates for various diseases;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relating to commercializing palazestrant, OP-3136, and any future product candidates we may develop, if approved, including the geographic areas of focus and our ability to grow a sales team;</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implementation of our strategic plans for our business, palazestrant, OP-3136, or any future product candidates we may develop;</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size of the market opportunity for palazestrant, OP-3136, or any future product candidates we may develop in each of the diseases we target;</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reliance on third parties to conduct non-clinical research activities, and for the manufacture of palazestrant, OP-3136, and any future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beneficial characteristics, safety, efficacy and therapeutic effects of palazestrant, OP-3136, and any future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estimates of the number of patients in the United States who suffer from the diseases we target and the number of subjects that will enroll in our clinical trials;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the progress and focus of our current and future clinical trials, and the reporting of data from those trials;</w:t>
      </w:r>
    </w:p>
    <w:p>
      <w:pPr>
        <w:spacing w:after="0" w:line="22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advance product candidates into and successfully complete clinical trials;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ability of our clinical trials to demonstrate the safety and efficacy of palazestrant, OP-3136, and any future product candidates we may develop, and other positive results;</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developments relating to our competitors and our industry, including competing product candidates and therapies;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relating to the further development and manufacturing of palazestrant, OP-3136, and any future product candidates we may develop, including additional indications that we may pursue;</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existing regulations and regulatory developments in the United States and other jurisdictions;</w:t>
      </w:r>
    </w:p>
    <w:p>
      <w:pPr>
        <w:spacing w:after="0" w:line="22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potential and ability to successfully manufacture and supply palazestrant, OP-3136, and any future product candidates we may develop for clinical trials and for commercial use, if approved;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rate and degree of market acceptance of palazestrant, OP-3136, and any future product candidates we may develop, as well as the pricing and reimbursement of palazestrant, OP-3136, and any future product candidates we may develop, if approved;</w:t>
      </w:r>
    </w:p>
    <w:p>
      <w:pPr>
        <w:spacing w:after="0" w:line="154"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continued reliance on third parties to conduct additional clinical trials of palazestrant, OP-3136, and any future product candidates we may develop, and for the manufacture of our product candidates;</w:t>
      </w:r>
    </w:p>
    <w:p>
      <w:pPr>
        <w:spacing w:after="0" w:line="15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plans and ability to obtain and protect intellectual property rights, including the scope of protection we are able to establish and maintain for palazestrant, OP-3136, and any future product candidates we may develop;</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access capital resources on favorable terms, or at all;</w:t>
      </w:r>
    </w:p>
    <w:p>
      <w:pPr>
        <w:spacing w:after="0" w:line="224" w:lineRule="exact"/>
        <w:rPr>
          <w:rFonts w:ascii="Times New Roman" w:cs="Times New Roman" w:eastAsia="Times New Roman" w:hAnsi="Times New Roman"/>
          <w:sz w:val="18"/>
          <w:szCs w:val="18"/>
          <w:color w:val="231F20"/>
        </w:rPr>
      </w:pPr>
    </w:p>
    <w:p>
      <w:pPr>
        <w:ind w:left="760" w:right="20" w:hanging="378"/>
        <w:spacing w:after="0" w:line="270" w:lineRule="auto"/>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retain the continued service of our key personnel and to identify, hire, and then retain additional qualified personnel; and</w:t>
      </w:r>
    </w:p>
    <w:p>
      <w:pPr>
        <w:spacing w:after="0" w:line="154" w:lineRule="exact"/>
        <w:rPr>
          <w:rFonts w:ascii="Times New Roman" w:cs="Times New Roman" w:eastAsia="Times New Roman" w:hAnsi="Times New Roman"/>
          <w:sz w:val="18"/>
          <w:szCs w:val="18"/>
          <w:color w:val="231F20"/>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231F20"/>
        </w:rPr>
      </w:pPr>
      <w:r>
        <w:rPr>
          <w:rFonts w:ascii="Arial" w:cs="Arial" w:eastAsia="Arial" w:hAnsi="Arial"/>
          <w:sz w:val="18"/>
          <w:szCs w:val="18"/>
          <w:color w:val="231F20"/>
        </w:rPr>
        <w:t>the impact of the above factors and other future events on the market price of our common stock.</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entitled “Risk Factors” included under Part I, Item 1A below. Furthermore, such forward-looking statements speak only as of the date of this Annual Report. Except as required by law, we undertake no obligation to update any forward-looking statements to reflect events or circumstances after the date of such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 SUMMARY</w:t>
      </w:r>
    </w:p>
    <w:p>
      <w:pPr>
        <w:spacing w:after="0" w:line="2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Investing in our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304" w:lineRule="exact"/>
        <w:rPr>
          <w:sz w:val="20"/>
          <w:szCs w:val="20"/>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no products approved for commercial sale, which may make it difficult for you to evaluate our current business and predict our future success and viability.</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net losses since inception, and we expect to continue to incur net losses for the foreseeable future. In addition, we may be unable to continue as a going concern over the long term.</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(NDA) to the FDA or similar drug approval filings to comparable foreign authorities. If we are ultimately unable to obtain regulatory approval for palazestrant, OP-3136, or any future product candidate we may develop, we will be unable to generate product revenue and our business, financial condition, results of operations, and prospects will be significantly harmed.</w:t>
      </w:r>
    </w:p>
    <w:p>
      <w:pPr>
        <w:spacing w:after="0" w:line="6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Even if approved, palazestrant or OP-3136 may not achieve adequate market acceptance among physicians, patients, healthcare payors, and others in the medical community necessary for commercial success.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palazestrant, OP-3136, or any future product candidates we may develop, our commercial opportunities will be negatively impacted.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obtain U.S. or foreign regulatory approvals and, as a result, may be unable to commercialize palazestrant, OP-3136, or any future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results of operations, and prospects.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our information technology systems, our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6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hanging="503"/>
        <w:spacing w:after="0" w:line="243"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Olema is a clinical-stage biopharmaceutical company focused on the discovery, development, and commercialization of next-generation targeted therapies for breast cancer and beyond. We are advancing our pipeline of novel therapies by leveraging our deep understanding of endocrine-driven cancers, nuclear receptors, and mechanisms of acquired resistance.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product candidate, palazestrant (formerly known as OP-1250), is a novel, orally-available small molecule with dual activity as both a complete estrogen receptor (ER) antagonist (CERAN) and selective ER degrader (SERD), currently being investigated in patients with recurrent, locally advanced or metastatic ER-positive (ER+), human epidermal growth factor receptor 2-negative (HER2-), breast cancer. In pre-clinical models, palazestrant binds and completely blocks ER-driven transcriptional activity in both wild-type and mutant forms of metastatic ER+ breast cancer. In clinical studies across more than 400 patients, palazestrant has demonstrated strong anti-tumor activity, attractive pharmacokinetics and prolonged drug exposure, favorable tolerability, and combinability with cyclin-dependent kinase (CDK) 4/6 inhibitors (CDK4/6i) with no significant drug-drug interaction. Based on the clinical results we have achieved to date, we are advancing palazestrant through late-stage clinical development both as a monotherapy and in combination with other targeted agents.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initiated OPERA-01, our pivotal Phase 3 clinical trial of palazestrant as a monotherapy in second/third-line ER+/HER2- metastatic breast cancer. We anticipate top-line results for this trial in the fall of 2026, expect to submit the NDA in 2027, and</w:t>
      </w:r>
      <w:r>
        <w:rPr>
          <w:rFonts w:ascii="Arial" w:cs="Arial" w:eastAsia="Arial" w:hAnsi="Arial"/>
          <w:sz w:val="18"/>
          <w:szCs w:val="18"/>
          <w:u w:val="single" w:color="auto"/>
          <w:color w:val="auto"/>
        </w:rPr>
        <w:t>,</w:t>
      </w:r>
      <w:r>
        <w:rPr>
          <w:rFonts w:ascii="Arial" w:cs="Arial" w:eastAsia="Arial" w:hAnsi="Arial"/>
          <w:sz w:val="18"/>
          <w:szCs w:val="18"/>
          <w:color w:val="auto"/>
        </w:rPr>
        <w:t xml:space="preserve"> if successful, anticipate potential U.S. Food and Drug Administration (FDA) approval and commercial launch in late 2027.</w:t>
      </w:r>
    </w:p>
    <w:p>
      <w:pPr>
        <w:spacing w:after="0" w:line="1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combination, we are investigating palazestrant in multiple Phase 1/2 studies with CDK4/6 inhibitors (palbociclib or ribociclib), a phosphatidylinositol 3 kinase alpha (PI3Ka) inhibitor (alpelisib), a mechanistic target of rapamycin (mTOR) inhibitor (everolimus), and a CDK4 inhibitor (atirmociclib). In October 2025, at the European Society for Medical Oncology (ESMO), we presented updated results from the ongoing Phase 1b/2 clinical trial of palazestrant in combination with ribociclib in patients with ER+/HER2- advanced or metastatic breast cancer. These data further support our thesis that palazestrant possesses key characteristics to make it a potential backbone endocrine therapy of preference for ER+/HER2- breast cancer, while also supporting the ongoing pivotal Phase 3 clinical trial of palazestrant in combination with ribociclib in front-line ER+/HER2- metastatic breast cancer, called OPERA-02. The execution of OPERA-02 is supported by our clinical trial collaboration and supply agreement with Novartis Pharma AG (Novartis), which was also announced in December 2024. Under the terms of the agreement, Novartis is providing Olema with ribociclib drug supply for the OPERA-02 trial, which we initiated in 2025. We anticipate top-line data in 2028 and, if successful, anticipate potential FDA approval and commercial launch in the frontline MBC setting in the United States in 2029.</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second product candidate in clinical development, called OP-3136, is a novel, orally-available small molecule that potently and selectively inhibits KAT6, an epigenetic target that is dysregulated in breast and other cancers. We believe OP-3136 presents a potential best-in-class KAT6 inhibitor in breast and other solid tumor cancers. In October 2024, we presented new pre-clinical data at the EORTC-NCI-AACR Symposium on Molecular Targets and Cancer Therapeutics demonstrating OP-3136's robust anti-tumor activity as a single agent, as well as potential synergy and enhanced anti-tumor activity in combination with palazestrant. The Investigational New Drug (IND) application for OP-3136 was cleared by FDA in late 2024, the Phase 1 clinical trial is enrolling patients, and we expect to present the first clinical data from this program in the second quarter of 2026.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committed to transforming the standard of care and improving outcomes for women living with cancer. Breast cancer represents approximately 30% of all new diagnoses of cancer in women. The American Cancer Society (ACS) estimates that in 2026 there will be approximately 321,910 new cases of invasive breast cancer diagnosed and approximately 42,140 deaths from breast cancer in the United States. Treatment decisions are based on a combination of individual patient characteristics and tumor biology, most importantly the expression of three proteins: ER, progesterone receptor (PR), and human epidermal growth factor receptor 2 (HER2). Approximately 79% of all breast cancers are ER+, and approximately 70% are ER+/HER2-, highlighting the central role of the ER in driving a large majority of breast cancer. Approximately 6-10% of breast cancer patients present with metastatic disease at diagnosis and a further 20-30% of patients initially diagnosed with early-stage disease ultimately develop metastatic disease. The current five-year survival rate for patients with ER+ metastatic breast cancer is approximately 32%. Based on our internal estimates, we believe that the current global ER+/HER2- metastatic breast cancer market represents approximately $20 billion. In the U.S. and E.U., we believe the market potential for palazestrant is up to $5 billion in the second- and third-line settings and up to $10 billion in the first-line setting.</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For more than four decades, researchers have been developing new approaches and therapies to prevent activation of the ER pathway, thereby inhibiting the ability of the ER to drive tumor cell growth. In 1977, the first endocrine therapeutic, the anti-estrogen tamoxifen, was approved by the FDA for the treatment of breast cancer. Tamoxifen is still commonly used today but is challenged by the development of acquired drug resistance, which in some cases may be due to its partial agonist activity. In the search for a different mechanism to target the estrogen pathway, aromatase inhibitors (AIs), were developed in the 1990s to block the synthesis of estrogen and deprive the ER+ cells of its activating ligand. However, up to 50% of patients taking AIs develop arthralgia, leading to suspension of treatment in up to 15% of patients. Additionally, most patients with metastatic breast cancer have been shown to ultimately develop resistance to AIs, the most common of which is the development of a ligand-independent activating mutation in the estrogen receptor 1 (ESR1) gene. In pre-menopausal women, treatment with AIs must also be accompanied by ovarian suppression.</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2002, fulvestrant was approved as a treatment for HR+ metastatic breast cancer patients and is typically used as a second- or third-line endocrine agent. Fulvestrant was designed to be a CERAN, and later discovered to also be a SERD, and represented a breakthrough for the field with improved outcomes for patients whose disease had progressed on prior endocrine therapy. However, fulvestrant has several limitations, including its suboptimal drug exposure and its route of administration, which requires two monthly intramuscular injections. Despite these drawbacks, fulvestrant achieved worldwide sales of over $1.1 billion in 2019.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 recently, the field has focused on the discovery and development of oral agents that have fulvestrant’s dual mechanism of action to completely inactivate and degrade the ER. Some of these oral SERD agents are CERANs, such as palazestrant, but others have partial agonist activity despite being SERDs and thus are not CERANs. These agents can be considered selective ER modulators (SERM) SERDs. SERM/SERDs reduce the levels of the ER but they do not entirely eliminate it. Notably, naturally-occurring estrogen itself leads to ER degradation when binding the ER.</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spent a significant amount of time designing and optimizing our lead product candidate, palazestrant. We believe that the ability to function as a CERAN and a SERD, together with attractive pharmacokinetics and drug exposure, favorable tolerability, combinability with CDK4/6 inhibitors, and central nervous system (CNS) penetration, are important characteristics to enable the success of a next generation endocrine therapy. We believe that results from our pre-clinical and clinical studies demonstrate that palazestrant has shown properties supporting its potential to achieve these objectives, address an unmet need in the treatment of breast cancer, and improve upon standard of care.</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Based on the clinical results we have achieved to date, we are advancing palazestrant through late-stage clinical development both as a monotherapy and in combination with other targeted agents. We own worldwide development and commercialization rights to palazestrant. We believe palazestrant’s oral formulation and dual mechanism of action directly address the limitations of current endocrine therapies, such as fulvestrant, aromatase inhibitors and tamoxifen, and position palazestrant as a potential endocrine therapy of choice for the treatment of ER+ breast cancers. We are also advancing OP-3136, our second product candidate in clinical development, which targets KAT6. Taken together, we believe our product candidates have the potential to represent the future of breast cancer care.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goal is to discover, develop, and commercialize next generation targeted therapies for breast and other cancers. The key elements of our business strategy to achieve this goal include:</w:t>
      </w:r>
    </w:p>
    <w:p>
      <w:pPr>
        <w:spacing w:after="0" w:line="154" w:lineRule="exact"/>
        <w:rPr>
          <w:sz w:val="20"/>
          <w:szCs w:val="20"/>
          <w:color w:val="auto"/>
        </w:rPr>
      </w:pPr>
    </w:p>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Applying our deep understanding of nuclear receptors — particularly the ER — and mechanisms of resistance to develop novel therapeutic approaches for endocrine-driven cancers. </w:t>
      </w:r>
      <w:r>
        <w:rPr>
          <w:rFonts w:ascii="Arial" w:cs="Arial" w:eastAsia="Arial" w:hAnsi="Arial"/>
          <w:sz w:val="18"/>
          <w:szCs w:val="18"/>
          <w:color w:val="auto"/>
        </w:rPr>
        <w:t>Our team has spent over a decade characterizing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structure and function of the ER and its role in driving tumor cell proliferation in HR+ breast cancer. Our knowledge of the ER’s functional domains combined with our medicinal chemistry expertise has allowed us to develop a potent and oral compound that both completely inactivates and strongly promotes degradation of the ER in non-clinical studies. We believe palazestrant’s oral formulation and dual mechanism of action as a CERAN/SERD directly address the limitations of current endocrine therapies, such as fulvestrant, AIs, and tamoxifen, and has the potential to drive deeper, more durable responses.</w:t>
      </w:r>
    </w:p>
    <w:p>
      <w:pPr>
        <w:spacing w:after="0" w:line="183"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Rapidly advancing our product candidates, including palazestrant, through late-stage clinical development for the treatment of ER+/HER2- metastatic breast cancer, and OP-3136 through early-stage clinical development in breast and other cancers. </w:t>
      </w:r>
      <w:r>
        <w:rPr>
          <w:rFonts w:ascii="Arial" w:cs="Arial" w:eastAsia="Arial" w:hAnsi="Arial"/>
          <w:sz w:val="18"/>
          <w:szCs w:val="18"/>
          <w:color w:val="auto"/>
        </w:rPr>
        <w:t>We are currently evaluating palazestrant in a pivotal Phase 3 trial, called OPERA-01, as a monotherapy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and third-line setting of ER+/HER2- advanced or metastatic breast cancer. Patients are enrolling in OPERA-02, a pivotal Phase 3 trial evaluating palazestrant in combination with ribociclib in the frontline metastatic setting of ER+/HER2- breast cancer. OP-3136 is currently in a Phase 1 clinical trial being evaluated both as a monotherapy and in combination with fulvestrant and palazestrant.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Establishing palazestrant as the endocrine therapy of choice with targeted therapy combinations for the treatment of metastatic ER+ breast cancers. </w:t>
      </w:r>
      <w:r>
        <w:rPr>
          <w:rFonts w:ascii="Arial" w:cs="Arial" w:eastAsia="Arial" w:hAnsi="Arial"/>
          <w:sz w:val="18"/>
          <w:szCs w:val="18"/>
          <w:color w:val="auto"/>
        </w:rPr>
        <w:t>We believe palazestrant’s differentiated product profile has the potential to overcome many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limitations of current endocrine therapy options. While targeted chemotherapy and other targeted anti-body drug conjugates continue to show promising data and will likely gain further favorability as a treatment option, we believe these new treatment options will replace traditional chemotherapy, not endocrine therapies. Our goal is to successfully demonstrate improved efficacy and a favorable tolerability profile in combination with other targeted therapies to position palazestrant as the endocrine therapy of choice in the first-line setting for advanced or metastatic ER+/HER2- breast cancer.</w:t>
      </w:r>
    </w:p>
    <w:p>
      <w:pPr>
        <w:spacing w:after="0" w:line="183" w:lineRule="exact"/>
        <w:rPr>
          <w:rFonts w:ascii="Times New Roman" w:cs="Times New Roman" w:eastAsia="Times New Roman" w:hAnsi="Times New Roman"/>
          <w:sz w:val="18"/>
          <w:szCs w:val="18"/>
          <w:color w:val="auto"/>
        </w:rPr>
      </w:pPr>
    </w:p>
    <w:p>
      <w:pPr>
        <w:jc w:val="both"/>
        <w:ind w:left="1020" w:hanging="503"/>
        <w:spacing w:after="0" w:line="239"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Exploring additional clinical opportunities for palazestrant, including metastatic breast cancer with brain metastases and other hormone sensitive tumors. </w:t>
      </w:r>
      <w:r>
        <w:rPr>
          <w:rFonts w:ascii="Arial" w:cs="Arial" w:eastAsia="Arial" w:hAnsi="Arial"/>
          <w:sz w:val="18"/>
          <w:szCs w:val="18"/>
          <w:color w:val="auto"/>
        </w:rPr>
        <w:t>Metastatic breast cancer is the second most common cancer associated with brain</w:t>
      </w:r>
      <w:r>
        <w:rPr>
          <w:rFonts w:ascii="Arial" w:cs="Arial" w:eastAsia="Arial" w:hAnsi="Arial"/>
          <w:sz w:val="18"/>
          <w:szCs w:val="18"/>
          <w:b w:val="1"/>
          <w:bCs w:val="1"/>
          <w:color w:val="auto"/>
        </w:rPr>
        <w:t xml:space="preserve"> </w:t>
      </w:r>
      <w:r>
        <w:rPr>
          <w:rFonts w:ascii="Arial" w:cs="Arial" w:eastAsia="Arial" w:hAnsi="Arial"/>
          <w:sz w:val="18"/>
          <w:szCs w:val="18"/>
          <w:color w:val="auto"/>
        </w:rPr>
        <w:t>metastases in the United States. The primary treatment for CNS metastases is typically surgery, radiation, or a combination of both and these patients tend to have a poor prognosis. In pre-clinical studies, palazestrant demonstrated robust CNS penetration and, in an intracranial breast cancer brain metastases xenograft study, palazestrant demonstrated the ability to shrink tumors and improve survival in mice. We believe that combining palazestrant with HER2-targeted agents may represent an opportunity to improve upon recent advancements in the treatment of CNS disease in patients that express both ER and HER2, as up to 50% of patients with metastatic ER+/HER2+ breast cancer develop CNS disease. In non-clinical studies, the addition of palazestrant to HER2 inhibitors improved tumor growth inhibition in ER+/HER2+ xenograft models.</w:t>
      </w:r>
    </w:p>
    <w:p>
      <w:pPr>
        <w:spacing w:after="0" w:line="182"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Expanding our portfolio of product candidates through both internal research activities and business development efforts. </w:t>
      </w:r>
      <w:r>
        <w:rPr>
          <w:rFonts w:ascii="Arial" w:cs="Arial" w:eastAsia="Arial" w:hAnsi="Arial"/>
          <w:sz w:val="18"/>
          <w:szCs w:val="18"/>
          <w:color w:val="auto"/>
        </w:rPr>
        <w:t>We are applying our internal drug discovery capabilities to identify and evaluate novel targeted therapies that can</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the lives of people living with cancer. We have an active discovery research team exploring additional opportunities for targeted therapies for breast cancer. We successfully identified KAT6 as a novel target and entered into a collaboration with Aurigene Oncology in 2022, which led to the discovery and development of OP-3136. We plan to continue to explore opportunities to acquire products and technologies that align with our core areas of expertise and complement our existing portfolio.</w:t>
      </w:r>
    </w:p>
    <w:p>
      <w:pPr>
        <w:spacing w:after="0" w:line="183"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Continuing to evaluate opportunities to accelerate clinical development timelines and enhance the commercial potential of our programs through collaboration with third parties. </w:t>
      </w:r>
      <w:r>
        <w:rPr>
          <w:rFonts w:ascii="Arial" w:cs="Arial" w:eastAsia="Arial" w:hAnsi="Arial"/>
          <w:sz w:val="18"/>
          <w:szCs w:val="18"/>
          <w:color w:val="auto"/>
        </w:rPr>
        <w:t>We own full worldwide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rights to both palazestrant and OP-3136. We have established clinical collaborations with both Novartis and Pfizer and we intend to continue evaluating opportunities to work with partners that meaningfully enhance our capabilities with respect to the development and commercialization of our product candidates. In addition, we intend to commercialize our product candidates in key markets either alone or with partners to maximize the worldwide commercial potential of our programs.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summarized in the figure below, our plan is to develop our wholly-owned lead product candidate, palazestrant, in a number of ER+ breast cancer indications, both as a monotherapy and in combination with approved targeted therapies that have shown improved outcomes with other endocrine therapies. In addition, our KAT6 program, OP-3136, entered clinical development in late 2024, and we are evaluating potential combination development with both fulvestrant and palazestrant.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 Olema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137795</wp:posOffset>
            </wp:positionV>
            <wp:extent cx="5546090" cy="25114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609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Epidemiology and classification of breast cancer</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Breast cancer is the second-most common cancer worldwide, with nearly two million new diagnoses per year. The ACS estimates 1 in 8 women in the U.S. will be diagnosed with invasive breast cancer in her lifetime and that, in 2026, there will be approximately 321,910 new cases of female breast cancer and approximately 42,140 deaths in the United States, making it the second-leading cause of cancer death in women. Approximately 2,800 men are also diagnosed with breast cancer each year in the United States. Breast cancer is a heterogeneous disease which is grouped into several clinical subtypes based on the expression of three proteins: ER, PR and HER2. Both ER and PR are hormone receptors, and tumors that express either of these receptors are referred to as HR+. It is unusual for a tumor to express PR in the absence of the ER, therefore most tumors are referred to as either ER+ or ER-. Tumors that express HER2 are denoted HER2+, and tumors that do not express ER, PR, or HER2 are classified as triple negative breast cancer. Approximately 79% of all breast cancers are HR+, and approximately 70% are HR+/HER2-, highlighting the central role of ER signaling in driving a large majority of breast cancer.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Treating breast cancer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Early-stage breast cancer</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Breast cancer stage is determined by the size of the tumor and whether or not the cancer has spread to lymph nodes. A tumor that is confined to the breast with or without the involvement of local, ipsilateral lymph nodes is considered early-stage breast cancer. Treatment for patients with early-stage breast cancer involves two components. First, there is local treatment of the breast, chest wall, and local lymph nodes, if any, with surgery, either a lumpectomy or mastectomy, and potentially radiation. Second, based on the biology and characteristics of the tumor, patients may also be offered systemic therapy, referred to as adjuvant therapy, in order to decrease the risk of recurrence of breast cancer anywhere in the body. Systemic therapy can be given either after surgery (adjuvant), prior to surgery (neoadjuvant), or a combination of both.</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initial standard of care for patients with early-stage ER+ breast cancer is at least five years of adjuvant endocrine therapy. The endocrine treatment options for early-stage disease are AIs, such as anastrozole, exemestane or letrozole, or an ER antagonist such as a tamoxifen. For patients diagnosed with early-stage ER+ breast cancer who undergo surgical and adjuvant/neoadjuvant treatment, the five-year survival rate is over 90%.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Metastatic breast cancer</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When cancer has spread beyond local lymph nodes, either to distant lymph nodes, bones, or visceral organs, the cancer is now considered metastatic. Approximately 6-10% of breast cancer patients present with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metastatic disease, also referred to as stage IV disease, at initial diagnosis. In addition, approximately 30% of patients diagnosed with early-stage breast cancer will develop metastatic disease. In contrast to the goals of adjuvant therapy, treatments for metastatic disease are palliative with the desired outcome of controlling symptoms and extending survival as long as possible. The current five-year survival rate for patients with ER+ metastatic breast cancer is approximately 32%.</w:t>
      </w:r>
    </w:p>
    <w:p>
      <w:pPr>
        <w:spacing w:after="0" w:line="179"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While there are national guidelines and recommendations for the treatment of metastatic breast cancer, the actual treatment decision is based on a combination of individual patient characteristics and tumor biology, including whether they received adjuvant therapy and, if so, how quickly the cancer recurred. There is significant overlap in the agents that are recommended, but guidelines vary in the sequence in which these agents are used. In the past five years, several new classes of targeted therapies have been approved to be used in combination with endocrine agents for the treatment of HR+/HER2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 CDK4/6 inhibitors, such as palbociclib, ribociclib, and abemaciclib, used in combination with an AI or fulvestrant, led to significant increases in progression-free survival and overall survival. Everolimus, an mTOR inhibitor, was approved in 2012 for the treatment of postmenopausal women with advanced HR+/HER2- breast cancer in combination with exemestane after failure of treatment with letrozole or anastrozole. Alpelisib, a PI3Ka inhibitor, was approved in 2019 in combination with fulvestrant for the treatment of HR+/HER2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cancers that have mutations in PIK3CA. Figure 2 shows the endocrine treatment options available for ER+ metastatic breast cancer, and an example of the sequence of treatments, by agent and line of therapy.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Figure 2. Available endocrine options and example of sequential alternating of endocrine based therapy in ER+ metastatic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115570</wp:posOffset>
            </wp:positionV>
            <wp:extent cx="5546090" cy="2408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4609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When moving a patient from one line of therapy to the next, the standard of care is to switch to an endocrine agent with a different mechanism of action depending upon last therapy, co-morbidities, and individual patient characteristics.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Metastatic breast cancer is the second most common cancer associated with brain metastases in the United States. About 10% to 15% of women with metastatic breast cancer develop brain metastases. Brain metastases present a significant challenge to systemic therapy and the primary treatment for CNS metastases is typically surgical resection, radiation, or a combination of both. Given the limited treatment options available for these patients, the prognosis remains poor, making it an area of continued, high unmet medical need. In addition, brain metastases in breast cancer patients are a major cause of morbidity, associated with progressive neurologic deficits that result in a reduced quality of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ER signaling in cancer</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ER is a nuclear receptor that functions as a ligand regulated transcription factor. When bound to estrogen, the ER directs the expression of genes that are essential for breast cancer cells’ survival and proliferation. The ER has three modular functional domains:</w:t>
      </w:r>
    </w:p>
    <w:p>
      <w:pPr>
        <w:spacing w:after="0" w:line="154" w:lineRule="exact"/>
        <w:rPr>
          <w:sz w:val="20"/>
          <w:szCs w:val="20"/>
          <w:color w:val="auto"/>
        </w:rPr>
      </w:pPr>
    </w:p>
    <w:p>
      <w:pPr>
        <w:ind w:left="1020" w:hanging="503"/>
        <w:spacing w:after="0" w:line="244"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amino terminal domain, which contains the activation function 1 (AF1), the activity of which can be increased by multiple cell proliferative signaling pathways;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DNA binding domain, which directs the ER to bind to a specific set of ER-responsive genes; and</w:t>
      </w:r>
    </w:p>
    <w:p>
      <w:pPr>
        <w:spacing w:after="0" w:line="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ligand binding domain, which contains the activation function 2 (AF2), which is turned on when bound to estrogen.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Activation of either AF1 or AF2 can drive transcription and cancer cell proliferation.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3. Growth and proliferation mechanism driving ER+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146050</wp:posOffset>
            </wp:positionV>
            <wp:extent cx="3446145" cy="3223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4614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Classes of endocrine therapies and their limitations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more than four decades, researchers have been developing new approaches and therapies to prevent activation of the ER pathway, thereby inhibiting the ability of the ER to drive tumor cell growth. The two major classes of endocrine therapies are AIs and ER antagonists.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Antagonists with partial agonist activity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Although tamoxifen, the first endocrine therapy for the treatment of breast cancer, directly competes with estrogen and prevents activation of the AF2 transcription factor activation domain, it does not block AF1 activity and therefore does not completely inhibit ER function. As a consequence of this partial agonist activity, tamoxifen mimics estrogen in some circumstances and promotes proliferation. In addition, some breast cancers can develop resistance to these partial agonists by activation of upstream AF1 signaling pathways, such as mTOR, PI3K, MAPK, c-SRC, EGFR, FGFR and IGFR. Therefore, while tamoxifen is commonly used today, it is challenged by acquired drug resistance and a relatively short duration of response.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4. Partial agonists, such as tamoxifen, are unable to completely block ER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146050</wp:posOffset>
            </wp:positionV>
            <wp:extent cx="3377565" cy="2811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77565"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search of a different mechanism to target the estrogen pathway, AIs were developed in the 1990s to block the synthesis of estrogen and deprive the ER+ tumor of its activating ligand. However, most patients with metastatic breast cancer have been shown to ultimately develop resistance to these therapies. Similar to tamoxifen, resistance to AIs, such as anastrozole, exemestane or letrozole, can develop by multiple mechanisms, including activation of the AF1 pathway and development of mutations. Mutations in ESR1 that confer estrogen-independent ER activity arise in up to 50% of patients receiving treatment with an AI in combination with a CDK4/6 inhibitor in the first-line metastatic setting.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SERDs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search for more potent ER antagonists, researchers focused on another class of ER drugs that were described as SERDs. This classification arose from the observation that certain ligands bind tightly to ER leading to ER degradation. The field shifted drug discovery efforts to SERDs based on the hypothesis that degrading ER would be more efficacious than inhibiting it. However, similar to tamoxifen, many compounds with SERD activity are not complete ER antagonists nor do they achieve complete degradation of the ER. Recent experiments conducted by us and third parties in non-clinical models of breast cancer suggest that ER degradation, as achieved by many SERDs, on its own is not sufficient to effectively treat tumors and that the ability to completely inhibit ER function is best achieved through complete antagonism.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CERANs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 CERAN is a molecule that completely blocks the ability of both AF1 and AF2 to stimulate gene transcription. CERANs inhibit activation of the AF2 transcription factor activation domain and inactivate AF1 activity by recruiting nuclear receptor corepressors of the N-CoR/ SMRT family. Previous work by one of our co-founders identified specific interactions between fulvestrant-bound ER and N-CoR and that the strength of these interactions correlated with the ability of fulvestrant-bound ER to inactivate gene transcription through the transcription factor activating domain, AF1.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Complete antagonists turn off AF2 and recruit N-CoR to inactivate AF1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137795</wp:posOffset>
            </wp:positionV>
            <wp:extent cx="3257550" cy="29317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755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2002, fulvestrant was approved as a treatment for HR+ metastatic breast cancer and is typically used as a second- or third-line endocrine agent. Fulvestrant represented a breakthrough for the field based on its dual- mechanism of action as a CERAN and SERD which led to improved efficacy outcomes for patients. However, fulvestrant, the only FDA-approved anti-estrogen lacking agonist-type effects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uterotropic assays in immature or ovariectomized mice and rats, has several limitations including:</w:t>
      </w:r>
    </w:p>
    <w:p>
      <w:pPr>
        <w:spacing w:after="0" w:line="174" w:lineRule="exact"/>
        <w:rPr>
          <w:sz w:val="20"/>
          <w:szCs w:val="20"/>
          <w:color w:val="auto"/>
        </w:rPr>
      </w:pPr>
    </w:p>
    <w:p>
      <w:pPr>
        <w:jc w:val="both"/>
        <w:ind w:left="760" w:hanging="378"/>
        <w:spacing w:after="0" w:line="246"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Painful and inconvenient route of administration. Fulvestrant is a highly insoluble compound with poor oral bioavailability and therefore must be given intramuscularly. Fulvestrant is administered every 28 days in two 5 ml intramuscular injections into the buttocks. Injection site reactions occur in approximately 10% of patients and include sciatica, neuralgia, neuropathic pain, and peripheral neuropathy.</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42" w:lineRule="auto"/>
        <w:tabs>
          <w:tab w:leader="none" w:pos="7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Suboptimal drug exposure limits efficacy. In a non-clinical mouse model, an increase in antitumor activity and ER degradation was observed as the dose of fulvestrant was increased from 25 mg/kg to 200 mg/kg. However, researchers estimated that achieving an equivalent level of fulvestrant in humans to a 200 mg/kg dose in mice would require a dose that is eight times higher than is currently clinically achievable. Furthermore, xenograft models created using patient-derived tumors containing ESR1 mutations show that even plasma levels substantially higher than those achievable in humans at the approved dose fail to demonstrate optimal antitumor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Palazestrant</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own worldwide development and commercialization rights to palazestrant. Our plan is to develop palazestrant for the treatment of a number of ER+ breast cancer indications, both as monotherapy and in combination with approved targeted therapies that have shown improved outcomes with other endocrine therapies.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Palazestrant is an oral small molecule clinical-stage product candidate for the treatment of endocrine-driven cancers. Palazestrant was designed by our scientific team based both on a detailed structural understanding of the ER and on known alterations to this structure induced by fulvestrant and other ER ligands. We have demonstrated in non-clinical studies that palazestrant functions both as a CERAN, inactivating both AF1 and AF2 transcriptional activation functions, and a SERD, promoting degradation of the ER. We believe palazestrant’s oral formulation and dual mechanism of action directly address the limitations of current endocrine therapies, such as fulvestrant and tamoxifen, and position palazestrant as a potential endocrine therapy of choice for the treatment of ER+ breast cancers.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July 2022, palazestrant was granted Fast Track designation from the FDA in patients with ER+/HER2- metastatic breast cancer that has progressed following one or more lines of endocrine therapy with at least one line given in combination with a CDK4/6 inhibitor.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pivotal Phase 3 monotherapy trial: OPERA-01</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November 2023, we initiated our first pivotal Phase 3 trial of palazestrant, OPERA-01, which is a randomized Phase 3 trial evaluating palazestrant versus standard-of-care treatment for ER+/HER2- advanced or metastatic breast cancer. The trial is expected to enroll approximately 510 second/third-line metastatic breast cancer patients randomized one-to-one with either palazestrant or standard-of-care endocrine therapy. Key inclusion criteria for the trial include evaluable disease and prior exposure to endocrine therapy in combination with a CDK4/6 inhibitor in the advanced setting. One additional line of endocrine therapy in the advanced or metastatic setting is permitted. The trial consists of two parts: a three-arm dose selection part followed by assessment of the selected dose (90 mg) of palazestrant versus standard of care. Top-line results from the trial are expected in the fall of 2026.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OPERA-01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2023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4609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monotherapy clinical study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presented positive Phase 2 monotherapy clinical results in an oral presentation at ESMO in October 2023. As of the data cut-off of July 7, 2023, 86 patients with recurrent, locally advanced or metastatic ER+/HER2- breast cancer were treated at the recommended Phase 2 dose (RP2D) of 120 mg. The group was heavily pretreated with 42% of patients being fourth-line or later at study entry, 65% of patients having received two or more prior lines of endocrine therapy for metastatic disease, and 31% having received prior chemotherapy. Almost all patients (97%) received prior treatment with a CDK4/6 inhibitor, and 66% received prior treatment with fulvestrant. Of 75 patients whose circulating tumor DNA (ctDNA), was assessed, 48% had activating mutations in ESR1 at baseline.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002416"/>
        </w:rPr>
        <w:t>Palazestrant demonstrated favorable pharmacokinetics characterized by high oral bioavailability, dose proportional exposure and a long half-life of eight days, with steady-state plasma levels showing minimal peak-to-trough variability, enabling consistent inhibition of the ER for the full dosing interval.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and tolerability profile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002416"/>
        </w:rPr>
        <w:t>Treatment with palazestrant at the RP2D of 120 mg was well tolerated with no dose-limiting toxicities, and the maximum tolerated dose (MTD), was not reached. The majority of treatment-emergent adverse events (TEAEs), were Grade 1 or 2. Of the 86 patients treated, events of Grade 4 neutropenia were observed in six patients, occurring approximately 4–6 weeks into therapy. Of these patients, three had a dose interruption with recovery and subsequent dose reduction (two continued at 90 mg and one continued at 60 mg) without any recurrence, and three had dose discontinuation followed by recovery. All six patients had prior exposure to CDK4/6 inhibitors.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profile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Across all 86 patients, the median progression-free survival (PFS) was 4.6 months and the clinical benefit rate (CBR), was 40% with a 6-month PFS rate of 38%. In patients with an ESR1 mutation, the median PFS was 5.6 months and the CBR was 52% with a 6-month PFS rate of 46%. In ESR1 wild-type patients, the median PFS was 3.5 months and the CBR was 32% with a 6-month PFS rate of 35%.</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 subset analysis of 49 patients that received palazestrant as a second- or third-line therapy with or without prior chemotherapy, the median PFS was 7.2 months and the CBR was 48% across all patients with a 6-month PFS rate of 54%. In patients with an ESR1 mutation, the median PFS was 7.3 months and CBR was 59% with a 6-month PFS rate of 62%. In ESR1 wild-type patients the median PFS was 5.5 months and the CBR was 38% with a 6-month PFS rate of 44%.</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Anti-tumor activity was observed in this heavily pretreated population, with 40% of patients demonstrating reduction in target lesions and evidence of activity in both ESR1 wild-type and ESR1-mutant patients. Given the advanced and heavily pretreated nature of the patients, many of these patients are expected to be resistant to monotherapy endocrine treatment.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Palazestrant Phase 1b/2 study in combination with ribociclib</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2025, we announced data from our clinical study of palazastrant in combination with ribociclib at ESMO in Berlin, Germany. As of July 8, 2025, 72 patients were enrolled across the 90 mg and 120 mg palazestrant dose cohorts. 56 patients received 120 mg once-daily palazestrant and 16 patients received 90 mg once-daily palazestrant, all with the approved dose of ribociclib for metastatic breast cancer of 600 mg daily. 45 (63%) patients had prior treatment with CDK4/6i with endocrine therapy for advanced disease. 33% (15/45) of patients who had prior treatment with CDK4/6i in the advanced setting (2/3L) had an ESR1 mutation at baseline.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Efficacy profile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90 mg palazestrant dose cohort, with a median follow-up of 10.8 months, median progression-free survival (PFS) was not reached. In the 120 mg palazestrant dose cohort, with a median follow-up of more than 19 months, median PFS are mature. Median PFS was 15.5 months for all patients. Median PFS was 12.2 months for those who received prior treatment with CDK4/6i, including 9.2 months for patients with ESR1 wild-type tumors and 13.8 months for patients with tumors with ESR1 mutations.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profile and pharmacokinetics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Across 72 patients treated, 90 mg or 120 mg of palazestrant combined with 600 mg of ribociclib daily was well tolerated with no new safety signals or increase in toxicity. Palazestrant and ribociclib did not demonstrate any drug-drug interactions and the overall safety profile was consistent with the established safety profile of ribociclib plus an endocrine therapy. The majority of treatment-emergent adverse events were grade 1 or 2, and the severity and incidence of adverse events were consistent with the expected safety profile of each drug.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Conclusions</w:t>
      </w:r>
    </w:p>
    <w:p>
      <w:pPr>
        <w:spacing w:after="0" w:line="196"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These data support the ongoing Phase 3 OPERA-02 study evaluating 90 mg QD palazestrant in combination with ribociclib for the first-line treatment of ER+/HER2- advanced breast cancer.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pivotal Phase 3 combination trial of palazestrant in combination with ribociclib: OPERA-02</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third quarter of 2025, we initiated OPERA-02, the pivotal Phase 3 clinical trial of palazestrant in combination with ribociclib in patients with frontline advanced or metastatic ER+/HER2- breast cancer. The trial is currently enrolling, and is expected to enroll approximately 1,000 patients, half of whom will receive palazestrant plus ribociclib; the other half will receive letrozole, a standard-of-care aromatase inhibitor, plus ribociclib. The trial is enrolling first-line patients who have received no prior systemic therapy for the treatment of advanced or metastatic breast cancer. Progression free survival is the primary endpoint, and overall survival is a key secondary endpoint.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7. OPERA-02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2014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4609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Palazestrant Phase 1b/2 study in combination with palbociclib</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presented Phase 1b/2 data from our clinical study of palazastrant in combination with palbociclib at SABCS on December 7, 2023. With a data cutoff of September 15, 2023, across 46 patients as of the cutoff date of September 15, 2023, the combination of palazestrant (120 mg) with palbociclib (125 mg) daily was well tolerated, with an overall safety profile consistent with the expected safety profile of palbociclib plus an endocrine therapy.</w:t>
      </w:r>
    </w:p>
    <w:p>
      <w:pPr>
        <w:spacing w:after="0" w:line="17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There was no observed drug-drug interaction between palazestrant and palbociclib, and there was no induced metabolism or increase in exposure of either palbociclib or palazestrant when administered in combination. Most treatment-emergent adverse events were grade 1 or</w:t>
      </w:r>
    </w:p>
    <w:p>
      <w:pPr>
        <w:ind w:right="20" w:firstLine="8"/>
        <w:spacing w:after="0" w:line="250" w:lineRule="auto"/>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Neutropenia incidence was similar to the PALOMA-3 study; it was reversible in all patients and the timing was generally consistent with the palbociclib-related neutropenia.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Tumor responses and prolonged disease stabilization were observed in this patient group, including in those previously exposed to CDK4/6 inhibitors, in both ESR1 mutant and ESR1 wild-type tumors. Partial responses were observed in seven patients, with two confirmed partial responses and five unconfirmed partial responses. The clinical benefit rate was 46% in all patients and 60% in patients with an ESR1 mutation at baseline. In patients naïve to prior CDK4/6 inhibitor treatment, the CBR was 71%. 53% of patients had any reduction in target lesion size.</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Twenty-two (48%) patients remained on treatment, and efficacy data were still maturing. Findings from this study were consistent with previously reported data and support the ongoing clinical development of palazestrant in combination with CDK4/6 inhibitors for the treatment of ER+/HER2− metastatic breast cancer. Enrollment of sixty patients in the Phase 2 portion of the palazestrant-palbociclib combination clinical study is complete.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palazestrant pre-clinical combination data</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October 2024, we presented new pre-clinical data at the EORTC-NCI-AACR Symposium on Molecular Targets and Cancer Therapeutics showing that the combination of palazestrant with both everolimus and capivasertib are synergistic and have the potential to result in significant tumor regression. Palazestrant and everolimus demonstrated synergy in vitro and in vivo and resulted in greater anti-proliferative activity than either agent alone; this combination also caused gene signature transcriptional changes, downregulating cell cycle progression and upregulating apoptosis. Palazestrant and capivasertib in combination worked synergistically to inhibit proliferation of multiple ER+ breast cancer models, both in vitro and in vivo.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 for palazestrant and additional clinical opportunities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Everolimus, an mTOR inhibitor, is a targeted therapy that is often used by oncologists in the treatment of advanced breast or other cancers. Clinical studies evaluating everolimus in combination with endocrine therapies has demonstrated clinical results that indicate a potential benefit for patients in later-line settings. In the third quarter of 2024, we initiated evaluation of palazestrant in combination with everolimus in a Phase 1b/2 clinical study. Our primary objectives are to determine the safety, tolerability, and PK profile of the combination with palazestrant, and secondarily to determine efficacy and duration of response in patients with ER+/HER2- metastatic breast cancer.</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2025, we announced a new clinical trial collaboration and supply agreement with Pfizer, Inc. to evaluate, in a Phase 1b/2 study, the safety and combinability of palazestrant plus atirmociclib, Pfizer’s investigational, highly selective-CDK4 inhibitor, in patients with ER+/HER2- metastatic breast cancer.</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Furthermore, though we are currently evaluating palazestrant in patients with ER+/HER2- breast cancer, we believe that there is an opportunity for us to study palazestrant in patients with ER+/HER2+ breast cancer, which represents approximately 11% of breast cancer patients and more than 50% of the patients with HER2+ breast cancer. In particular, up to 50% of patients with metastatic HER2+ breast cancer develop CNS disease. We believe that combining palazestrant with HER2 targeted agents may represent an opportunity to improve upon recent advancements in the treatment of CNS disease in patients that express both ER and HER2.</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While our initial studies are focused on treating breast cancer patients with metastatic disease, we believe that if palazestrant is determined to be safe and effective in this population, there is potential for it to be used in earlier stage disease. Based on our extensive non-clinical studies, including certain head-to-head studies, we believe that palazestrant could have superior PK properties and improved clinical outcomes than fulvestrant. If proven in the clinic, we believe that palazestrant has the potential to not only replace fulvestrant but to become the endocrine treatment of choice for the treatment of both advanced/metastatic ER+ breast cancer as well as ultimately in early-stage ER+ breast cancer in the adjuvant setting.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Second Product Candidate: OP-3136</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October 2023, we presented new pre-clinical data regarding the discovery of novel compounds targeting KAT6, an epigenetic target that is dysregulated in breast and other cancers at the 2023 AACR-NCI-EORTC International Conference on Molecular Targets and Cancer Therapeutics. In January 2024, we nominated a development candidate for this program, OP-3136 and in late 2024, the IND application for OP-3136 was cleared by the FDA and we initiated a Phase 1 clinical trial evaluating OP-3136 in patients with ER+/HER2- metastatic breast cancer and other cancers.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 non-clinical xenograft model, OP-3136 caused dose-dependent tumor growth inhibition and tumor regression comparable to or better than a positive-control patented KAT6 inhibitor and demonstrated synergy in combination with CDK4/6 inhibitors or palazestrant.</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KAT6 is a clinically validated target and its overexpression has been shown to be correlated with worse clinical outcomes in ER+ breast cancer. KAT6 inhibition downregulates genes involved in estrogen receptor signaling and other signaling pathways.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8. Schematic of KAT6 biology and impact of OP-3136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1654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4609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KAT6-amplified and overexpressing ER+ breast cancer cell lines, OP-3136 strongly inhibited cell proliferation whereas KAT6-low cell lines were insensitive to the compounds. In a non-clinical xenograft model, OP-3136 caused dose-dependent tumor growth inhibition and tumor regression comparable to or better than a positive-control patented KAT6 inhibitor and demonstrated synergy in combination with CDK4/6 inhibitors or an endocrine therapy, palazestrant. In addition, OP-3136 demonstrated activity in both ESR1 wild-type and mutant breast cancer cell lines.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9. Impact of OP-3136 and positive control on tumor volume in a 25-day mouse xenograft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146050</wp:posOffset>
            </wp:positionV>
            <wp:extent cx="5254625" cy="2494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5462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In October 2024, we presented compelling new pre-clinical data at the EORTC-NCI-AACR Symposium on Molecular Targets and Cancer Therapeutics demonstrating OP-3136's robust anti-tumor activity as a single agent, as well as potential synergy and enhanced anti-tumor activity in combination with palazestrant. OP-3136 inhibited cell proliferation and synergized with anti-estrogens (fulvestrant and palazestrant) and a CDK4/6 inhibitor (ribociclib) in a breast cancer cell line. OP-3136 led to either tumor growth inhibition or tumor regression in vivo in xenograft models across all treatment groups. In combination with OP-3136, palazestrant was consistently superior to fulvestrant and led to improved anti-tumor activity and tumor regression; OP-3136 also showed robust synergistic anti</w:t>
      </w:r>
      <w:r>
        <w:rPr>
          <w:rFonts w:ascii="MS PGothic" w:cs="MS PGothic" w:eastAsia="MS PGothic" w:hAnsi="MS PGothic"/>
          <w:sz w:val="18"/>
          <w:szCs w:val="18"/>
          <w:color w:val="auto"/>
        </w:rPr>
        <w:t>‑</w:t>
      </w:r>
      <w:r>
        <w:rPr>
          <w:rFonts w:ascii="Arial" w:cs="Arial" w:eastAsia="Arial" w:hAnsi="Arial"/>
          <w:sz w:val="18"/>
          <w:szCs w:val="18"/>
          <w:color w:val="auto"/>
        </w:rPr>
        <w:t>tumor activity when combined with fulvestrant or palazestrant as doublet therapy in breast cancer models.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April 2025, we announced preclinical data demonstrating the anti-tumor activity of OP-3136 in prostate, ovarian, and non-small cell lung cancer (NSCLC) models at the American Association for Cancer Research (AACR) Annual Meeting in Chicago, Illinois. OP-3136 showed potent anti-proliferative activity in multiple ovarian, NSCLC, and prostate cell lines in vitro as well as activity that was independent of KAT6 amplification or over expression. As a monotherapy, OP-3136 demonstrated anti-tumor activity in in vivo xenograft models of ovarian (OVCAR3), NSCLC (LCLC-97TM1), and prostate (22Rv1)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10. OP-3136 demonstrates synergistic activity in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1350645</wp:posOffset>
            </wp:positionH>
            <wp:positionV relativeFrom="paragraph">
              <wp:posOffset>146050</wp:posOffset>
            </wp:positionV>
            <wp:extent cx="4440555" cy="2888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4055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December 2024, we announced that the FDA cleared our IND application for OP-3136. The Phase 1 clinical trial is enrolling patients, and we expect to present initial clinical data from this program in the second quarter of 2026.</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11. OP-3136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146050</wp:posOffset>
            </wp:positionV>
            <wp:extent cx="5546090" cy="2202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4609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Collaboration and Supply Agreement with Novartis</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July 2020, we entered into a non-exclusive Clinical Collaboration and Supply Agreement (as amended from time to time, the 2020 Novartis Agreement) with Novartis Institutes for BioMedical Research, Inc. (Novartis). On January 13, 2022, we entered into an Amended and Restated Clinical Collaboration and Supply Agreement with Novartis, and on October 9, 2023, we entered into Amendment No. 1 to Amended and Restated Clinical Collaboration and Supply Agreement with Novartis. The collaboration is focused on the evaluation of the safety, tolerability and efficacy of palazestrant in combination with Novartis’ proprietary CDK4/6 inhibitor KISQALI® (ribociclib) and/or Novartis’ proprietary phosphatidylinositol 3-kinase inhibitor PIQRAY® (alpelisib), or collectively the Novartis Study Drugs, as part of our planned Phase 1b clinical study of palazestrant in patients with metastatic ER+ breast cancer. The October 2023 Amendment No. 1 expanded the size of the ongoing ribociclib and palazestrant study cohort to a total of approximately 60 patients. In March 2024, we entered into Amendment No. 2 to Amended and Restated Clinical Collaboration and Supply Agreement with Novartis, which amended the agreement and expanded the collaboration to explore 90mg of palazestrant in combination with ribociclib, bringing the total enrollment to approximately 75 patients. We are responsible for the conduct of the clinical studies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studies for the combined therapies (other than those specific to each component study drug), are jointly owned by the parties.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studies for the combined therapies (other than the Novartis Study Drugs). Novartis is responsible for manufacturing and delivering to us the Novartis Study Drugs in such quantities as reasonably needed for the clinical studies for the combined therapies. In accordance with an agreed budget, Novartis is reimbursing us for a portion of the direct outside costs, but no more than an amount in the low single digit millions of U.S. dollars, that we incur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2020 Novartis Agreement will terminate upon completion of all activities outlined in the development plan and the relevant protocols. Either party may terminate the 2020 Novartis Agreement for the uncured material breach or 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Novartis Study Drugs or palazestrant. In addition, Novartis may terminate the 2020 Novartis Agreement if certain disputes between the parties are not resolved after following the applicable dispute resolution procedures, and we may terminate the 2020 Novartis Agreement in the event we terminate all clinical studies of the combined therapies other than due to a material safety issue or upon a clinical hold.</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2020 Novartis Agreement does not grant any right of first negotiation to participate in future clinical trials, and each of the parties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or with other parties.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Collaboration and Supply Agreement with Novartis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2024, we entered into a Clinical Trial Collaboration and Supply Agreement (the 2024 Novartis Agreement), with Novartis. Pursuant to the 2024 Novartis Agreement, Novartis is providing us with ribociclib drug supply for our ongoing Phase 3 OPERA-02 trial of palazestrant in combination with ribociclib in ER+/HER2- frontline advanced or metastatic breast cancer.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2024 Novartis Agreement, we supply (including manufacturing, packaging and labeling) palazestrant and letrozole for the OPERA-02 trial. Novartis manufactures and supplies (including primary packaging) a specified amount of ribociclib, which amount is expected to be sufficient for the OPERA-02 trial. The parties have granted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will be jointly owned by the parties. Except as otherwise specified, the 2024 Novartis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we desire to or do, at any time, (a) solicit or entertain any third party proposal or indication of interest with respect to an Olema Compound Transaction, or (b) negotiate (including in response to any proposal or indication of interest received by the Company), enter into or perform under, in each case, any written definitive agreement with a third party with respect to or that contemplates an Olema Compound Transaction, then we must provide written notice to Novartis regarding such Olema Compound Transaction, along with certain other specified information. Novartis will have 30 days after receipt of such notice to elect to enter into exclusive good faith negotiations with respect to such Olema Compound Transaction for a period of up to 120 days.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board of directors (or a duly authorized board committee) determines that we should pursue or explore a change of control or sale of all or substantially all of the assets of the Company (an Olema Change of Control Transaction), other than in response to an unsolicited bona fide acquisition proposal (a Proposed Sale), we must promptly notify Novartis of such determination. In the event Novartis elects to engage in negotiations with us in respect of such Proposed Sale, then from the date such notice is given until 45 days after the later of (a) the date on which the foregoing notice is given to Novartis, (b) the date on which Novartis is given notice that a data room has been populated as required by the 2024 Novartis Agreement, and (c) entry by us and Novartis into a customary nondisclosure agreement, Novartis will have the exclusive right (but no obligation) to conduct due diligence on us and our business and negotiate with us the definitive terms and conditions of the Proposed Sale.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event of an Olema Compound Transaction or Olema Change of Control involving a third party other than Novartis (the first to occur, referred to as a Repayment Trigger Event), the Company must promptly pay, or procure the payment of, the Repayment Amount (as defined below) to Novartis. Notwithstanding the foregoing, if the 2024 Novartis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 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 million that is represented by the number of units of ribociclib actually supplied to the Company under the 2024 Novartis Agreement as of immediately prior to the Repayment Trigger Event as compared to the total number of units that could be supplied under the 2024 Novartis Agreement.</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2024 Novartis Agreement, and (c) such time as the 2024 Novartis Agreement is terminated by the Company due to Novartis’ material breach. However, in the event the 2024 Novartis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2024 Novartis Agreement will terminate on the fifth anniversary of the date on which the first dose of palazestrant is administered to the first study subject. Either party may terminate the 2024 Novartis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2024 Novartis Agreement if the Company has failed to commence the OPERA-02 trial on or prior to March 31, 2026 or if the Company consummates an Olema Compound Transaction, and the Company may terminate the 2024 Novartis Agreement if the Company terminates the OPERA-02 trial other than due to a material safety issue, efficacy issue, regulatory action or upon a clinical hold.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Agreement with Pfizer</w:t>
      </w:r>
    </w:p>
    <w:p>
      <w:pPr>
        <w:spacing w:after="0" w:line="2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In November 2020, we entered into a non-exclusive clinical trial agreement with Pfizer (the Pfizer Agreement) to evaluate the safety and tolerability of palazestrant in combination with Pfizer’s proprietary CDK4/6 inhibitor IBRANCE® (palbociclib) in patients with recurrent, locally advanced or metastatic ER+/HER2</w:t>
      </w:r>
      <w:r>
        <w:rPr>
          <w:rFonts w:ascii="MS PGothic" w:cs="MS PGothic" w:eastAsia="MS PGothic" w:hAnsi="MS PGothic"/>
          <w:sz w:val="18"/>
          <w:szCs w:val="18"/>
          <w:color w:val="auto"/>
        </w:rPr>
        <w:t>‑</w:t>
      </w:r>
      <w:r>
        <w:rPr>
          <w:rFonts w:ascii="Arial" w:cs="Arial" w:eastAsia="Arial" w:hAnsi="Arial"/>
          <w:sz w:val="18"/>
          <w:szCs w:val="18"/>
          <w:color w:val="auto"/>
        </w:rPr>
        <w:t xml:space="preserve"> breast cancer in a clinical trial. Under the terms of the non-exclusive agreement, we are responsible for conducting the clinical study for the combined therapies and Pfizer is responsible for supplying IBRANCE® to us at no cost to us. As part of the collaboration, the parties granted to each other a non-exclusive, royalty- 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are jointly owned by the parties.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trials for the combined therapies (other than IBRANCE® (palbociclib)). Pfizer is responsible for manufacturing and delivering to us IBRANCE® (palbociclib) in such quantities as reasonably needed for the clinical studies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studies for the combined therapies due to the existence of a material safety issue, or in certain circumstances for an unresolved clinical hold with respect to either the IBRANCE® (palbociclib)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studies, and each of the parties retains all rights and ability to evaluate their respective compounds.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Collaboration and Supply Agreement with Pfizer</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2025, we announced that we entered into a non-exclusive clinical trial collaboration and supply agreement with Pfizer (the 2025 Pfizer Agreement), to evaluate the safety and tolerability of palazestrant in combination with Pfizer’s proprietary investigative selective CDK4 inhibitor atirmociclib in patients with metastatic ER+/HER2- breast cancer in a Phase 1b/2 clinical trial. Under the terms of the 2025 Pfizer Agreement, we are responsible for conducting the clinical trial for the combined therapies and Pfizer is responsible for supplying atirmociclib to us at no cost. As part of the collaboration, the parties granted to each other a non-exclusive, royalty-free license under certain of the parties’ respective patent rights in the combination of atirmociclib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responsible for manufacturing, packaging and labeling palazestrant, and for packaging and labeling all drugs used in the clinical trials for the combined therapies. Pfizer is responsible for manufacturing and delivering to us atirmociclib in such quantities as reasonably needed for the clinical trials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2025 Pfizer Agreement will terminate upon completion of all activities outlined in the study plan and the relevant protocols. Either party may terminate the 2025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atirmociclib or palazestrant. In addition, Pfizer may terminate the 2025 Pfizer Agreement if Pfizer reasonably and in good faith believes that atirmociclib is being used in an unsafe manner, and either party may terminate the 2025 Pfizer Agreement if either party determines to discontinue clinical development for medical, scientific, legal or other reasons. The 2025 Pfizer Agreement does not grant any right of first negotiation to participate in future clinical trials, and each of the parties retains all rights and ability to evaluate their respective compounds.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Aurigene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we entered into an exclusive global license agreement with Aurigene, to research, develop and commercialize novel small molecule inhibitors of an undisclosed oncology target (the Aurigene Agreement).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terms of the Aurigene Agreement, Aurigene provides to us an exclusive license to its portfolio of novel small molecule inhibitors of the target. Financial terms of the Aurigene Agreement include a $8.0 million upfront payment from us for rights to a pre-existing Aurigene program and remaining potential future milestone payments of up to $ 45.0 million in clinical development and regulatory milestones, and up to $370.0 million in commercial milestones. Aurigene is also eligible to receive mid-single-digit to low double-digit royalties as percentages of product sales, if any. During the years ended December 31, 2025 and 2024, we made one-time milestone payments to Aurigene of $10.0 million and $5.0 million, respectively, pursuant to the Aurigene Agreement. During the research term, we contribute funding to Aurigene to facilitate Aurigene’s ongoing discovery efforts. We and Aurigene jointly direct further pre-clinical work and, if successful, we will lead clinical development as well as regulatory and commercial activities. We and Aurigene jointly own collaboration compounds and rights to any inventions made during the research term.</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us for convenience, in our sole discretion, upon prior written notice to Aurigene, (b) by either us or Aurigene in connection with the other party’s uncured material breach or (c) by either us or Aurigene in connection with the insolvency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Licensing Agreements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October 17, 2024, we signed an out-license of our de-prioritized TRPM4 targeted research program to Black Shadow Therapeutics LLC in exchange for potential single-digit royalties on world-wide net sales should a product be approved by regulatory authorities.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success depends, in part, on our ability to obtain, maintain and protect our intellectual property and other proprietary rights for palazestrant, OP-3136, and any future product candidates and other discoveries, inventions, trade secrets, and know-how that are critical to our business operations. Our success also depends in part on our ability to operate without infringing, misappropriating or otherwise violating the intellectual property and proprietary rights of others, and in part, on our ability to prevent others from infringing, misappropriating or otherwise violating our intellectual property and proprietary rights. A comprehensive discussion on risks relating to intellectual property is provided under the section titled “Risk Factors—Risks related to our intellectual property.”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Intellectual property rights relevant to pharmaceutical companies typically include a combination of patent rights, trademark rights, and trade secret protection. Our success depends, in part, on our ability to secure and enforce each of these types of intellectual property rights.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 field of biotechnology has emerged in the United States and in Europe, among other countries. Changes in the patent laws and rules, either by legislation, judicial decisions, or regulatory interpretation may diminish our ability to protect our inventions and enforce our intellectual property rights, and more generally could affect the value of our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Regardless of the coverage we seek under our existing patent applications, there is always a risk that an alteration to the product or process may provide sufficient basis for a competitor to avoid infringement claims. In addition, the coverage claimed in a patent application can be significantly reduced before a patent is issued and courts can reinterpret claim scope after issuance. Moreover, many jurisdictions, including the United States, permit third parties to challenge issued patents in administrative proceedings, which may result in further narrowing or even cancellation of patent claims.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06" w:lineRule="exact"/>
        <w:rPr>
          <w:sz w:val="20"/>
          <w:szCs w:val="20"/>
          <w:color w:val="auto"/>
        </w:rPr>
      </w:pPr>
      <w:r>
        <w:rPr>
          <w:rFonts w:ascii="Arial" w:cs="Arial" w:eastAsia="Arial" w:hAnsi="Arial"/>
          <w:sz w:val="18"/>
          <w:szCs w:val="18"/>
          <w:color w:val="auto"/>
        </w:rPr>
        <w:t>An issued patent provides its owner (or possibly its licensee) with a right to exclude others from making, using or selling that which is claimed in the patent, for a specified period of time (the “term” of the patent), in the jurisdiction in which the patent is issued. In the United States, and in many other countries, utility patents have a presumptive term of 20 years from their effective filing date (which is the earliest non-provisional filing date to which the patent claims priority). However, many jurisdictions, including the United States, require the payment of periodic annuities or maintenance fees for patents to remain in force for the full 20</w:t>
      </w:r>
      <w:r>
        <w:rPr>
          <w:rFonts w:ascii="MS PGothic" w:cs="MS PGothic" w:eastAsia="MS PGothic" w:hAnsi="MS PGothic"/>
          <w:sz w:val="18"/>
          <w:szCs w:val="18"/>
          <w:color w:val="auto"/>
        </w:rPr>
        <w:t>‑</w:t>
      </w:r>
      <w:r>
        <w:rPr>
          <w:rFonts w:ascii="Arial" w:cs="Arial" w:eastAsia="Arial" w:hAnsi="Arial"/>
          <w:sz w:val="18"/>
          <w:szCs w:val="18"/>
          <w:color w:val="auto"/>
        </w:rPr>
        <w:t>year term. The United States also has provisions under which a patent’s term may be reduced if its claims are deemed insufficiently distinct from those of another patent owned by the same party with an earlier expiration date. The term of a patent, and the protection it affords, is therefore limited and once the patent term of our issued patents has expired, we may face competition. Because of the extensive time required for clinical development and regulatory review of the drugs we develop, it is possible that, before palazestrant, OP-3136, or any future product candidates we may develop can be commercialized, any related patent may expire or remain in force for only a short period following commercialization, thereby reducing any advantage of any such patent.</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United States and certain other jurisdictions also have provisions that permit extension of patent term. Patent term extension may be available for an unexpired patent that claims an approved product, or its approved use or method of making, where the approval follows a period of regulatory review and the patentee files a timely request for an extension of patent term. In the United States, such extension associated with regulatory approval is called a Patent Term Extension (PTE) and it is limited to a maximum of five years, or less if the extended patent term would exceed 14 years after the date of regulatory approval. Only one patent can receive patent term extension (e.g., PTE) per product approval.</w:t>
      </w:r>
    </w:p>
    <w:p>
      <w:pPr>
        <w:spacing w:after="0" w:line="179"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The United States also provides, in certain cases, a different form of added patent term, known as Patent Term Adjustment (PTA), whereby a particular patent’s term is automatically extended beyond the 20</w:t>
      </w:r>
      <w:r>
        <w:rPr>
          <w:rFonts w:ascii="MS PGothic" w:cs="MS PGothic" w:eastAsia="MS PGothic" w:hAnsi="MS PGothic"/>
          <w:sz w:val="18"/>
          <w:szCs w:val="18"/>
          <w:color w:val="auto"/>
        </w:rPr>
        <w:t>‑</w:t>
      </w:r>
      <w:r>
        <w:rPr>
          <w:rFonts w:ascii="Arial" w:cs="Arial" w:eastAsia="Arial" w:hAnsi="Arial"/>
          <w:sz w:val="18"/>
          <w:szCs w:val="18"/>
          <w:color w:val="auto"/>
        </w:rPr>
        <w:t>year date if the United States Patent and Trademark Office (USPTO) causes delay during its examination; however, potentially available PTA is reduced by any amount of any delay caused by the patent applicant. Patent term adjustment is generally calculated as the net number of days of USPTO-caused delay during prosecution, minus any periods of applicant-caused delay, and is added to the patent’s expiration date.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provisional patent application can establish a priority date for a patent, but only if certain deadlines and procedures are met. Specifically, a non-provisional application must be filed within 12 months of the earliest-filed provisional filing date, and such non-provisional filing must be made by an applicant who has properly documented its right to claim priority. Furthermore, if any changes are made to the application between the provisional and the non- provisional filings, the changed material may not be entitled to an earlier priority date. In the biopharmaceutical industry, it is common for applicants to file an international patent application under the Patent Cooperation Treaty (PCT) as a non-provisional filing. Such an international application, referred to as a “PCT application,” like a provisional application, cannot itself issue as a patent but rather preserves the applicant’s right to pursue patent filings in individual countries, which patent filings are referred to as “national applications” or “national phase filings” and can claim the benefit of priority to the prior PCT application (which may in turn claim priority to the prior provisional filing(s)). For most jurisdictions, national phase applications claiming priority to a PCT application must be filed within 30 to 32 months of the PCT’s earliest priority date. If we fail to meet the deadline for filing non-provisional or national phase applications, or fail to complete all procedural requirements associated with such filings, we may lose our right to claim priority. Moreover, even if we comply with all deadlines and requirements, we may not be able to secure granted patents in relevant jurisdictions, and furthermore cannot predict whether any patents that might issue will provide us with any competitive advantage.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granted patents and pending applications relating to palazestrant, including granted claims that encompass the palazestrant compound, pharmaceutical compositions that include palazestrant, and certain methods of using palazestrant, e.g., for treating particular disorders or diseases, where such treatment may include combination therapy. The 20-year term for these patents expires in 2036. In the United States, it is uncertain whether any PTE will be available, and if so, how much. Additional patent applications are pending, including applications that relate to dosing regimens and treatment of particular cancers, formulations, and additional combination therapies, including combination therapy with ribociclib, among other patent applications, and, if granted, will have 20-year terms that expire between 2040 and 2046.</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co-own with Aurigene a patent-family related to OP-3136, which includes claims that encompass the OP-3136 compound, pharmaceutical compositions that include OP-3136, and certain methods of using OP-3136. Under the Aurigene Agreement, Aurigene has provided to us an exclusive license to Aurigene's rights to patents and applications related to OP-3136 and other KAT6 inhibitor compounds. The 20-year term for patents and applications in this patent family, including a granted U.S. patent, related to OP-3136 expires in 2044. In the United States, it is uncertain whether any PTE will be available, and if so, how much.</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patents related to palazestrant or OP-3136 may be eligible for PTE in certain jurisdictions, including the United States and Europe, upon approval of a commercial use of the corresponding product by a regulatory agency in the jurisdiction where the patent was granted. However, there can be no assurance that we will receive or benefit from any PTE with respect to such patents.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With respect to our owned intellectual property, we cannot be sure that patents will be granted with respect to any of our pending patent applications or with respect to any patent applications filed by us in the future, nor can we be sure that any current patents or any patents that may be granted to us in the future will be commercially useful in protecting palazestrant, OP-3136, or any future product candidates and the methods used to manufacture them. Moreover, any issued patents and those that may be issued in the future may not guarantee us the right to prevent competitors from practicing our technology in relation to the commercialization of palazestrant, OP-3136, or any future product candidates. Any patents and those that may issue in the future may be challenged, narrowed, circumvented or invalidated, which could limit our ability to stop competitors from marketing related product candidates or limit the length of the term of patent protection that we may have for palazestrant, OP-3136, or any future product candidates. In addition, the rights granted under any issued patents may not provide us with complete protection or competitive advantages against competitors with similar products to ours. For information regarding risks related to intellectual property, see the section titled “Risk Factors—Risks related to our intellectual property.”</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do not currently own any U.S. registered trademarks for our brand or trade names.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our patents, anticipated regulatory exclusivities, and trademarks, we rely on trade secret and know-how protection to further secure our proprietary position around our chemistry, technology and other discoveries and inventions that we consider important to our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seek to protect our intellectual property, including our trade secrets and know-how, in part by entering into confidentiality agreements with companies with whom we share proprietary and confidential information in the course of business discussions, and by having confidentiality terms in our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any discoveries or inventions made by them while in our employ or carrying out work on behalf of Olema. However, trade secrets and know-how can be difficult to protect. We cannot guarantee that we have entered into such agreements with each party that may have or have had access to our trade secrets or proprietary technology and processes or that these agreements will afford us adequate protection of our intellectual property and proprietary rights. Despite these efforts, any of these parties may breach the agreements and disclose our proprietary information, including our trade secrets, and we may not be able to obtain adequate remedies for such breaches. In addition, our trade secrets may otherwise become known or be independently discovered by competitors. For information regarding risks related to intellectual property, see the section titled “Risk Factors—Risks related to our intellectual property.”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any approved products. We intend to continue evaluating opportunities to work with partners that enhance our capabilities with respect to the development and commercialization of palazestrant and OP-3136. In addition, we intend to commercialize our product candidates, if approved, in key markets either alone or with partners in order to maximize the worldwide commercial potential of our programs.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currently do not own or operate any manufacturing facilities. We rely, and expect to continue to rely for the foreseeable future, on third-party contract manufacturing organizations (CMOs) to produce palazestrant and OP-3136 for non-clinical and clinical testing, as well as for commercial manufacture if palazestrant or OP-3136 receives marketing approval. We require that our CMOs produce bulk drug substances and finished drug products in accordance with current Good Manufacturing Practices (cGMPs) and all other applicable laws and regulations. We maintain agreements with our manufacturers that include confidentiality and intellectual property provisions to protect our proprietary rights related to palazestrant and OP-3136.</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engaged CMOs to manufacture and package palazestrant and OP-3136 for non-clinical and clinical use. Additional CMOs are used to label and distribute palazestrant and OP-3136 for clinical use. We obtain our supplies from these CMOs on a purchase order basis and do not have long-term supply arrangements in place. We expect to put commercial manufacturing agreements into place as we prepare for potential commercialization of palazestrant. We have identified and have under contract a second manufacturer for palazestrant active pharmaceutical ingredient and also anticipate two manufacturers for drug product. More broadly, for palazestrant, OP-3136, and any future product candidates we may develop, we intend to identify and qualify additional manufacturers to provide the active pharmaceutical ingredient and fill-and-finish services prior to seeking regulatory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current therapies and new therapies that may become available in the future.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non-clinical testing, conducting clinical trials, obtaining regulatory approvals and marketing approved products than we do. Mergers and acquisitions in the pharmaceutical, biotechnology and oncology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less expensive than any products we may develop. Our competitors also may obtain FDA or other regulatory approval for their product candidates more rapidly than we may obtain approval for ours, which could result in competitors establishing a strong market position before we are able to enter the market. We believe that the key competitive factors affecting the success of any of our product candidates, if approved, will include efficacy, combinability, safety profile, convenience, cost, level of promotional activity devoted to them and intellectual property protection.</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product candidates for our priority programs are approved for the indications we are currently targeting, they will compete with the products discussed below. Furthermore, it is possible that other companies are also engaged in discovery or non-clinical development of product candidates for the same indications. These competitors, if successful in clinical development, may achieve regulatory approval and market adoption in advance of our product candidates, constraining our ability to gain significant market share for such product candidates. In addition, our product candidates, if approved, will complete with multiple approved products or products that may be approved for future indications for which we develop such product candidate.</w:t>
      </w:r>
    </w:p>
    <w:p>
      <w:pPr>
        <w:spacing w:after="0" w:line="179" w:lineRule="exact"/>
        <w:rPr>
          <w:sz w:val="20"/>
          <w:szCs w:val="20"/>
          <w:color w:val="auto"/>
        </w:rPr>
      </w:pPr>
    </w:p>
    <w:p>
      <w:pPr>
        <w:jc w:val="both"/>
        <w:spacing w:after="0" w:line="211" w:lineRule="exact"/>
        <w:rPr>
          <w:sz w:val="20"/>
          <w:szCs w:val="20"/>
          <w:color w:val="auto"/>
        </w:rPr>
      </w:pPr>
      <w:r>
        <w:rPr>
          <w:rFonts w:ascii="Arial" w:cs="Arial" w:eastAsia="Arial" w:hAnsi="Arial"/>
          <w:sz w:val="18"/>
          <w:szCs w:val="18"/>
          <w:color w:val="auto"/>
        </w:rPr>
        <w:t>There are several currently marketed drugs and product candidates currently in development for the treatment of ER+ breast cancer that target the estrogen receptor that may compete with palazestrant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marketed as Inluriyo</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Eli Lilly and Co.; vepdegestrant (ARV</w:t>
      </w:r>
      <w:r>
        <w:rPr>
          <w:rFonts w:ascii="MS PGothic" w:cs="MS PGothic" w:eastAsia="MS PGothic" w:hAnsi="MS PGothic"/>
          <w:sz w:val="18"/>
          <w:szCs w:val="18"/>
          <w:color w:val="auto"/>
        </w:rPr>
        <w:t>‑</w:t>
      </w:r>
      <w:r>
        <w:rPr>
          <w:rFonts w:ascii="Arial" w:cs="Arial" w:eastAsia="Arial" w:hAnsi="Arial"/>
          <w:sz w:val="18"/>
          <w:szCs w:val="18"/>
          <w:color w:val="auto"/>
        </w:rPr>
        <w:t>471), being developed by Arvinas, Inc. in partnership with Pfizer, Inc.; and lasofoxifene, being developed by LeonaBio, Inc. There are a number of KAT6 inhibitor product candidates in development that may compete with OP-3136 including prifetrastat and PF-08032562, which are being developed by Pfizer, MEN2312 being developed by Stemline Therapeutics, and BG-75202 being developed by BeOne Medicines.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a biopharmaceutical company that operates in the United States, we are subject to extensive regulation. Government authorities in the United States (at the federal, state and local level) and in other countries extensively regulate, among other things, the research, development, testing, manufacturing, quality control, approval, labeling, packaging, storage, record-keeping, promotion, advertising, distribution, post-approval monitoring and reporting, marketing and export and import of drug products such as those we are developing. Any drug candidates that we develop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Europe are addressed in a centralized way, but country-specific regulation remains essential in many respects.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United States, the FDA regulates drugs under the Federal Food, Drug and Cosmetic Act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FDA sanctions could include, among other actions,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 The process required by the FDA before a drug may be marketed in the United States generally involves the following:</w:t>
      </w:r>
    </w:p>
    <w:p>
      <w:pPr>
        <w:spacing w:after="0" w:line="183" w:lineRule="exact"/>
        <w:rPr>
          <w:sz w:val="20"/>
          <w:szCs w:val="20"/>
          <w:color w:val="auto"/>
        </w:rPr>
      </w:pPr>
    </w:p>
    <w:p>
      <w:pPr>
        <w:ind w:left="76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extensive non-clinical laboratory tests, non-clinical animal studies and formulation studies in accordance with applicable regulations, including the FDA’s Good Laboratory Practices, or GLP, regulations and other applicable regulations;</w:t>
      </w:r>
    </w:p>
    <w:p>
      <w:pPr>
        <w:spacing w:after="0" w:line="154"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investigational new drug application (IND), which must become effective before human clinical trials may begin;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institutional review board (IRB) at each clinical site before each trial may be initiated;</w:t>
      </w:r>
    </w:p>
    <w:p>
      <w:pPr>
        <w:spacing w:after="0" w:line="224" w:lineRule="exact"/>
        <w:rPr>
          <w:rFonts w:ascii="Times New Roman" w:cs="Times New Roman" w:eastAsia="Times New Roman" w:hAnsi="Times New Roman"/>
          <w:sz w:val="18"/>
          <w:szCs w:val="18"/>
          <w:color w:val="auto"/>
        </w:rPr>
      </w:pPr>
    </w:p>
    <w:p>
      <w:pPr>
        <w:jc w:val="both"/>
        <w:ind w:left="760" w:right="20" w:hanging="378"/>
        <w:spacing w:after="0" w:line="270"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applicable regulations, including the FDA’s current good clinical practice (GCP) regulations to establish the safety and efficacy of the proposed drug for its proposed indication;</w:t>
      </w:r>
    </w:p>
    <w:p>
      <w:pPr>
        <w:spacing w:after="0" w:line="1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 New Drug Application (NDA) for a new drug;</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24"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the FDA’s current good manufacturing practice (cGMP) requirements to assure that the facilities, methods and controls are adequate to preserve the drug’s identity, strength, quality and purity;</w:t>
      </w:r>
    </w:p>
    <w:p>
      <w:pPr>
        <w:spacing w:after="0" w:line="17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FDA audit of the non-clinical and/or clinical trial sites that generated the data in support of the NDA;</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 and</w:t>
      </w:r>
    </w:p>
    <w:p>
      <w:pPr>
        <w:spacing w:after="0" w:line="2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non-clinical testing stage. Non-clinical tests include laboratory evaluations of product chemistry, toxicity and formulation, as well as animal studies, to assess the characteristics and potential safety and activity of the drug candidate. The conduct of the non-clinical tests must comply with federal regulations and requirements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general investigational plan and the protocol(s) for human trials. Some non-clinical testing may continue even after the IND is submitted. The IND automatically becomes effective 30 days after receipt by the FDA, unless the FDA raises concerns or questions regarding the proposed clinical trials and places the IND on clinical hold within that 30 day time period. In such a case, the IND may be placed on clinical hold and the IND sponsor and the FDA must resolve any outstanding concerns or questions before the clinical trial can begin. The FDA may also impose clinical holds on a drug candidate at any time before or during clinical trials due to safety concerns or non-compliance.</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non-clinical studies suggesting a significant risk for human subjects, as well as IND annual reports on the progress of the investigations conducted under the IND.</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Clinical trials involve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212" w:lineRule="exact"/>
        <w:rPr>
          <w:sz w:val="20"/>
          <w:szCs w:val="20"/>
          <w:color w:val="auto"/>
        </w:rPr>
      </w:pPr>
    </w:p>
    <w:p>
      <w:pPr>
        <w:jc w:val="both"/>
        <w:ind w:left="760" w:hanging="378"/>
        <w:spacing w:after="0" w:line="246"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1. The drug is initially introduced into healthy human subjects and tested for safety, dosage tolerance, absorption, metabolism, distribution and excretion, the side effects associated with increasing doses and if possible, to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76"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2. 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Clinical trials are undertaken to further evaluate dosage, clinical efficacy and safety in an expanded patient population at geographically dispersed clinical trial sites. These clinical trials are intended to establish the overall benefit/risk ratio of the product and provide an adequate basis for product approval. Generally, two adequate and well-controlled Phase 3 clinical trials are required by the FDA for approval of an NDA.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Post-approval studies (Phase 4 clinical trials) may be conducted after initial marketing approval. These trials are used to gain additional experience from the treatment of patients in the intended therapeutic indication. In certain instances, the FDA may mandate the performance of Phase 4 trials. In certain instances, the FDA may mandate the performance of Phase 4 clinical trials as a condition of approval of an NDA.</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assesses whether or not a trial may move forward at designated check points based on access to certain data from the ongoing trial.</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and purity of the final drug. Additionally, appropriate packaging must be selected and tested, and stability studies must be conducted to demonstrate that the drug candidate does not undergo unacceptable deterioration over its shelf life.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to the satisfaction of the FDA. The submission of an NDA is subject to the payment of substantial user fees; a waiver of such fees may be obtained under certain limited circumstances.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Unless otherwise required by regulation, the PREA does not apply to any drug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the FDA because the FDA has approximately two months to make a “filing” decision after it the application is submitted The FDA does not always meet its PDUFA goal dates for standard and priority NDAs, and the review process is often significantly extended by FDA requests for additional information or clarification.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and typically follows the advisory committee’s recommendations.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requirements. After the FDA evaluates the application, manufacturing process and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one or more post-market studies or clinical trials. For example, the FDA may require Phase 4 testing, which involves clinical trials designed to further assess a drug safety and effectiveness and may require testing and surveillance programs to monitor the safety of approved products that have been commercialized. The FDA may also determine that a risk evaluation and mitigation strategy (REMS) is necessary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for a serious condition where no satisfactory alternative therapy exists or a significant improvement in the treatment, diagnosis or prevention of a serious condition compared to marketed products. The FDA will attempt to direct additional resources to the evaluation of an application for a new drug designated for priority review in an effort to facilitate the review.</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a product may be eligible for accelerated approval. Drug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 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In addition, this designation may not provide a material commercial advantage.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and complying with FDA promotion and advertising requirements, which include, among others, standards for direct- 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quality control and manufacturing procedures must continue to conform to applicable manufacturing requirements after approval to ensure the long-term stability of the drug product. We rely, and expect to continue to rely, on third parties for the production of clinical and commercial quantities of our products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additional labeling claims, are also subject to further FDA review and approval.</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FDA also may require post-marketing testing, known as Phase 4 testing, and surveillance to monitor the effects of an approved product. 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upon the timing, duration and specifics of the FDA approval of the use of our product candidates, some of our U.S. patents, if granted, may be eligible for limited PTE under the Drug Price Competition and Patent Term Restoration Act of 1984, commonly referred to as the Hatch-Waxman Amendments. As compensation for patent term lost during product development and the FDA regulatory review process, the Hatch-Waxman Amendments permit a patent restoration term (PTE), which is limited to a maximum of five years, or less if the extended patent term would exceed 14 years after the date of the regulatory approval of the product. The patent term restoration period is generally one-half the time between the effective date of an IND and the submission date of an NDA plus the time between the submission date of an NDA and the approval of that application. Only one patent applicable to an approved drug or drug product, or its approved use, is eligible for the extension and the application for the extension must be submitted prior to the expiration of the patent. The U.S. Patent and Trademark Office, in consultation with the FDA, reviews and approves the application for any patent term extension or restoration. In the future, we may intend to apply for restoration of a patent term for one of our currently owned or licensed patents to add patent life beyond its current expiration date, depending on the expected length of the clinical trials and other factors involved in the filing of the relevant NDA.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PTE or favorable adjustment to the term of any of our patents.</w:t>
      </w:r>
    </w:p>
    <w:p>
      <w:pPr>
        <w:spacing w:after="0" w:line="18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Market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Orphan drug exclusivity, as described above, may offer a seven-year period of marketing exclusivity, except in certain circumstances. Pediatric exclusivity is another type of non-patent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currently do not have any products on the market, we are and, upon approval and commercialization, will be subject to additional healthcare regulation and enforcement by the federal government and by authorities in the states and foreign jurisdictions in which we conduct our business. In the United States, such laws include, without limitation, state and federal fraud and abuse (such as anti-kickback and false claims), privacy and security, price reporting, and provider transparency laws and regulations.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but the exceptions and safe harbors are drawn narrowly and require strict compliance in order to offer protection.</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the intent standard under the Anti-Kickback Statute and certain criminal healthcare fraud statutes (discussed below) was amended by the Patient Protection and Affordable Care Act of 2010, as amended by the Health Care and Education Reconciliation Act of 2010, together with subsequent amendments and regulations, collectively,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Pharmaceutical and other healthcare companies have been prosecuted under these laws for, among other things, allegedly providing free product to customers with the expectation that the customers would bill federal programs for the product and for causing false claims to be submitted because of the companies’ marketing of the product for unapproved, and thus non- covered, uses.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federal Health Insurance Portability and Accountability Act of 1996 (HIPAA) also created new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Also, many states have similar fraud and abuse statutes or regulations that apply to items and services reimbursed under Medicaid and other state programs, or, in several states, apply regardless of the payor.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annually report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and certain ownership and investment interests held by these physicians and their immediate family members.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also be subject to data privacy and security regulations promulgated by both the federal government and the states in which we conduct our business. HIPAA, as amended by the Health Information Technology for Economic and Clinical Health Act (HITECH) and its implementing regulations, impose requirements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Violations of the rule could lead to significant civil and criminal fines and penalties. The rule applies regardless of whether data is anonymized, key-coded, pseudonymized, de-identified or encrypted. 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 Also in Europe,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foreign laws, regulations, rules, contractual obligations, policies and other obligations related to data privacy and security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or will become subject to privacy laws in the jurisdictions in which we are established or in which we sell or market our products or run clinical trials. For example, in Europe we are subject to the General Data Protection Regulation (GDPR) in relation to our collection, control, processing and other use of personal data (i.e., data relating to an identified or identifiable living individual). We process personal data in relation to participants in our clinical trials in the European Economic Area (EEA), including the health and medical information of these participants. The GDPR is directly applicable in each of the twenty-seven member states of the European Union (EU Member States), however, it provides that EU Member States may introduce further conditions that could cause our compliance costs to increase, ultimately having an adverse impact on our business.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the supervision of local data protection authorities in those European Union jurisdictions where we are established or otherwise subject to the GDPR. Fines for certain breaches of the GDPR are significant: up to the greater of €20 million or 4% of total global annual turnover. Further, we must comply with both the GDPR and separately the GDPR as implemented in the United Kingdom (UK), each regime having the ability to fine up to the greater of €20 million / £17 million or 4% of global turnover. A breach of the GDPR or other applicable privacy and data protection laws and regulations could result in regulatory investigations, reputational damage, orders to cease/change our use of data, enforcement notices, or potential civil claims including class action type litigation. In general, if our efforts to comply with the GDPR or other applicable European Union laws and regulations are not successful, it could adversely affect our business in the European Union.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In the United States,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United States, the California Consumer Privacy Act (CCPA) creates individual privacy rights for California consumers (as defined in the law)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provides for civil penalties for violations, as well as a private right of action for certain data breaches that result in the loss of personal information. This private right of action may increase the likelihood of, and risks associated with, data breach litigation. The CCPA (a) allows enforcement by the California Attorney General with fines and (b) authorizes private lawsuits to recover statutory damages for certain data breaches.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 CCPA may impact our business activities and exemplifies the vulnerability of our business to the evolving regulatory environment related to personal data and protected health information. Additionally, the California Privacy Rights Act (CPRA) significantly modifies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For example, Virginia, Colorado, Utah, and Connecticut have all enacted broad privacy legislation.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we will be accountable for any third-party service providers we engage to process personal data on our behalf, including our contract research organizations (CROs). We attempt to mitigate the associated risks but there is no assurance that privacy and security-related safeguards will protect us from all risks associated with the third-party processing, storage and transmission of such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candidates for which we or our collaborators obtain regulatory approval. In the United States and markets in other countries, sales of any products for which we or our collaborators receive regulatory approval for commercial sale will depend, in part, on the extent to which third-party payors provide coverage, and establish adequate reimbursement levels for such drug products. In the United States, third-party payors include federal and state healthcare programs, government authorities, private managed care providers, private health insurers and other organizations.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Third-party payors are increasingly challenging the price, examining the medical necessity and reviewing the cost-effectiveness of medical drug products and medical services, in addition to questioning their safety and efficacy. Such payors may limit coverage to specific drug products on an approved list, also known as a formulary, which might not include all of the FDA-approved drugs for a particular indication. We or our collaborators may need to conduct expensive pharmaco-economic studies in order to demonstrate the medical necessity and cost-effectiveness of our products, in addition to the costs required to obtain the FDA approvals. Nonetheless, our product candidates may not be considered medically necessary or cost-effective. Moreover, the process for determining whether a third-party payor will provide coverage for a drug product may be separate from the process for setting the price of a drug product or for establishing the reimbursement rate that such a payor will pay for the drug product.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Adequate third-party reimbursement may not be available to enable us to maintain price levels sufficient to realize an appropriate return on our investment in product development.</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elect to participate in certain governmental programs, we may be required to participate in discount and rebate programs, which may result in prices for our future products that will likely be lower than the prices we might otherwise obtain. For example, drug manufacturers participating under the Medicaid Drug Rebate Program must pay rebates on prescription drugs to state Medicaid programs. Under the Veterans Health Care Act (VHCA) drug companies are required to offer certain drugs at a reduced price to a number of federal agencies, including the U.S. Department of Veterans Affairs and Department of Defense, the Public Health Service and certain private Public Health Service designated entities in order to participate in other federal funding programs, including Medicare and Medicaid. Recent legislative changes require that discounted prices be offered for certain U.S. Department of Defense purchases for its TRICARE program via a rebate system. Participation under the VHCA also requires submission of pricing data and calculation of discounts and rebates pursuant to complex statutory formulas, as well as the entry into government procurement contracts governed by the Federal Acquisition Regulations. If our products are made available to authorized users of the Federal Supply Schedule of the General Services Administration, additional laws and requirements apply.</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has been heightened governmental scrutiny recently over the manner in which pharmaceutical companies set prices for their marketed products, which has resulted in several Presidential executive orders, Congressional inquiries and proposed federal legislation, as well as state efforts, designed to, among other things, bring more transparency to product pricing, reduce the cost of prescription drugs under Medicare, review the relationship between pricing and manufacturer patient programs, and reform government program reimbursement methodologies for drug products. For example, The U.S. Department of Health and Human Services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Different pricing and reimbursement schemes exist in other countries. In the European Union,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At the EU level, on January 12, 2025, Regulation No 2021/2282 on Health Technology Assessment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 The HTA Regulation establishes a framework for EU level joint clinical assessments, joint scientific consultations, and the early identification of emerging health technologies. The HTA Regulation permits EU Member States to use common tools, methodologies, and procedures and requires them to rely on EU 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 However, under the HTA Regulation, EU Member States will still be free to make their own pricing and reimbursement decisions. Moreover, EU Member States may, and do, choose to restrict the range of products for which their national health insurance systems or national healthcare systems provide reimbursement and to control the prices of such products. EU Member States may impose direct controls on pricing, or otherwise adopt a system of direct or indirect controls on the profitability of the companies placing such products on the market. Other EU Member States allow companies to set their own prices but monitor and control prescription volumes and issue guidance to medical professionals to limit prescriptions of such products.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marketability of any product candidates for which we or our collaborators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and services, implementing reductions in Medicare and other healthcare funding and applying new payment methodologies. For example, in March 2010, the ACA was enacted, which affected existing government healthcare programs and resulted in the development of new programs.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have been executive, judicial and Congressional challenges and amendments to certain aspects of the ACA. For example, on July 4, 2025, the One Big Beautiful Bill Act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Other legislative changes have also been proposed and adopted in the United States since the ACA was enacted. On August 2, 2011, the Budget Control Act of 2011, among other things, included aggregate reductions to Medicare payments to providers of 2% per fiscal year, which went into effect on April 1, 2013, and will remain in effect through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in Loper Bright Enterprises v. Raimondo,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approved importation plans, when implemented, may result in lower drug prices for products covered by those programs.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it is possible that there will be further legislation or regulation that could harm our business, financial condition, and results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Foreign Corrupt Practices Act</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U.S. Foreign Corrupt Practices Act of 1977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trials and any commercial sales and distribution of our products. Whether or not we or our potential collaborators obtain FDA approval for a product, we must obtain the requisite approvals from regulatory authorities in foreign countries prior to the commencement of clinical trials or marketing of the product in those countries.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in the EU</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countries outside of the United States have a similar process that requires the submission of a clinical trial application much like the IND prior to the commencement of human clinical trials. In the European Union, for example, clinical trials are governed by the Clinical Trials Regulation (EU) No 536/2014 (CTR), which entered into application on January 31, 2022 repealing and replacing the former Clinical Trials Directive 2001/20 (CTD). 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(CTIS);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EU Member States in which the trial is to be conducted for their review. Part II is assessed separately by the competent authorities and Ethics Committees in each concerned EU Member State. Individual EU Member States retain the power to authorize the conduct of clinical trials on their territory. The CTR foresaw a three-year transition period that ended on January 31, 2025. Since this date, all new or ongoing trials are subject to the provisions of the CTR.</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requirements and processes governing the conduct of clinical trials, product licensing, pricing and reimbursement vary from country to country. In all major territories, including the European Union, clinical trials must be conducted in accordance with GCP and the applicable regulatory requirements and the ethical principles that have their origin in the Declaration of Helsinki.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and authorization process in the EU</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the EU, medicinal products can only be commercialized after a related marketing authorization (MA), has been granted. To obtain an MA for a product in the EU, an applicant must submit a Marketing Authorization Application (MAA), either under a centralized procedure administered by the European Medicines Agency (EMA), or one of the procedures administered by the competent authorities of EU Member States (decentralized procedure, national procedure or mutual recognition procedure). An MA may be granted only to an applicant established in the EU.</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European Union and the European Economic Area consist of the EU Member States, plus Norway, Iceland, and Liechtenstein which are member states of the European Economic Area. To obtain regulatory approval of an investigational drug or biological product under European Union regulatory systems, we must submit a marketing authorization application either under the so-called centralized or national authorization procedures.</w:t>
      </w:r>
    </w:p>
    <w:p>
      <w:pPr>
        <w:spacing w:after="0" w:line="174" w:lineRule="exact"/>
        <w:rPr>
          <w:sz w:val="20"/>
          <w:szCs w:val="20"/>
          <w:color w:val="auto"/>
        </w:rPr>
      </w:pPr>
    </w:p>
    <w:p>
      <w:pPr>
        <w:jc w:val="both"/>
        <w:ind w:left="760" w:hanging="378"/>
        <w:spacing w:after="0" w:line="237"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Centralized marketing authorization, which is issued by the European Commission through the Centralized Procedure, based on the scientific opinion of the EMA’s Committee for Medicinal Products for Human Use, and which is valid throughout the entire territory of the European Economic Area (which is compromised of the 27 EU Member States plus Iceland, Liechtenstein and Norway). The Centralized Procedure is mandatory for certain types of products, such as (i) biotechnology medicinal products such as genetic engineering, (ii) orphan medicinal products, (iii) medicinal products containing a new active substance indicated for the treatment of AIDS, cancer, neurodegenerative disorders, diabetes, autoimmune and viral diseases and (iv) advanced-therapy medicines, such as gene therapy, somatic cell therapy or tissue-engineered medicines.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 The maximum timeframe for the evaluation of an MAA under the centralized procedure is 210 days, excluding clock stops when additional information or written or oral explanation is to be provided by the applicant in response to questions of the CHMP.</w:t>
      </w:r>
    </w:p>
    <w:p>
      <w:pPr>
        <w:spacing w:after="0" w:line="188" w:lineRule="exact"/>
        <w:rPr>
          <w:rFonts w:ascii="Times New Roman" w:cs="Times New Roman" w:eastAsia="Times New Roman" w:hAnsi="Times New Roman"/>
          <w:sz w:val="18"/>
          <w:szCs w:val="18"/>
          <w:color w:val="auto"/>
        </w:rPr>
      </w:pPr>
    </w:p>
    <w:p>
      <w:pPr>
        <w:jc w:val="both"/>
        <w:ind w:left="760" w:hanging="378"/>
        <w:spacing w:after="0" w:line="237"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Decentralized Procedure marketing authorizations are available for products not falling within the mandatory scope of the Centralized Procedure. An identical dossier is submitted to the competent authorities of each of the EU Member States in which the marketing authorization is sought, one of which is selected by the applicant as the Reference Member State (RMS), to lead the evaluation of the regulatory submission. The competent authority of the RMS prepares a draft assessment report, a draft summary of the product characteristics (SmPC), and a draft of the labeling and package leaflet as distilled from the preliminary evaluation, which are sent to the other concerned EU Member States (referred to as the Concerned Member States) for their approval. If the Concerned Member States raise no objections, based on a potential serious risk to public health, to the assessment, SmPC, labeling, or packaging proposed by the RMS, the RMS records the agreement, closes the procedure and informs the applicant accordingly. If a concerned Member State cannot approve the assessment report and related materials due to concerns relating to a potential serious risk to public health, disputed elements are referred to the Heads of Medicines Agencies’ Coordination Group for Mutual Recognition and Decentralised Procedures – Human (CMDh), for review. If the CMDh fails to reach a consensus, the matter escalates to the European Commission who’s decision is binding on all EU Member States. Each Member State concerned by the procedure is required to adopt a national decision to grant a national marketing authorization in conformity with the approved assessment report, SmPC and the labeling and package leaflet as approved.</w:t>
      </w:r>
    </w:p>
    <w:p>
      <w:pPr>
        <w:spacing w:after="0" w:line="188" w:lineRule="exact"/>
        <w:rPr>
          <w:rFonts w:ascii="Times New Roman" w:cs="Times New Roman" w:eastAsia="Times New Roman" w:hAnsi="Times New Roman"/>
          <w:sz w:val="18"/>
          <w:szCs w:val="18"/>
          <w:color w:val="auto"/>
        </w:rPr>
      </w:pPr>
    </w:p>
    <w:p>
      <w:pPr>
        <w:jc w:val="both"/>
        <w:ind w:left="760" w:hanging="378"/>
        <w:spacing w:after="0" w:line="252"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Where a product has already been authorized for marketing in an EU Member, the granted national marketing authorization can be used for mutual recognition in other EU Member States through the Mutual Recognition Procedure (MRP), resulting in progressive national approval of the product in the EU.</w:t>
      </w:r>
    </w:p>
    <w:p>
      <w:pPr>
        <w:spacing w:after="0" w:line="170" w:lineRule="exact"/>
        <w:rPr>
          <w:rFonts w:ascii="Times New Roman" w:cs="Times New Roman" w:eastAsia="Times New Roman" w:hAnsi="Times New Roman"/>
          <w:sz w:val="18"/>
          <w:szCs w:val="18"/>
          <w:color w:val="auto"/>
        </w:rPr>
      </w:pPr>
    </w:p>
    <w:p>
      <w:pPr>
        <w:jc w:val="both"/>
        <w:ind w:left="760" w:hanging="378"/>
        <w:spacing w:after="0" w:line="246" w:lineRule="auto"/>
        <w:tabs>
          <w:tab w:leader="none" w:pos="7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National marketing authorizations, which are issued by a single competent authority of the EU Member States and only covers such authority’s respective territory, are also available for products not falling within the mandatory scope of the Centralized Procedure. Once a product has been authorized for marketing in an EU Member State through the National Procedure, this National marketing authorization can be recognized in other Member States through the Mutual Recognition Procedure.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and alternative marketing authorization mechanisms in the EU</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a dedicated contact and rapporteur from CHMP, or Committee for Advanced Therapies, are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“conditional” MA may be granted in cases where all the required safety and efficacy data are not yet available. The European Commission may grant a conditional MA for a medicinal product if it is demonstrated that all of the following criteria are met: (i) 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will be withdrawn if the risk-benefit ratio is no longer favorable.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development in the EU</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EU, Regulation (EC) No 1901/2006 provides that all MAAs for new medicinal products have to include the results of trials conducted in the pediatric population, in compliance with a pediatric investigation plan (PIP), agreed with the EMA’s Pediatric Committee (PDCO). The PIP sets out the timing and measures proposed to generate data to support a pediatric indication of the medicinal product for which MA is being sought. The PDCO can grant a deferral of the obligation to implement some or all of the measures provided in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EU Member States and study results are included in the product information, even when negative, the product is eligible for a six-month extension to the Supplementary Protection Certificate, or SPC, if any is in effect at the time of authorization or, in the case of orphan medicinal products, a two-year extension of orphan market exclusivity.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and market exclusivity in the EU</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in the EU</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European Commission may also grant orphan drug designation to promote the development of products that may offer therapeutic benefits for life-threatening or chronically debilitating conditions affecting not more than five in 10,000 people in the European Union. In addition, orphan drug designation can be granted if the drug is intended for a life threatening, seriously debilitating or serious and chronic condition in the European Union and without incentives it is unlikely that sales of the drug in the European Union would be sufficient to justify developing the drug. Orphan drug designation is only available if there is no other satisfactory method approved in the European Union of diagnosing, preventing or treating the condition, or if such a method exists, the proposed orphan drug will be of significant benefit to patients. Orphan drug designation provides opportunities for free protocol assistance, fee reductions for access to the centralized regulatory procedures and ten years of market exclusivity following drug approval, which can be extended to 12 years if trials are conducted in accordance with an agreed-upon pediatric investigational plan. The exclusivity period may be reduced to six years if the designation criteria are no longer met, including where it is shown that the product is sufficiently profitable not to justify maintenance of market exclusivity.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reimbursement in the EU</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the EU, pricing and reimbursement schemes vary widely from country to country. Some EU Member States may approve a specific price for a product, or they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addition, some EU Member States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At the EU level, on January 12, 2025,the HTA Regulation entered into application through a phased implementation. 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EU Member States in assessing health technologies, including new medicinal products. The HTA Regulation establishes a framework for cooperation at EU level for joint clinical assessments, joint scientific consultations, and the early identification of emerging health technologies. The HTA Regulation permits EU Member States to use common tools, methodologies, and procedures and requires them to rely on EU 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compliance requirements in the EU</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Much like the Anti-Kickback Statute prohibition in the United States, as described below, the provision of benefits or advantages to physicians and other health 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Payments made to physicians and other health care professionals in certain EU Member States must be publicly disclosed. Moreover, agreements with health care professionals may require prior notification or approval by the health 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framework in the United Kingdom</w:t>
      </w:r>
    </w:p>
    <w:p>
      <w:pPr>
        <w:spacing w:after="0" w:line="19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The Medicines and Healthcare products Regulatory Agency (MHRA) is the United Kingdom’s standalone regulator for medicinal products and medical devices.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While the United Kingdom’s regulatory framework for clinical trials was historically based on the Medicines for Human Use (Clinical Trials) Regulations 2004, which implemented the former EU Clinical Trials Directive, this has been significantly reformed by the Medicines for Human Use (Clinical Trials) (Amendment) Regulations 2024. The new legislation, which was adopted in April 2025, modernizes the United Kingdom's approach to make it a more attractive location for research, and includes key features such as: (i) a risk-proportionate approach, including a notification scheme for lower-risk trials; (ii) a combined review process integrating ethics committee and regulatory approvals into a single, streamlined pathway; (iii) enhanced transparency requirements mandating registration of clinical trials in a public registry and publication of trial results within 12 months of trial completion (with scope for deferrals in certain circumstances); (iv) greater flexibility to support innovation in clinical trial design; and (v) measures to promote patient and public involvement. The amendments will become applicable on April 28, 2026 following a one-year transition period.</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Marketing authorizations in the United Kingdom are governed by the Human Medicines Regulations (SI 2012/1916), as amended. In order to obtain a United Kingdom MA to commercialize products in the United Kingdom, an applicant must be established in the United Kingdom and must follow one of the United Kingdom national authorization procedures or one of the remaining post-Brexit international cooperation procedures. Applications are governed by the Human Medicines Regulations (SI 2012/1916) and are made electronically through the MHRA Submissions Portal. The MHRA has introduced changes to national licensing procedures, including procedures to prioritize access to new medicines that will benefit patients, a 150-day assessment (subject to clock-stops) and a rolling review procedure. The rolling-review procedure permits the separate or joint submission of quality, non-clinical, and clinical data to the MHRA which can be reviewed on a rolling basis. After an application under the rolling-review procedure has been validated, the decision should be received within 100 days (subject to clock-stops).</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since January 1, 2024, the MHRA may rely on the International Recognition Procedure (IRP), when reviewing certain types of MAAs. Pursuant to the IRP, the MHRA will take into account the expertise and decision-making of trusted regulatory partners (e.g., the regulatory in Australia, Canada, Switzerland, Singapore, Japan, the U.S.A. and the EU). The MHRA will conduct a targeted assessment of IRP applications but retain the authority to reject applications if the evidence provided is considered insufficiently robust. The IRP allows medicinal products approved by such trusted regulatory partners that meet certain criteria to undergo a fast-tracked MHRA review to obtain and/or update a MA in the United Kingdom. Applications should be decided within a maximum of 60 days if there are no major objections identified that cannot be resolved within such 60 day period and the approval from the trusted regulatory partner selected has been granted within the previous 2 years or if there are such major objections identified or such approval hasn’t been granted within the previous 2 years within 110 days. Applicants can submit initial MAAs to the IRP but the procedure can also be used throughout the lifecycle of a product for post-authorization procedures including line extensions, variations and renewals.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Existing EU marketing authorizations for centrally authorized products were automatically converted into United Kingdom’s marketing authorizations, effective in Great Britain only, free of charge on January 1, 2021, unless the marketing authorization holder opted-out of this possibility. On January 1, 2025, the Windsor Framework came into effect, reintegrating Northern Ireland under the regulatory authority of the MHRA with respect to medicinal products and introducing a United Kingdom-wide licensing process for medicines.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There is no pre-marketing authorization orphan designation for medicinal products in the UK. Instead, the MHRA reviews applications for orphan designation in parallel to the corresponding marketing authorization application. The criteria are essentially the same as those in the EU, but have been tailored for the market. This includes the criterion that prevalence of the condition in the United Kingdom, rather than the EU, must not be more than five in 10,000. Upon the grant of a marketing authorization with orphan status, the medicinal product will benefit from up to 10 years of market exclusivity from similar products in the approved orphan indication. The start of this market exclusivity period will be set from the date of first approval of the product in the United Kingdom.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trials, product licensing, pricing and reimbursement vary from country to country. In all major territories, clinical trials must be conducted in accordance with GCP and the applicable regulatory requirements and the ethical principles that have their origin in the Declaration of Helsinki. 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commitment to innovation begins with the dedication to creating an environment that attracts and retains highly skilled people, including top scientific talent. This is a critical factor for us in delivering on our mission and creating value for our stakeholders.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grown significantly since our initial public offering in November 2020 and have since built a diverse organization, both in our Board of Directors where three global biotech female leaders are seated, and across our employee base. We have been successful in hiring employees with broad experience and backgrounds while facing significant competition for biotechnology talent from both established and early-stage biotechnology companies. Further, we are headquartered in the San Francisco Bay area and have operations in Cambridge, Massachusetts—both of which are global biotechnology hubs with many employment choices. Despite the competition, we have been successful in hiring highly qualified staff to join Olema.</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January 31, 2026, we had 131 employees, all of whom were full time, consisting of clinical, research, operations, regulatory, and administrative personnel. Thirty-eight of our employees hold Ph.D. or M.D. degrees. None of our employees is subject to a collective bargaining agreement. We consider our relationship with our employees to be good.</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strive to create a positive employee experience and we are committed to the health, safety, and well-being of our employees. This commitment is reflected in our ability to attract and retain high performers. We believe we have a robust employment package that promotes well-being across all aspects of our employees’ lives, including healthcare, paid time-off, retirement savings with a company match through a 401(k) plan, our equity incentive plans, and our employee stock purchase plan. The principal purposes of our equity incentive plans are to attract, motivate, and retain our employees and directors through the granting of stock-based compensation awards. From time to time, we may offer additional stock-based compensation awards to our employees to continue to motivate them and support retention, particularly at times when our stock price, or the stock price of biotechnology companies generally, is volatile. We grant stock options to all full-time employees to foster alignment and promote a spirit of ownership.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were incorporated in Delaware on August 7, 2006, under the legal name of CombiThera, Inc., and, on March 25, 2009, were renamed Olema Pharmaceuticals, Inc.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reports filed pursuant to Sections 13(a) and 15(d) of the Exchange Act, are filed with the SEC. Such reports and other information filed by us with the SEC are available free of charge on the Investors section of our website, www.olema.com, when such reports are available on the SEC’s website. The SEC maintains an internet site that contains reports, proxy and information statements and other information regarding issuers that file electronically with the SEC at www.sec.gov. The information contained on the websites referenced in this Annual Report is not incorporated by reference into this filing. Further, any references to website URLs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no products approved for commercial sale, which may make it difficult for you to evaluate our current business and predict our future success and viability.</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securing related intellectual property rights, conducting non-clinical studies and clinical trials, including conducting multiple Phase 1/2 studies of palazestrant, initiating and conducting Phase 3 clinical trials of palazestrant, conducting non-clinical studies of OP-3136, and conducting a Phase 1 study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would be if we had a longer operating history.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approved. If we do not adequately address these risks and difficulties or successfully make such a transition, our business, financial condition, results of operations, and prospects will be significantly harmed.</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(EMA), or other regulatory authorities to perform clinical trials or non-clinical studies in addition to those that we currently anticipate. Other unanticipated costs may also arise. In addition, if we obtain marketing approval for palazestrant, OP-3136, or future product candidates we may develop, we expect to incur significant commercialization expenses related to drug sales, marketing, manufacturing and distribution. Our estimates as to how long until we are able to commercialize one or more of our product candidates are based on assumptions that may prove to be wrong, and we may require more time and resources than we currently anticipate, and may exhaust our available capital resources before we are able to generate any revenue from product sales. In addition,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and geopolitical uncertainty, market volatility, labor shortages, evolving trade and tariff policies, including related legal challenges, trade tensions and retaliatory measures by other countries, supply chain disruptions, military conflicts, as well as any related political or economic responses or counter-responses by various global actors, inflationary pressures, monetary supply shifts, increased recession risk,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in recent past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had previously raised, and may again raise in the future, interest rates in response to concerns about inflation, which, coupled with reduced government spending and volatility in financial markets, may have the effect of heightening these risks and further increasing economic uncertainty.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palazestrant, OP-3136, or any future product candidates we may develop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financial condition, results of operations, and prospects and cause the price of our common stock to decline.</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sales of our equity securities, including sales of our common stock and pre-funded warrants to purchase our common stock to selected institutional and accredited investors in private placement transactions, at-the-market offerings, our initial public offering and other public offerings and private financings. We have incurred net losses of $162.5 million and $129.5 million for the years ended December 31, 2025 and 2024, respectively. We had an accumulated deficit of $597.6 million as of December 31, 2025. Our losses have resulted principally from expenses incurred in research and development of palazestrant, OP-3136 and from management and administrative costs and other expenses that we have incurred while building our business infrastructure. Our lead product candidate, palazestrant, and OP-3136 are both in clinical trials. As a result, we expect that it will be several years, if ever, before we have a commercialized product and generate revenue from product sales. Even if we succeed in receiving marketing approval for palazestrant or OP-3136 in one of our lead indications and proceed to commercializing palazestrant or OP-3136, we expect that we will continue to incur substantial research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development and other expenses as we continue the clinical development programs for palazestrant in other indications or for OP-3136.</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our consolidated financial statements for the years ended December 31, 2025 and 2024 included elsewhere in this Annual Report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74" w:lineRule="exact"/>
        <w:rPr>
          <w:sz w:val="20"/>
          <w:szCs w:val="20"/>
          <w:color w:val="auto"/>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completing clinical and non-clinical development of our product candidates and programs and identifying and developing new product candidates;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seeking and obtaining marketing approvals for any product candidates that we develop;</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16" w:lineRule="exact"/>
        <w:rPr>
          <w:rFonts w:ascii="Times New Roman" w:cs="Times New Roman" w:eastAsia="Times New Roman" w:hAnsi="Times New Roman"/>
          <w:sz w:val="18"/>
          <w:szCs w:val="18"/>
          <w:color w:val="231F20"/>
        </w:rPr>
      </w:pPr>
    </w:p>
    <w:p>
      <w:pPr>
        <w:jc w:val="both"/>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2"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market acceptance of product candidates that we develop as viable treatment options;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addressing any competing technological and market developments;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defending against third-party interference, infringement or other intellectual property-related claims, if any;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attracting, hiring and retaining qualified personnel.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if palazestrant, OP-3136, or any future product candidates that we may develop are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terms of the Loan Agreement place restrictions on our operating and financial flexibility. If we raise additional capital through debt financing, the terms of any new debt could further restrict our ability to operate our business.</w:t>
      </w:r>
    </w:p>
    <w:p>
      <w:pPr>
        <w:spacing w:after="0" w:line="13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5, 2023, we entered into a loan and security agreement (the Original Loan Agreement) with Silicon Valley Bank, a division of First Citizens Bank &amp; Trust Company (the Bank), which provided us with an aggregate principal amount of up to $50.0 million (the Original Credit Facility), of which $ 25.0 million became available in September 2023 (Term Loan A) upon the closing of a private placement and the issuance of our common stock to selected institutional and accredited investors pursuant to a securities purchase agreement, and the remaining $25.0 million could have been made available upon approval of the Bank in its discretion. The Original Credit Facility was scheduled to mature on August 1, 2027. On June 28, 2024, we entered into the First Amendment to Loan and Security Agreement (the First Amendment) with the Bank, which, among other things, (i) increased the aggregate principal amount of the Original Credit Facility from up to $50.0 million to up to $100.0 million (the Credit Facility) of which the Term Loan A of $25.0 million was immediately available, an additional $25.0 million will become available upon achieving certain milestones related to the execution of a first-line pivotal Phase 3 clinical trial of palazestrant in combination with ribociclib (Term Loan B), and an additional $ 50.0 million which may be made available upon the approval of the Bank in its discretion (Term Loan C), and (ii) extended the maturity date to July 1, 2028. On June 27, 2025, we entered into a Second Amendment to Loan and Security Agreement (the Second Amendment) with the Bank, which, among other things, (i) decreased the interest rate to a floating rate equal to the greater of 6.0% or the prime rate, and (ii) extended the draw period of Term Loan A to January 15, 2026. As of December 31, 2025, we had an outstanding liability of $3.0 million under the Credit Facility, representing the full amount drawn to date. On January 11, 2026, we entered into the Third Amendment to Loan and Security Agreement (the Third Amendment, together with the Original Loan Agreement, as amended by the First Amendment and the Second Amendment, the Loan Agreement), which, among other things, (i) extended the draw period of Term Loan A to January 31, 2027, (ii) extended the draw period of Term Loan B to January 31, 2027,</w:t>
      </w:r>
    </w:p>
    <w:p>
      <w:pPr>
        <w:jc w:val="both"/>
        <w:ind w:firstLine="8"/>
        <w:spacing w:after="0"/>
        <w:tabs>
          <w:tab w:leader="none" w:pos="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extended the draw period of Term Loan C to January 31, 2027, and (iv) extended the Maturity Date to January 1, 2029 (Maturity Date).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may be further extended to July 1, 2029.</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make dividend payments; and obtain additional financing for working capital, to fund growth or for general corporate purposes, even when necessary to maintain adequate liquidity.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occurrence of any material adverse change; delisting; and a material impairment in the Bank’s security interest. Upon the occurrence of an event of default (subject, in certain cases, to notice and grace periods), obligations under the Loan Agreement may be accelerated, thereby requiring us to repay the loan immediately. Any declaration by the Bank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spacing w:after="0" w:line="17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an NDA to the FDA or similar drug approval filings to comparable foreign authorities. If we are ultimately unable to obtain regulatory approval for palazestrant, OP-3136, or any future product candidates we may develop, we will be unable to generate product revenue and our business, financial condition, results of operations, and prospects will be significantly harmed.</w:t>
      </w:r>
    </w:p>
    <w:p>
      <w:pPr>
        <w:spacing w:after="0" w:line="1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a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future clinical trials may not be successful. If any of our product candidates is found to be unsafe or lacking efficacy, we will not be able to obtain regulatory approval,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the composition of the patient populations, adherence to dosing regimens and other trial protocols and the dropout rate among clinical trial participants. Patients treated with palazestrant, OP-3136, or any future product candidates we may develop may also be undergoing surgical, radiation and chemotherapy treatments and may be using other approved products or investigational new drugs, which can cause side effects or adverse events that are unrelated to palazestrant, OP-3136, or any future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know whether our current clinical trials of palazestrant or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we may develop to market, our ability to create long-term stockholder value will be limited.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to support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that results in adverse consequences to us, including by rendering our clinical data insufficient for approval, which may lead to the FDA, European Commission, or comparable foreign regulatory authorities delaying, limiting or denying approval of palazestrant or OP-3136, including any other indication we are seeking for approval under palazestrant or OP-3136.</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regulatory approval processes of the FDA, European Commission, and comparable foreign authorities are lengthy, time consuming and inherently unpredictable, and if we are ultimately unable to obtain regulatory approval for palazestrant, OP-3136, or any future product candidates we may develop, our business, financial condition, results of operations, and prospects will be significantly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time required to obtain approval by the FDA, European Commission and comparable foreign authorities is unpredictable and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palazestrant or OP-3136 could fail to receive regulatory approval for many reasons, including the following:</w:t>
      </w:r>
    </w:p>
    <w:p>
      <w:pPr>
        <w:spacing w:after="0" w:line="212" w:lineRule="exact"/>
        <w:rPr>
          <w:sz w:val="20"/>
          <w:szCs w:val="20"/>
          <w:color w:val="auto"/>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the design, implementation or results of our clinical trials;</w:t>
      </w:r>
    </w:p>
    <w:p>
      <w:pPr>
        <w:spacing w:after="0" w:line="46" w:lineRule="exact"/>
        <w:rPr>
          <w:rFonts w:ascii="Times New Roman" w:cs="Times New Roman" w:eastAsia="Times New Roman" w:hAnsi="Times New Roman"/>
          <w:sz w:val="18"/>
          <w:szCs w:val="18"/>
          <w:color w:val="231F20"/>
        </w:rPr>
      </w:pPr>
    </w:p>
    <w:p>
      <w:pPr>
        <w:jc w:val="both"/>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spacing w:after="0" w:line="62"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European Commission, or other comparable foreign regulatory authorities may disagree with our interpretation of data from non-clinical studies or clinical trials;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data collected from clinical trials of palazestrant or OP-3136 may not be sufficient to support the submission of an NDA, or other submission or to obtain regulatory approval in the United States or elsewhere;</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we may be unable to demonstrate to the FDA, European Commission, or other comparable foreign regulatory authorities that palazestrant's or OP-3136’s risk-benefit ratio for its proposed indication is acceptable;</w:t>
      </w:r>
    </w:p>
    <w:p>
      <w:pPr>
        <w:spacing w:after="0" w:line="46" w:lineRule="exact"/>
        <w:rPr>
          <w:rFonts w:ascii="Times New Roman" w:cs="Times New Roman" w:eastAsia="Times New Roman" w:hAnsi="Times New Roman"/>
          <w:sz w:val="18"/>
          <w:szCs w:val="18"/>
          <w:color w:val="231F20"/>
        </w:rPr>
      </w:pPr>
    </w:p>
    <w:p>
      <w:pPr>
        <w:jc w:val="both"/>
        <w:ind w:left="1020" w:right="20" w:hanging="503"/>
        <w:spacing w:after="0" w:line="252" w:lineRule="auto"/>
        <w:tabs>
          <w:tab w:leader="none" w:pos="1020" w:val="left"/>
        </w:tabs>
        <w:numPr>
          <w:ilvl w:val="0"/>
          <w:numId w:val="17"/>
        </w:numPr>
        <w:rPr>
          <w:rFonts w:ascii="Times New Roman" w:cs="Times New Roman" w:eastAsia="Times New Roman" w:hAnsi="Times New Roman"/>
          <w:sz w:val="18"/>
          <w:szCs w:val="18"/>
          <w:color w:val="231F20"/>
        </w:rPr>
      </w:pPr>
      <w:r>
        <w:rPr>
          <w:rFonts w:ascii="Arial" w:cs="Arial" w:eastAsia="Arial" w:hAnsi="Arial"/>
          <w:sz w:val="18"/>
          <w:szCs w:val="18"/>
          <w:color w:val="231F20"/>
        </w:rPr>
        <w:t>the FDA,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hanging="503"/>
        <w:spacing w:after="0" w:line="252" w:lineRule="auto"/>
        <w:tabs>
          <w:tab w:leader="none" w:pos="1020" w:val="left"/>
        </w:tabs>
        <w:numPr>
          <w:ilvl w:val="0"/>
          <w:numId w:val="18"/>
        </w:numPr>
        <w:rPr>
          <w:rFonts w:ascii="Times New Roman" w:cs="Times New Roman" w:eastAsia="Times New Roman" w:hAnsi="Times New Roman"/>
          <w:sz w:val="18"/>
          <w:szCs w:val="18"/>
          <w:color w:val="231F20"/>
        </w:rPr>
      </w:pPr>
      <w:r>
        <w:rPr>
          <w:rFonts w:ascii="Arial" w:cs="Arial" w:eastAsia="Arial" w:hAnsi="Arial"/>
          <w:sz w:val="18"/>
          <w:szCs w:val="18"/>
          <w:color w:val="231F20"/>
        </w:rPr>
        <w:t>the approval policies or regulations of the FDA, European Commission, or other comparable foreign regulatory authorities may significantly change in a manner that results in adverse consequences to us, including by rendering our clinical data insufficient for approval.</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spacing w:after="0" w:line="187"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experience delays in clinical trials of palazestrant, OP-3136, or any future product candidates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69" w:lineRule="exact"/>
        <w:rPr>
          <w:sz w:val="20"/>
          <w:szCs w:val="20"/>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the FDA, EMA, the European Commission, or comparable foreign regulatory authorities disagreeing as to the design or implementation of our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obtaining approval from one or more institutional review boards (IRBs), or positive Ethics Committee opinions;</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to clinical trial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sites deviating from trial protocol or dropping out of a trial;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manufacturing sufficient quantities of product candidates or obtaining sufficient quantities of combination therapies for use in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follow-up;</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choosing an alternative treatment for the indication for which we are developing palazestrant or OP-3136, or participating in competing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lack of adequate funding to continue the clinical trial;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231F20"/>
        </w:rPr>
        <w:t>subjects experiencing severe or unexpected drug-related adverse effects;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authorities imposing a clinical hold;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at the FDA and other agencies or regulatory authorities, including as a result of legislative actions or a government shutdown;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selection of clinical end-points that require prolonged periods of clinical observation or analysis of the resulting data;</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shutdowns, either temporarily or permanently, of any facility manufacturing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any of their components, including by order from the FDA, competent authorities of EU Member States, or comparable foreign regulatory authorities due to violations of current good manufacturing practice (cGMP) regulations or other applicable requirements, or infections or cross-contaminations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in the manufacturing process;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any changes to our manufacturing process that may be necessary or desired;</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cs="Arial" w:eastAsia="Arial" w:hAnsi="Arial"/>
          <w:sz w:val="18"/>
          <w:szCs w:val="18"/>
          <w:color w:val="231F20"/>
        </w:rPr>
        <w:t>competent authorities of</w:t>
      </w:r>
      <w:r>
        <w:rPr>
          <w:rFonts w:ascii="Arial" w:cs="Arial" w:eastAsia="Arial" w:hAnsi="Arial"/>
          <w:sz w:val="18"/>
          <w:szCs w:val="18"/>
          <w:color w:val="auto"/>
        </w:rPr>
        <w:t xml:space="preserve"> </w:t>
      </w:r>
      <w:r>
        <w:rPr>
          <w:rFonts w:ascii="Arial" w:cs="Arial" w:eastAsia="Arial" w:hAnsi="Arial"/>
          <w:sz w:val="18"/>
          <w:szCs w:val="18"/>
          <w:color w:val="231F20"/>
        </w:rPr>
        <w:t xml:space="preserve">EU Member States, </w:t>
      </w:r>
      <w:r>
        <w:rPr>
          <w:rFonts w:ascii="Arial" w:cs="Arial" w:eastAsia="Arial" w:hAnsi="Arial"/>
          <w:sz w:val="18"/>
          <w:szCs w:val="18"/>
          <w:color w:val="000000"/>
        </w:rPr>
        <w:t>or comparable foreign regulatory authorities. Such authorities may impose such a suspension, variation or termination</w:t>
      </w:r>
      <w:r>
        <w:rPr>
          <w:rFonts w:ascii="Arial" w:cs="Arial" w:eastAsia="Arial" w:hAnsi="Arial"/>
          <w:sz w:val="18"/>
          <w:szCs w:val="18"/>
          <w:color w:val="231F20"/>
        </w:rPr>
        <w:t xml:space="preserve"> </w:t>
      </w:r>
      <w:r>
        <w:rPr>
          <w:rFonts w:ascii="Arial" w:cs="Arial" w:eastAsia="Arial" w:hAnsi="Arial"/>
          <w:sz w:val="18"/>
          <w:szCs w:val="18"/>
          <w:color w:val="000000"/>
        </w:rPr>
        <w:t xml:space="preserve">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Further, conducting clinical trials in foreign countries, as we may do for palazestrant, OP-3136, or any future product candidates we may develop,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we experience delays in the completion of, or termination of, any clinical trial of palazestrant, OP-3136, or any future product candidates we may develop, the commercial prospects of palazestrant, OP-3136, or any future product candidates we may develop will be harmed, and our ability to generate product revenues from palazestrant, OP-3136, or any future product candidates we may develop will be delayed. Moreover, any delays in completing our clinical trials will increase our costs, slow down palazestrant’s, OP-3136's, or the development and approval process of any future product candidates we may develop and jeopardize our ability to commence product sales and generate revenues.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addition, many of the factors that cause, or lead to, termination, variation or suspension of, or a delay in the commencement or completion of, clinical trials may also ultimately lead to the denial of regulatory approval of palazestrant, OP-3136, or any future product candidates we may develop. Any delays in our clinical trials that occur as a result could shorten any period during which we may have the exclusive right to commercialize palazestrant, OP-3136, or any future product candidates we may develop, our competitors may be able to bring products to market before we do, and the commercial viability of palazestrant, OP-3136, or any future product candidates we may develop could be significantly reduced. Any of these occurrences may significantly harm our business, financial condition, results of operations, and prospects.</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Although we have received Fast Track designation for palazestrant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palazestrant and OP-3136, we may expend our limited resources to pursue a particular indication and fail to capitalize on indications or additional product candidates that may be more profitable or for which there is a greater likelihood of success.</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currently focused on pursuing a variety of target indications for palazestrant and OP-3136, and we have expended, and plan to continue to expend, significant resources to pursue these and other indications for palazestrant and OP-3136.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approved, palazestrant or OP-3136 may not achieve adequate market acceptance among physicians, patients, healthcare payors, and others in the medical community necessary for commercial success.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spacing w:after="0" w:line="154" w:lineRule="exact"/>
        <w:rPr>
          <w:sz w:val="20"/>
          <w:szCs w:val="20"/>
          <w:color w:val="auto"/>
        </w:rPr>
      </w:pPr>
    </w:p>
    <w:p>
      <w:pPr>
        <w:ind w:left="5520" w:right="2400" w:hanging="5003"/>
        <w:spacing w:after="0" w:line="787" w:lineRule="auto"/>
        <w:tabs>
          <w:tab w:leader="none" w:pos="1022"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efficacy and safety profile as demonstrated in clinical trials compared to alternative treatments; </w:t>
      </w:r>
      <w:r>
        <w:rPr>
          <w:rFonts w:ascii="Arial" w:cs="Arial" w:eastAsia="Arial" w:hAnsi="Arial"/>
          <w:sz w:val="18"/>
          <w:szCs w:val="18"/>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use of palazestrant or OP-3136, such as boxed warnings or contraindications in labeling, or a REMS, or comparable foreign strategy, if any, which may not be required of alternative treatments and competitor products;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availability of palazestrant or </w:t>
      </w:r>
      <w:r>
        <w:rPr>
          <w:rFonts w:ascii="Arial" w:cs="Arial" w:eastAsia="Arial" w:hAnsi="Arial"/>
          <w:sz w:val="18"/>
          <w:szCs w:val="18"/>
          <w:color w:val="000000"/>
        </w:rPr>
        <w:t>OP-3136</w:t>
      </w:r>
      <w:r>
        <w:rPr>
          <w:rFonts w:ascii="Arial" w:cs="Arial" w:eastAsia="Arial" w:hAnsi="Arial"/>
          <w:sz w:val="18"/>
          <w:szCs w:val="18"/>
          <w:color w:val="231F20"/>
        </w:rPr>
        <w:t xml:space="preserve"> for use as a combination therapy;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effectiveness of sales and marketing efforts;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unfavorable publicity relating to palazestrant, OP-3136 or similar approved products or product candidates in development by third parties;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231F20"/>
        </w:rPr>
        <w:t>the approval of other new therapies for the same indications.</w:t>
      </w:r>
    </w:p>
    <w:p>
      <w:pPr>
        <w:spacing w:after="0" w:line="224"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candidates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palazestrant, OP-3136, or any future product candidates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174"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size and nature of the patient population;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severity of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231F20"/>
        </w:rPr>
        <w:t>perceived risks and benefits of the product candidate under study;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efforts to facilitate timely enrollment in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patient referral practices of physicians;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ability to monitor patients adequately during and after treatment;</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proximity and availability of clinical trial sites for prospective patients;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continued enrollment of prospective patients by clinical trial sites;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231F20"/>
        </w:rPr>
        <w:t>the level of resources that clinical sites have to conduct a growing number of clinical studies.</w:t>
      </w:r>
    </w:p>
    <w:p>
      <w:pPr>
        <w:spacing w:after="0" w:line="22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candidates we may develop and jeopardize our ability to obtain marketing approval for the sale of palazestrant, OP-3136, or any future product candidate we may develop. Furthermore, even if we are able to enroll a sufficient number of patients for our clinical trials, we may have difficulty maintaining enrollment of such patients in our clinical trials.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developing palazestrant and OP-3136 and may develop future product candidates, in combination with other therapies, which exposes us to additional risks.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developing palazestrant and OP-3136 and may develop future product candidates, in combination with one or more other approved or unapproved therapies to treat cancer or other diseases. For example, we have a Phase 1/2 study of palazestrant in a combination trial with a CDK4/6 inhibitor, an additional Phase 1/2 studies of palazestrant in combination with another CDK4/6 inhibitor and with a PI3Ka inhibitor, and a Phase 1b/2 study of palazestrant in combination with a CDK4 inhibitor. We have also initiated OPERA-02, a Phase 3 clinical trial of palazestrant in combination with a CDK4/6 inhibitor, ribociclib.</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palazestrant, OP-3136, or any future product candidates we may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candidates we may develop, are replaced as the standard of care for the indications we choose for palazestrant, OP-3136, or any future product candidates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may choose to evaluate palazestrant, OP-3136, or any future product candidates we may develop in combination with one or more cancer therapies that have not yet been approved for marketing by the FDA, European Commission, or comparable foreign regulatory authorities. We will not be able to market and sell palazestrant, OP-3136, or any future product candidates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such as the potential for serious adverse effects, delays in their clinical trials and potential failure to receive approval from the FDA, European Commission or comparable foreign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are subject to the continuation of and our compliance with the terms of any such agreements.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palazestrant and OP-3136 are based on estimates and third-party sources. If the market opportunities for palazestrant, OP-3136, or any future product candidates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candidates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palazestrant, OP-3136, or any future product candidates we may develop, our commercial opportunities will be negatively impacted.</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future product candidates we may develop.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7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 example, if we are successful in developing palazestrant, it may compete against existing products and product candidates in development, to the extent any such product candidates are approved, for the treatment of ER+ breast cancer, including fulvestrant, marketed as Faslodex® by AstraZeneca PLC and or any generic equivalents of Faslodex that are marketed or in development; elacestrant, marketed as ORSERDU</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marketed as Inluriyo</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by Eli Lilly and Co.; vepdegestrant (ARV-471), being developed by Arvinas, Inc. in partnership with Pfizer, Inc.; and lasofoxifene, being developed by LeonaBio, Inc. There are also a number of KAT6 inhibitor product candidates in development that may compete with OP-3136 including prifetrastat and PF-08032562, which are being developed by Pfizer, MEN2312, which is being developed by Stemline Therapeutics, and BG-75202 being developed by BeOne Medicines.</w:t>
      </w:r>
    </w:p>
    <w:p>
      <w:pPr>
        <w:spacing w:after="0" w:line="1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any future product candidates we may develop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and any future product candidates we may develop obsolete, less competitive, or not economical. If we are unable to compete effectively, our opportunity to generate revenue from the sale of any product we may develop, if approved,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palazestrant and OP-3136 manufacturing or formulation may result in additional costs or delay.</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palazestrant and OP-3136 progress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and OP-3136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or OP-3136 and jeopardize our ability to commercialize palazestrant or OP-3136, if approved, and generate revenue.</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for palazestrant, OP-3136, or any future product candidates we may develop, sales of such product will depend substantially, in the United States and internationally, on the extent to which the costs of the product are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For example, HHS imposes rebates on many Medicare Part B and Medicare Part D products to penalize price increases that outpace inflation on an annual basis. In addition, HHS has been empowered to negotiate the price of certain single-source drugs that have been on the market for at least seven (7)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including European Union (EU)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4"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Palazestrant and OP-3136 are, and any future product candidates we develop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 change during drug development, which makes it difficult to predict with any certainty how they will be applied. We may also encounter unexpected delays or increased costs due to new government regulations or other actions,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palazestrant or OP-3136.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are becoming increasingly expensive. As a result, we may be unable to obtain sufficient insurance at a reasonable cost to protect us against losses caused by any product liability claims that could significantly harm our business, financial condition, results of operations, and prospects.</w:t>
      </w:r>
    </w:p>
    <w:p>
      <w:pPr>
        <w:spacing w:after="0" w:line="16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Palazestrant, OP-3136, and any future product candidates we develop may cause significant adverse events, toxicities or other undesirable side effects when used alone or in combination with other approved products or investigational new drugs, which may result in a safety profile that could inhibit regulatory approval, prevent market acceptance, limit their commercial potential or result in significant negative consequences.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For example, the most common side effects we have seen in patients treated with palazestrant in our clinical trials are nausea, fatigue, vomiting, constipation, headaches, and neutropenia.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Any of these occurrences may significantly harm our business, financial condition, results of operations, and prospects.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 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many factors, including other therapies or medications that such patients may be using or due to the gravity of such patients’ illnesses.</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auto"/>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including our potential collaboration, financing, or other business opportunities. Further, if palazestrant or OP-3136 obtains marketing approval, toxicities associated with palazestrant or OP-3136 that are not seen during clinical testing may develop after such approval and lead to a requirement to conduct additional clinical safety trials, additional contraindications, addition of warnings, and precautions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FDA, EMA, the European Commission, and other comparable foreign regulatory authorities may not accept data from trials conducted in locations outside of their jurisdiction.</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Obtaining and maintaining regulatory approval of palazestrant, OP-3136, or any product candidate we develop in the future, in one jurisdiction does not guarantee that we will be able to obtain or maintain regulatory approval 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palazestrant, OP-3136, or any product candidate we develop in the future, receives regulatory approval, it will be subject to significant post-marketing regulatory requirements and oversight.</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 or applicable foreign regulatory authorities approve palazestrant, OP-3136, or any future product candidates we may develop, the manufacturing processes, labeling, packaging, distribution, adverse event reporting, storage, advertising, promotion, importation, exportation and recordkeeping for palazestrant, OP-3136, or any future product candidates we may develop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or other applicable foreign regulatory requirements may subject our company to administrative or judicially imposed sanctions, including:</w:t>
      </w:r>
    </w:p>
    <w:p>
      <w:pPr>
        <w:spacing w:after="0" w:line="278"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delays in or the rejection of product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restrictions on the products, manufacturers or manufacturing process;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warning letters;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civil and criminal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injunctions;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suspension, variation or withdrawal of regulatory approvals;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product seizures, detentions or import bans;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voluntary or mandatory product recalls and publicity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total or partial suspension of production;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occurrence of any event or penalty described above may inhibit our ability to commercialize palazestrant, OP-3136, or any future product candidates we may develop and to generate revenue, could require us to expend significant time and resources in response and could generate negative publicity.</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palazestrant, OP-3136, or any future product candidates we may develop.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authorities actively enforce the laws and regulations prohibiting the promotion of off-label uses.</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palazestrant, OP-3136, or any future product candidates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Disruptions at the FDA, EMA, the European Commission applicable foreign regulatory authorities, the SEC, and other government agencies and regulatory authorities caused by funding shortages, government shutdowns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ability of the FDA, EMA, the European Commission or any applicable foreign regulatory authority to review and approve new products can be affected by a variety of factors, including, government budget and funding levels, ability to hire and retain key personnel, the acceptance and availability of user fee payments, and statutory, regulatory, and policy changes, and other events that may otherwise affect the FDA, EMA, the European Commission, or any applicable foreign regulatory authority’s ability to perform routine functions. Average review times at the authorities have fluctuated in recent years as a result and may continue to be delayed. In addition, government funding of the SEC and other government authorities on which our operations may rely, including those that fund research and development activities, is subject to the political process, which is inherently fluid and unpredictable. Any reduction, delay, or interruption in such funding, whether due to recent or future budgetary constraints, could adversely affect our ability to operate our business, comply with applicable regulatory requirements, or access the capital markets.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Disruptions at the FDA and other authorities may also slow the time necessary for new drugs to be reviewed and/or approved by necessary government authorities, which would adversely affect our business. For example, over the last several years, the U.S. government has shut down several times, including for 43 days beginning in October 2025, and certain regulatory agencies, such as the FDA, have had to furlough critical employees and stop critical activities. If a prolonged government shutdown occurs again,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in the future seek approval for palazestrant, OP-3136, or any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reimbursement for the drug until the confirmatory studies are complete. Additionally, if such post-approval studies fail to confirm the drug’s clinical benefit, the FDA may withdraw its approval of the drug.</w:t>
      </w:r>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policies, and future legislation.</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or other action that may arise from future legislative, judicial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or face challenges in achieving or sustaining profitability.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and amendments to certain aspects of the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It is possible that the ACA will be subject to judicial or Congressional challenges in the future. It is unclear how any such challenges and the healthcare reform measures of the current administration will impact the ACA or our business.</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Such legislative changes also included aggregate reductions to Medicare payments to providers of 2% per fiscal year, effective April 1, 2013, which, due to subsequent legislative amendments, will stay in effect until 2032 unless additional Congressional action is taken. Additionally, on March 11, 2021, the American Rescue Plan Act of 2021 was signed into law, which eliminated the statutory Medicaid drug rebate cap, previously set at 100% of a drug’s average manufacturer price, for single source and innovator multiple source drugs, effective January 1, 2024. These laws may result in additional reductions in Medicare and other healthcare funding, which could have a material adverse effect on potential customers for our drugs, if approved, and accordingly,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major pharmaceutical companies that require the drug manufacturer to offer, through a direct-to-consumer platform </w:t>
      </w:r>
      <w:r>
        <w:rPr>
          <w:rFonts w:ascii="Arial" w:cs="Arial" w:eastAsia="Arial" w:hAnsi="Arial"/>
          <w:sz w:val="18"/>
          <w:szCs w:val="18"/>
          <w:u w:val="single" w:color="auto"/>
          <w:color w:val="auto"/>
        </w:rPr>
        <w:t>(</w:t>
      </w:r>
      <w:r>
        <w:rPr>
          <w:rFonts w:ascii="Arial" w:cs="Arial" w:eastAsia="Arial" w:hAnsi="Arial"/>
          <w:sz w:val="18"/>
          <w:szCs w:val="18"/>
          <w:color w:val="auto"/>
        </w:rPr>
        <w:t>TrumpRx</w:t>
      </w:r>
      <w:r>
        <w:rPr>
          <w:rFonts w:ascii="Arial" w:cs="Arial" w:eastAsia="Arial" w:hAnsi="Arial"/>
          <w:sz w:val="18"/>
          <w:szCs w:val="18"/>
          <w:u w:val="single" w:color="auto"/>
          <w:color w:val="auto"/>
        </w:rPr>
        <w:t>)</w:t>
      </w:r>
      <w:r>
        <w:rPr>
          <w:rFonts w:ascii="Arial" w:cs="Arial" w:eastAsia="Arial" w:hAnsi="Arial"/>
          <w:sz w:val="18"/>
          <w:szCs w:val="18"/>
          <w:color w:val="auto"/>
        </w:rPr>
        <w:t>, U.S. patients and Medicaid programs prescription drug Most-Favored Nation pricing equal to or lower than those paid in other developed nations, with additional mandates for direct-to-patient discounts and repatriation of foreign revenues. Other recent actions include, for example, directives to reduce agency workforce, program cuts, directing HHS to lower prescription drug costs for Medicare through a variety of initiatives, imposing tariffs on imported pharmaceutical products, and as part of the Make America Healthy Again, Commission’s recent Strategy Report,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operational costs and compliance risks.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June 2024, in </w:t>
      </w:r>
      <w:r>
        <w:rPr>
          <w:rFonts w:ascii="Arial" w:cs="Arial" w:eastAsia="Arial" w:hAnsi="Arial"/>
          <w:sz w:val="18"/>
          <w:szCs w:val="18"/>
          <w:i w:val="1"/>
          <w:iCs w:val="1"/>
          <w:color w:val="auto"/>
        </w:rPr>
        <w:t>Loper Bright Enterprises v. Raimondo</w:t>
      </w:r>
      <w:r>
        <w:rPr>
          <w:rFonts w:ascii="Arial" w:cs="Arial" w:eastAsia="Arial" w:hAnsi="Arial"/>
          <w:sz w:val="18"/>
          <w:szCs w:val="18"/>
          <w:color w:val="auto"/>
        </w:rPr>
        <w:t>,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approved importation plans, when implemented, may result in lower drug prices for products covered by those programs.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likelihood, nature or extent of government regulation that may arise from future legislation or administrative action, either in the United States or abroad, is uncertain. As an example, the regulatory landscape related to clinical trials in the EU has evolved. The EU Clinical Trials Regulation (CTR), which was adopted in April 2014 and repeals the EU Clinical Trials Directive (CTD),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clinical trial is approved, clinical study development may proceed. The CTR foresaw a three-year transition period that ended on January 31, 2025. Since this date, all new or ongoing trials are subject to the provisions of the CTR. Compliance with the CTR requirements by us and our third-party service providers, such as CROs, may impact our development plans.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The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12, 2025, the HTA Regulation entered into application and has a phased implementation. The HTA Regulation is intended to boost cooperation among EU Member States in assessing health technologies, including new medicinal products, and established a framework for joint clinical assessments, joint scientific consultations, and the early identification of emerging health technologies. The HTA Regulation permits EU Member States to use common HTA tools, methodologies, and procedures across the EU and requires them to rely on EU level joint clinical assessment reports for the clinical components of their national HTA evaluations. Individual EU Member States continue to be responsible for assessing non-clinical (e.g., economic, social, ethical) aspects of health technologies, and making decisions on pricing and reimbursement.</w:t>
      </w:r>
    </w:p>
    <w:p>
      <w:pPr>
        <w:spacing w:after="0" w:line="17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light of the fact that the United Kingdom has left the EU, the HTA Regulation will not apply in the United Kingdom. However, the 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 There can be no assurance that we will be able to obtain or sustain favorable pricing or reimbursement in the UK under these evolving frameworks, and any such inability could materially and adversely affect our anticipated revenues and growth prospects in that market.</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Following a public consultation that began in 2022, the United Kingdom government has enacted new legislation to overhaul the clinical trials regulatory framework. In April 2025, the UK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CTR. The amendment will become applicable on April 28, 2026 following a one-year transition period. While these changes introduce efficiencies and align with some principles of the CTR, divergence between the United Kingdom and EU regulatory systems remains. Any significant divergence could affect the cost and complexity of conducting clinical trials in the United Kingdom and may impact the acceptability of United Kingdom-based trial data for seeking marketing authorizations in the EU, and vice versa.</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and the United Kingdom may continue to propose and implement cost-containing measures to keep healthcare costs down, particularly due to the financial strain that the COVID-19 pandemic placed on national healthcare systems of European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 comprised of a new directive and regulation to replace existing legislation – aims to modernize the EU framework. The political agreement is still subject to formal approval by the European Parliament and Council. If approved in the form proposed, the Pharma 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spacing w:after="0" w:line="170"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our development, approval or commercialization plans may be adversely affected.</w:t>
      </w:r>
    </w:p>
    <w:p>
      <w:pPr>
        <w:spacing w:after="0" w:line="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if any, may be on the marketing approvals of palazestrant, OP-3136, or any future product candidates we may develop.</w:t>
      </w:r>
    </w:p>
    <w:p>
      <w:pPr>
        <w:spacing w:after="0" w:line="17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176" w:lineRule="exact"/>
        <w:rPr>
          <w:sz w:val="20"/>
          <w:szCs w:val="20"/>
          <w:color w:val="auto"/>
        </w:rPr>
      </w:pPr>
    </w:p>
    <w:p>
      <w:pPr>
        <w:jc w:val="both"/>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7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color w:val="231F20"/>
        </w:rPr>
        <w:t>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61" w:lineRule="exact"/>
        <w:rPr>
          <w:sz w:val="20"/>
          <w:szCs w:val="20"/>
          <w:color w:val="auto"/>
        </w:rPr>
      </w:pPr>
    </w:p>
    <w:p>
      <w:pPr>
        <w:jc w:val="both"/>
        <w:ind w:left="1020" w:hanging="503"/>
        <w:spacing w:after="0" w:line="24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43"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HIPAA, as amended by the Health Information Technology for Economic and Clinical Health Act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 optometrists, podiatrists and chiropractors), other healthcare professionals (such as</w:t>
      </w:r>
      <w:r>
        <w:rPr>
          <w:rFonts w:ascii="Arial" w:cs="Arial" w:eastAsia="Arial" w:hAnsi="Arial"/>
          <w:sz w:val="18"/>
          <w:szCs w:val="18"/>
          <w:color w:val="231F20"/>
        </w:rPr>
        <w:t xml:space="preserve"> </w:t>
      </w:r>
      <w:r>
        <w:rPr>
          <w:rFonts w:ascii="Arial" w:cs="Arial" w:eastAsia="Arial" w:hAnsi="Arial"/>
          <w:sz w:val="18"/>
          <w:szCs w:val="18"/>
          <w:color w:val="000000"/>
        </w:rPr>
        <w:t xml:space="preserve">physician assistants and nurse practitioners), </w:t>
      </w:r>
      <w:r>
        <w:rPr>
          <w:rFonts w:ascii="Arial" w:cs="Arial" w:eastAsia="Arial" w:hAnsi="Arial"/>
          <w:sz w:val="18"/>
          <w:szCs w:val="18"/>
          <w:color w:val="231F20"/>
        </w:rPr>
        <w:t>and teaching hospitals, as well as information regarding ownership and investment</w:t>
      </w:r>
      <w:r>
        <w:rPr>
          <w:rFonts w:ascii="Arial" w:cs="Arial" w:eastAsia="Arial" w:hAnsi="Arial"/>
          <w:sz w:val="18"/>
          <w:szCs w:val="18"/>
          <w:color w:val="000000"/>
        </w:rPr>
        <w:t xml:space="preserve"> </w:t>
      </w:r>
      <w:r>
        <w:rPr>
          <w:rFonts w:ascii="Arial" w:cs="Arial" w:eastAsia="Arial" w:hAnsi="Arial"/>
          <w:sz w:val="18"/>
          <w:szCs w:val="18"/>
          <w:color w:val="231F20"/>
        </w:rPr>
        <w:t>interests held by such physicians and their immediate family members. The information reported is publicly available on a searchable website, with disclosure required annually;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231F20"/>
        </w:rPr>
        <w:t>analogous state and foreign laws and regulations, such as state and foreign anti-kickback and false claims laws, may apply to sales or marketing arrangements and claims involving healthcare items or services reimbursed by non-governmental third-party payors, including private insurers.</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Some state and local laws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and/or the registration of pharmaceutical sales representatives in the jurisdiction. 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and the third parties with whom we work are subject to stringent and evolving U.S. and foreign laws, regulations, rules, contractual obligations, policies and other obligations related to data privacy and security. Our (or third parties with whom we work)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Outside the United States, an increasing number of laws, regulations, and industry standards govern data privacy and security. For example, the GDPR imposes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we may transfer personal data from Europe and other jurisdictions to the United States or other countries. In the United States,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are considered ‘inadequate’. Other jurisdictions may adopt or have already adopted similarly stringent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and the UK Extension thereto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spacing w:after="0" w:line="17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 Also in Europe,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Additionally, the California Privacy Rights Act (CPRA) significantly modified the CCPA, including by expanding consumers’ rights with respect to certain sensitive personal information. The CPRA also created a new state agency that will be vested with authority to implement and enforce the CCPA and the CPRA. In addition, numerous states have passed comprehensive privacy laws that have gone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bound, and may in the future become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at times fail, or be perceived to have failed, to comply with our data privacy and security obligations. Moreover, despite our efforts, our personnel or third parties on whom we rely may not fully comply with such obligations, which could negatively impact our business, financial condition, results of operations, and prospects.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actual or perceived failure by us or the third parties with whom we work to comply with these laws, regulations, or other obligations would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employees and personnel may use artificial intelligence (AI), including generative AI, agentic AI and machine learning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will cause us to incur substantial costs or require us to change our business practices and compliance procedures in a manner adverse to our business.</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Any inability, or perceived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an inability to process personal data or to operate in certain jurisdictions; limited ability to develop or commercialize our products; expenditure of time and resources to defend any claim or inquiry; adverse publicity; or substantial changes to our business model or operations. Although we seek to mitigate these risks, there can be no assurance that our privacy and security-related safeguards will protect us from all risks associated with the third-party processing, storage and transmission of such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products and activities may be subject to U.S. and foreign export controls, trade sanctions and import laws and regulations. Governmental regulation of the import or export of our products, or our failure to obtain any required import or export authorization for our products, when applicable, could harm any potential international sales and adversely affect our future revenue, if any. Compliance with applicable regulatory requirements regarding the export of our products may create delays in the introduction of any of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the future in decreased use of our products by, or in our decreased ability to export our products to potential customers with international operations. Any decreased use of our products or limitation on our ability to export or sell access to our products would likely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results of operations, and prospects.</w:t>
      </w:r>
    </w:p>
    <w:p>
      <w:pPr>
        <w:spacing w:after="0" w:line="1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could be adversely affected by general conditions in the U.S. and global economies, the U.S. and global financial markets and adverse geopolitical and macroeconomic developments, including economic uncertainty, market volatility, labor shortages, evolving trade and tariff policies, including related legal challenges, trade tensions, and retaliatory measures by other countries, supply chain disruptions, military conflicts, as well as any related political or economic responses and counter-responses by various global actors, inflationary pressures, monetary supply shifts, increased recession risk, and related financial instability. U.S. and global market and economic conditions have been, and continue to be, disrupted and volatile due to many factors, including component shortages and related supply chain challenges, geopolitical uncertainty and developments, including the events noted above. General business and economic conditions that could affect our business, financial condition, results of operations, and prospects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have experienced periods of significant increases in the past few years, and increased inflation may result in increases in our operating costs (including our labor costs), reduced liquidity and limitations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International trade policies, including tariffs, sanctions and trade barriers may adversely affect our business, financial condition, results of operations, and prospects.</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operate in a global economy, which includes utilizing third-party suppliers in countries outside of the United States. The current international trade and regulatory environment is subject to significant ongoing uncertainty.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U.S. government has announced imposition of substantial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including legal challenges related to such tariffs, have created a dynamic and unpredictable trade landscape, which may adversely impact our business, results of operations, financial condition, and prospects.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17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We also rely on specialized laboratory equipment, supplies, materials, and precursor compounds, all or part of which we believe may be ultimately sourced from multiple countries outside the United States, to advance our research and development efforts.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Notwithstanding legal challenges related to tariffs, we expect that current or future tariffs will result in increased research and development expenses, including with respect to increased costs associated with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which among other factors, could negatively impact our ability to secure additional financing on favorable terms or at all. In addition, as we advance toward commercialization in the future, if approved, tariffs and trade restrictions could hinder our ability to establish cost-effective production capabilities and impact negatively our growth prospects.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complexity of announced or future tariffs, including as a result of uncertainty surrounding related legal challenges, may also increase the risk that we or our collaborators, partners, vendors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on or increase the complexity to our business.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as well as of related legal challenges, remains uncertain and could materially and adversely affect our business, financial condition, results of operations,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"Risk Factors"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future product candidates we may develop will be limited and the potential for successfully growing our business will be harmed.</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have never commercialized a product candidate before. If we are unable to establish sales, marketing, or distribution capabilities or enter into agreements with third parties to sell, market or distribute palazestrant, OP-3136, or any future product candidates we may develop, we may not be able to successfully sell, market or distribute palazestrant, OP-3136, or any future product candidate we may develop that obtain regulatory approval, if any.</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never commercialized a product candidate and we currently do not have, and have never had, a sales force, or distribution or marketing capabilities.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candidates we may develop. We may not be successful in accomplishing these required tasks.</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palazestrant, OP-3136, or any future product candidates we may develop will be expensive and time-consuming, and will require significant attention of our executive officers to manage. Factors that may affect our ability to commercialize, if approved, palazestrant, OP-3136, or any future product candidates we may develop on our own include recruiting and retaining adequate numbers of effective sales and marketing personnel, obtaining access to and educating physicians on the benefits of prescribing or ordering palazestrant, OP-3136, or any future product candidates we may develop and other unforeseen costs associated with creating an independent sales and marketing organization. Any failure or delay in the development of our internal sales, marketing and distribution capabilities could adversely impact the commercialization of palazestrant, OP-3136, or any future product candidates we may develop that we obtain approval to market, if any,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future product candidates we may develop which may receive regulatory approval or any such commercialization may experience delays or limitations. If we are unable to successfully commercialize our approved product candidates, if any, either on our own or through collaborations with one or more third parties, we may not generate any revenue from such product candidate or be able to reach or sustain profitability, and we will incur significant additional losses.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January 31, 2026, we had 131 employees, all of whom were full time, consisting of clinical, research, operations, regulatory, and administrative personnel. Thirty-eight of our employees hold Ph.D. or M.D. degrees.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17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authorities’ review process for palazestrant, OP-3136, and any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spacing w:after="0" w:line="271" w:lineRule="auto"/>
        <w:rPr>
          <w:sz w:val="20"/>
          <w:szCs w:val="20"/>
          <w:color w:val="auto"/>
        </w:rPr>
      </w:pPr>
      <w:r>
        <w:rPr>
          <w:rFonts w:ascii="Arial" w:cs="Arial" w:eastAsia="Arial" w:hAnsi="Arial"/>
          <w:sz w:val="18"/>
          <w:szCs w:val="18"/>
          <w:color w:val="231F20"/>
        </w:rPr>
        <w:t>product candidates we may develop, while complying with any contractual obligations to contractors and other third parties we may have; and</w:t>
      </w:r>
    </w:p>
    <w:p>
      <w:pPr>
        <w:spacing w:after="0" w:line="4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we are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future product candidates we may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palazestrant, OP-3136, and any future product candidates we may develop and, accordingly, may not achieve our research, development and commercialization goals.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If our information technology systems, our data or those of the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would be vulnerable to a heightened risk of these attacks, including retaliatory cyber-attacks, that could materially disrupt our systems and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and the third parties with whom we work are subject to a variety of evolving threats, including but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intentional misconduct or unconventional error by those with authorized access,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3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not able to anticipate all types of security incidents, and we cannot implement preventive measures effective against all such security incidents. A security incident or other interruption could disrupt our ability (and that of third parties upon whom we rely) to run our business. We could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 due to encryption and device security practices.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It also may be difficult and/or costly to detect, investigate, mitigate, contain, and remediate any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 OP-3136 could be delayed, and we could be subject to significant fines or penalties for any noncompliance with certain state, federal and/or international privacy and security laws.</w:t>
      </w:r>
    </w:p>
    <w:p>
      <w:pPr>
        <w:spacing w:after="0" w:line="18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some of our customers may be subject to the EU’s Digital Operational Resilience Act (DORA) and similar UK regulatory requirements on operational resilience. These laws may obligate our customers to impose contractual provisions on us, including certain mandatory third-party risk management provisions. If we fail to materially comply with these contractual requirements, we may be subject to investigations, audits or other adverse consequences.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Applicable data privacy and security obligations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 Member States.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intend to seek approval to market palazestrant or OP-3136 in the United States and in selected foreign jurisdictions. If we obtain approval in one or more foreign jurisdictions for palazestrant or OP-3136, we will be subject to applicable rules and regulations in those jurisdictions. In some foreign countries, particularly those in the EU, the pricing of drugs is subject to governmental control and other market regulations, which could place pressure on the pricing and usage of palazestrant or OP-3136. In these countries, pricing negotiations with governmental authorities can take a considerable amount of time following marketing approval of a product candidate. In addition, market acceptance and sales of palazestrant or OP-3136 will depend significantly on the availability of adequate coverage and reimbursement from third-party payors and may be affected by existing and future healthcare reform measures.</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Moreover, in most foreign countries, including a number of EU Member States, the proposed pricing for a drug must be approved before it may be lawfully marketed. The requirements governing drug pricing and reimbursement vary widely from country to country. For example, the EU provides options for EU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Legislators, policymakers and healthcare insurance funds in the EU may continue to propose and implement cost-containing measures to keep healthcare costs down, including in response to ongoing budgetary pressures on national healthcare systems, some of which were exacerbated by the COVID-19 pandemic.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self-insured. The occurrence of any of these business disruptions could seriously harm our operations, increase our costs and expenses and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net operating loss (NOL) carryforwards could expire unused and be unavailable to offset future income tax liabilities because of their limited duration or other restrictions. U.S.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in a year is limited to 80% taxable income in such year. In addition, at the state level, there may be periods during which the use of NOL carryforwards is suspended or otherwise limited. For example, California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under Sections 382 and 383 of the Internal Revenue Code of 1986, as amended (the IRC),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of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variety of risks associated with international marketing of palazestrant, OP-3136, or any future product candidates we may develop, if approved, could significantly harm our business, financial condition, results of operations, and prospects.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spacing w:after="0" w:line="16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231F20"/>
        </w:rPr>
        <w:t>difficulties staffing and managing foreign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potential liability under the FCPA or comparable foreign regulations;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cannot be certain that the claims in our pending U.S. patent applications, and corresponding national patent applications, will be considered patentable by the United States Patent and Trademark Office (USPTO) courts in the United States or by the patent offices and courts in foreign countries, nor can we be certain that the claims in our issued patent(s) will not be found invalid or unenforceable if challenged.</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spacing w:after="0" w:line="169" w:lineRule="exact"/>
        <w:rPr>
          <w:sz w:val="20"/>
          <w:szCs w:val="20"/>
          <w:color w:val="auto"/>
        </w:rPr>
      </w:pPr>
    </w:p>
    <w:p>
      <w:pPr>
        <w:jc w:val="both"/>
        <w:ind w:left="102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62"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or carrying our work on behalf of Olema,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or will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8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conduct. In addition, in the United States and certain other jurisdictions, third parties are entitled to submit prior art to patent offices for consideration during examination.</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(PGR) and inter partes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54"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be able to detect infringement of our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be able to develop products that are similar to palazestrant, or any future product candidates we may develop, but that are not covered by the claims of the patents that we may in-license in the future or own;</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palazestrant or any future product candidates we may develop;</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activities reasonably related to the development and submission of information to the FDA for therapeutic products under clinical development. If and when we submit an NDA, that safe harbor will expire.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212"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cause development delays;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prevent us from commercializing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palazestrant, OP-3136, or any future product candidates we may develop processes to avoid infringement, if necessary.</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what we identify as necessary for palazestrant or OP-3136 through acquisitions and in-licenses.</w:t>
      </w:r>
    </w:p>
    <w:p>
      <w:pPr>
        <w:spacing w:after="0" w:line="1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5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Further, our issued patents could be found invalid or unenforceable if challenged in court.</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any of our patents invalid. There is no assurance that all potentially relevant prior art relating to our patents and patent applications has been found. There is also no assurance that there is not prior art of which we are aware, but which we believe does not affect the validity or enforceability of a claim in our patent and patent applications, which may, nonetheless, ultimately be found to affect the validity or enforceability of a claim.</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a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7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 product candidates to market. Should any of these events occur, it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patent laws or their interpretations could increase the uncertainties and costs surrounding the prosecution of our patent applications or those of our licensors and the enforcement or defense of our issued patents or those of our licensors.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Changes in either patent laws or interpretation of patent laws in the United States or in other countries could increase the uncertainties and costs surrounding prosecution of patent applications and the enforcement or defense of issued patents. For example, on September 16, 2011, the Leahy-Smith America Invents Act (the Leahy-Smith Act) was signed into law which included a number of significant changes to U.S. patent law. These include provisions that affected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candidates we may develop or (2) invent any of the inventions claimed in the patents or patent applications.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changes to patent laws, such as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palazestrant, OP-3136, or any future product candidates we may develop.</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Further, the U.S. Supreme Court has ruled on patent cases,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obtaining issued patents.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palazestrant, OP-3136, or any future product candidates we may develop for an adequate amount of time.</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do not obtain patent term extension for palazestrant, OP-3136, or any future product candidates we may develop, our business, financial condition, results of operations, and prospects may be significantly harmed.</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when such fees are due, and we rely on our outside counsel and their patent annuity service to pay these fees when due. Additionally, the USPTO and various foreign patent offices require compliance with a number of procedural, documentary, fee payment and other similar provisions during the patent application and prosecution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88"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231F20"/>
        </w:rPr>
        <w:t>the priority of invention of patented technology.</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could have the freedom to seek regulatory approval of, and to market, products identical to ours. This could significantly harm our competitive position, business,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5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We contract with third parties for the manufacture of palazestrant and OP-3136 for non-clinical studies and our ongoing clinical trials, and expect to continue to do so for additional clinical trials and ultimately for commercialization. This reliance on third parties increases the risk that we will not have sufficient quantities of palazestrant, OP-3136, or other drugs necessary for the development or commercialization of palazestrant or OP-3136, or may not be able to obtain such quantities at an acceptable cost, which could delay, prevent, or impair our development or commercialization efforts.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currently have the infrastructure or internal capability to manufacture supplies of palazestrant or OP-3136 for use in development and commercialization. We rely, and expect to continue to rely, on third-party manufacturers for the production of palazestrant and OP-3136 for non-clinical studies and clinical trials under the guidance of members of our organization. We do not have long-term supply agreements for palazestrant. Furthermore, the raw materials for palazestrant and OP-3136 are sourced, in some cases, from a single-source supplier. If we were to experience an unexpected loss of supply of palazestrant or OP-3136 for any reason, whether as a result of manufacturing, supply or storage issues or otherwise, we could experience delays, disruptions, suspensions or terminations of, or be required to restart or repeat, any pending or ongoing clinical trials.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expect to continue to rely on third-party manufacturers for the commercial supply of palazestrant and OP-3136,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74" w:lineRule="exact"/>
        <w:rPr>
          <w:sz w:val="20"/>
          <w:szCs w:val="20"/>
          <w:color w:val="auto"/>
        </w:rPr>
      </w:pPr>
    </w:p>
    <w:p>
      <w:pPr>
        <w:jc w:val="both"/>
        <w:ind w:left="102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or OP-3136 according to our schedule, or at all, including if our third-party contractors give greater priority to the supply of other products over palazestrant or OP-3136 or otherwise do not satisfactorily perform according to the terms of the agreements between us and them;</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disruptions resulting from the impact of public health pandemics or epidemics;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failure of the third party to manufacture palazestrant or OP-3136 according to our specifications;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OP-3136, or if it withdraws any such approval in the future, we may need to find alternative manufacturing facilities, which would significantly impact our ability to develop, obtain marketing approval for or market palazestrant or OP-3136,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OP-3136, or other drugs necessary for the development or commercialization of palazestrant and significantly harm our business, financial condition, results of operations and prospects.</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palazestrant or OP-3136 are unable to produce sufficient quantities for clinical trials or for commercialization of palazestrant or OP-3136, or if the cost of combination therapies are prohibitive, our development and commercialization efforts would be impaired, which would significantly harm our business, financial condition, results of operations, and prospects. For example, for our Phase 3 clinical trial of palazestrant in combination with ribociclib in ER+/HER2- frontline advanced or metastatic breast cancer, we entered into the 2024 Novartis Agreement, pursuant to which Novartis is manufacturing and supplying ribociclib. If Novartis is unable to timely manufacture or supply ribociclib, or if the 2024 Novartis Agreement terminates and we are unable to obtain ribociclib on comparable terms, our Phase 3 clinical trial may be delayed and our costs to conduct this trial may increase significantly. Either of these outcomes would materially harm our business, financial condition, results of operations, and prospects. For a description of the 2024 Novartis Agreement, see the section titled “Business—Clinical Trial Collaboration and Supply Agreement with Novartis”.</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current and anticipated future dependence upon others for the manufacture of palazestrant, OP-3136, or other drugs necessary for the development or commercialization of palazestrant or OP-3136 may adversely affect our future profit margins and our ability to commercialize any product candidates that receive marketing approval, if any, on a timely and competitive basis.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palazestrant or OP-3136 for clinical trials or our products for patients, if approved, could be delayed or prevented.</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 is discovered at the facilities of our manufacturer, such facilities may need to be closed for an extended period of time to investigate and remediate the contamination, which could delay our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if approved, as a result of these challenges, or otherwise, our development and commercialization efforts would be impaired, which would significantly harm our business, financial condition, results of operations, and prospects.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5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169"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assumption of contingent liabilities;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issuance of our equity securities;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palazestrant. If those collaborations are not successful, we may not be able to capitalize on the market potential of palazestrant.</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spacing w:after="0" w:line="174" w:lineRule="exact"/>
        <w:rPr>
          <w:sz w:val="20"/>
          <w:szCs w:val="20"/>
          <w:color w:val="auto"/>
        </w:rPr>
      </w:pPr>
    </w:p>
    <w:p>
      <w:pPr>
        <w:ind w:left="1020" w:right="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de-emphasize or elect not to pursue development and commercialization of palazestrant or may choose not to continue or renew development or commercialization programs based on clinical trial results, changes in the collaborators’ strategic focus, including as a result of a sale or disposition of a business unit or development function, the availability of funding or external factors such as an acquisition that diverts resources or creates competing priorities;</w:t>
      </w:r>
    </w:p>
    <w:p>
      <w:pPr>
        <w:spacing w:after="0" w:line="6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6"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46"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68" w:lineRule="exact"/>
        <w:rPr>
          <w:rFonts w:ascii="Times New Roman" w:cs="Times New Roman" w:eastAsia="Times New Roman" w:hAnsi="Times New Roman"/>
          <w:sz w:val="18"/>
          <w:szCs w:val="18"/>
          <w:color w:val="auto"/>
        </w:rPr>
      </w:pPr>
    </w:p>
    <w:p>
      <w:pPr>
        <w:jc w:val="both"/>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spacing w:after="0" w:line="46" w:lineRule="exact"/>
        <w:rPr>
          <w:rFonts w:ascii="Times New Roman" w:cs="Times New Roman" w:eastAsia="Times New Roman" w:hAnsi="Times New Roman"/>
          <w:sz w:val="18"/>
          <w:szCs w:val="18"/>
          <w:color w:val="auto"/>
        </w:rPr>
      </w:pPr>
    </w:p>
    <w:p>
      <w:pPr>
        <w:ind w:left="1020" w:right="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line="270" w:lineRule="auto"/>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or at all, we may have to alter our development and commercialization plans.</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2024 to December 31, 2025 has ranged from a low of $3.06 to a high of $35.83.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Annual Report, these factors include:</w:t>
      </w:r>
    </w:p>
    <w:p>
      <w:pPr>
        <w:spacing w:after="0" w:line="154" w:lineRule="exact"/>
        <w:rPr>
          <w:sz w:val="20"/>
          <w:szCs w:val="20"/>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timing and results of non-clinical studies and clinical trials of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actions with respect to our product candidates or our competitors’ products;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our growth rate relative to our competitors;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market conditions in the pharmaceutical and biotechnology sector;</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sales of our common stock by us, our insiders or our other stockholders; and</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231F20"/>
        </w:rPr>
        <w:t xml:space="preserve">the geopolitical and macroeconomic environment, generally, including geopolitical and economic uncertainty, market volatility, labor shortages, </w:t>
      </w:r>
      <w:r>
        <w:rPr>
          <w:rFonts w:ascii="Arial" w:cs="Arial" w:eastAsia="Arial" w:hAnsi="Arial"/>
          <w:sz w:val="18"/>
          <w:szCs w:val="18"/>
          <w:color w:val="000000"/>
        </w:rPr>
        <w:t>evolving trade and tariff policies</w:t>
      </w:r>
      <w:r>
        <w:rPr>
          <w:rFonts w:ascii="Arial" w:cs="Arial" w:eastAsia="Arial" w:hAnsi="Arial"/>
          <w:sz w:val="18"/>
          <w:szCs w:val="18"/>
          <w:color w:val="231F20"/>
        </w:rPr>
        <w:t>, including related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020"/>
        <w:spacing w:after="0" w:line="253" w:lineRule="auto"/>
        <w:rPr>
          <w:sz w:val="20"/>
          <w:szCs w:val="20"/>
          <w:color w:val="auto"/>
        </w:rPr>
      </w:pPr>
      <w:r>
        <w:rPr>
          <w:rFonts w:ascii="Arial" w:cs="Arial" w:eastAsia="Arial" w:hAnsi="Arial"/>
          <w:sz w:val="18"/>
          <w:szCs w:val="18"/>
          <w:color w:val="231F20"/>
        </w:rPr>
        <w:t>legal challenges, trade tensions, retaliatory measures by other countries, supply chain disruptions, military conflicts, as well as any related political or economic responses and counter-responses by various global actors, inflationary pressures, monetary supply shifts, increased recession risk, and related financial instability.</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addition, the trading prices for common stock of biopharmaceutical companies, including ours, have been highly volatile as a result of factors unrelated to the specific company or its products or products candidates.</w:t>
      </w:r>
    </w:p>
    <w:p>
      <w:pPr>
        <w:spacing w:after="0" w:line="15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83"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3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54" w:lineRule="exact"/>
        <w:rPr>
          <w:sz w:val="20"/>
          <w:szCs w:val="20"/>
          <w:color w:val="auto"/>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variations in the level of expense related to the ongoing development of palazestrant, OP-3136, or future development programs;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timing and status of enrollment for our clinical trials;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impacts from geopolitical and macroeconomic events on us or third parties with which we engage;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additions and departures of key personnel;</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if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receive regulatory approval, the timing and terms of such approval and market acceptance and demand for such product candidates;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regulatory developments affecting palazestrant</w:t>
      </w:r>
      <w:r>
        <w:rPr>
          <w:rFonts w:ascii="Arial" w:cs="Arial" w:eastAsia="Arial" w:hAnsi="Arial"/>
          <w:sz w:val="18"/>
          <w:szCs w:val="18"/>
          <w:color w:val="000000"/>
        </w:rPr>
        <w:t>, OP-3136,</w:t>
      </w:r>
      <w:r>
        <w:rPr>
          <w:rFonts w:ascii="Arial" w:cs="Arial" w:eastAsia="Arial" w:hAnsi="Arial"/>
          <w:sz w:val="18"/>
          <w:szCs w:val="18"/>
          <w:color w:val="231F20"/>
        </w:rPr>
        <w:t xml:space="preserve"> or any future product candidates we may develop or those of our competitors; and</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231F20"/>
        </w:rPr>
      </w:pPr>
      <w:r>
        <w:rPr>
          <w:rFonts w:ascii="Arial" w:cs="Arial" w:eastAsia="Arial" w:hAnsi="Arial"/>
          <w:sz w:val="18"/>
          <w:szCs w:val="18"/>
          <w:color w:val="231F20"/>
        </w:rPr>
        <w:t>changes in general market and economic conditions.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of January 31, 2026, we had 85,036,547 shares of common stock and pre-funded warrants to purchase up to 13,594,149 shares of common stock outstanding (which are immediately exercisable at an exercise price of $0.0001 per share of common stock, subject to beneficial ownership limitations). Refer to Notes 2 and 7 of our notes to the consolidated financial statements contained in this Annual Report for further information regarding the pre-funded warrants. Shares issued upon the exercise of any such pre-funded warrants as well as stock options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were obligated to file registration statements with the SEC to register all of the shares, including shares issuable upon the exercise of pre-funded warrants, issued in each of our private placement transactions for public resale, and are required to maintain effectiveness of both registration statements until the earliest of (i) the second anniversary of the effective date of such registration statement, (ii) such time as all of the shares issued in such private placement have been sold pursuant to such registration statement, or (iii) such time as the shares issued in such private placement become eligible for resale by non-affiliates without any volume limitations or other restrictions pursuant to Rule 144(b)(1)(i) under the Securities Act or any other rule of similar effect. In December 2025, we filed an automatic shelf registration statement pursuant to which we may offer and sell shares from time to time, including the shares of common stock pursuant to our at-the-market offering program currently in place.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palazestrant, OP-3136, or future product candidates we may develop on unfavorable terms to us.</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 the past, and may again in the future seek additional capital through a variety of means, including public or private equity offerings, debt financings or other sources, including up-front payments and milestone payments from strategic collaborations. For example, in November 2025, we completed a public offering of 11,500,000 shares of our common stock, at a public offering price of $19.00 per share, including 1,500,000 shares sold pursuant to the underwriters’ full exercise of their option to purchase additional shares. In addition, in January 2025, we terminated our previous sales agreement with Cowen and Company (the 2024 Sales Agreement) and entered into a new sales agreement with TD Cowen (as amended from time to time, the 2025 Sales Agreement), pursuant to which we may offer and sell, from time to time through TD Cowen, at our option, shares of our common stock having an aggregate offering price of up to $150.0 million. On December 11, 2025, we entered into Amendment No. 1 to the 2025 Sales Agreement, which increased the maximum aggregate offering price under the at-the-market offering program to $200.0 million. To the extent that we raise additional capital through the sale of equity or convertible debt or equity securities, including pursuant to sales under the 2025 Sales Agreement, your ownership interest will be diluted, our stock price could fall and the terms of such securities may include liquidation or other preferences that adversely affect your rights as a stockholder. Future financing activities may result in dilution to stockholders, the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OP-3136,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2025,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The OBBBA, the IRA, the Coronavirus Aid, Relief, and Economic Security Act and legislation commonly referred to as the Tax Cuts and Jobs Act made many significant changes to the U.S. tax laws. For example, the IRA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may materially and adversely impact our operating activities, effective tax rate, deferred tax assets, operating income, and cash flows.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5"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classified Board of Directors such that not all members of our Board of Directors are elected at one time;</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4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 our stockholders from calling a special meeting of our stockholders;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prohibit cumulative voting;</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6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4"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derivative action or proceeding brought on our behalf;</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of breach of fiduciary duty;</w:t>
      </w:r>
    </w:p>
    <w:p>
      <w:pPr>
        <w:spacing w:after="0" w:line="116"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certain activities more difficult, time-consuming or costly and increase demands on our systems and resources. The Exchange Act requires, among other things, that we file annual, quarterly and current reports regarding our business and operating results. The Sarbanes-Oxley Act requires, among other things, that we maintain effective disclosure controls and procedures and internal control over financial reporting. We are also required to disclose, on a quarterly basis, any changes made to our internal control and procedures.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certain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Any such claims or litigation could result in substantial costs, and the time and resources needed to resolve them could divert our management’s attention and seriously harm our business, financial condition, results of operations, and prospects.</w:t>
      </w:r>
    </w:p>
    <w:p>
      <w:pPr>
        <w:spacing w:after="0" w:line="17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3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strategy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established and maintain various information security processes designed to identify, assess, and manage cybersecurity risks to our critical computer networks, third-party hosted services, communication systems, hardware, software, and vital data, such as intellectual property, confidential proprietary information, strategic assets, and non-clinical and clinical trial data (Information Systems and Data). Our Chief Legal Officer, Vice President of Information Technology, vCISO (Virtual Chief Information Security Officer), cybersecurity business partner, and IT and Legal teams collaborate to address cybersecurity threats and risks, leveraging our risk register and enterprise risk management framework when needed. Our Vice President of Information Technology, vCISO, members of our in-house IT team, and our third-party cybersecurity business partner play an active role in monitoring and assessing risks from cyber threats through a variety of methods including automated tools, third-party testing, tabletop incident response exercises, threat intelligence analysis, industry benchmarking, and collaboration with law enforcement.</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employ a range of measures, processes, standards, and policies tailored to specific environments designed to manage and mitigate material risks from cybersecurity threats to our Information Systems and Data. These include data encryption at rest and in transit, network security controls, secure physical facilities, employee training, access management, including role based access controls and periodic access reviews, change management and comprehensive asset management, tracking, and disposal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Periodic access reviews are conducted for systems subject to GxP and Sarbanes Oxley compliance requirements.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assessment and management of material risks from cybersecurity threats are integrated into the Company’s overall risk management processes. For example, the security team, which includes our VP of Information Technology, vCISO, and third-party service providers, works with management to prioritize risk management activities and take steps to mitigate cybersecurity threats that are determined to be more likely to lead to a material impact to our business. Key findings and status of the cybersecurity landscape are reviewed with the Audit Committee of our Board of Directors (the Audit Committee), which evaluates our overall enterprise risk. Management evaluates identified cybersecurity risks and incidents to determine whether escalation to executive leadership or the Audit Committee is appropriate.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engage various categories of third-party service providers to augment our efforts in monitoring, identifying, assessing, and mitigating significant cybersecurity risks. These third-party service providers encompass professional services firms such as legal counsel, cybersecurity consultants, providers of cybersecurity software solutions, managed cybersecurity service providers offering ongoing monitoring and support, external testing firms specializing in penetration testing and vulnerability assessments, and forensic investigators who may be enlisted to conduct investigations and assessments when specific incidents or suspected incidents occur.</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enlist third-party service providers across our business functions, including application providers, hosting companies, contract manufacturers, and supply chain resources. Depending on the service type and data sensitivity, our vendor management process assesses cybersecurity risks and may include contractual provisions addressing data protection and incident notification requirements.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a description of the risks from cybersecurity threats that may materially affect the Company and how they may do so, see our risk factors under "Part 1. Item 1A. Risk Factors" in this Annual Report.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Board of Directors retains responsibility for evaluating key business risks faced by the Company, including information security and cybersecurity risks. Our Board of Directors addresses its oversight function in part by delegating the Company's cybersecurity risk oversight to the Audit Committee. The Audit Committee supervises risk mitigation efforts related to cybersecurity threats and evaluates the effectiveness of information security policies and practices.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cybersecurity risk assessment and management processes are implemented and maintained by certain members of Company management, including our Vice President of Information Technology, who has over 15 years of experience managing information technology and cybersecurity programs and who reports into our Chief Legal Officer. The Vice President of Information Technology is responsible for hiring appropriate personnel, integrating cybersecurity risk considerations into the Company's overall risk management strategy, and communicating key priorities to relevant personnel. The Chief Legal Officer, together with the Chief Financial Officer, is responsible for approving cybersecurity budgets, supporting preparation for cybersecurity incidents, approving cybersecurity related processes, and reviewing security assessments and other security-related reports.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Chief Legal Officer also oversees regulatory reporting and disclosure considerations related to cybersecurity incidents.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cybersecurity incident response procedures involve escalating specific incidents to certain members of management as needed, including the Vice President of Information Technology, Chief Legal Officer, Chief Financial Officer, and Chief Executive Officer. The Chief Legal Officer collaborates with our incident response team, which includes members of our in-house IT, facilities, human resources, regulatory, legal, and communications teams, to address and resolve reported cybersecurity incidents. Olema’s incident response procedures mandate reporting certain types of cybersecurity incidents to the Audit Committee and external stakeholders, including regulatory authorities, required by law.</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Audit Committee periodically receives reports from the Vice President of Information Technology on the Company's significant cybersecurity threats, risks, mitigation processes, and incident preparedness. The Audit Committee also receives various summaries, presentations, and reports pertaining to cybersecurity threats, risks, and mitigation.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corporate headquarters are located in San Francisco, California, where we lease approximately 16,500 square feet of office and laboratory space pursuant to lease agreements that expire between December 2026 and January 2027. We also have leased approximately 4,000 square feet of office space in Cambridge, Massachusetts that will expire in March 2027. We believe that these existing facilities will be adequate for our near-term needs. If required, we believe that suitable additional or alternative space would be available in the future on commercially reasonable terms.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12"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common stock has been listed on the Nasdaq Global Select Market under the symbol “OLMA” since November 19, 2020. Prior to that date, there was no public trading market for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the close of business on March 11, 2026, there were 58 stockholders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our equity compensation plans is incorporated herein by reference to Item 12 of Part III of this Annual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were no sales of equity securities during the three months ended December 31, 2025 that were not registered under the Securities Act and were not previously reported in a Current Report on Form 8-K filed by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management’s discussion and analysis of our financial condition and results of operations should be read in conjunction with the consolidated financial statements and notes thereto included as part of this Annual Report.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See “Special Note Regarding Forward-Looking Statements” in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Olema is a clinical-stage biopharmaceutical company focused on the discovery, development, and commercialization of next-generation targeted therapies for breast cancer and beyond. We are advancing our pipeline of novel therapies by leveraging our deep understanding of endocrine-driven cancers, nuclear receptors, and mechanisms of acquired resistance.</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lead product candidate, palazestrant, is a novel, orally-available small molecule with dual activity as both a CERAN and SERD, currently being investigated in patients with recurrent, locally advanced or metastatic ER+/HER2- breast cancer. In pre-clinical models, palazestrant binds and completely blocks ER-driven transcriptional activity in both wild-type and mutant forms of ER+ MBC. In clinical studies across more than 400 patients, palazestrant has demonstrated strong anti-tumor activity, attractive pharmacokinetics and prolonged drug exposure, favorable tolerability, and combinability with CDK4/6 inhibitors with no significant drug-drug interaction. Based on the clinical results we have achieved to date, we are advancing palazestrant through late-stage clinical development both as a monotherapy and in combination with other targeted agents.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2023, we initiated OPERA-01, our pivotal Phase 3 clinical trial of palazestrant as a monotherapy in second/third-line ER+/HER2- metastatic breast cancer. We anticipate top-line results for this trial in the fall of 2026, expect to submit the NDA in 2027, and, if successful, anticipate potential FDA approval and commercial launch in late 2027.</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combination, we are investigating palazestrant in multiple Phase 1/2 studies with CDK4/6 inhibitors (palbociclib or ribociclib), a phosphatidylinositol-3-kinase alpha inhibitor (alpelisib), an mTOR inhibitor (everolimus), and a CDK4 inhibitor (atirmociclib). In October 2025, at ESMO, we presented updated results from the ongoing Phase 1b/2 clinical trial of palazestrant in combination with ribociclib in patients with ER+/HER2- advanced or metastatic breast cancer. This data further support our thesis that palazestrant possesses key characteristics to make it a potential backbone endocrine therapy of preference for ER+/HER2- breast cancer, while also supporting the ongoing pivotal Phase 3 clinical trial of palazestrant in combination with ribociclib in front-line ER+/HER2- metastatic breast cancer, called OPERA-02. The execution of OPERA-02 is supported by our clinical trial collaboration and supply agreement with Novartis Pharma AG (Novartis), which was also announced in December 2024. Under the terms of the agreement, Novartis is providing Olema with ribociclib drug supply for the OPERA-02 trial, which we initiated in 2025. We anticipate top-line data in 2028 and, if successful, anticipate potential FDA approval and commercial launch in the frontline MBC setting in the United States in 2029.</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second product candidate in clinical development, called OP-3136, is a novel, orally-available small molecule that potently and selectively inhibits KAT6, an epigenetic target that is dysregulated in breast and other cancers. The IND application for OP-3136 was cleared by the FDA in late 2024, and the Phase 1 study is enrolling patients, and we expect to present the first clinical data from this program in the second quarter of 2026.</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incurred significant operating losses since the commencement of our operations. Our net losses were $162.5 million and $129.5 million for the years ended December 31, 2025 and 2024,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December 31, 2025, we had an accumulated deficit of $ 597.6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61" w:lineRule="exact"/>
        <w:rPr>
          <w:sz w:val="20"/>
          <w:szCs w:val="20"/>
          <w:color w:val="auto"/>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our ongoing and planned research and development of our lead product candidate, palazestrant, for the treatment of ER+/HER2- breast cancer;</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enroll patients in the Phase 1 study for OP-3136 and any additional product candidates that we may pursue in the future;</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acquire or in-license other product candidates and technologies;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4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expand our operations in the United States and in other geographies;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potential milestone payments to our licensors, and our expenditures on other research and development activities.</w:t>
      </w:r>
    </w:p>
    <w:p>
      <w:pPr>
        <w:spacing w:after="0" w:line="15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geopolitical uncertainty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revenue or positive cash flow from operating activities.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uncertainty due to the geopolitical and macroeconomic environment, generally, including economic and geopolitical uncertainty, market volatility, labor shortages, evolving trade and tariffs policies, including related legal challenges, trade tensions, and retaliatory measures by other countries, supply chain disruptions, military conflicts, as well as any related political or economic responses or counter-responses by various global actors, inflationary pressures, monetary supply shifts, increased recession risk, and related financial instability.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1020" w:hanging="503"/>
        <w:spacing w:after="0" w:line="270" w:lineRule="auto"/>
        <w:tabs>
          <w:tab w:leader="none" w:pos="1020" w:val="left"/>
        </w:tabs>
        <w:numPr>
          <w:ilvl w:val="0"/>
          <w:numId w:val="48"/>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incurred in connection with the discovery efforts and non-clinical and clinical development of our product candidates, including under agreements with third parties, such as consultants and CROs;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right="20" w:hanging="503"/>
        <w:spacing w:after="0" w:line="270" w:lineRule="auto"/>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funding research performed by third parties;</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231F20"/>
        </w:rPr>
      </w:pPr>
      <w:r>
        <w:rPr>
          <w:rFonts w:ascii="Arial" w:cs="Arial" w:eastAsia="Arial" w:hAnsi="Arial"/>
          <w:sz w:val="18"/>
          <w:szCs w:val="18"/>
          <w:color w:val="231F20"/>
        </w:rPr>
        <w:t>allocated facility-related costs, which include rent, depreciation and maintenance expenses, and other operating costs.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non-clinical studies, and clinical trials, are generally recognized based on an evaluation of the progress to completion of specific tasks using information and data provided to us by our vendors and collaborators.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While our research and development expenses may fluctuate from period to period, we generally expect our research and development expenses to increase substantially in absolute dollars for the foreseeable future as we advance palazestrant, OP-3136, or any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clinical trials, and development of our product candidates will depend on a variety of factors, including:</w:t>
      </w:r>
    </w:p>
    <w:p>
      <w:pPr>
        <w:spacing w:after="0" w:line="87"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and progress of non-clinical and clinical development activities;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0"/>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116" w:lineRule="exact"/>
        <w:rPr>
          <w:rFonts w:ascii="Times New Roman" w:cs="Times New Roman" w:eastAsia="Times New Roman" w:hAnsi="Times New Roman"/>
          <w:sz w:val="18"/>
          <w:szCs w:val="18"/>
          <w:color w:val="231F20"/>
        </w:rPr>
      </w:pPr>
    </w:p>
    <w:p>
      <w:pPr>
        <w:ind w:left="1020" w:right="20" w:hanging="503"/>
        <w:spacing w:after="0" w:line="270" w:lineRule="auto"/>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receipt of regulatory approvals from applicable regulatory authorities;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licensing or collaboration arrangements;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the performance of our future collaborators, if any;</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commercializing the product candidates, if approved, whether alone or in collaboration with others;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maintaining continued acceptable safety profiles of our products following approval; and</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231F20"/>
        </w:rPr>
      </w:pPr>
      <w:r>
        <w:rPr>
          <w:rFonts w:ascii="Arial" w:cs="Arial" w:eastAsia="Arial" w:hAnsi="Arial"/>
          <w:sz w:val="18"/>
          <w:szCs w:val="18"/>
          <w:color w:val="231F20"/>
        </w:rPr>
        <w:t>obtaining and retaining key research and development personnel.</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communications, and investor relations, commercialization, legal, human resources, information technology (IT), and administrative functions. General and administrative expenses also include costs not otherwise included in research and development expenses, including corporate facility costs, depreciation, and other expenses, which include rent and maintenance of facilities and insurance, and professional fees for legal, patent and consulting services.</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our general and administrative expenses may fluctuate from period to period, we generally expect that our general and administrative expenses will increase in the foreseeable future as we increase our headcount to support the continued research and development of our programs, the potential future commercialization of our product candidates, and the growth of our business. We also anticipate incurring additional expenses associated with operating as a public company, including increased expenses related to the building and improving of our IT infrastructure, such as cybersecurity monitoring, legal, regulatory and compliance, director and officer insurance, investor and public relations, and tax-related services associated with maintaining compliance with the rules and regulations of the SEC and the standards applicable to companies listed on a national securities exchange, as well as additional insurance expenses and other administrative and professional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other income consists of interest income and other income. Interest income primarily consists of interest earned from our cash equivalents and marketable securities. Other income primarily consists of realized and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unrealized foreign currency remeasurement gain (loss), interest expense, and other miscellaneous income (expense) not related to operating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2025 and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2025 and 2024:</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Borders>
              <w:top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spacing w:after="0"/>
              <w:rPr>
                <w:sz w:val="15"/>
                <w:szCs w:val="15"/>
                <w:color w:val="auto"/>
              </w:rPr>
            </w:pPr>
          </w:p>
        </w:tc>
        <w:tc>
          <w:tcPr>
            <w:tcW w:w="3120" w:type="dxa"/>
            <w:vAlign w:val="bottom"/>
            <w:tcBorders>
              <w:top w:val="single" w:sz="8" w:color="auto"/>
              <w:bottom w:val="single" w:sz="8" w:color="auto"/>
            </w:tcBorders>
            <w:gridSpan w:val="3"/>
          </w:tcPr>
          <w:p>
            <w:pPr>
              <w:jc w:val="right"/>
              <w:ind w:right="1154"/>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Borders>
              <w:top w:val="single" w:sz="8" w:color="auto"/>
            </w:tcBorders>
          </w:tcPr>
          <w:p>
            <w:pPr>
              <w:spacing w:after="0"/>
              <w:rPr>
                <w:sz w:val="15"/>
                <w:szCs w:val="15"/>
                <w:color w:val="auto"/>
              </w:rPr>
            </w:pPr>
          </w:p>
        </w:tc>
        <w:tc>
          <w:tcPr>
            <w:tcW w:w="1500" w:type="dxa"/>
            <w:vAlign w:val="bottom"/>
            <w:tcBorders>
              <w:top w:val="single" w:sz="8" w:color="auto"/>
              <w:bottom w:val="single" w:sz="8" w:color="auto"/>
            </w:tcBorders>
            <w:vMerge w:val="restart"/>
          </w:tcPr>
          <w:p>
            <w:pPr>
              <w:jc w:val="right"/>
              <w:ind w:right="5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10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tcPr>
          <w:p>
            <w:pPr>
              <w:jc w:val="right"/>
              <w:ind w:right="594"/>
              <w:spacing w:after="0" w:line="155" w:lineRule="exact"/>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1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60"/>
              <w:spacing w:after="0" w:line="202" w:lineRule="exact"/>
              <w:rPr>
                <w:sz w:val="20"/>
                <w:szCs w:val="20"/>
                <w:color w:val="auto"/>
              </w:rPr>
            </w:pPr>
            <w:r>
              <w:rPr>
                <w:rFonts w:ascii="Arial" w:cs="Arial" w:eastAsia="Arial" w:hAnsi="Arial"/>
                <w:sz w:val="18"/>
                <w:szCs w:val="18"/>
                <w:color w:val="auto"/>
              </w:rPr>
              <w:t>Research and development¹</w:t>
            </w:r>
          </w:p>
        </w:tc>
        <w:tc>
          <w:tcPr>
            <w:tcW w:w="1100" w:type="dxa"/>
            <w:vAlign w:val="bottom"/>
          </w:tcPr>
          <w:p>
            <w:pPr>
              <w:jc w:val="right"/>
              <w:ind w:right="856"/>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157,697</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124,517</w:t>
            </w:r>
          </w:p>
        </w:tc>
        <w:tc>
          <w:tcPr>
            <w:tcW w:w="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33,180</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32"/>
              <w:spacing w:after="0" w:line="202" w:lineRule="exact"/>
              <w:rPr>
                <w:sz w:val="20"/>
                <w:szCs w:val="20"/>
                <w:color w:val="auto"/>
              </w:rPr>
            </w:pPr>
            <w:r>
              <w:rPr>
                <w:rFonts w:ascii="Arial" w:cs="Arial" w:eastAsia="Arial" w:hAnsi="Arial"/>
                <w:sz w:val="18"/>
                <w:szCs w:val="18"/>
                <w:color w:val="auto"/>
              </w:rPr>
              <w:t>21,001</w:t>
            </w:r>
          </w:p>
        </w:tc>
        <w:tc>
          <w:tcPr>
            <w:tcW w:w="4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17,741</w:t>
            </w:r>
          </w:p>
        </w:tc>
        <w:tc>
          <w:tcPr>
            <w:tcW w:w="4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196"/>
        </w:trPr>
        <w:tc>
          <w:tcPr>
            <w:tcW w:w="5120" w:type="dxa"/>
            <w:vAlign w:val="bottom"/>
          </w:tcPr>
          <w:p>
            <w:pPr>
              <w:ind w:left="140"/>
              <w:spacing w:after="0" w:line="196" w:lineRule="exact"/>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196" w:lineRule="exact"/>
              <w:rPr>
                <w:sz w:val="20"/>
                <w:szCs w:val="20"/>
                <w:color w:val="auto"/>
              </w:rPr>
            </w:pPr>
            <w:r>
              <w:rPr>
                <w:rFonts w:ascii="Arial" w:cs="Arial" w:eastAsia="Arial" w:hAnsi="Arial"/>
                <w:sz w:val="18"/>
                <w:szCs w:val="18"/>
                <w:color w:val="auto"/>
              </w:rPr>
              <w:t>178,698</w:t>
            </w:r>
          </w:p>
        </w:tc>
        <w:tc>
          <w:tcPr>
            <w:tcW w:w="4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142,258</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36,440</w:t>
            </w: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52"/>
              <w:spacing w:after="0" w:line="196" w:lineRule="exact"/>
              <w:rPr>
                <w:sz w:val="20"/>
                <w:szCs w:val="20"/>
                <w:color w:val="auto"/>
              </w:rPr>
            </w:pPr>
            <w:r>
              <w:rPr>
                <w:rFonts w:ascii="Arial" w:cs="Arial" w:eastAsia="Arial" w:hAnsi="Arial"/>
                <w:sz w:val="18"/>
                <w:szCs w:val="18"/>
                <w:color w:val="auto"/>
              </w:rPr>
              <w:t>(178,698)</w:t>
            </w:r>
          </w:p>
        </w:tc>
        <w:tc>
          <w:tcPr>
            <w:tcW w:w="4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(142,258)</w:t>
            </w: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(36,440)</w:t>
            </w:r>
          </w:p>
        </w:tc>
        <w:tc>
          <w:tcPr>
            <w:tcW w:w="0" w:type="dxa"/>
            <w:vAlign w:val="bottom"/>
          </w:tcPr>
          <w:p>
            <w:pPr>
              <w:spacing w:after="0"/>
              <w:rPr>
                <w:sz w:val="1"/>
                <w:szCs w:val="1"/>
                <w:color w:val="auto"/>
              </w:rPr>
            </w:pPr>
          </w:p>
        </w:tc>
      </w:tr>
      <w:tr>
        <w:trPr>
          <w:trHeight w:val="203"/>
        </w:trPr>
        <w:tc>
          <w:tcPr>
            <w:tcW w:w="512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income</w:t>
            </w:r>
          </w:p>
        </w:tc>
        <w:tc>
          <w:tcPr>
            <w:tcW w:w="11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232"/>
              <w:spacing w:after="0" w:line="202" w:lineRule="exact"/>
              <w:rPr>
                <w:sz w:val="20"/>
                <w:szCs w:val="20"/>
                <w:color w:val="auto"/>
              </w:rPr>
            </w:pPr>
            <w:r>
              <w:rPr>
                <w:rFonts w:ascii="Arial" w:cs="Arial" w:eastAsia="Arial" w:hAnsi="Arial"/>
                <w:sz w:val="18"/>
                <w:szCs w:val="18"/>
                <w:color w:val="auto"/>
              </w:rPr>
              <w:t>16,224</w:t>
            </w:r>
          </w:p>
        </w:tc>
        <w:tc>
          <w:tcPr>
            <w:tcW w:w="400" w:type="dxa"/>
            <w:vAlign w:val="bottom"/>
            <w:shd w:val="clear" w:color="auto" w:fill="CFF0FC"/>
          </w:tcPr>
          <w:p>
            <w:pPr>
              <w:spacing w:after="0"/>
              <w:rPr>
                <w:sz w:val="17"/>
                <w:szCs w:val="17"/>
                <w:color w:val="auto"/>
              </w:rPr>
            </w:pPr>
          </w:p>
        </w:tc>
        <w:tc>
          <w:tcPr>
            <w:tcW w:w="168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12,682</w:t>
            </w:r>
          </w:p>
        </w:tc>
        <w:tc>
          <w:tcPr>
            <w:tcW w:w="40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03"/>
        </w:trPr>
        <w:tc>
          <w:tcPr>
            <w:tcW w:w="5120" w:type="dxa"/>
            <w:vAlign w:val="bottom"/>
          </w:tcPr>
          <w:p>
            <w:pPr>
              <w:ind w:left="60"/>
              <w:spacing w:after="0" w:line="202" w:lineRule="exact"/>
              <w:rPr>
                <w:sz w:val="20"/>
                <w:szCs w:val="20"/>
                <w:color w:val="auto"/>
              </w:rPr>
            </w:pPr>
            <w:r>
              <w:rPr>
                <w:rFonts w:ascii="Arial" w:cs="Arial" w:eastAsia="Arial" w:hAnsi="Arial"/>
                <w:sz w:val="18"/>
                <w:szCs w:val="18"/>
                <w:color w:val="auto"/>
              </w:rPr>
              <w:t>Other income</w:t>
            </w:r>
          </w:p>
        </w:tc>
        <w:tc>
          <w:tcPr>
            <w:tcW w:w="1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23</w:t>
            </w:r>
          </w:p>
        </w:tc>
        <w:tc>
          <w:tcPr>
            <w:tcW w:w="4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102</w:t>
            </w:r>
          </w:p>
        </w:tc>
        <w:tc>
          <w:tcPr>
            <w:tcW w:w="4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Total other income</w:t>
            </w:r>
          </w:p>
        </w:tc>
        <w:tc>
          <w:tcPr>
            <w:tcW w:w="11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32"/>
              <w:spacing w:after="0" w:line="196" w:lineRule="exact"/>
              <w:rPr>
                <w:sz w:val="20"/>
                <w:szCs w:val="20"/>
                <w:color w:val="auto"/>
              </w:rPr>
            </w:pPr>
            <w:r>
              <w:rPr>
                <w:rFonts w:ascii="Arial" w:cs="Arial" w:eastAsia="Arial" w:hAnsi="Arial"/>
                <w:sz w:val="18"/>
                <w:szCs w:val="18"/>
                <w:color w:val="auto"/>
              </w:rPr>
              <w:t>16,247</w:t>
            </w:r>
          </w:p>
        </w:tc>
        <w:tc>
          <w:tcPr>
            <w:tcW w:w="4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12,784</w:t>
            </w:r>
          </w:p>
        </w:tc>
        <w:tc>
          <w:tcPr>
            <w:tcW w:w="40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loss</w:t>
            </w:r>
          </w:p>
        </w:tc>
        <w:tc>
          <w:tcPr>
            <w:tcW w:w="1100" w:type="dxa"/>
            <w:vAlign w:val="bottom"/>
            <w:tcBorders>
              <w:bottom w:val="single" w:sz="8" w:color="auto"/>
            </w:tcBorders>
          </w:tcPr>
          <w:p>
            <w:pPr>
              <w:jc w:val="right"/>
              <w:ind w:right="856"/>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52"/>
              <w:spacing w:after="0" w:line="196" w:lineRule="exact"/>
              <w:rPr>
                <w:sz w:val="20"/>
                <w:szCs w:val="20"/>
                <w:color w:val="auto"/>
              </w:rPr>
            </w:pPr>
            <w:r>
              <w:rPr>
                <w:rFonts w:ascii="Arial" w:cs="Arial" w:eastAsia="Arial" w:hAnsi="Arial"/>
                <w:sz w:val="18"/>
                <w:szCs w:val="18"/>
                <w:color w:val="auto"/>
              </w:rPr>
              <w:t>(162,451)</w:t>
            </w:r>
          </w:p>
        </w:tc>
        <w:tc>
          <w:tcPr>
            <w:tcW w:w="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(129,474)</w:t>
            </w:r>
          </w:p>
        </w:tc>
        <w:tc>
          <w:tcPr>
            <w:tcW w:w="4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(32,977)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60"/>
        <w:spacing w:after="0" w:line="266" w:lineRule="auto"/>
        <w:rPr>
          <w:sz w:val="20"/>
          <w:szCs w:val="20"/>
          <w:color w:val="auto"/>
        </w:rPr>
      </w:pPr>
      <w:r>
        <w:rPr>
          <w:rFonts w:ascii="Arial" w:cs="Arial" w:eastAsia="Arial" w:hAnsi="Arial"/>
          <w:sz w:val="16"/>
          <w:szCs w:val="16"/>
          <w:color w:val="auto"/>
        </w:rPr>
        <w:t>¹The amounts for the years ended December 31, 2025 and 2024 include one-time milestone payments to Aurigene of $10.0 million and $5.0 million, respectively, pursuant to the Aurigene Agreement. For more information about the Aurigene Agreement, see the section titled “Business—License Agreement with Aurigene."</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summarizes our research and development expenses by functional area for the years ended December 31, 2025 and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320" w:type="dxa"/>
            <w:vAlign w:val="bottom"/>
            <w:tcBorders>
              <w:top w:val="single" w:sz="8" w:color="auto"/>
              <w:bottom w:val="single" w:sz="8" w:color="auto"/>
            </w:tcBorders>
            <w:gridSpan w:val="3"/>
          </w:tcPr>
          <w:p>
            <w:pPr>
              <w:jc w:val="right"/>
              <w:ind w:right="895"/>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top w:val="single" w:sz="8" w:color="auto"/>
            </w:tcBorders>
          </w:tcPr>
          <w:p>
            <w:pPr>
              <w:spacing w:after="0"/>
              <w:rPr>
                <w:sz w:val="15"/>
                <w:szCs w:val="15"/>
                <w:color w:val="auto"/>
              </w:rPr>
            </w:pPr>
          </w:p>
        </w:tc>
        <w:tc>
          <w:tcPr>
            <w:tcW w:w="1420" w:type="dxa"/>
            <w:vAlign w:val="bottom"/>
            <w:tcBorders>
              <w:top w:val="single" w:sz="8" w:color="auto"/>
              <w:bottom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35"/>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40" w:type="dxa"/>
            <w:vAlign w:val="bottom"/>
          </w:tcPr>
          <w:p>
            <w:pPr>
              <w:jc w:val="right"/>
              <w:ind w:right="395"/>
              <w:spacing w:after="0" w:line="155" w:lineRule="exact"/>
              <w:rPr>
                <w:sz w:val="20"/>
                <w:szCs w:val="20"/>
                <w:color w:val="auto"/>
              </w:rPr>
            </w:pPr>
            <w:r>
              <w:rPr>
                <w:rFonts w:ascii="Arial" w:cs="Arial" w:eastAsia="Arial" w:hAnsi="Arial"/>
                <w:sz w:val="14"/>
                <w:szCs w:val="14"/>
                <w:color w:val="auto"/>
              </w:rPr>
              <w:t>(in thousands)</w:t>
            </w:r>
          </w:p>
        </w:tc>
        <w:tc>
          <w:tcPr>
            <w:tcW w:w="5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52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CROs, CMOs and other clinical development related third-party</w:t>
            </w:r>
          </w:p>
        </w:tc>
        <w:tc>
          <w:tcPr>
            <w:tcW w:w="3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vendor expenses</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71,411</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52,166</w:t>
            </w:r>
          </w:p>
        </w:tc>
        <w:tc>
          <w:tcPr>
            <w:tcW w:w="5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19,245</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Compensation and related benefits</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38,714</w:t>
            </w:r>
          </w:p>
        </w:tc>
        <w:tc>
          <w:tcPr>
            <w:tcW w:w="50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26,964</w:t>
            </w:r>
          </w:p>
        </w:tc>
        <w:tc>
          <w:tcPr>
            <w:tcW w:w="520" w:type="dxa"/>
            <w:vAlign w:val="bottom"/>
          </w:tcPr>
          <w:p>
            <w:pPr>
              <w:spacing w:after="0"/>
              <w:rPr>
                <w:sz w:val="17"/>
                <w:szCs w:val="17"/>
                <w:color w:val="auto"/>
              </w:rPr>
            </w:pPr>
          </w:p>
        </w:tc>
        <w:tc>
          <w:tcPr>
            <w:tcW w:w="14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research and development expenses</w:t>
            </w:r>
          </w:p>
        </w:tc>
        <w:tc>
          <w:tcPr>
            <w:tcW w:w="3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75"/>
              <w:spacing w:after="0" w:line="202" w:lineRule="exact"/>
              <w:rPr>
                <w:sz w:val="20"/>
                <w:szCs w:val="20"/>
                <w:color w:val="auto"/>
              </w:rPr>
            </w:pPr>
            <w:r>
              <w:rPr>
                <w:rFonts w:ascii="Arial" w:cs="Arial" w:eastAsia="Arial" w:hAnsi="Arial"/>
                <w:sz w:val="18"/>
                <w:szCs w:val="18"/>
                <w:color w:val="auto"/>
              </w:rPr>
              <w:t>25,408</w:t>
            </w:r>
          </w:p>
        </w:tc>
        <w:tc>
          <w:tcPr>
            <w:tcW w:w="5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23,844</w:t>
            </w:r>
          </w:p>
        </w:tc>
        <w:tc>
          <w:tcPr>
            <w:tcW w:w="52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12,164</w:t>
            </w:r>
          </w:p>
        </w:tc>
        <w:tc>
          <w:tcPr>
            <w:tcW w:w="50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16,543</w:t>
            </w:r>
          </w:p>
        </w:tc>
        <w:tc>
          <w:tcPr>
            <w:tcW w:w="52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03"/>
        </w:trPr>
        <w:tc>
          <w:tcPr>
            <w:tcW w:w="52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Milestone payment made to Aurigene</w:t>
            </w:r>
          </w:p>
        </w:tc>
        <w:tc>
          <w:tcPr>
            <w:tcW w:w="3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75"/>
              <w:spacing w:after="0" w:line="202" w:lineRule="exact"/>
              <w:rPr>
                <w:sz w:val="20"/>
                <w:szCs w:val="20"/>
                <w:color w:val="auto"/>
              </w:rPr>
            </w:pPr>
            <w:r>
              <w:rPr>
                <w:rFonts w:ascii="Arial" w:cs="Arial" w:eastAsia="Arial" w:hAnsi="Arial"/>
                <w:sz w:val="18"/>
                <w:szCs w:val="18"/>
                <w:color w:val="auto"/>
              </w:rPr>
              <w:t>10,000</w:t>
            </w:r>
          </w:p>
        </w:tc>
        <w:tc>
          <w:tcPr>
            <w:tcW w:w="5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5,000</w:t>
            </w:r>
          </w:p>
        </w:tc>
        <w:tc>
          <w:tcPr>
            <w:tcW w:w="5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7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75"/>
              <w:spacing w:after="0" w:line="196" w:lineRule="exact"/>
              <w:rPr>
                <w:sz w:val="20"/>
                <w:szCs w:val="20"/>
                <w:color w:val="auto"/>
              </w:rPr>
            </w:pPr>
            <w:r>
              <w:rPr>
                <w:rFonts w:ascii="Arial" w:cs="Arial" w:eastAsia="Arial" w:hAnsi="Arial"/>
                <w:sz w:val="18"/>
                <w:szCs w:val="18"/>
                <w:color w:val="auto"/>
              </w:rPr>
              <w:t>157,697</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5"/>
              <w:spacing w:after="0" w:line="196" w:lineRule="exact"/>
              <w:rPr>
                <w:sz w:val="20"/>
                <w:szCs w:val="20"/>
                <w:color w:val="auto"/>
              </w:rPr>
            </w:pPr>
            <w:r>
              <w:rPr>
                <w:rFonts w:ascii="Arial" w:cs="Arial" w:eastAsia="Arial" w:hAnsi="Arial"/>
                <w:sz w:val="18"/>
                <w:szCs w:val="18"/>
                <w:color w:val="auto"/>
              </w:rPr>
              <w:t>124,517</w:t>
            </w:r>
          </w:p>
        </w:tc>
        <w:tc>
          <w:tcPr>
            <w:tcW w:w="5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33,180</w:t>
            </w:r>
          </w:p>
        </w:tc>
        <w:tc>
          <w:tcPr>
            <w:tcW w:w="0" w:type="dxa"/>
            <w:vAlign w:val="bottom"/>
          </w:tcPr>
          <w:p>
            <w:pPr>
              <w:spacing w:after="0"/>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52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5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Research and development expenses for the year ended December 31, 2025 were $157.7 million, compared to $124.5 million for the year ended December 31, 2024. The increase of $ 33.2 million was primarily related to (i) increased spending on clinical operations and development-related activities as we continue to advance palazestrant through late-stage clinical trials and OP-3136 in early-stage clinical studies, (ii) an increase of $ 5.0 million in the milestone payment to Aurigene, and (iii) increased personnel-related costs due to higher headcount, partially offset by a decrease in non-cash stock-based compensation expense of $4.4 million mainly due to the lower grant-date fair value of stock options granted during the first three quarters of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and administrative expenses for the year ended December 31, 2025 were $21.0 million compared to $17.7 million for the year ended December 31, 2024. The increase of $3.3 million was primarily related to higher corporate-related costs and personnel-related costs, partially offset by a decrease in non-cash stock-based compensation expense of $0.6 million due to the lower grant-date fair value of stock options granted during the first three quarters of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Other income for the year ended December 31, 2025 was $16.2 million, compared to $ 12.8 million for the year ended December 31, 2024. The increase of $3.4 million was primarily due to an increase in interest income from our marketable securities due to higher investment balance.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$162.5 million and $129.5 million for the years ended December 31, 2025 and 2024, respectively. From our inception through December 31, 2025, we had received aggregate net proceeds of $1.0 billion from sales of our common stock, convertible preferred stock and issuance of convertible promissory notes, stock option exercises, sale of stock through the Company’s 2020 Employee Stock Purchase Plan (ESPP), and borrowings under our Credit Facility, as defined below.</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we had $505.4 million in cash, cash equivalents and marketable securities and accumulated deficit of $597.6 million.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September 5, 2023, we entered into the Original Loan Agreement with the Bank, which provided us with the Original Credit Facility, of which $25.0 million became available in September 2023 as Term Loan A upon the closing of a private placement and issuance of our common stock to selected institutional and accredited investors pursuant to a securities purchase agreement, and the remaining $25.0 million could have been made available upon approval of the Bank in its discretion. The Original Credit Facility was to mature on August 1, 2027. On June 28, 2024, we entered into the First Amendment with the Bank, which, among other things, (i) increased the aggregate principal amount of the Original Credit Facility from up to $50.0 million to up to $100.0 million of which the Term Loan A of $25.0 million was immediately available, an additional $25.0 million will become available upon achieving certain milestones related to the execution of a first-line pivotal Phase 3 clinical trial of palazestrant in combination with ribociclib as Term Loan B, and an additional $ 50.0 million which may be made available upon approval of the Bank in its discretion as Term Loan C, and (ii) extended the maturity date to July 1, 2028. On June 27, 2025, we entered into the Second Amendment with the Bank, which, among other things, (i) decreased the interest rate to a floating rate equal to the greater of 6.0% or the prime rate, and (ii) extended the draw period of Term Loan A to January 15, 2026. As of December 31, 2025, we had an outstanding liability of $3.0 million under the Credit Facility, representing the full amount drawn to date. On January 11, 2026, we entered into the Third Amendment, which, among other things, (i) extended the draw period of Term Loan A to January 31, 2027,</w:t>
      </w: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extended the draw period of Term Loan B to January 31, 2027, (iii) extended the draw period of Term Loan C to January 31, 2027, and</w:t>
      </w:r>
    </w:p>
    <w:p>
      <w:pPr>
        <w:jc w:val="both"/>
        <w:ind w:firstLine="8"/>
        <w:spacing w:after="0" w:line="242" w:lineRule="auto"/>
        <w:tabs>
          <w:tab w:leader="none" w:pos="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extended the Maturity Date to January 1, 2029.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(as so extended) may be further extended to July 1, 2029.</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November 29, 2024, we entered into a securities purchase agreement for a private placement of (i) 19,928,875 shares of our common stock at a price of $9.08 per share and (ii) pre-funded warrants to purchase up to an aggregate of 7,604,163 shares of our common stock at a price of $9.0799 per pre-funded warrant, which represents the per share purchase price of the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us from the 2024 Private Placement were approximately $237.0 million. Of the $13.0 million issuance costs, $6.5 million was paid in the fourth quarter of 2024 and $6.5 million was paid in the first quarter of 2025. Concurrently, on November 29, 2024, we entered in an exchange agreement with an investor and issued to such investor pre-funded warrants to purchase up to 3,420,000 shares of our common stock at an exercise price of $0.0001 per share, in exchange for 3,420,000 shares of our common stock previously outstanding and held by such investor. Thereafter, on January 10, 2025, we entered into exchange agreements with certain investors pursuant to which we issued pre-funded warrants to purchase up to 6,070,000 shares of our common stock at an exercise price of $0.0001 per share, in exchange for 6,070,000 shares of our common stock previously outstanding and held by such investors (Exchange Transactions). Certain holders of pre-funded warrants (together with such holder’s affiliates and other attribution parties) may not exercise pre-funded warrants held by them to the extent that immediately prior to or after giving effect to such exercise such holder would own more than 9.99% of our outstanding common stock immediately after exercise, which percentage may be changed at the holder’s election to a lower or higher percentage not in excess of 19.99% upon 61 days’ notice to us, subject to the terms of the pre-funded warrants. Refer to Note 7 of our notes to the consolidated financial statements contained in this Annual Report for further information regarding the Exchange Transactions.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5, 2024, we entered into a sales agreement (the 2024 Sales Agreement), with Cowen and Company, LLC (Cowen and Company), as sales agent, pursuant to which we were permitted to offer and sell, from time to time, shares of our common stock, having an aggregate offering price of up to $150.0 million (the 2024 ATM Shares). The sales of the 2024 ATM Shares were made as an “at-the-market” (ATM) equity offering as defined in Rule 415(a)(4) promulgated under the Securities Act. We agreed to pay Cowen and Company a commission of up to 3.0% of the aggregate gross proceeds from any 2024 ATM Shares sold by Cowen and Company. During the year ended December 31, 2024, we issued 1,772,278 shares of our common stock under the 2024 Sales Agreement at a weighted-average price of $13.19 for net proceeds of $22.8 million after deducting related issuance costs.</w:t>
      </w:r>
    </w:p>
    <w:p>
      <w:pPr>
        <w:spacing w:after="0" w:line="1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6, 2025, we entered into a sales agreement (the 2025 Sales Agreement) with TD Securities (USA) LLC, (TD Cowen) as sales agent, pursuant to which the Company could offer and sell, from time to time, shares of the Company's common stock, having an aggregate offering price of up to $150.0 million (the 2025 ATM Shares). The 2025 Sales Agreement replaced our 2024 Sales Agreement, and no further sales could be made pursuant to the 2024 Sales Agreement. The sales of the 2025 ATM Shares would be made by any method permitted that is deemed to be an ATM equity offering as defined in Rule 415(a)(4) promulgated under the Securities Act, including sales made directly on or through the Nasdaq Global Select Market. We agreed to pay TD Cowen a commission of up to 3.0% of the aggregate gross proceeds from any 2025 ATM Shares sold by TD Cowen. On December 11, 2025, we entered into Amendment No. 1 to the 2025 Sales Agreement, which increased the maximum aggregate offering price under the ATM program to $200.0 million. As of December 31, 2025, no securities had been sold under the 2025 Sales Agreement.</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November 19, 2025, we completed a follow-on public offering pursuant to which we sold 11,500,000 shares of common stock at a public offering price of $ 19.00 per share, including 1,500,000 shares sold pursuant to the underwriters’ full exercise of their option to purchase additional shares, resulting in aggregate net proceeds of $204.8 million, after deducting underwriting discounts and commissions and estimated offering costs. Sales of our common stock were made under our shelf registration on Form S-3, which we initially filed with the SEC on January 6, 2025 and that was declared effective by the SEC on January 15, 2025.</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developing our commercialization capabilities,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Other than as noted above, we currently have no financing commitments, such as lines of credit or guarantees, that are expected to affect our liquidity over the next five years.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our cash, cash equivalents, and marketable securities as of December 31, 2025, as well as the available balance under the Credit Facility, will enable us to fund our current operating plan through mid-2028. We have based this estimate of cash runway on assumptions that may prove to be wrong, and we could utilize our available capital resources sooner than we expect.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material cash requirements for future periods: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00" w:type="dxa"/>
            <w:vAlign w:val="bottom"/>
            <w:tcBorders>
              <w:top w:val="single" w:sz="8" w:color="auto"/>
            </w:tcBorders>
          </w:tcPr>
          <w:p>
            <w:pPr>
              <w:spacing w:after="0"/>
              <w:rPr>
                <w:sz w:val="15"/>
                <w:szCs w:val="15"/>
                <w:color w:val="auto"/>
              </w:rPr>
            </w:pPr>
          </w:p>
        </w:tc>
        <w:tc>
          <w:tcPr>
            <w:tcW w:w="25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gridSpan w:val="3"/>
          </w:tcPr>
          <w:p>
            <w:pPr>
              <w:jc w:val="center"/>
              <w:ind w:left="581"/>
              <w:spacing w:after="0"/>
              <w:rPr>
                <w:sz w:val="20"/>
                <w:szCs w:val="20"/>
                <w:color w:val="auto"/>
              </w:rPr>
            </w:pPr>
            <w:r>
              <w:rPr>
                <w:rFonts w:ascii="Arial" w:cs="Arial" w:eastAsia="Arial" w:hAnsi="Arial"/>
                <w:sz w:val="14"/>
                <w:szCs w:val="14"/>
                <w:b w:val="1"/>
                <w:bCs w:val="1"/>
                <w:color w:val="auto"/>
              </w:rPr>
              <w:t>Material cash requirements due by period</w:t>
            </w:r>
          </w:p>
        </w:tc>
        <w:tc>
          <w:tcPr>
            <w:tcW w:w="980" w:type="dxa"/>
            <w:vAlign w:val="bottom"/>
            <w:tcBorders>
              <w:top w:val="single" w:sz="8" w:color="auto"/>
              <w:bottom w:val="single" w:sz="8" w:color="auto"/>
            </w:tcBorders>
          </w:tcPr>
          <w:p>
            <w:pPr>
              <w:spacing w:after="0"/>
              <w:rPr>
                <w:sz w:val="15"/>
                <w:szCs w:val="15"/>
                <w:color w:val="auto"/>
              </w:rPr>
            </w:pPr>
          </w:p>
        </w:tc>
      </w:tr>
      <w:tr>
        <w:trPr>
          <w:trHeight w:val="146"/>
        </w:trPr>
        <w:tc>
          <w:tcPr>
            <w:tcW w:w="40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tcPr>
          <w:p>
            <w:pPr>
              <w:jc w:val="center"/>
              <w:ind w:right="561"/>
              <w:spacing w:after="0" w:line="147" w:lineRule="exact"/>
              <w:rPr>
                <w:sz w:val="20"/>
                <w:szCs w:val="20"/>
                <w:color w:val="auto"/>
              </w:rPr>
            </w:pPr>
            <w:r>
              <w:rPr>
                <w:rFonts w:ascii="Arial" w:cs="Arial" w:eastAsia="Arial" w:hAnsi="Arial"/>
                <w:sz w:val="14"/>
                <w:szCs w:val="14"/>
                <w:b w:val="1"/>
                <w:bCs w:val="1"/>
                <w:color w:val="auto"/>
              </w:rPr>
              <w:t>Less than 1</w:t>
            </w:r>
          </w:p>
        </w:tc>
        <w:tc>
          <w:tcPr>
            <w:tcW w:w="1280" w:type="dxa"/>
            <w:vAlign w:val="bottom"/>
          </w:tcPr>
          <w:p>
            <w:pPr>
              <w:jc w:val="center"/>
              <w:ind w:right="219"/>
              <w:spacing w:after="0" w:line="147" w:lineRule="exact"/>
              <w:rPr>
                <w:sz w:val="20"/>
                <w:szCs w:val="20"/>
                <w:color w:val="auto"/>
              </w:rPr>
            </w:pPr>
            <w:r>
              <w:rPr>
                <w:rFonts w:ascii="Arial" w:cs="Arial" w:eastAsia="Arial" w:hAnsi="Arial"/>
                <w:sz w:val="14"/>
                <w:szCs w:val="14"/>
                <w:b w:val="1"/>
                <w:bCs w:val="1"/>
                <w:color w:val="auto"/>
              </w:rPr>
              <w:t>More than 1</w:t>
            </w: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1"/>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center"/>
              <w:ind w:right="541"/>
              <w:spacing w:after="0"/>
              <w:rPr>
                <w:sz w:val="20"/>
                <w:szCs w:val="20"/>
                <w:color w:val="auto"/>
              </w:rPr>
            </w:pPr>
            <w:r>
              <w:rPr>
                <w:rFonts w:ascii="Arial" w:cs="Arial" w:eastAsia="Arial" w:hAnsi="Arial"/>
                <w:sz w:val="14"/>
                <w:szCs w:val="14"/>
                <w:b w:val="1"/>
                <w:bCs w:val="1"/>
                <w:color w:val="auto"/>
              </w:rPr>
              <w:t>year</w:t>
            </w:r>
          </w:p>
        </w:tc>
        <w:tc>
          <w:tcPr>
            <w:tcW w:w="12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year</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Total</w:t>
            </w:r>
          </w:p>
        </w:tc>
      </w:tr>
      <w:tr>
        <w:trPr>
          <w:trHeight w:val="196"/>
        </w:trPr>
        <w:tc>
          <w:tcPr>
            <w:tcW w:w="4000" w:type="dxa"/>
            <w:vAlign w:val="bottom"/>
          </w:tcPr>
          <w:p>
            <w:pPr>
              <w:ind w:left="100"/>
              <w:spacing w:after="0" w:line="196" w:lineRule="exact"/>
              <w:rPr>
                <w:sz w:val="20"/>
                <w:szCs w:val="20"/>
                <w:color w:val="auto"/>
              </w:rPr>
            </w:pPr>
            <w:r>
              <w:rPr>
                <w:rFonts w:ascii="Arial" w:cs="Arial" w:eastAsia="Arial" w:hAnsi="Arial"/>
                <w:sz w:val="18"/>
                <w:szCs w:val="18"/>
                <w:color w:val="auto"/>
              </w:rPr>
              <w:t>Credit Facility</w:t>
            </w:r>
          </w:p>
        </w:tc>
        <w:tc>
          <w:tcPr>
            <w:tcW w:w="27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
              <w:spacing w:after="0" w:line="196" w:lineRule="exact"/>
              <w:rPr>
                <w:sz w:val="20"/>
                <w:szCs w:val="20"/>
                <w:color w:val="auto"/>
              </w:rPr>
            </w:pPr>
            <w:r>
              <w:rPr>
                <w:rFonts w:ascii="Arial" w:cs="Arial" w:eastAsia="Arial" w:hAnsi="Arial"/>
                <w:sz w:val="18"/>
                <w:szCs w:val="18"/>
                <w:color w:val="auto"/>
              </w:rPr>
              <w:t>—   $</w:t>
            </w:r>
          </w:p>
        </w:tc>
        <w:tc>
          <w:tcPr>
            <w:tcW w:w="1280" w:type="dxa"/>
            <w:vAlign w:val="bottom"/>
          </w:tcPr>
          <w:p>
            <w:pPr>
              <w:jc w:val="right"/>
              <w:ind w:right="39"/>
              <w:spacing w:after="0" w:line="196" w:lineRule="exact"/>
              <w:rPr>
                <w:sz w:val="20"/>
                <w:szCs w:val="20"/>
                <w:color w:val="auto"/>
              </w:rPr>
            </w:pPr>
            <w:r>
              <w:rPr>
                <w:rFonts w:ascii="Arial" w:cs="Arial" w:eastAsia="Arial" w:hAnsi="Arial"/>
                <w:sz w:val="18"/>
                <w:szCs w:val="18"/>
                <w:color w:val="auto"/>
              </w:rPr>
              <w:t>3,000</w:t>
            </w:r>
          </w:p>
        </w:tc>
        <w:tc>
          <w:tcPr>
            <w:tcW w:w="62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3,000</w:t>
            </w:r>
          </w:p>
        </w:tc>
      </w:tr>
      <w:tr>
        <w:trPr>
          <w:trHeight w:val="243"/>
        </w:trPr>
        <w:tc>
          <w:tcPr>
            <w:tcW w:w="4000" w:type="dxa"/>
            <w:vAlign w:val="bottom"/>
            <w:tcBorders>
              <w:bottom w:val="single" w:sz="8" w:color="auto"/>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Operating leases</w:t>
            </w:r>
          </w:p>
        </w:tc>
        <w:tc>
          <w:tcPr>
            <w:tcW w:w="25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41"/>
              <w:spacing w:after="0" w:line="202" w:lineRule="exact"/>
              <w:rPr>
                <w:sz w:val="20"/>
                <w:szCs w:val="20"/>
                <w:color w:val="auto"/>
              </w:rPr>
            </w:pPr>
            <w:r>
              <w:rPr>
                <w:rFonts w:ascii="Arial" w:cs="Arial" w:eastAsia="Arial" w:hAnsi="Arial"/>
                <w:sz w:val="18"/>
                <w:szCs w:val="18"/>
                <w:color w:val="auto"/>
              </w:rPr>
              <w:t>1,172</w:t>
            </w:r>
          </w:p>
        </w:tc>
        <w:tc>
          <w:tcPr>
            <w:tcW w:w="128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69</w:t>
            </w:r>
          </w:p>
        </w:tc>
        <w:tc>
          <w:tcPr>
            <w:tcW w:w="6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1,241</w:t>
            </w:r>
          </w:p>
        </w:tc>
      </w:tr>
    </w:tbl>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under the Aurigene Agreement, we have payment obligations that are contingent upon future events such as the achievement of specified development, regulatory and commercial milestones. Financial terms of the Aurigene Agreement include remaining potential future milestone payments of up to $45.0 million in clinical development and regulatory milestones, and up to $ 370.0 million in commercial milestones. Aurigene is also eligible to receive mid-single digit to the low double digit royalties as percentages of product sales, if any. The amount and timing of milestone obligations are unknown or uncertain as we are unable to estimate the timing or likelihood of achieving the milestone events. Additionally, the amount of royalty payments are based upon future product sales, which we are unable to predict with certainty. These potential obligations are further described in Note 12 to our audited consolidated financial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enter into contracts in the normal course of business with CROs and clinical sites for the conduct of clinical trials, non-clinical research studies, professional consultants for expert advice and other vendors for clinical supply manufacturing or other services. These contracts generally provide for termination on notice, and therefore are cancelable contracts.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46"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timing and outcome of regulatory review of our product candidates;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4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54"/>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right="20" w:hanging="503"/>
        <w:spacing w:after="0" w:line="270" w:lineRule="auto"/>
        <w:tabs>
          <w:tab w:leader="none" w:pos="102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116" w:lineRule="exact"/>
        <w:rPr>
          <w:rFonts w:ascii="Times New Roman" w:cs="Times New Roman" w:eastAsia="Times New Roman" w:hAnsi="Times New Roman"/>
          <w:sz w:val="18"/>
          <w:szCs w:val="18"/>
          <w:color w:val="231F20"/>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116" w:lineRule="exact"/>
        <w:rPr>
          <w:rFonts w:ascii="Times New Roman" w:cs="Times New Roman" w:eastAsia="Times New Roman" w:hAnsi="Times New Roman"/>
          <w:sz w:val="18"/>
          <w:szCs w:val="18"/>
          <w:color w:val="231F20"/>
        </w:rPr>
      </w:pPr>
    </w:p>
    <w:p>
      <w:pPr>
        <w:ind w:left="1020" w:hanging="503"/>
        <w:spacing w:after="0" w:line="270" w:lineRule="auto"/>
        <w:tabs>
          <w:tab w:leader="none" w:pos="1020" w:val="left"/>
        </w:tabs>
        <w:numPr>
          <w:ilvl w:val="0"/>
          <w:numId w:val="55"/>
        </w:numPr>
        <w:rPr>
          <w:rFonts w:ascii="Times New Roman" w:cs="Times New Roman" w:eastAsia="Times New Roman" w:hAnsi="Times New Roman"/>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For example, our Loan Agreement includes covenants limiting our ability to, among other things, fund future acquisitions, make dividend payments, or obtain additional financing.</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5"/>
                <w:szCs w:val="15"/>
                <w:color w:val="auto"/>
              </w:rPr>
            </w:pPr>
          </w:p>
        </w:tc>
        <w:tc>
          <w:tcPr>
            <w:tcW w:w="3240" w:type="dxa"/>
            <w:vAlign w:val="bottom"/>
            <w:tcBorders>
              <w:top w:val="single" w:sz="8" w:color="auto"/>
              <w:bottom w:val="single" w:sz="8" w:color="auto"/>
            </w:tcBorders>
            <w:gridSpan w:val="3"/>
          </w:tcPr>
          <w:p>
            <w:pPr>
              <w:jc w:val="right"/>
              <w:ind w:right="874"/>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55"/>
        </w:trPr>
        <w:tc>
          <w:tcPr>
            <w:tcW w:w="7600" w:type="dxa"/>
            <w:vAlign w:val="bottom"/>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56"/>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74"/>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(146,716)</w:t>
            </w:r>
          </w:p>
        </w:tc>
        <w:tc>
          <w:tcPr>
            <w:tcW w:w="4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(104,351)</w:t>
            </w:r>
          </w:p>
        </w:tc>
        <w:tc>
          <w:tcPr>
            <w:tcW w:w="0" w:type="dxa"/>
            <w:vAlign w:val="bottom"/>
          </w:tcPr>
          <w:p>
            <w:pPr>
              <w:spacing w:after="0"/>
              <w:rPr>
                <w:sz w:val="1"/>
                <w:szCs w:val="1"/>
                <w:color w:val="auto"/>
              </w:rPr>
            </w:pPr>
          </w:p>
        </w:tc>
      </w:tr>
      <w:tr>
        <w:trPr>
          <w:trHeight w:val="203"/>
        </w:trPr>
        <w:tc>
          <w:tcPr>
            <w:tcW w:w="76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7"/>
                <w:szCs w:val="17"/>
                <w:color w:val="auto"/>
              </w:rPr>
            </w:pPr>
          </w:p>
        </w:tc>
        <w:tc>
          <w:tcPr>
            <w:tcW w:w="14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(155,760)</w:t>
            </w:r>
          </w:p>
        </w:tc>
        <w:tc>
          <w:tcPr>
            <w:tcW w:w="4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(93,526)</w:t>
            </w:r>
          </w:p>
        </w:tc>
        <w:tc>
          <w:tcPr>
            <w:tcW w:w="0" w:type="dxa"/>
            <w:vAlign w:val="bottom"/>
          </w:tcPr>
          <w:p>
            <w:pPr>
              <w:spacing w:after="0"/>
              <w:rPr>
                <w:sz w:val="1"/>
                <w:szCs w:val="1"/>
                <w:color w:val="auto"/>
              </w:rPr>
            </w:pPr>
          </w:p>
        </w:tc>
      </w:tr>
      <w:tr>
        <w:trPr>
          <w:trHeight w:val="203"/>
        </w:trPr>
        <w:tc>
          <w:tcPr>
            <w:tcW w:w="76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96"/>
              <w:spacing w:after="0" w:line="202" w:lineRule="exact"/>
              <w:rPr>
                <w:sz w:val="20"/>
                <w:szCs w:val="20"/>
                <w:color w:val="auto"/>
              </w:rPr>
            </w:pPr>
            <w:r>
              <w:rPr>
                <w:rFonts w:ascii="Arial" w:cs="Arial" w:eastAsia="Arial" w:hAnsi="Arial"/>
                <w:sz w:val="18"/>
                <w:szCs w:val="18"/>
                <w:color w:val="auto"/>
              </w:rPr>
              <w:t>211,297</w:t>
            </w:r>
          </w:p>
        </w:tc>
        <w:tc>
          <w:tcPr>
            <w:tcW w:w="4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268,818</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color w:val="auto"/>
              </w:rPr>
              <w:t>(91,179)</w:t>
            </w:r>
          </w:p>
        </w:tc>
        <w:tc>
          <w:tcPr>
            <w:tcW w:w="4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70,941</w:t>
            </w:r>
          </w:p>
        </w:tc>
        <w:tc>
          <w:tcPr>
            <w:tcW w:w="0" w:type="dxa"/>
            <w:vAlign w:val="bottom"/>
          </w:tcPr>
          <w:p>
            <w:pPr>
              <w:spacing w:after="0"/>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19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Net cash used in operating activities during the year ended December 31, 2025 consisted primarily of our net loss of $162.5 million and non-cash interest income on our marketable securities of $6.3 million, offset by non-cash charges of $18.0 million and net increase in operating assets and liabilities of $4.0 million. The net loss consisted primarily of $157.7 million in research and development expenses and $ 21.0 million in general and administrative expenses. The non-cash charges consisted primarily of stock-based compensation expense of $17.6 million, depreciation and amortization expenses of $ 0.5 million, and non-cash lease expense of less than $0.1 million, net of cash payments of $1.2 million. The net increase in operating assets and liabilities was primarily due to (i) an increase of $11.0 million in other current liabilities, which is primarily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520"/>
        <w:spacing w:after="0" w:line="244" w:lineRule="auto"/>
        <w:rPr>
          <w:sz w:val="20"/>
          <w:szCs w:val="20"/>
          <w:color w:val="auto"/>
        </w:rPr>
      </w:pPr>
      <w:r>
        <w:rPr>
          <w:rFonts w:ascii="Arial" w:cs="Arial" w:eastAsia="Arial" w:hAnsi="Arial"/>
          <w:sz w:val="18"/>
          <w:szCs w:val="18"/>
          <w:color w:val="auto"/>
        </w:rPr>
        <w:t>related to increased spending on clinical development-related activities as we advanced palazestrant through late-stage clinical trials, including initiation activities for OPERA-02, and the OP-3136 program, and (ii) an increase of $ 4.6 million in accounts payable, which is primarily related to timing of invoicing by vendors and related payments. These increases were partially offset by (i) an increase of $6.1 million in other assets and long-term deposits due to project deposits paid to CROs as we advance the OP-3136 program and conduct initiation activities for OPERA-02, and (ii) an increase in prepaid expenses and other current assets of $5.4 million.</w:t>
      </w:r>
    </w:p>
    <w:p>
      <w:pPr>
        <w:spacing w:after="0" w:line="17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Net cash used in operating activities during the year ended December 31, 2024 consisted primarily of our net loss of $129.5 million and non-cash interest income on our marketable securities of $8.2 million, offset by non-cash charges of $23.0 million and net increase in operating assets and liabilities of $10.3 million. The net loss consisted primarily of $124.5 million in research and development expenses and $17.7 million in general and administrative expenses. The non-cash charges consisted primarily of stock-based compensation expense of $22.6 million, depreciation and amortization expenses of $0.4 million, and non-cash lease expense of less than $0.1 million, net of cash payments of $1.2 million. The net increase in operating assets and liabilities was primarily due to (i) an increase of $11.2 million in accrued and other current liabilities and (ii) an increase of $2.5 million in accounts payable, which is primarily resulted from timing of invoicing by vendors and related payments. The changes are mainly offset by (i) an increase of $3.0 million in other assets and long-term deposits and (ii) an increase of $0.4 million in prepaid expenses and other current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2025 was predominantly due to purchases of marketable securities which were partially offset by maturities of marketable securities.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investing activities during the year ended December 31, 2024 was predominantly due to purchases of marketable securities which were partially offset by maturities of marketable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Net cash provided by financing activities during the year ended December 31, 2025 was predominantly due to the $205.4 million in net proceeds from our follow-on public offering in November 2025, $8.4 million from the exercise of stock options, $ 3.0 million draw down under our Credit Facility and $1.0 million from the sale of our common stock under the ESPP, partially offset by $6.5 million payment of issuance costs previously accrued in connection with the 2024 Private Placement.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financing activities during the year ended December 31, 2024 consists of $243.5 million in net proceeds from the 2024 Private Placement, $22.8 million in net proceeds from the sale of ATM Shares, $1.7 million from the exercise of stock options, and $0.9 million from the sale of our common stock under the ESPP.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elsewhere in this Annual Report, we believe that the following accounting policies are those most critical to the judgments and estimates used in the preparation of our audited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21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reviewing purchase orders and open contracts, communicating with our personnel and service providers to identify services that have been performed on our behalf and estimating the level of service performed and the associated cost incurred for the services when we have not yet been invoiced or otherwise notified of the actual cost. The majority of our service providers invoice us monthly in arrears for services performed or when contractual milestones are met; however, some require advance payments. We make estimates of our accrued expenses as of each balance sheet date in our consolidated financial statements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CROs and CMOs among others, in connection with research and development activities for which we have not yet been invoiced. We contract with CROs and CMOs to conduct clinical and manufacturing and other research and development services on our behalf. We base our expenses related to CROs and CMOs on our estimates of the services received and efforts expended pursuant to quotes and contracts with them. The financial terms of these agreements are subject to negotiation, vary from contract to contract and may result in uneven payment flows. There may be instances in which payments made to our CROs or CMOs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amount of prepaid expense accordingly. Non-refundable advance payments for goods and services that will be used in future research and development activities are expensed when the activity has been performed or when the goods have been received rather than when the payment is made.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there have been no material differences between our estimates of such expenses and the amounts actually incurred.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Because our annual revenue was less than $100.0 million in 2025 and the market value of our voting and non-voting common stock held by non-affiliates was less than $700.0 million measured on the last business day of our second fiscal quarter in 2025, we qualify as a “smaller reporting company” as defined in the Exchange Act. We took advantage of certain of the scaled disclosures available to smaller reporting companies including, among other things, not being required to comply with the auditor attestation requirements of Section 404 of the Sarbanes-Oxley Act (Section 404), presenting only the two most recent fiscal years of audited financial statements in our Annual Report on Form 10-K and presenting reduced disclosure obligations regarding executive compensation in our periodic reports and proxy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Note 2 to our consolidated financial statements contained in this Annual Report for a description of recent accounting pronouncements applicable to our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of December 31, 2025 and 2024, we had cash, cash equivalents and marketable securities of $ 505.4 million and $ 434.1 million, respectively. We generally hold our cash in interest-bearing bank accounts and money market funds. Our primary exposure to market risk is interest rate sensitivity, which is affected by changes in the general level of U.S. interest rates. An immediate 100 basis point change in interest rates as of December 31, 2025 would not have a material effect on the fair market value of our cash, cash equivalents and marketable securities.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2025, we had an outstanding long-term borrowing under our Credit Facility of $3.0 million which bears interest at a rate per annum equal to the greater of (i) 6.0% and (ii) the prime rate. An immediate 100 basis point change in the prime rate as of December 31, 2025 would not have a material effect on the fair market value of our long-term borrowing.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 risk</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deposit cash and cash equivalents with financial institutions we believe to be of high credit quality to minimize risk with respect to any amounts in excess of insurance limitations. Cash amounts held at these financial institutions are insured by the Federal Deposit Insurance Corporation up to $250,000.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expenses are generally denominated in U.S. dollars. To date, we have not had any significant foreign currency transactions, and we do not have a formal hedging program with respect to foreign currency. A 10.0% increase or decrease in current exchange rates would not have a material effect on our financial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Inflation generally affects us by increasing our cost of labor and research and development costs. We do not believe that inflation has had a material effect on our results of operations during the periods presented.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Page</w:t>
            </w:r>
          </w:p>
        </w:tc>
      </w:tr>
      <w:tr>
        <w:trPr>
          <w:trHeight w:val="214"/>
        </w:trPr>
        <w:tc>
          <w:tcPr>
            <w:tcW w:w="9700" w:type="dxa"/>
            <w:vAlign w:val="bottom"/>
            <w:gridSpan w:val="7"/>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(Ernst &amp; Young LLP, New Jersey, PCAOB ID No. 42)</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145</w:t>
            </w:r>
          </w:p>
        </w:tc>
      </w:tr>
      <w:tr>
        <w:trPr>
          <w:trHeight w:val="250"/>
        </w:trPr>
        <w:tc>
          <w:tcPr>
            <w:tcW w:w="466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FF"/>
              </w:rPr>
              <w:t>Consolidated Balance Sheets</w:t>
            </w:r>
          </w:p>
        </w:tc>
        <w:tc>
          <w:tcPr>
            <w:tcW w:w="5040" w:type="dxa"/>
            <w:vAlign w:val="bottom"/>
            <w:gridSpan w:val="2"/>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147</w:t>
            </w:r>
          </w:p>
        </w:tc>
      </w:tr>
      <w:tr>
        <w:trPr>
          <w:trHeight w:val="20"/>
        </w:trPr>
        <w:tc>
          <w:tcPr>
            <w:tcW w:w="23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52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Consolidated Statements of Operations and Comprehensive Loss</w:t>
            </w:r>
          </w:p>
        </w:tc>
        <w:tc>
          <w:tcPr>
            <w:tcW w:w="446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148</w:t>
            </w:r>
          </w:p>
        </w:tc>
      </w:tr>
      <w:tr>
        <w:trPr>
          <w:trHeight w:val="250"/>
        </w:trPr>
        <w:tc>
          <w:tcPr>
            <w:tcW w:w="39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Consolidated Statements of Stockholders’ Equity</w:t>
            </w:r>
          </w:p>
        </w:tc>
        <w:tc>
          <w:tcPr>
            <w:tcW w:w="5800" w:type="dxa"/>
            <w:vAlign w:val="bottom"/>
            <w:gridSpan w:val="3"/>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149</w:t>
            </w:r>
          </w:p>
        </w:tc>
      </w:tr>
      <w:tr>
        <w:trPr>
          <w:trHeight w:val="250"/>
        </w:trPr>
        <w:tc>
          <w:tcPr>
            <w:tcW w:w="970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150</w:t>
            </w:r>
          </w:p>
        </w:tc>
      </w:tr>
      <w:tr>
        <w:trPr>
          <w:trHeight w:val="20"/>
        </w:trPr>
        <w:tc>
          <w:tcPr>
            <w:tcW w:w="322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0"/>
        </w:trPr>
        <w:tc>
          <w:tcPr>
            <w:tcW w:w="970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151</w:t>
            </w:r>
          </w:p>
        </w:tc>
      </w:tr>
      <w:tr>
        <w:trPr>
          <w:trHeight w:val="902"/>
        </w:trPr>
        <w:tc>
          <w:tcPr>
            <w:tcW w:w="3500" w:type="dxa"/>
            <w:vAlign w:val="bottom"/>
            <w:tcBorders>
              <w:top w:val="single" w:sz="8" w:color="0000FF"/>
            </w:tcBorders>
            <w:gridSpan w:val="3"/>
          </w:tcPr>
          <w:p>
            <w:pPr>
              <w:spacing w:after="0"/>
              <w:rPr>
                <w:sz w:val="24"/>
                <w:szCs w:val="24"/>
                <w:color w:val="auto"/>
              </w:rPr>
            </w:pPr>
          </w:p>
        </w:tc>
        <w:tc>
          <w:tcPr>
            <w:tcW w:w="6200" w:type="dxa"/>
            <w:vAlign w:val="bottom"/>
            <w:gridSpan w:val="4"/>
          </w:tcPr>
          <w:p>
            <w:pPr>
              <w:jc w:val="right"/>
              <w:ind w:right="3920"/>
              <w:spacing w:after="0"/>
              <w:rPr>
                <w:sz w:val="20"/>
                <w:szCs w:val="20"/>
                <w:color w:val="auto"/>
              </w:rPr>
            </w:pPr>
            <w:r>
              <w:rPr>
                <w:rFonts w:ascii="Arial" w:cs="Arial" w:eastAsia="Arial" w:hAnsi="Arial"/>
                <w:sz w:val="18"/>
                <w:szCs w:val="18"/>
                <w:color w:val="auto"/>
              </w:rPr>
              <w:t>144</w:t>
            </w:r>
          </w:p>
        </w:tc>
        <w:tc>
          <w:tcPr>
            <w:tcW w:w="1540" w:type="dxa"/>
            <w:vAlign w:val="bottom"/>
          </w:tcPr>
          <w:p>
            <w:pPr>
              <w:spacing w:after="0"/>
              <w:rPr>
                <w:sz w:val="24"/>
                <w:szCs w:val="24"/>
                <w:color w:val="auto"/>
              </w:rPr>
            </w:pPr>
          </w:p>
        </w:tc>
      </w:tr>
      <w:tr>
        <w:trPr>
          <w:trHeight w:val="745"/>
        </w:trPr>
        <w:tc>
          <w:tcPr>
            <w:tcW w:w="23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Olema Pharmaceuticals, Inc.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audited the accompanying consolidated balance sheets of Olema Pharmaceuticals, Inc. (the Company) as of December 31, 2025 and 2024, the related consolidated statements of operations and comprehensive loss,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81" w:lineRule="exact"/>
        <w:rPr>
          <w:sz w:val="20"/>
          <w:szCs w:val="20"/>
          <w:color w:val="auto"/>
        </w:rPr>
      </w:pPr>
    </w:p>
    <w:p>
      <w:pPr>
        <w:ind w:left="2460"/>
        <w:spacing w:after="0"/>
        <w:rPr>
          <w:sz w:val="20"/>
          <w:szCs w:val="20"/>
          <w:color w:val="auto"/>
        </w:rPr>
      </w:pPr>
      <w:r>
        <w:rPr>
          <w:rFonts w:ascii="Arial" w:cs="Arial" w:eastAsia="Arial" w:hAnsi="Arial"/>
          <w:sz w:val="18"/>
          <w:szCs w:val="18"/>
          <w:b w:val="1"/>
          <w:bCs w:val="1"/>
          <w:i w:val="1"/>
          <w:iCs w:val="1"/>
          <w:color w:val="auto"/>
        </w:rPr>
        <w:t>Clinical Trial Accrual</w:t>
      </w:r>
    </w:p>
    <w:p>
      <w:pPr>
        <w:spacing w:after="0" w:line="223" w:lineRule="exact"/>
        <w:rPr>
          <w:sz w:val="20"/>
          <w:szCs w:val="20"/>
          <w:color w:val="auto"/>
        </w:rPr>
      </w:pPr>
    </w:p>
    <w:p>
      <w:pPr>
        <w:jc w:val="both"/>
        <w:ind w:left="2460" w:right="100" w:hanging="2348"/>
        <w:spacing w:after="0" w:line="247" w:lineRule="auto"/>
        <w:tabs>
          <w:tab w:leader="none" w:pos="24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2 in the consolidated financial statements, the Company enters into contracts with contract research organizations (CROs) to conduct clinical services on their behalf. Judgments and estimates are required to determine the amounts accrued for estimated ongoing research and development costs. The Company analyzes the progress of the studies or clinical trials, including the phase 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2460"/>
        <w:spacing w:after="0"/>
        <w:rPr>
          <w:sz w:val="20"/>
          <w:szCs w:val="20"/>
          <w:color w:val="auto"/>
        </w:rPr>
      </w:pPr>
      <w:r>
        <w:rPr>
          <w:rFonts w:ascii="Arial" w:cs="Arial" w:eastAsia="Arial" w:hAnsi="Arial"/>
          <w:sz w:val="18"/>
          <w:szCs w:val="18"/>
          <w:color w:val="auto"/>
        </w:rPr>
        <w:t>completion of activities, invoices received and contracted costs. Auditing the Company’s accrual for clinical trial costs is complex since the information necessary to estimate the accruals is accumulated from the CROs and the Company's assessment of that information is subject to variability and uncertainty. In addition, in certain circumstances, the determination of the nature and amounts of services that have been received during the reporting period requires judgment because the timing and pattern of vendor invoicing does not correspond to the level of services provided, and there may be delays in invoicing from clinical study sites and other vendors.</w:t>
      </w:r>
    </w:p>
    <w:p>
      <w:pPr>
        <w:spacing w:after="0" w:line="185" w:lineRule="exact"/>
        <w:rPr>
          <w:sz w:val="20"/>
          <w:szCs w:val="20"/>
          <w:color w:val="auto"/>
        </w:rPr>
      </w:pPr>
    </w:p>
    <w:p>
      <w:pPr>
        <w:ind w:left="100"/>
        <w:spacing w:after="0"/>
        <w:tabs>
          <w:tab w:leader="none" w:pos="24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8"/>
          <w:szCs w:val="18"/>
          <w:color w:val="auto"/>
        </w:rPr>
        <w:t>To test the clinical trial accrual, our audit procedures included, among others, reading a sample of the</w:t>
      </w:r>
    </w:p>
    <w:p>
      <w:pPr>
        <w:spacing w:after="0" w:line="14" w:lineRule="exact"/>
        <w:rPr>
          <w:sz w:val="20"/>
          <w:szCs w:val="20"/>
          <w:color w:val="auto"/>
        </w:rPr>
      </w:pPr>
    </w:p>
    <w:p>
      <w:pPr>
        <w:jc w:val="both"/>
        <w:ind w:left="2460" w:hanging="2348"/>
        <w:spacing w:after="0" w:line="236" w:lineRule="auto"/>
        <w:tabs>
          <w:tab w:leader="none" w:pos="24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Company’s contracts with the CROs to understand key financial and contractual terms and testing the accuracy and completeness of the underlying data used in the accrual computations. We also evaluated management’s estimates of the vendor’s progress for a sample of clinical trials by inquiring of the Company’s operations personnel overseeing the clinical trials and obtaining information directly from third party vendors regarding their estimate of costs that have been incurred through December 31, 2025. We analyzed the data underlying the accrual balance to evaluate the impact of reasonable changes in the data on the recorded amount of the clinical trial accrual. To evaluate the completeness of the accruals, we also examined subsequent invoices from the service providers and cash disbursements to the service providers, to the extent such invoices were received, or payments were made prior to the date that the consolidated financial statements were issued.</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16, 2026</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6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top w:val="single" w:sz="8" w:color="auto"/>
              <w:bottom w:val="single" w:sz="8" w:color="auto"/>
            </w:tcBorders>
          </w:tcPr>
          <w:p>
            <w:pPr>
              <w:spacing w:after="0"/>
              <w:rPr>
                <w:sz w:val="15"/>
                <w:szCs w:val="15"/>
                <w:color w:val="auto"/>
              </w:rPr>
            </w:pPr>
          </w:p>
        </w:tc>
      </w:tr>
      <w:tr>
        <w:trPr>
          <w:trHeight w:val="156"/>
        </w:trPr>
        <w:tc>
          <w:tcPr>
            <w:tcW w:w="77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1"/>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48,301</w:t>
            </w:r>
          </w:p>
        </w:tc>
        <w:tc>
          <w:tcPr>
            <w:tcW w:w="560" w:type="dxa"/>
            <w:vAlign w:val="bottom"/>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139,480</w:t>
            </w: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7"/>
                <w:szCs w:val="17"/>
                <w:color w:val="auto"/>
              </w:rPr>
            </w:pP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457,136</w:t>
            </w:r>
          </w:p>
        </w:tc>
        <w:tc>
          <w:tcPr>
            <w:tcW w:w="56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294,606</w:t>
            </w:r>
          </w:p>
        </w:tc>
      </w:tr>
      <w:tr>
        <w:trPr>
          <w:trHeight w:val="203"/>
        </w:trPr>
        <w:tc>
          <w:tcPr>
            <w:tcW w:w="7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231F20"/>
            </w:tcBorders>
            <w:shd w:val="clear" w:color="auto" w:fill="CFF0FC"/>
          </w:tcPr>
          <w:p>
            <w:pPr>
              <w:spacing w:after="0"/>
              <w:rPr>
                <w:sz w:val="17"/>
                <w:szCs w:val="17"/>
                <w:color w:val="auto"/>
              </w:rPr>
            </w:pPr>
          </w:p>
        </w:tc>
        <w:tc>
          <w:tcPr>
            <w:tcW w:w="1360" w:type="dxa"/>
            <w:vAlign w:val="bottom"/>
            <w:tcBorders>
              <w:bottom w:val="single" w:sz="8" w:color="231F20"/>
            </w:tcBorders>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10,015</w:t>
            </w:r>
          </w:p>
        </w:tc>
        <w:tc>
          <w:tcPr>
            <w:tcW w:w="560" w:type="dxa"/>
            <w:vAlign w:val="bottom"/>
            <w:tcBorders>
              <w:bottom w:val="single" w:sz="8" w:color="231F20"/>
            </w:tcBorders>
            <w:shd w:val="clear" w:color="auto" w:fill="CFF0FC"/>
          </w:tcPr>
          <w:p>
            <w:pPr>
              <w:spacing w:after="0"/>
              <w:rPr>
                <w:sz w:val="17"/>
                <w:szCs w:val="17"/>
                <w:color w:val="auto"/>
              </w:rPr>
            </w:pPr>
          </w:p>
        </w:tc>
        <w:tc>
          <w:tcPr>
            <w:tcW w:w="1200" w:type="dxa"/>
            <w:vAlign w:val="bottom"/>
            <w:tcBorders>
              <w:bottom w:val="single" w:sz="8" w:color="231F20"/>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4,387</w:t>
            </w:r>
          </w:p>
        </w:tc>
      </w:tr>
      <w:tr>
        <w:trPr>
          <w:trHeight w:val="196"/>
        </w:trPr>
        <w:tc>
          <w:tcPr>
            <w:tcW w:w="7760" w:type="dxa"/>
            <w:vAlign w:val="bottom"/>
          </w:tcPr>
          <w:p>
            <w:pPr>
              <w:ind w:left="400"/>
              <w:spacing w:after="0" w:line="196" w:lineRule="exact"/>
              <w:rPr>
                <w:sz w:val="20"/>
                <w:szCs w:val="20"/>
                <w:color w:val="auto"/>
              </w:rPr>
            </w:pPr>
            <w:r>
              <w:rPr>
                <w:rFonts w:ascii="Arial" w:cs="Arial" w:eastAsia="Arial" w:hAnsi="Arial"/>
                <w:sz w:val="18"/>
                <w:szCs w:val="18"/>
                <w:color w:val="auto"/>
              </w:rPr>
              <w:t>Total current assets</w:t>
            </w:r>
          </w:p>
        </w:tc>
        <w:tc>
          <w:tcPr>
            <w:tcW w:w="360" w:type="dxa"/>
            <w:vAlign w:val="bottom"/>
          </w:tcPr>
          <w:p>
            <w:pPr>
              <w:spacing w:after="0"/>
              <w:rPr>
                <w:sz w:val="17"/>
                <w:szCs w:val="17"/>
                <w:color w:val="auto"/>
              </w:rPr>
            </w:pPr>
          </w:p>
        </w:tc>
        <w:tc>
          <w:tcPr>
            <w:tcW w:w="1360" w:type="dxa"/>
            <w:vAlign w:val="bottom"/>
          </w:tcPr>
          <w:p>
            <w:pPr>
              <w:jc w:val="right"/>
              <w:ind w:right="92"/>
              <w:spacing w:after="0" w:line="196" w:lineRule="exact"/>
              <w:rPr>
                <w:sz w:val="20"/>
                <w:szCs w:val="20"/>
                <w:color w:val="auto"/>
              </w:rPr>
            </w:pPr>
            <w:r>
              <w:rPr>
                <w:rFonts w:ascii="Arial" w:cs="Arial" w:eastAsia="Arial" w:hAnsi="Arial"/>
                <w:sz w:val="18"/>
                <w:szCs w:val="18"/>
                <w:color w:val="auto"/>
              </w:rPr>
              <w:t>515,452</w:t>
            </w:r>
          </w:p>
        </w:tc>
        <w:tc>
          <w:tcPr>
            <w:tcW w:w="560" w:type="dxa"/>
            <w:vAlign w:val="bottom"/>
          </w:tcPr>
          <w:p>
            <w:pPr>
              <w:spacing w:after="0"/>
              <w:rPr>
                <w:sz w:val="17"/>
                <w:szCs w:val="17"/>
                <w:color w:val="auto"/>
              </w:rPr>
            </w:pPr>
          </w:p>
        </w:tc>
        <w:tc>
          <w:tcPr>
            <w:tcW w:w="12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438,473</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1,146</w:t>
            </w: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1,314</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Other assets and long-term deposits</w:t>
            </w:r>
          </w:p>
        </w:tc>
        <w:tc>
          <w:tcPr>
            <w:tcW w:w="360" w:type="dxa"/>
            <w:vAlign w:val="bottom"/>
            <w:tcBorders>
              <w:bottom w:val="single" w:sz="8" w:color="231F20"/>
            </w:tcBorders>
          </w:tcPr>
          <w:p>
            <w:pPr>
              <w:spacing w:after="0"/>
              <w:rPr>
                <w:sz w:val="17"/>
                <w:szCs w:val="17"/>
                <w:color w:val="auto"/>
              </w:rPr>
            </w:pPr>
          </w:p>
        </w:tc>
        <w:tc>
          <w:tcPr>
            <w:tcW w:w="1360" w:type="dxa"/>
            <w:vAlign w:val="bottom"/>
            <w:tcBorders>
              <w:bottom w:val="single" w:sz="8" w:color="231F20"/>
            </w:tcBorders>
          </w:tcPr>
          <w:p>
            <w:pPr>
              <w:jc w:val="right"/>
              <w:ind w:right="92"/>
              <w:spacing w:after="0" w:line="202" w:lineRule="exact"/>
              <w:rPr>
                <w:sz w:val="20"/>
                <w:szCs w:val="20"/>
                <w:color w:val="auto"/>
              </w:rPr>
            </w:pPr>
            <w:r>
              <w:rPr>
                <w:rFonts w:ascii="Arial" w:cs="Arial" w:eastAsia="Arial" w:hAnsi="Arial"/>
                <w:sz w:val="18"/>
                <w:szCs w:val="18"/>
                <w:color w:val="auto"/>
              </w:rPr>
              <w:t>16,832</w:t>
            </w:r>
          </w:p>
        </w:tc>
        <w:tc>
          <w:tcPr>
            <w:tcW w:w="5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right"/>
              <w:ind w:right="31"/>
              <w:spacing w:after="0" w:line="202" w:lineRule="exact"/>
              <w:rPr>
                <w:sz w:val="20"/>
                <w:szCs w:val="20"/>
                <w:color w:val="auto"/>
              </w:rPr>
            </w:pPr>
            <w:r>
              <w:rPr>
                <w:rFonts w:ascii="Arial" w:cs="Arial" w:eastAsia="Arial" w:hAnsi="Arial"/>
                <w:sz w:val="18"/>
                <w:szCs w:val="18"/>
                <w:color w:val="auto"/>
              </w:rPr>
              <w:t>11,192</w:t>
            </w:r>
          </w:p>
        </w:tc>
      </w:tr>
      <w:tr>
        <w:trPr>
          <w:trHeight w:val="196"/>
        </w:trPr>
        <w:tc>
          <w:tcPr>
            <w:tcW w:w="7760" w:type="dxa"/>
            <w:vAlign w:val="bottom"/>
          </w:tcPr>
          <w:p>
            <w:pPr>
              <w:ind w:left="400"/>
              <w:spacing w:after="0" w:line="182" w:lineRule="exact"/>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92"/>
              <w:spacing w:after="0" w:line="182" w:lineRule="exact"/>
              <w:rPr>
                <w:sz w:val="20"/>
                <w:szCs w:val="20"/>
                <w:color w:val="auto"/>
              </w:rPr>
            </w:pPr>
            <w:r>
              <w:rPr>
                <w:rFonts w:ascii="Arial" w:cs="Arial" w:eastAsia="Arial" w:hAnsi="Arial"/>
                <w:sz w:val="18"/>
                <w:szCs w:val="18"/>
                <w:color w:val="auto"/>
              </w:rPr>
              <w:t>533,430</w:t>
            </w:r>
          </w:p>
        </w:tc>
        <w:tc>
          <w:tcPr>
            <w:tcW w:w="5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450,979</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77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9,253</w:t>
            </w:r>
          </w:p>
        </w:tc>
        <w:tc>
          <w:tcPr>
            <w:tcW w:w="5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4,460</w:t>
            </w:r>
          </w:p>
        </w:tc>
      </w:tr>
      <w:tr>
        <w:trPr>
          <w:trHeight w:val="203"/>
        </w:trPr>
        <w:tc>
          <w:tcPr>
            <w:tcW w:w="7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1,124</w:t>
            </w: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1,172</w:t>
            </w: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 (Note 6)</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41,425</w:t>
            </w: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36,126</w:t>
            </w:r>
          </w:p>
        </w:tc>
      </w:tr>
      <w:tr>
        <w:trPr>
          <w:trHeight w:val="196"/>
        </w:trPr>
        <w:tc>
          <w:tcPr>
            <w:tcW w:w="77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current liabilities</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2"/>
              <w:spacing w:after="0" w:line="196" w:lineRule="exact"/>
              <w:rPr>
                <w:sz w:val="20"/>
                <w:szCs w:val="20"/>
                <w:color w:val="auto"/>
              </w:rPr>
            </w:pPr>
            <w:r>
              <w:rPr>
                <w:rFonts w:ascii="Arial" w:cs="Arial" w:eastAsia="Arial" w:hAnsi="Arial"/>
                <w:sz w:val="18"/>
                <w:szCs w:val="18"/>
                <w:color w:val="auto"/>
              </w:rPr>
              <w:t>51,802</w:t>
            </w: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41,758</w:t>
            </w: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360" w:type="dxa"/>
            <w:vAlign w:val="bottom"/>
          </w:tcPr>
          <w:p>
            <w:pPr>
              <w:spacing w:after="0"/>
              <w:rPr>
                <w:sz w:val="17"/>
                <w:szCs w:val="17"/>
                <w:color w:val="auto"/>
              </w:rPr>
            </w:pP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69</w:t>
            </w:r>
          </w:p>
        </w:tc>
        <w:tc>
          <w:tcPr>
            <w:tcW w:w="56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257</w:t>
            </w:r>
          </w:p>
        </w:tc>
      </w:tr>
      <w:tr>
        <w:trPr>
          <w:trHeight w:val="203"/>
        </w:trPr>
        <w:tc>
          <w:tcPr>
            <w:tcW w:w="7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Long-term borrowing</w:t>
            </w:r>
          </w:p>
        </w:tc>
        <w:tc>
          <w:tcPr>
            <w:tcW w:w="36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3,000</w:t>
            </w:r>
          </w:p>
        </w:tc>
        <w:tc>
          <w:tcPr>
            <w:tcW w:w="5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196"/>
        </w:trPr>
        <w:tc>
          <w:tcPr>
            <w:tcW w:w="7760" w:type="dxa"/>
            <w:vAlign w:val="bottom"/>
          </w:tcPr>
          <w:p>
            <w:pPr>
              <w:ind w:left="400"/>
              <w:spacing w:after="0" w:line="196" w:lineRule="exact"/>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54,871</w:t>
            </w: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color w:val="auto"/>
              </w:rPr>
              <w:t>42,015</w:t>
            </w:r>
          </w:p>
        </w:tc>
      </w:tr>
      <w:tr>
        <w:trPr>
          <w:trHeight w:val="196"/>
        </w:trPr>
        <w:tc>
          <w:tcPr>
            <w:tcW w:w="7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Commitments and contingencies (Note 12)</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4"/>
        </w:trPr>
        <w:tc>
          <w:tcPr>
            <w:tcW w:w="776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Preferred stock, $0.0001 par value; 10,000,000 shares authorized as of December 31, 2025</w:t>
            </w:r>
          </w:p>
        </w:tc>
        <w:tc>
          <w:tcPr>
            <w:tcW w:w="3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221"/>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and 2024; no shares issued and outstanding as of December 31, 2025 and 2024.</w:t>
            </w: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184"/>
        </w:trPr>
        <w:tc>
          <w:tcPr>
            <w:tcW w:w="7760" w:type="dxa"/>
            <w:vAlign w:val="bottom"/>
          </w:tcPr>
          <w:p>
            <w:pPr>
              <w:spacing w:after="0" w:line="183" w:lineRule="exact"/>
              <w:rPr>
                <w:sz w:val="20"/>
                <w:szCs w:val="20"/>
                <w:color w:val="auto"/>
              </w:rPr>
            </w:pPr>
            <w:r>
              <w:rPr>
                <w:rFonts w:ascii="Arial" w:cs="Arial" w:eastAsia="Arial" w:hAnsi="Arial"/>
                <w:sz w:val="18"/>
                <w:szCs w:val="18"/>
                <w:color w:val="auto"/>
              </w:rPr>
              <w:t>Common stock, $0.0001 par value; 490,000,000 shares authorized as of December 31, 2025</w:t>
            </w:r>
          </w:p>
        </w:tc>
        <w:tc>
          <w:tcPr>
            <w:tcW w:w="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and 2024; 81,376,449 and 74,312,608 shares issued and outstanding as of December 31,</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1"/>
        </w:trPr>
        <w:tc>
          <w:tcPr>
            <w:tcW w:w="7760" w:type="dxa"/>
            <w:vAlign w:val="bottom"/>
          </w:tcPr>
          <w:p>
            <w:pPr>
              <w:spacing w:after="0"/>
              <w:rPr>
                <w:sz w:val="20"/>
                <w:szCs w:val="20"/>
                <w:color w:val="auto"/>
              </w:rPr>
            </w:pPr>
            <w:r>
              <w:rPr>
                <w:rFonts w:ascii="Arial" w:cs="Arial" w:eastAsia="Arial" w:hAnsi="Arial"/>
                <w:sz w:val="18"/>
                <w:szCs w:val="18"/>
                <w:color w:val="auto"/>
              </w:rPr>
              <w:t>2025 and 2024, respectively.</w:t>
            </w:r>
          </w:p>
        </w:tc>
        <w:tc>
          <w:tcPr>
            <w:tcW w:w="36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w:t>
            </w:r>
          </w:p>
        </w:tc>
      </w:tr>
      <w:tr>
        <w:trPr>
          <w:trHeight w:val="203"/>
        </w:trPr>
        <w:tc>
          <w:tcPr>
            <w:tcW w:w="7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1,075,487</w:t>
            </w:r>
          </w:p>
        </w:tc>
        <w:tc>
          <w:tcPr>
            <w:tcW w:w="5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843,920</w:t>
            </w:r>
          </w:p>
        </w:tc>
      </w:tr>
      <w:tr>
        <w:trPr>
          <w:trHeight w:val="203"/>
        </w:trPr>
        <w:tc>
          <w:tcPr>
            <w:tcW w:w="776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7"/>
                <w:szCs w:val="17"/>
                <w:color w:val="auto"/>
              </w:rPr>
            </w:pPr>
          </w:p>
        </w:tc>
        <w:tc>
          <w:tcPr>
            <w:tcW w:w="13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621</w:t>
            </w:r>
          </w:p>
        </w:tc>
        <w:tc>
          <w:tcPr>
            <w:tcW w:w="560" w:type="dxa"/>
            <w:vAlign w:val="bottom"/>
          </w:tcPr>
          <w:p>
            <w:pPr>
              <w:spacing w:after="0"/>
              <w:rPr>
                <w:sz w:val="17"/>
                <w:szCs w:val="17"/>
                <w:color w:val="auto"/>
              </w:rPr>
            </w:pPr>
          </w:p>
        </w:tc>
        <w:tc>
          <w:tcPr>
            <w:tcW w:w="12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143</w:t>
            </w:r>
          </w:p>
        </w:tc>
      </w:tr>
      <w:tr>
        <w:trPr>
          <w:trHeight w:val="203"/>
        </w:trPr>
        <w:tc>
          <w:tcPr>
            <w:tcW w:w="77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231F20"/>
            </w:tcBorders>
            <w:shd w:val="clear" w:color="auto" w:fill="CFF0FC"/>
          </w:tcPr>
          <w:p>
            <w:pPr>
              <w:spacing w:after="0"/>
              <w:rPr>
                <w:sz w:val="17"/>
                <w:szCs w:val="17"/>
                <w:color w:val="auto"/>
              </w:rPr>
            </w:pPr>
          </w:p>
        </w:tc>
        <w:tc>
          <w:tcPr>
            <w:tcW w:w="1360" w:type="dxa"/>
            <w:vAlign w:val="bottom"/>
            <w:tcBorders>
              <w:bottom w:val="single" w:sz="8" w:color="231F20"/>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(597,557)</w:t>
            </w:r>
          </w:p>
        </w:tc>
        <w:tc>
          <w:tcPr>
            <w:tcW w:w="560" w:type="dxa"/>
            <w:vAlign w:val="bottom"/>
            <w:tcBorders>
              <w:bottom w:val="single" w:sz="8" w:color="231F20"/>
            </w:tcBorders>
            <w:shd w:val="clear" w:color="auto" w:fill="CFF0FC"/>
          </w:tcPr>
          <w:p>
            <w:pPr>
              <w:spacing w:after="0"/>
              <w:rPr>
                <w:sz w:val="17"/>
                <w:szCs w:val="17"/>
                <w:color w:val="auto"/>
              </w:rPr>
            </w:pPr>
          </w:p>
        </w:tc>
        <w:tc>
          <w:tcPr>
            <w:tcW w:w="1200" w:type="dxa"/>
            <w:vAlign w:val="bottom"/>
            <w:tcBorders>
              <w:bottom w:val="single" w:sz="8" w:color="231F20"/>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(435,106)</w:t>
            </w:r>
          </w:p>
        </w:tc>
      </w:tr>
      <w:tr>
        <w:trPr>
          <w:trHeight w:val="196"/>
        </w:trPr>
        <w:tc>
          <w:tcPr>
            <w:tcW w:w="7760" w:type="dxa"/>
            <w:vAlign w:val="bottom"/>
          </w:tcPr>
          <w:p>
            <w:pPr>
              <w:ind w:left="400"/>
              <w:spacing w:after="0" w:line="182" w:lineRule="exact"/>
              <w:rPr>
                <w:sz w:val="20"/>
                <w:szCs w:val="20"/>
                <w:color w:val="auto"/>
              </w:rPr>
            </w:pPr>
            <w:r>
              <w:rPr>
                <w:rFonts w:ascii="Arial" w:cs="Arial" w:eastAsia="Arial" w:hAnsi="Arial"/>
                <w:sz w:val="18"/>
                <w:szCs w:val="18"/>
                <w:color w:val="auto"/>
              </w:rPr>
              <w:t>Total stockholders’ equity</w:t>
            </w:r>
          </w:p>
        </w:tc>
        <w:tc>
          <w:tcPr>
            <w:tcW w:w="360" w:type="dxa"/>
            <w:vAlign w:val="bottom"/>
            <w:tcBorders>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92"/>
              <w:spacing w:after="0" w:line="182" w:lineRule="exact"/>
              <w:rPr>
                <w:sz w:val="20"/>
                <w:szCs w:val="20"/>
                <w:color w:val="auto"/>
              </w:rPr>
            </w:pPr>
            <w:r>
              <w:rPr>
                <w:rFonts w:ascii="Arial" w:cs="Arial" w:eastAsia="Arial" w:hAnsi="Arial"/>
                <w:sz w:val="18"/>
                <w:szCs w:val="18"/>
                <w:color w:val="auto"/>
              </w:rPr>
              <w:t>478,559</w:t>
            </w:r>
          </w:p>
        </w:tc>
        <w:tc>
          <w:tcPr>
            <w:tcW w:w="56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1"/>
              <w:spacing w:after="0" w:line="182" w:lineRule="exact"/>
              <w:rPr>
                <w:sz w:val="20"/>
                <w:szCs w:val="20"/>
                <w:color w:val="auto"/>
              </w:rPr>
            </w:pPr>
            <w:r>
              <w:rPr>
                <w:rFonts w:ascii="Arial" w:cs="Arial" w:eastAsia="Arial" w:hAnsi="Arial"/>
                <w:sz w:val="18"/>
                <w:szCs w:val="18"/>
                <w:color w:val="auto"/>
              </w:rPr>
              <w:t>408,964</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7760" w:type="dxa"/>
            <w:vAlign w:val="bottom"/>
            <w:tcBorders>
              <w:bottom w:val="single" w:sz="8" w:color="auto"/>
            </w:tcBorders>
            <w:shd w:val="clear" w:color="auto" w:fill="CCECFF"/>
          </w:tcPr>
          <w:p>
            <w:pPr>
              <w:ind w:left="400"/>
              <w:spacing w:after="0" w:line="183" w:lineRule="exact"/>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CFF"/>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CFF"/>
          </w:tcPr>
          <w:p>
            <w:pPr>
              <w:jc w:val="right"/>
              <w:ind w:right="92"/>
              <w:spacing w:after="0" w:line="183" w:lineRule="exact"/>
              <w:rPr>
                <w:sz w:val="20"/>
                <w:szCs w:val="20"/>
                <w:color w:val="auto"/>
              </w:rPr>
            </w:pPr>
            <w:r>
              <w:rPr>
                <w:rFonts w:ascii="Arial" w:cs="Arial" w:eastAsia="Arial" w:hAnsi="Arial"/>
                <w:sz w:val="18"/>
                <w:szCs w:val="18"/>
                <w:color w:val="auto"/>
              </w:rPr>
              <w:t>533,430</w:t>
            </w:r>
          </w:p>
        </w:tc>
        <w:tc>
          <w:tcPr>
            <w:tcW w:w="560" w:type="dxa"/>
            <w:vAlign w:val="bottom"/>
            <w:tcBorders>
              <w:bottom w:val="single" w:sz="8" w:color="auto"/>
            </w:tcBorders>
            <w:shd w:val="clear" w:color="auto" w:fill="CCECFF"/>
          </w:tcPr>
          <w:p>
            <w:pPr>
              <w:jc w:val="right"/>
              <w:ind w:right="270"/>
              <w:spacing w:after="0" w:line="183"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CFF"/>
          </w:tcPr>
          <w:p>
            <w:pPr>
              <w:jc w:val="right"/>
              <w:ind w:right="31"/>
              <w:spacing w:after="0" w:line="183" w:lineRule="exact"/>
              <w:rPr>
                <w:sz w:val="20"/>
                <w:szCs w:val="20"/>
                <w:color w:val="auto"/>
              </w:rPr>
            </w:pPr>
            <w:r>
              <w:rPr>
                <w:rFonts w:ascii="Arial" w:cs="Arial" w:eastAsia="Arial" w:hAnsi="Arial"/>
                <w:sz w:val="18"/>
                <w:szCs w:val="18"/>
                <w:color w:val="auto"/>
              </w:rPr>
              <w:t>450,979</w:t>
            </w:r>
          </w:p>
        </w:tc>
      </w:tr>
    </w:tbl>
    <w:p>
      <w:pPr>
        <w:spacing w:after="0" w:line="226" w:lineRule="exact"/>
        <w:rPr>
          <w:sz w:val="20"/>
          <w:szCs w:val="20"/>
          <w:color w:val="auto"/>
        </w:rPr>
      </w:pPr>
    </w:p>
    <w:p>
      <w:pPr>
        <w:ind w:left="33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24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top w:val="single" w:sz="8" w:color="auto"/>
              <w:bottom w:val="single" w:sz="8" w:color="auto"/>
            </w:tcBorders>
          </w:tcPr>
          <w:p>
            <w:pPr>
              <w:spacing w:after="0"/>
              <w:rPr>
                <w:sz w:val="15"/>
                <w:szCs w:val="15"/>
                <w:color w:val="auto"/>
              </w:rPr>
            </w:pPr>
          </w:p>
        </w:tc>
      </w:tr>
      <w:tr>
        <w:trPr>
          <w:trHeight w:val="155"/>
        </w:trPr>
        <w:tc>
          <w:tcPr>
            <w:tcW w:w="7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ind w:right="813"/>
              <w:spacing w:after="0" w:line="155" w:lineRule="exact"/>
              <w:rPr>
                <w:sz w:val="20"/>
                <w:szCs w:val="20"/>
                <w:color w:val="auto"/>
              </w:rPr>
            </w:pPr>
            <w:r>
              <w:rPr>
                <w:rFonts w:ascii="Arial" w:cs="Arial" w:eastAsia="Arial" w:hAnsi="Arial"/>
                <w:sz w:val="14"/>
                <w:szCs w:val="14"/>
                <w:b w:val="1"/>
                <w:bCs w:val="1"/>
                <w:color w:val="auto"/>
              </w:rPr>
              <w:t>2025</w:t>
            </w:r>
          </w:p>
        </w:tc>
        <w:tc>
          <w:tcPr>
            <w:tcW w:w="9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7240" w:type="dxa"/>
            <w:vAlign w:val="bottom"/>
          </w:tcPr>
          <w:p>
            <w:pPr>
              <w:ind w:left="240"/>
              <w:spacing w:after="0" w:line="202" w:lineRule="exact"/>
              <w:rPr>
                <w:sz w:val="20"/>
                <w:szCs w:val="20"/>
                <w:color w:val="auto"/>
              </w:rPr>
            </w:pPr>
            <w:r>
              <w:rPr>
                <w:rFonts w:ascii="Arial" w:cs="Arial" w:eastAsia="Arial" w:hAnsi="Arial"/>
                <w:sz w:val="18"/>
                <w:szCs w:val="18"/>
                <w:color w:val="auto"/>
              </w:rPr>
              <w:t>Research and development¹</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157,697</w:t>
            </w:r>
          </w:p>
        </w:tc>
        <w:tc>
          <w:tcPr>
            <w:tcW w:w="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124,517</w:t>
            </w:r>
          </w:p>
        </w:tc>
      </w:tr>
      <w:tr>
        <w:trPr>
          <w:trHeight w:val="203"/>
        </w:trPr>
        <w:tc>
          <w:tcPr>
            <w:tcW w:w="7240" w:type="dxa"/>
            <w:vAlign w:val="bottom"/>
            <w:tcBorders>
              <w:bottom w:val="single" w:sz="8" w:color="CFF0FC"/>
            </w:tcBorders>
            <w:shd w:val="clear" w:color="auto" w:fill="CFF0FC"/>
          </w:tcPr>
          <w:p>
            <w:pPr>
              <w:ind w:left="240"/>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173"/>
              <w:spacing w:after="0" w:line="202" w:lineRule="exact"/>
              <w:rPr>
                <w:sz w:val="20"/>
                <w:szCs w:val="20"/>
                <w:color w:val="auto"/>
              </w:rPr>
            </w:pPr>
            <w:r>
              <w:rPr>
                <w:rFonts w:ascii="Arial" w:cs="Arial" w:eastAsia="Arial" w:hAnsi="Arial"/>
                <w:sz w:val="18"/>
                <w:szCs w:val="18"/>
                <w:color w:val="auto"/>
              </w:rPr>
              <w:t>21,001</w:t>
            </w:r>
          </w:p>
        </w:tc>
        <w:tc>
          <w:tcPr>
            <w:tcW w:w="9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17,741</w:t>
            </w:r>
          </w:p>
        </w:tc>
      </w:tr>
      <w:tr>
        <w:trPr>
          <w:trHeight w:val="196"/>
        </w:trPr>
        <w:tc>
          <w:tcPr>
            <w:tcW w:w="7240" w:type="dxa"/>
            <w:vAlign w:val="bottom"/>
          </w:tcPr>
          <w:p>
            <w:pPr>
              <w:ind w:left="280"/>
              <w:spacing w:after="0" w:line="196"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73"/>
              <w:spacing w:after="0" w:line="196" w:lineRule="exact"/>
              <w:rPr>
                <w:sz w:val="20"/>
                <w:szCs w:val="20"/>
                <w:color w:val="auto"/>
              </w:rPr>
            </w:pPr>
            <w:r>
              <w:rPr>
                <w:rFonts w:ascii="Arial" w:cs="Arial" w:eastAsia="Arial" w:hAnsi="Arial"/>
                <w:sz w:val="18"/>
                <w:szCs w:val="18"/>
                <w:color w:val="auto"/>
              </w:rPr>
              <w:t>178,698</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142,258</w:t>
            </w: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color w:val="auto"/>
              </w:rPr>
              <w:t>(178,698)</w:t>
            </w:r>
          </w:p>
        </w:tc>
        <w:tc>
          <w:tcPr>
            <w:tcW w:w="9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(142,258)</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2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7"/>
                <w:szCs w:val="17"/>
                <w:color w:val="auto"/>
              </w:rPr>
            </w:pPr>
          </w:p>
        </w:tc>
        <w:tc>
          <w:tcPr>
            <w:tcW w:w="1840" w:type="dxa"/>
            <w:vAlign w:val="bottom"/>
            <w:shd w:val="clear" w:color="auto" w:fill="CFF0FC"/>
          </w:tcPr>
          <w:p>
            <w:pPr>
              <w:jc w:val="right"/>
              <w:ind w:right="173"/>
              <w:spacing w:after="0" w:line="202" w:lineRule="exact"/>
              <w:rPr>
                <w:sz w:val="20"/>
                <w:szCs w:val="20"/>
                <w:color w:val="auto"/>
              </w:rPr>
            </w:pPr>
            <w:r>
              <w:rPr>
                <w:rFonts w:ascii="Arial" w:cs="Arial" w:eastAsia="Arial" w:hAnsi="Arial"/>
                <w:sz w:val="18"/>
                <w:szCs w:val="18"/>
                <w:color w:val="auto"/>
              </w:rPr>
              <w:t>16,224</w:t>
            </w:r>
          </w:p>
        </w:tc>
        <w:tc>
          <w:tcPr>
            <w:tcW w:w="9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12,682</w:t>
            </w:r>
          </w:p>
        </w:tc>
      </w:tr>
      <w:tr>
        <w:trPr>
          <w:trHeight w:val="203"/>
        </w:trPr>
        <w:tc>
          <w:tcPr>
            <w:tcW w:w="7240" w:type="dxa"/>
            <w:vAlign w:val="bottom"/>
          </w:tcPr>
          <w:p>
            <w:pPr>
              <w:ind w:left="180"/>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840" w:type="dxa"/>
            <w:vAlign w:val="bottom"/>
            <w:tcBorders>
              <w:bottom w:val="single" w:sz="8" w:color="auto"/>
            </w:tcBorders>
          </w:tcPr>
          <w:p>
            <w:pPr>
              <w:jc w:val="right"/>
              <w:ind w:right="173"/>
              <w:spacing w:after="0" w:line="202" w:lineRule="exact"/>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102</w:t>
            </w:r>
          </w:p>
        </w:tc>
      </w:tr>
      <w:tr>
        <w:trPr>
          <w:trHeight w:val="196"/>
        </w:trPr>
        <w:tc>
          <w:tcPr>
            <w:tcW w:w="72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other income</w:t>
            </w:r>
          </w:p>
        </w:tc>
        <w:tc>
          <w:tcPr>
            <w:tcW w:w="16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ind w:right="173"/>
              <w:spacing w:after="0" w:line="196" w:lineRule="exact"/>
              <w:rPr>
                <w:sz w:val="20"/>
                <w:szCs w:val="20"/>
                <w:color w:val="auto"/>
              </w:rPr>
            </w:pPr>
            <w:r>
              <w:rPr>
                <w:rFonts w:ascii="Arial" w:cs="Arial" w:eastAsia="Arial" w:hAnsi="Arial"/>
                <w:sz w:val="18"/>
                <w:szCs w:val="18"/>
                <w:color w:val="auto"/>
              </w:rPr>
              <w:t>16,247</w:t>
            </w:r>
          </w:p>
        </w:tc>
        <w:tc>
          <w:tcPr>
            <w:tcW w:w="9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12,784</w:t>
            </w:r>
          </w:p>
        </w:tc>
      </w:tr>
      <w:tr>
        <w:trPr>
          <w:trHeight w:val="196"/>
        </w:trPr>
        <w:tc>
          <w:tcPr>
            <w:tcW w:w="7240" w:type="dxa"/>
            <w:vAlign w:val="bottom"/>
          </w:tcPr>
          <w:p>
            <w:pPr>
              <w:ind w:left="280"/>
              <w:spacing w:after="0" w:line="182" w:lineRule="exact"/>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jc w:val="right"/>
              <w:ind w:right="113"/>
              <w:spacing w:after="0" w:line="182" w:lineRule="exact"/>
              <w:rPr>
                <w:sz w:val="20"/>
                <w:szCs w:val="20"/>
                <w:color w:val="auto"/>
              </w:rPr>
            </w:pPr>
            <w:r>
              <w:rPr>
                <w:rFonts w:ascii="Arial" w:cs="Arial" w:eastAsia="Arial" w:hAnsi="Arial"/>
                <w:sz w:val="18"/>
                <w:szCs w:val="18"/>
                <w:color w:val="auto"/>
              </w:rPr>
              <w:t>(162,451)</w:t>
            </w:r>
          </w:p>
        </w:tc>
        <w:tc>
          <w:tcPr>
            <w:tcW w:w="900" w:type="dxa"/>
            <w:vAlign w:val="bottom"/>
            <w:tcBorders>
              <w:bottom w:val="single" w:sz="8" w:color="auto"/>
            </w:tcBorders>
          </w:tcPr>
          <w:p>
            <w:pPr>
              <w:jc w:val="right"/>
              <w:ind w:right="49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(129,474)</w:t>
            </w:r>
          </w:p>
        </w:tc>
      </w:tr>
      <w:tr>
        <w:trPr>
          <w:trHeight w:val="20"/>
        </w:trPr>
        <w:tc>
          <w:tcPr>
            <w:tcW w:w="7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72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shd w:val="clear" w:color="auto" w:fill="CFF0FC"/>
          </w:tcPr>
          <w:p>
            <w:pPr>
              <w:jc w:val="right"/>
              <w:ind w:right="113"/>
              <w:spacing w:after="0" w:line="182" w:lineRule="exact"/>
              <w:rPr>
                <w:sz w:val="20"/>
                <w:szCs w:val="20"/>
                <w:color w:val="auto"/>
              </w:rPr>
            </w:pPr>
            <w:r>
              <w:rPr>
                <w:rFonts w:ascii="Arial" w:cs="Arial" w:eastAsia="Arial" w:hAnsi="Arial"/>
                <w:sz w:val="18"/>
                <w:szCs w:val="18"/>
                <w:color w:val="auto"/>
              </w:rPr>
              <w:t>(1.87)</w:t>
            </w:r>
          </w:p>
        </w:tc>
        <w:tc>
          <w:tcPr>
            <w:tcW w:w="900" w:type="dxa"/>
            <w:vAlign w:val="bottom"/>
            <w:tcBorders>
              <w:bottom w:val="single" w:sz="8" w:color="auto"/>
            </w:tcBorders>
            <w:shd w:val="clear" w:color="auto" w:fill="CFF0FC"/>
          </w:tcPr>
          <w:p>
            <w:pPr>
              <w:jc w:val="right"/>
              <w:ind w:right="490"/>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(2.20)</w:t>
            </w:r>
          </w:p>
        </w:tc>
      </w:tr>
      <w:tr>
        <w:trPr>
          <w:trHeight w:val="183"/>
        </w:trPr>
        <w:tc>
          <w:tcPr>
            <w:tcW w:w="72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Weighted average shares used to compute net loss per share, basic and diluted²</w:t>
            </w: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ind w:right="173"/>
              <w:spacing w:after="0" w:line="183" w:lineRule="exact"/>
              <w:rPr>
                <w:sz w:val="20"/>
                <w:szCs w:val="20"/>
                <w:color w:val="auto"/>
              </w:rPr>
            </w:pPr>
            <w:r>
              <w:rPr>
                <w:rFonts w:ascii="Arial" w:cs="Arial" w:eastAsia="Arial" w:hAnsi="Arial"/>
                <w:sz w:val="18"/>
                <w:szCs w:val="18"/>
                <w:color w:val="auto"/>
              </w:rPr>
              <w:t>87,006,027</w:t>
            </w:r>
          </w:p>
        </w:tc>
        <w:tc>
          <w:tcPr>
            <w:tcW w:w="9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58,743,522</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¹ The amounts for the years ended December 31, 2025 and 2024 include milestone payments to Aurigene of $10.0 million and $5.0 million, respectively.</w:t>
      </w:r>
    </w:p>
    <w:p>
      <w:pPr>
        <w:spacing w:after="0" w:line="194" w:lineRule="exact"/>
        <w:rPr>
          <w:sz w:val="20"/>
          <w:szCs w:val="20"/>
          <w:color w:val="auto"/>
        </w:rPr>
      </w:pPr>
    </w:p>
    <w:p>
      <w:pPr>
        <w:ind w:right="240" w:firstLine="8"/>
        <w:spacing w:after="0" w:line="286" w:lineRule="auto"/>
        <w:tabs>
          <w:tab w:leader="none" w:pos="99" w:val="left"/>
        </w:tabs>
        <w:numPr>
          <w:ilvl w:val="0"/>
          <w:numId w:val="56"/>
        </w:numPr>
        <w:rPr>
          <w:rFonts w:ascii="Arial" w:cs="Arial" w:eastAsia="Arial" w:hAnsi="Arial"/>
          <w:sz w:val="16"/>
          <w:szCs w:val="16"/>
          <w:color w:val="auto"/>
        </w:rPr>
      </w:pPr>
      <w:r>
        <w:rPr>
          <w:rFonts w:ascii="Arial" w:cs="Arial" w:eastAsia="Arial" w:hAnsi="Arial"/>
          <w:sz w:val="16"/>
          <w:szCs w:val="16"/>
          <w:color w:val="auto"/>
        </w:rPr>
        <w:t>For the years ended December 31, 2025 and 2024, the weighted average shares used to compute net loss per share, basic and diluted, include the pre-funded warrants.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2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top w:val="single" w:sz="8" w:color="auto"/>
              <w:bottom w:val="single" w:sz="8" w:color="auto"/>
            </w:tcBorders>
          </w:tcPr>
          <w:p>
            <w:pPr>
              <w:spacing w:after="0"/>
              <w:rPr>
                <w:sz w:val="15"/>
                <w:szCs w:val="15"/>
                <w:color w:val="auto"/>
              </w:rPr>
            </w:pPr>
          </w:p>
        </w:tc>
      </w:tr>
      <w:tr>
        <w:trPr>
          <w:trHeight w:val="155"/>
        </w:trPr>
        <w:tc>
          <w:tcPr>
            <w:tcW w:w="724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817"/>
              <w:spacing w:after="0" w:line="155" w:lineRule="exact"/>
              <w:rPr>
                <w:sz w:val="20"/>
                <w:szCs w:val="20"/>
                <w:color w:val="auto"/>
              </w:rPr>
            </w:pPr>
            <w:r>
              <w:rPr>
                <w:rFonts w:ascii="Arial" w:cs="Arial" w:eastAsia="Arial" w:hAnsi="Arial"/>
                <w:sz w:val="14"/>
                <w:szCs w:val="14"/>
                <w:b w:val="1"/>
                <w:bCs w:val="1"/>
                <w:color w:val="auto"/>
              </w:rPr>
              <w:t>2025</w:t>
            </w:r>
          </w:p>
        </w:tc>
        <w:tc>
          <w:tcPr>
            <w:tcW w:w="9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17"/>
              <w:spacing w:after="0" w:line="196" w:lineRule="exact"/>
              <w:rPr>
                <w:sz w:val="20"/>
                <w:szCs w:val="20"/>
                <w:color w:val="auto"/>
              </w:rPr>
            </w:pPr>
            <w:r>
              <w:rPr>
                <w:rFonts w:ascii="Arial" w:cs="Arial" w:eastAsia="Arial" w:hAnsi="Arial"/>
                <w:sz w:val="18"/>
                <w:szCs w:val="18"/>
                <w:color w:val="auto"/>
              </w:rPr>
              <w:t>(162,451)</w:t>
            </w:r>
          </w:p>
        </w:tc>
        <w:tc>
          <w:tcPr>
            <w:tcW w:w="900" w:type="dxa"/>
            <w:vAlign w:val="bottom"/>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(129,474)</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72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Net unrealized gain (loss) on marketable securities</w:t>
            </w:r>
          </w:p>
        </w:tc>
        <w:tc>
          <w:tcPr>
            <w:tcW w:w="46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177"/>
              <w:spacing w:after="0" w:line="202" w:lineRule="exact"/>
              <w:rPr>
                <w:sz w:val="20"/>
                <w:szCs w:val="20"/>
                <w:color w:val="auto"/>
              </w:rPr>
            </w:pPr>
            <w:r>
              <w:rPr>
                <w:rFonts w:ascii="Arial" w:cs="Arial" w:eastAsia="Arial" w:hAnsi="Arial"/>
                <w:sz w:val="18"/>
                <w:szCs w:val="18"/>
                <w:color w:val="auto"/>
              </w:rPr>
              <w:t>478</w:t>
            </w:r>
          </w:p>
        </w:tc>
        <w:tc>
          <w:tcPr>
            <w:tcW w:w="9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(204)</w:t>
            </w:r>
          </w:p>
        </w:tc>
      </w:tr>
      <w:tr>
        <w:trPr>
          <w:trHeight w:val="196"/>
        </w:trPr>
        <w:tc>
          <w:tcPr>
            <w:tcW w:w="7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comprehensive loss</w:t>
            </w:r>
          </w:p>
        </w:tc>
        <w:tc>
          <w:tcPr>
            <w:tcW w:w="46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17"/>
              <w:spacing w:after="0" w:line="196" w:lineRule="exact"/>
              <w:rPr>
                <w:sz w:val="20"/>
                <w:szCs w:val="20"/>
                <w:color w:val="auto"/>
              </w:rPr>
            </w:pPr>
            <w:r>
              <w:rPr>
                <w:rFonts w:ascii="Arial" w:cs="Arial" w:eastAsia="Arial" w:hAnsi="Arial"/>
                <w:sz w:val="18"/>
                <w:szCs w:val="18"/>
                <w:color w:val="auto"/>
              </w:rPr>
              <w:t>(161,973)</w:t>
            </w:r>
          </w:p>
        </w:tc>
        <w:tc>
          <w:tcPr>
            <w:tcW w:w="9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(129,678)</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40" w:type="dxa"/>
            <w:vAlign w:val="bottom"/>
          </w:tcPr>
          <w:p>
            <w:pPr>
              <w:spacing w:after="0"/>
              <w:rPr>
                <w:sz w:val="15"/>
                <w:szCs w:val="15"/>
                <w:color w:val="auto"/>
              </w:rPr>
            </w:pPr>
          </w:p>
        </w:tc>
        <w:tc>
          <w:tcPr>
            <w:tcW w:w="2440" w:type="dxa"/>
            <w:vAlign w:val="bottom"/>
            <w:gridSpan w:val="3"/>
            <w:vMerge w:val="restart"/>
          </w:tcPr>
          <w:p>
            <w:pPr>
              <w:jc w:val="right"/>
              <w:ind w:right="62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5"/>
                <w:szCs w:val="15"/>
                <w:color w:val="auto"/>
              </w:rPr>
            </w:pPr>
          </w:p>
        </w:tc>
        <w:tc>
          <w:tcPr>
            <w:tcW w:w="1180" w:type="dxa"/>
            <w:vAlign w:val="bottom"/>
          </w:tcPr>
          <w:p>
            <w:pPr>
              <w:jc w:val="right"/>
              <w:ind w:right="328"/>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5"/>
                <w:szCs w:val="15"/>
                <w:color w:val="auto"/>
              </w:rPr>
            </w:pPr>
          </w:p>
        </w:tc>
        <w:tc>
          <w:tcPr>
            <w:tcW w:w="1180" w:type="dxa"/>
            <w:vAlign w:val="bottom"/>
          </w:tcPr>
          <w:p>
            <w:pPr>
              <w:jc w:val="center"/>
              <w:ind w:right="188"/>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3240" w:type="dxa"/>
            <w:vAlign w:val="bottom"/>
          </w:tcPr>
          <w:p>
            <w:pPr>
              <w:spacing w:after="0"/>
              <w:rPr>
                <w:sz w:val="13"/>
                <w:szCs w:val="13"/>
                <w:color w:val="auto"/>
              </w:rPr>
            </w:pPr>
          </w:p>
        </w:tc>
        <w:tc>
          <w:tcPr>
            <w:tcW w:w="2440" w:type="dxa"/>
            <w:vAlign w:val="bottom"/>
            <w:tcBorders>
              <w:bottom w:val="single" w:sz="8" w:color="auto"/>
            </w:tcBorders>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jc w:val="right"/>
              <w:ind w:right="448"/>
              <w:spacing w:after="0" w:line="158" w:lineRule="exact"/>
              <w:rPr>
                <w:sz w:val="20"/>
                <w:szCs w:val="20"/>
                <w:color w:val="auto"/>
              </w:rPr>
            </w:pPr>
            <w:r>
              <w:rPr>
                <w:rFonts w:ascii="Arial" w:cs="Arial" w:eastAsia="Arial" w:hAnsi="Arial"/>
                <w:sz w:val="14"/>
                <w:szCs w:val="14"/>
                <w:b w:val="1"/>
                <w:bCs w:val="1"/>
                <w:color w:val="auto"/>
              </w:rPr>
              <w:t>Paid-in</w:t>
            </w:r>
          </w:p>
        </w:tc>
        <w:tc>
          <w:tcPr>
            <w:tcW w:w="144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Comprehensive</w:t>
            </w:r>
          </w:p>
        </w:tc>
        <w:tc>
          <w:tcPr>
            <w:tcW w:w="1320" w:type="dxa"/>
            <w:vAlign w:val="bottom"/>
            <w:gridSpan w:val="2"/>
          </w:tcPr>
          <w:p>
            <w:pPr>
              <w:jc w:val="right"/>
              <w:ind w:right="168"/>
              <w:spacing w:after="0" w:line="158"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80" w:type="dxa"/>
            <w:vAlign w:val="bottom"/>
          </w:tcPr>
          <w:p>
            <w:pPr>
              <w:jc w:val="center"/>
              <w:ind w:right="128"/>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124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Capital</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88"/>
              <w:spacing w:after="0" w:line="155" w:lineRule="exact"/>
              <w:rPr>
                <w:sz w:val="20"/>
                <w:szCs w:val="20"/>
                <w:color w:val="auto"/>
              </w:rPr>
            </w:pPr>
            <w:r>
              <w:rPr>
                <w:rFonts w:ascii="Arial" w:cs="Arial" w:eastAsia="Arial" w:hAnsi="Arial"/>
                <w:sz w:val="14"/>
                <w:szCs w:val="14"/>
                <w:b w:val="1"/>
                <w:bCs w:val="1"/>
                <w:color w:val="auto"/>
              </w:rPr>
              <w:t>Income</w:t>
            </w: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24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2023</w:t>
            </w:r>
          </w:p>
        </w:tc>
        <w:tc>
          <w:tcPr>
            <w:tcW w:w="124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54,992,784</w:t>
            </w:r>
          </w:p>
        </w:tc>
        <w:tc>
          <w:tcPr>
            <w:tcW w:w="2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5</w:t>
            </w:r>
          </w:p>
        </w:tc>
        <w:tc>
          <w:tcPr>
            <w:tcW w:w="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559,175</w:t>
            </w:r>
          </w:p>
        </w:tc>
        <w:tc>
          <w:tcPr>
            <w:tcW w:w="260" w:type="dxa"/>
            <w:vAlign w:val="bottom"/>
            <w:shd w:val="clear" w:color="auto" w:fill="CFF0FC"/>
          </w:tcPr>
          <w:p>
            <w:pPr>
              <w:ind w:left="160"/>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347</w:t>
            </w:r>
          </w:p>
        </w:tc>
        <w:tc>
          <w:tcPr>
            <w:tcW w:w="28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(305,632)</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253,895</w:t>
            </w:r>
          </w:p>
        </w:tc>
        <w:tc>
          <w:tcPr>
            <w:tcW w:w="0" w:type="dxa"/>
            <w:vAlign w:val="bottom"/>
          </w:tcPr>
          <w:p>
            <w:pPr>
              <w:spacing w:after="0"/>
              <w:rPr>
                <w:sz w:val="1"/>
                <w:szCs w:val="1"/>
                <w:color w:val="auto"/>
              </w:rPr>
            </w:pPr>
          </w:p>
        </w:tc>
      </w:tr>
      <w:tr>
        <w:trPr>
          <w:trHeight w:val="153"/>
        </w:trPr>
        <w:tc>
          <w:tcPr>
            <w:tcW w:w="3240" w:type="dxa"/>
            <w:vAlign w:val="bottom"/>
          </w:tcPr>
          <w:p>
            <w:pPr>
              <w:spacing w:after="0" w:line="153" w:lineRule="exact"/>
              <w:rPr>
                <w:sz w:val="20"/>
                <w:szCs w:val="20"/>
                <w:color w:val="auto"/>
              </w:rPr>
            </w:pPr>
            <w:r>
              <w:rPr>
                <w:rFonts w:ascii="Arial" w:cs="Arial" w:eastAsia="Arial" w:hAnsi="Arial"/>
                <w:sz w:val="14"/>
                <w:szCs w:val="14"/>
                <w:color w:val="auto"/>
              </w:rPr>
              <w:t>Issuance of shares and pre-funded warrants</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under 2024 private placement, net of issuance</w:t>
            </w: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costs of $12,998</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19,928,875</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236,999</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237,001</w:t>
            </w:r>
          </w:p>
        </w:tc>
        <w:tc>
          <w:tcPr>
            <w:tcW w:w="0" w:type="dxa"/>
            <w:vAlign w:val="bottom"/>
          </w:tcPr>
          <w:p>
            <w:pPr>
              <w:spacing w:after="0"/>
              <w:rPr>
                <w:sz w:val="1"/>
                <w:szCs w:val="1"/>
                <w:color w:val="auto"/>
              </w:rPr>
            </w:pPr>
          </w:p>
        </w:tc>
      </w:tr>
      <w:tr>
        <w:trPr>
          <w:trHeight w:val="153"/>
        </w:trPr>
        <w:tc>
          <w:tcPr>
            <w:tcW w:w="3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shares under at-the-market offering,</w:t>
            </w: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net of issuance costs of $166</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1,772,278</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22,787</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22,787</w:t>
            </w:r>
          </w:p>
        </w:tc>
        <w:tc>
          <w:tcPr>
            <w:tcW w:w="0" w:type="dxa"/>
            <w:vAlign w:val="bottom"/>
          </w:tcPr>
          <w:p>
            <w:pPr>
              <w:spacing w:after="0"/>
              <w:rPr>
                <w:sz w:val="1"/>
                <w:szCs w:val="1"/>
                <w:color w:val="auto"/>
              </w:rPr>
            </w:pPr>
          </w:p>
        </w:tc>
      </w:tr>
      <w:tr>
        <w:trPr>
          <w:trHeight w:val="153"/>
        </w:trPr>
        <w:tc>
          <w:tcPr>
            <w:tcW w:w="3240" w:type="dxa"/>
            <w:vAlign w:val="bottom"/>
          </w:tcPr>
          <w:p>
            <w:pPr>
              <w:spacing w:after="0" w:line="153" w:lineRule="exact"/>
              <w:rPr>
                <w:sz w:val="20"/>
                <w:szCs w:val="20"/>
                <w:color w:val="auto"/>
              </w:rPr>
            </w:pPr>
            <w:r>
              <w:rPr>
                <w:rFonts w:ascii="Arial" w:cs="Arial" w:eastAsia="Arial" w:hAnsi="Arial"/>
                <w:sz w:val="14"/>
                <w:szCs w:val="14"/>
                <w:color w:val="auto"/>
              </w:rPr>
              <w:t>Exchange of common stock shares for pre-funded</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warrants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(3,420,000)</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22,009</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22,009</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430,159</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1,518</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1,518</w:t>
            </w:r>
          </w:p>
        </w:tc>
        <w:tc>
          <w:tcPr>
            <w:tcW w:w="0" w:type="dxa"/>
            <w:vAlign w:val="bottom"/>
          </w:tcPr>
          <w:p>
            <w:pPr>
              <w:spacing w:after="0"/>
              <w:rPr>
                <w:sz w:val="1"/>
                <w:szCs w:val="1"/>
                <w:color w:val="auto"/>
              </w:rPr>
            </w:pPr>
          </w:p>
        </w:tc>
      </w:tr>
      <w:tr>
        <w:trPr>
          <w:trHeight w:val="153"/>
        </w:trPr>
        <w:tc>
          <w:tcPr>
            <w:tcW w:w="3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Issuance of shares under employee stock</w:t>
            </w: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112,853</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859</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Employee stock purchase plan expense</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573</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153"/>
        </w:trPr>
        <w:tc>
          <w:tcPr>
            <w:tcW w:w="3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Vesting of performance-based restricted stock unit</w:t>
            </w: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awards</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403,000</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Vesting of restricted stock awards</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92,659</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Net unrealized loss on marketable securities</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(204)</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Net loss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(129,474)</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(129,474)</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2024</w:t>
            </w:r>
          </w:p>
        </w:tc>
        <w:tc>
          <w:tcPr>
            <w:tcW w:w="124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74,312,608</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w:t>
            </w:r>
          </w:p>
        </w:tc>
        <w:tc>
          <w:tcPr>
            <w:tcW w:w="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843,920</w:t>
            </w:r>
          </w:p>
        </w:tc>
        <w:tc>
          <w:tcPr>
            <w:tcW w:w="260" w:type="dxa"/>
            <w:vAlign w:val="bottom"/>
            <w:tcBorders>
              <w:bottom w:val="single" w:sz="8" w:color="auto"/>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143</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(435,106)</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408,964</w:t>
            </w:r>
          </w:p>
        </w:tc>
        <w:tc>
          <w:tcPr>
            <w:tcW w:w="0" w:type="dxa"/>
            <w:vAlign w:val="bottom"/>
          </w:tcPr>
          <w:p>
            <w:pPr>
              <w:spacing w:after="0"/>
              <w:rPr>
                <w:sz w:val="1"/>
                <w:szCs w:val="1"/>
                <w:color w:val="auto"/>
              </w:rPr>
            </w:pPr>
          </w:p>
        </w:tc>
      </w:tr>
      <w:tr>
        <w:trPr>
          <w:trHeight w:val="133"/>
        </w:trPr>
        <w:tc>
          <w:tcPr>
            <w:tcW w:w="3240" w:type="dxa"/>
            <w:vAlign w:val="bottom"/>
          </w:tcPr>
          <w:p>
            <w:pPr>
              <w:spacing w:after="0" w:line="133" w:lineRule="exact"/>
              <w:rPr>
                <w:sz w:val="20"/>
                <w:szCs w:val="20"/>
                <w:color w:val="auto"/>
              </w:rPr>
            </w:pPr>
            <w:r>
              <w:rPr>
                <w:rFonts w:ascii="Arial" w:cs="Arial" w:eastAsia="Arial" w:hAnsi="Arial"/>
                <w:sz w:val="14"/>
                <w:szCs w:val="14"/>
                <w:color w:val="auto"/>
              </w:rPr>
              <w:t>Issuance of shares upon follow-on public offering,</w:t>
            </w: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net of issuance costs of $13,688</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11,500,000</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204,797</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204,798</w:t>
            </w:r>
          </w:p>
        </w:tc>
        <w:tc>
          <w:tcPr>
            <w:tcW w:w="0" w:type="dxa"/>
            <w:vAlign w:val="bottom"/>
          </w:tcPr>
          <w:p>
            <w:pPr>
              <w:spacing w:after="0"/>
              <w:rPr>
                <w:sz w:val="1"/>
                <w:szCs w:val="1"/>
                <w:color w:val="auto"/>
              </w:rPr>
            </w:pPr>
          </w:p>
        </w:tc>
      </w:tr>
      <w:tr>
        <w:trPr>
          <w:trHeight w:val="153"/>
        </w:trPr>
        <w:tc>
          <w:tcPr>
            <w:tcW w:w="3240" w:type="dxa"/>
            <w:vAlign w:val="bottom"/>
            <w:shd w:val="clear" w:color="auto" w:fill="CFF0FC"/>
          </w:tcPr>
          <w:p>
            <w:pPr>
              <w:spacing w:after="0" w:line="153" w:lineRule="exact"/>
              <w:rPr>
                <w:sz w:val="20"/>
                <w:szCs w:val="20"/>
                <w:color w:val="auto"/>
              </w:rPr>
            </w:pPr>
            <w:r>
              <w:rPr>
                <w:rFonts w:ascii="Arial" w:cs="Arial" w:eastAsia="Arial" w:hAnsi="Arial"/>
                <w:sz w:val="14"/>
                <w:szCs w:val="14"/>
                <w:color w:val="auto"/>
              </w:rPr>
              <w:t>Exchange of common stock shares for pre-funded</w:t>
            </w:r>
          </w:p>
        </w:tc>
        <w:tc>
          <w:tcPr>
            <w:tcW w:w="1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warrants</w:t>
            </w: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(6,070,000)</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3240" w:type="dxa"/>
            <w:vAlign w:val="bottom"/>
          </w:tcPr>
          <w:p>
            <w:pPr>
              <w:spacing w:after="0" w:line="153" w:lineRule="exact"/>
              <w:rPr>
                <w:sz w:val="20"/>
                <w:szCs w:val="20"/>
                <w:color w:val="auto"/>
              </w:rPr>
            </w:pPr>
            <w:r>
              <w:rPr>
                <w:rFonts w:ascii="Arial" w:cs="Arial" w:eastAsia="Arial" w:hAnsi="Arial"/>
                <w:sz w:val="14"/>
                <w:szCs w:val="14"/>
                <w:color w:val="auto"/>
              </w:rPr>
              <w:t>Stock-based compensation expense, including</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employee stock purchase plan expense</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17,586</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17,586</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1,351,320</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8,154</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8,154</w:t>
            </w:r>
          </w:p>
        </w:tc>
        <w:tc>
          <w:tcPr>
            <w:tcW w:w="0" w:type="dxa"/>
            <w:vAlign w:val="bottom"/>
          </w:tcPr>
          <w:p>
            <w:pPr>
              <w:spacing w:after="0"/>
              <w:rPr>
                <w:sz w:val="1"/>
                <w:szCs w:val="1"/>
                <w:color w:val="auto"/>
              </w:rPr>
            </w:pPr>
          </w:p>
        </w:tc>
      </w:tr>
      <w:tr>
        <w:trPr>
          <w:trHeight w:val="153"/>
        </w:trPr>
        <w:tc>
          <w:tcPr>
            <w:tcW w:w="3240" w:type="dxa"/>
            <w:vAlign w:val="bottom"/>
          </w:tcPr>
          <w:p>
            <w:pPr>
              <w:spacing w:after="0" w:line="153" w:lineRule="exact"/>
              <w:rPr>
                <w:sz w:val="20"/>
                <w:szCs w:val="20"/>
                <w:color w:val="auto"/>
              </w:rPr>
            </w:pPr>
            <w:r>
              <w:rPr>
                <w:rFonts w:ascii="Arial" w:cs="Arial" w:eastAsia="Arial" w:hAnsi="Arial"/>
                <w:sz w:val="14"/>
                <w:szCs w:val="14"/>
                <w:color w:val="auto"/>
              </w:rPr>
              <w:t>Issuance of shares under employee stock</w:t>
            </w: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20"/>
                <w:szCs w:val="20"/>
                <w:color w:val="auto"/>
              </w:rPr>
            </w:pPr>
            <w:r>
              <w:rPr>
                <w:rFonts w:ascii="Arial" w:cs="Arial" w:eastAsia="Arial" w:hAnsi="Arial"/>
                <w:sz w:val="14"/>
                <w:szCs w:val="14"/>
                <w:color w:val="auto"/>
              </w:rPr>
              <w:t>purchase plan</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282,521</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1,030</w:t>
            </w:r>
          </w:p>
        </w:tc>
        <w:tc>
          <w:tcPr>
            <w:tcW w:w="26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162"/>
        </w:trPr>
        <w:tc>
          <w:tcPr>
            <w:tcW w:w="3240" w:type="dxa"/>
            <w:vAlign w:val="bottom"/>
            <w:shd w:val="clear" w:color="auto" w:fill="CFF0FC"/>
          </w:tcPr>
          <w:p>
            <w:pPr>
              <w:spacing w:after="0"/>
              <w:rPr>
                <w:sz w:val="20"/>
                <w:szCs w:val="20"/>
                <w:color w:val="auto"/>
              </w:rPr>
            </w:pPr>
            <w:r>
              <w:rPr>
                <w:rFonts w:ascii="Arial" w:cs="Arial" w:eastAsia="Arial" w:hAnsi="Arial"/>
                <w:sz w:val="14"/>
                <w:szCs w:val="14"/>
                <w:color w:val="auto"/>
              </w:rPr>
              <w:t>Net unrealized gain on marketable securities</w:t>
            </w:r>
          </w:p>
        </w:tc>
        <w:tc>
          <w:tcPr>
            <w:tcW w:w="1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478</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Net loss</w:t>
            </w: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(162,451)</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(162,451)</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Balances at December 31, 2025</w:t>
            </w:r>
          </w:p>
        </w:tc>
        <w:tc>
          <w:tcPr>
            <w:tcW w:w="124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81,376,449</w:t>
            </w:r>
          </w:p>
        </w:tc>
        <w:tc>
          <w:tcPr>
            <w:tcW w:w="2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1,075,487</w:t>
            </w:r>
          </w:p>
        </w:tc>
        <w:tc>
          <w:tcPr>
            <w:tcW w:w="260" w:type="dxa"/>
            <w:vAlign w:val="bottom"/>
            <w:tcBorders>
              <w:bottom w:val="single" w:sz="8" w:color="auto"/>
            </w:tcBorders>
            <w:shd w:val="clear" w:color="auto" w:fill="CFF0FC"/>
          </w:tcPr>
          <w:p>
            <w:pPr>
              <w:ind w:left="160"/>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621</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(597,557)</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478,559</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loss</w:t>
      </w:r>
    </w:p>
    <w:p>
      <w:pPr>
        <w:spacing w:after="0" w:line="232" w:lineRule="auto"/>
        <w:rPr>
          <w:sz w:val="20"/>
          <w:szCs w:val="20"/>
          <w:color w:val="auto"/>
        </w:rPr>
      </w:pPr>
      <w:r>
        <w:rPr>
          <w:rFonts w:ascii="Arial" w:cs="Arial" w:eastAsia="Arial" w:hAnsi="Arial"/>
          <w:sz w:val="17"/>
          <w:szCs w:val="17"/>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line="232" w:lineRule="auto"/>
        <w:rPr>
          <w:sz w:val="20"/>
          <w:szCs w:val="20"/>
          <w:color w:val="auto"/>
        </w:rPr>
      </w:pPr>
      <w:r>
        <w:rPr>
          <w:rFonts w:ascii="Arial" w:cs="Arial" w:eastAsia="Arial" w:hAnsi="Arial"/>
          <w:sz w:val="17"/>
          <w:szCs w:val="17"/>
          <w:color w:val="auto"/>
        </w:rPr>
        <w:t>Depreciation and amortization expense</w:t>
      </w:r>
    </w:p>
    <w:p>
      <w:pPr>
        <w:ind w:left="320"/>
        <w:spacing w:after="0" w:line="232" w:lineRule="auto"/>
        <w:rPr>
          <w:sz w:val="20"/>
          <w:szCs w:val="20"/>
          <w:color w:val="auto"/>
        </w:rPr>
      </w:pPr>
      <w:r>
        <w:rPr>
          <w:rFonts w:ascii="Arial" w:cs="Arial" w:eastAsia="Arial" w:hAnsi="Arial"/>
          <w:sz w:val="17"/>
          <w:szCs w:val="17"/>
          <w:color w:val="auto"/>
        </w:rPr>
        <w:t>Non-cash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line="232" w:lineRule="auto"/>
        <w:rPr>
          <w:sz w:val="20"/>
          <w:szCs w:val="20"/>
          <w:color w:val="auto"/>
        </w:rPr>
      </w:pPr>
      <w:r>
        <w:rPr>
          <w:rFonts w:ascii="Arial" w:cs="Arial" w:eastAsia="Arial" w:hAnsi="Arial"/>
          <w:sz w:val="17"/>
          <w:szCs w:val="17"/>
          <w:color w:val="auto"/>
        </w:rPr>
        <w:t>Non-cash interest income on marketable securities</w:t>
      </w:r>
    </w:p>
    <w:p>
      <w:pPr>
        <w:ind w:left="320"/>
        <w:spacing w:after="0" w:line="232" w:lineRule="auto"/>
        <w:rPr>
          <w:sz w:val="20"/>
          <w:szCs w:val="20"/>
          <w:color w:val="auto"/>
        </w:rPr>
      </w:pPr>
      <w:r>
        <w:rPr>
          <w:rFonts w:ascii="Arial" w:cs="Arial" w:eastAsia="Arial" w:hAnsi="Arial"/>
          <w:sz w:val="17"/>
          <w:szCs w:val="17"/>
          <w:color w:val="auto"/>
        </w:rPr>
        <w:t>Stock-based compensation expense, including employee stock purchase plan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spacing w:after="0" w:line="232" w:lineRule="auto"/>
        <w:rPr>
          <w:sz w:val="20"/>
          <w:szCs w:val="20"/>
          <w:color w:val="auto"/>
        </w:rPr>
      </w:pPr>
      <w:r>
        <w:rPr>
          <w:rFonts w:ascii="Arial" w:cs="Arial" w:eastAsia="Arial" w:hAnsi="Arial"/>
          <w:sz w:val="17"/>
          <w:szCs w:val="17"/>
          <w:color w:val="auto"/>
        </w:rPr>
        <w:t>Loss on disposal of equipment</w:t>
      </w:r>
    </w:p>
    <w:p>
      <w:pPr>
        <w:ind w:left="320"/>
        <w:spacing w:after="0" w:line="232" w:lineRule="auto"/>
        <w:rPr>
          <w:sz w:val="20"/>
          <w:szCs w:val="20"/>
          <w:color w:val="auto"/>
        </w:rPr>
      </w:pPr>
      <w:r>
        <w:rPr>
          <w:rFonts w:ascii="Arial" w:cs="Arial" w:eastAsia="Arial" w:hAnsi="Arial"/>
          <w:sz w:val="17"/>
          <w:szCs w:val="17"/>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20"/>
        <w:spacing w:after="0" w:line="232" w:lineRule="auto"/>
        <w:rPr>
          <w:sz w:val="20"/>
          <w:szCs w:val="20"/>
          <w:color w:val="auto"/>
        </w:rPr>
      </w:pPr>
      <w:r>
        <w:rPr>
          <w:rFonts w:ascii="Arial" w:cs="Arial" w:eastAsia="Arial" w:hAnsi="Arial"/>
          <w:sz w:val="17"/>
          <w:szCs w:val="17"/>
          <w:color w:val="auto"/>
        </w:rPr>
        <w:t>Prepaid expenses and other current assets</w:t>
      </w:r>
    </w:p>
    <w:p>
      <w:pPr>
        <w:ind w:left="420"/>
        <w:spacing w:after="0" w:line="232" w:lineRule="auto"/>
        <w:rPr>
          <w:sz w:val="20"/>
          <w:szCs w:val="20"/>
          <w:color w:val="auto"/>
        </w:rPr>
      </w:pPr>
      <w:r>
        <w:rPr>
          <w:rFonts w:ascii="Arial" w:cs="Arial" w:eastAsia="Arial" w:hAnsi="Arial"/>
          <w:sz w:val="17"/>
          <w:szCs w:val="17"/>
          <w:color w:val="auto"/>
        </w:rPr>
        <w:t>Other assets and long-term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20"/>
        <w:spacing w:after="0" w:line="232" w:lineRule="auto"/>
        <w:rPr>
          <w:sz w:val="20"/>
          <w:szCs w:val="20"/>
          <w:color w:val="auto"/>
        </w:rPr>
      </w:pPr>
      <w:r>
        <w:rPr>
          <w:rFonts w:ascii="Arial" w:cs="Arial" w:eastAsia="Arial" w:hAnsi="Arial"/>
          <w:sz w:val="17"/>
          <w:szCs w:val="17"/>
          <w:color w:val="auto"/>
        </w:rPr>
        <w:t>Accounts payable</w:t>
      </w:r>
    </w:p>
    <w:p>
      <w:pPr>
        <w:ind w:left="420"/>
        <w:spacing w:after="0" w:line="232" w:lineRule="auto"/>
        <w:rPr>
          <w:sz w:val="20"/>
          <w:szCs w:val="20"/>
          <w:color w:val="auto"/>
        </w:rPr>
      </w:pPr>
      <w:r>
        <w:rPr>
          <w:rFonts w:ascii="Arial" w:cs="Arial" w:eastAsia="Arial" w:hAnsi="Arial"/>
          <w:sz w:val="17"/>
          <w:szCs w:val="17"/>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7"/>
          <w:szCs w:val="17"/>
          <w:color w:val="auto"/>
        </w:rPr>
        <w:t>Operating lease liabilities</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32" w:lineRule="auto"/>
        <w:rPr>
          <w:sz w:val="20"/>
          <w:szCs w:val="20"/>
          <w:color w:val="auto"/>
        </w:rPr>
      </w:pPr>
      <w:r>
        <w:rPr>
          <w:rFonts w:ascii="Arial" w:cs="Arial" w:eastAsia="Arial" w:hAnsi="Arial"/>
          <w:sz w:val="17"/>
          <w:szCs w:val="17"/>
          <w:color w:val="auto"/>
        </w:rPr>
        <w:t>Purchase of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Maturities of marketable securities</w:t>
      </w:r>
    </w:p>
    <w:p>
      <w:pPr>
        <w:spacing w:after="0"/>
        <w:rPr>
          <w:sz w:val="20"/>
          <w:szCs w:val="20"/>
          <w:color w:val="auto"/>
        </w:rPr>
      </w:pPr>
      <w:r>
        <w:rPr>
          <w:rFonts w:ascii="Arial" w:cs="Arial" w:eastAsia="Arial" w:hAnsi="Arial"/>
          <w:sz w:val="17"/>
          <w:szCs w:val="17"/>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20"/>
        <w:spacing w:after="0"/>
        <w:rPr>
          <w:sz w:val="20"/>
          <w:szCs w:val="20"/>
          <w:color w:val="auto"/>
        </w:rPr>
      </w:pPr>
      <w:r>
        <w:rPr>
          <w:rFonts w:ascii="Arial" w:cs="Arial" w:eastAsia="Arial" w:hAnsi="Arial"/>
          <w:sz w:val="17"/>
          <w:szCs w:val="17"/>
          <w:color w:val="auto"/>
        </w:rPr>
        <w:t>Net cash used in investing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Proceeds from issuance of shares upon follow-on public offering, net of issuance costs of $13,110</w:t>
      </w:r>
    </w:p>
    <w:p>
      <w:pPr>
        <w:spacing w:after="0" w:line="232" w:lineRule="auto"/>
        <w:rPr>
          <w:sz w:val="20"/>
          <w:szCs w:val="20"/>
          <w:color w:val="auto"/>
        </w:rPr>
      </w:pPr>
      <w:r>
        <w:rPr>
          <w:rFonts w:ascii="Arial" w:cs="Arial" w:eastAsia="Arial" w:hAnsi="Arial"/>
          <w:sz w:val="17"/>
          <w:szCs w:val="17"/>
          <w:color w:val="auto"/>
        </w:rPr>
        <w:t>Proceeds from issuance of shares under at-the-market offering, net of issuance costs of $166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Proceeds from 2024 private placement, net of issuance costs of $6,498</w:t>
      </w:r>
    </w:p>
    <w:p>
      <w:pPr>
        <w:spacing w:after="0" w:line="232" w:lineRule="auto"/>
        <w:rPr>
          <w:sz w:val="20"/>
          <w:szCs w:val="20"/>
          <w:color w:val="auto"/>
        </w:rPr>
      </w:pPr>
      <w:r>
        <w:rPr>
          <w:rFonts w:ascii="Arial" w:cs="Arial" w:eastAsia="Arial" w:hAnsi="Arial"/>
          <w:sz w:val="17"/>
          <w:szCs w:val="17"/>
          <w:color w:val="auto"/>
        </w:rPr>
        <w:t>Payment of issuance costs for shares issued under 2024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7"/>
          <w:szCs w:val="17"/>
          <w:color w:val="auto"/>
        </w:rPr>
        <w:t>Proceeds from borrowings under Credit Facility (Note 13)</w:t>
      </w:r>
    </w:p>
    <w:p>
      <w:pPr>
        <w:spacing w:after="0" w:line="232" w:lineRule="auto"/>
        <w:rPr>
          <w:sz w:val="20"/>
          <w:szCs w:val="20"/>
          <w:color w:val="auto"/>
        </w:rPr>
      </w:pPr>
      <w:r>
        <w:rPr>
          <w:rFonts w:ascii="Arial" w:cs="Arial" w:eastAsia="Arial" w:hAnsi="Arial"/>
          <w:sz w:val="17"/>
          <w:szCs w:val="17"/>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320" w:right="1380" w:hanging="304"/>
        <w:spacing w:after="0" w:line="248" w:lineRule="auto"/>
        <w:rPr>
          <w:sz w:val="20"/>
          <w:szCs w:val="20"/>
          <w:color w:val="auto"/>
        </w:rPr>
      </w:pPr>
      <w:r>
        <w:rPr>
          <w:rFonts w:ascii="Arial" w:cs="Arial" w:eastAsia="Arial" w:hAnsi="Arial"/>
          <w:sz w:val="17"/>
          <w:szCs w:val="17"/>
          <w:color w:val="auto"/>
        </w:rPr>
        <w:t>Proceeds from issuance of common stock under employee stock purchase plan 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89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3" w:lineRule="auto"/>
        <w:rPr>
          <w:sz w:val="20"/>
          <w:szCs w:val="20"/>
          <w:color w:val="auto"/>
        </w:rPr>
      </w:pPr>
      <w:r>
        <w:rPr>
          <w:rFonts w:ascii="Arial" w:cs="Arial" w:eastAsia="Arial" w:hAnsi="Arial"/>
          <w:sz w:val="17"/>
          <w:szCs w:val="17"/>
          <w:b w:val="1"/>
          <w:bCs w:val="1"/>
          <w:color w:val="auto"/>
        </w:rPr>
        <w:t>Net (decrease) increase in cash and cash equivalents</w:t>
      </w: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6"/>
              <w:spacing w:after="0" w:line="155" w:lineRule="exact"/>
              <w:rPr>
                <w:sz w:val="20"/>
                <w:szCs w:val="20"/>
                <w:color w:val="auto"/>
              </w:rPr>
            </w:pPr>
            <w:r>
              <w:rPr>
                <w:rFonts w:ascii="Arial" w:cs="Arial" w:eastAsia="Arial" w:hAnsi="Arial"/>
                <w:sz w:val="14"/>
                <w:szCs w:val="14"/>
                <w:b w:val="1"/>
                <w:bCs w:val="1"/>
                <w:color w:val="auto"/>
              </w:rPr>
              <w:t>2024</w:t>
            </w:r>
          </w:p>
        </w:tc>
      </w:tr>
      <w:tr>
        <w:trPr>
          <w:trHeight w:val="385"/>
        </w:trPr>
        <w:tc>
          <w:tcPr>
            <w:tcW w:w="3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(162,451)</w:t>
            </w:r>
          </w:p>
        </w:tc>
        <w:tc>
          <w:tcPr>
            <w:tcW w:w="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(129,474)</w:t>
            </w:r>
          </w:p>
        </w:tc>
      </w:tr>
      <w:tr>
        <w:trPr>
          <w:trHeight w:val="342"/>
        </w:trPr>
        <w:tc>
          <w:tcPr>
            <w:tcW w:w="320" w:type="dxa"/>
            <w:vAlign w:val="bottom"/>
          </w:tcPr>
          <w:p>
            <w:pPr>
              <w:spacing w:after="0"/>
              <w:rPr>
                <w:sz w:val="24"/>
                <w:szCs w:val="24"/>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393</w:t>
            </w:r>
          </w:p>
        </w:tc>
      </w:tr>
      <w:tr>
        <w:trPr>
          <w:trHeight w:val="189"/>
        </w:trPr>
        <w:tc>
          <w:tcPr>
            <w:tcW w:w="320" w:type="dxa"/>
            <w:vAlign w:val="bottom"/>
          </w:tcPr>
          <w:p>
            <w:pPr>
              <w:spacing w:after="0"/>
              <w:rPr>
                <w:sz w:val="16"/>
                <w:szCs w:val="16"/>
                <w:color w:val="auto"/>
              </w:rPr>
            </w:pPr>
          </w:p>
        </w:tc>
        <w:tc>
          <w:tcPr>
            <w:tcW w:w="1160" w:type="dxa"/>
            <w:vAlign w:val="bottom"/>
          </w:tcPr>
          <w:p>
            <w:pPr>
              <w:jc w:val="right"/>
              <w:ind w:right="36"/>
              <w:spacing w:after="0" w:line="189" w:lineRule="exact"/>
              <w:rPr>
                <w:sz w:val="20"/>
                <w:szCs w:val="20"/>
                <w:color w:val="auto"/>
              </w:rPr>
            </w:pPr>
            <w:r>
              <w:rPr>
                <w:rFonts w:ascii="Arial" w:cs="Arial" w:eastAsia="Arial" w:hAnsi="Arial"/>
                <w:sz w:val="17"/>
                <w:szCs w:val="17"/>
                <w:color w:val="auto"/>
              </w:rPr>
              <w:t>1,176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36"/>
              <w:spacing w:after="0" w:line="189" w:lineRule="exact"/>
              <w:rPr>
                <w:sz w:val="20"/>
                <w:szCs w:val="20"/>
                <w:color w:val="auto"/>
              </w:rPr>
            </w:pPr>
            <w:r>
              <w:rPr>
                <w:rFonts w:ascii="Arial" w:cs="Arial" w:eastAsia="Arial" w:hAnsi="Arial"/>
                <w:sz w:val="17"/>
                <w:szCs w:val="17"/>
                <w:color w:val="auto"/>
              </w:rPr>
              <w:t>1,150</w:t>
            </w:r>
          </w:p>
        </w:tc>
      </w:tr>
      <w:tr>
        <w:trPr>
          <w:trHeight w:val="189"/>
        </w:trPr>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(6,292)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(8,175)</w:t>
            </w:r>
          </w:p>
        </w:tc>
      </w:tr>
      <w:tr>
        <w:trPr>
          <w:trHeight w:val="189"/>
        </w:trPr>
        <w:tc>
          <w:tcPr>
            <w:tcW w:w="320" w:type="dxa"/>
            <w:vAlign w:val="bottom"/>
          </w:tcPr>
          <w:p>
            <w:pPr>
              <w:spacing w:after="0"/>
              <w:rPr>
                <w:sz w:val="16"/>
                <w:szCs w:val="16"/>
                <w:color w:val="auto"/>
              </w:rPr>
            </w:pPr>
          </w:p>
        </w:tc>
        <w:tc>
          <w:tcPr>
            <w:tcW w:w="1160" w:type="dxa"/>
            <w:vAlign w:val="bottom"/>
          </w:tcPr>
          <w:p>
            <w:pPr>
              <w:jc w:val="right"/>
              <w:ind w:right="36"/>
              <w:spacing w:after="0" w:line="189" w:lineRule="exact"/>
              <w:rPr>
                <w:sz w:val="20"/>
                <w:szCs w:val="20"/>
                <w:color w:val="auto"/>
              </w:rPr>
            </w:pPr>
            <w:r>
              <w:rPr>
                <w:rFonts w:ascii="Arial" w:cs="Arial" w:eastAsia="Arial" w:hAnsi="Arial"/>
                <w:sz w:val="17"/>
                <w:szCs w:val="17"/>
                <w:color w:val="auto"/>
              </w:rPr>
              <w:t>17,586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36"/>
              <w:spacing w:after="0" w:line="189" w:lineRule="exact"/>
              <w:rPr>
                <w:sz w:val="20"/>
                <w:szCs w:val="20"/>
                <w:color w:val="auto"/>
              </w:rPr>
            </w:pPr>
            <w:r>
              <w:rPr>
                <w:rFonts w:ascii="Arial" w:cs="Arial" w:eastAsia="Arial" w:hAnsi="Arial"/>
                <w:sz w:val="17"/>
                <w:szCs w:val="17"/>
                <w:color w:val="auto"/>
              </w:rPr>
              <w:t>22,582</w:t>
            </w:r>
          </w:p>
        </w:tc>
      </w:tr>
      <w:tr>
        <w:trPr>
          <w:trHeight w:val="225"/>
        </w:trPr>
        <w:tc>
          <w:tcPr>
            <w:tcW w:w="320" w:type="dxa"/>
            <w:vAlign w:val="bottom"/>
          </w:tcPr>
          <w:p>
            <w:pPr>
              <w:spacing w:after="0"/>
              <w:rPr>
                <w:sz w:val="19"/>
                <w:szCs w:val="19"/>
                <w:color w:val="auto"/>
              </w:rPr>
            </w:pPr>
          </w:p>
        </w:tc>
        <w:tc>
          <w:tcPr>
            <w:tcW w:w="1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36"/>
              <w:spacing w:after="0"/>
              <w:rPr>
                <w:sz w:val="20"/>
                <w:szCs w:val="20"/>
                <w:color w:val="auto"/>
              </w:rPr>
            </w:pPr>
            <w:r>
              <w:rPr>
                <w:rFonts w:ascii="Arial" w:cs="Arial" w:eastAsia="Arial" w:hAnsi="Arial"/>
                <w:sz w:val="17"/>
                <w:szCs w:val="17"/>
                <w:color w:val="auto"/>
              </w:rPr>
              <w:t>9</w:t>
            </w:r>
          </w:p>
        </w:tc>
      </w:tr>
      <w:tr>
        <w:trPr>
          <w:trHeight w:val="342"/>
        </w:trPr>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(5,418)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(429)</w:t>
            </w:r>
          </w:p>
        </w:tc>
      </w:tr>
      <w:tr>
        <w:trPr>
          <w:trHeight w:val="189"/>
        </w:trPr>
        <w:tc>
          <w:tcPr>
            <w:tcW w:w="320" w:type="dxa"/>
            <w:vAlign w:val="bottom"/>
          </w:tcPr>
          <w:p>
            <w:pPr>
              <w:spacing w:after="0"/>
              <w:rPr>
                <w:sz w:val="16"/>
                <w:szCs w:val="16"/>
                <w:color w:val="auto"/>
              </w:rPr>
            </w:pPr>
          </w:p>
        </w:tc>
        <w:tc>
          <w:tcPr>
            <w:tcW w:w="1160" w:type="dxa"/>
            <w:vAlign w:val="bottom"/>
          </w:tcPr>
          <w:p>
            <w:pPr>
              <w:jc w:val="right"/>
              <w:spacing w:after="0" w:line="189" w:lineRule="exact"/>
              <w:rPr>
                <w:sz w:val="20"/>
                <w:szCs w:val="20"/>
                <w:color w:val="auto"/>
              </w:rPr>
            </w:pPr>
            <w:r>
              <w:rPr>
                <w:rFonts w:ascii="Arial" w:cs="Arial" w:eastAsia="Arial" w:hAnsi="Arial"/>
                <w:sz w:val="17"/>
                <w:szCs w:val="17"/>
                <w:color w:val="auto"/>
              </w:rPr>
              <w:t>(6,145)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7"/>
                <w:szCs w:val="17"/>
                <w:color w:val="auto"/>
              </w:rPr>
              <w:t>(2,957)</w:t>
            </w:r>
          </w:p>
        </w:tc>
      </w:tr>
      <w:tr>
        <w:trPr>
          <w:trHeight w:val="189"/>
        </w:trPr>
        <w:tc>
          <w:tcPr>
            <w:tcW w:w="320" w:type="dxa"/>
            <w:vAlign w:val="bottom"/>
          </w:tcPr>
          <w:p>
            <w:pPr>
              <w:spacing w:after="0"/>
              <w:rPr>
                <w:sz w:val="16"/>
                <w:szCs w:val="16"/>
                <w:color w:val="auto"/>
              </w:rPr>
            </w:pPr>
          </w:p>
        </w:tc>
        <w:tc>
          <w:tcPr>
            <w:tcW w:w="1160" w:type="dxa"/>
            <w:vAlign w:val="bottom"/>
          </w:tcPr>
          <w:p>
            <w:pPr>
              <w:jc w:val="right"/>
              <w:ind w:right="36"/>
              <w:spacing w:after="0" w:line="189" w:lineRule="exact"/>
              <w:rPr>
                <w:sz w:val="20"/>
                <w:szCs w:val="20"/>
                <w:color w:val="auto"/>
              </w:rPr>
            </w:pPr>
            <w:r>
              <w:rPr>
                <w:rFonts w:ascii="Arial" w:cs="Arial" w:eastAsia="Arial" w:hAnsi="Arial"/>
                <w:sz w:val="17"/>
                <w:szCs w:val="17"/>
                <w:color w:val="auto"/>
              </w:rPr>
              <w:t>4,598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36"/>
              <w:spacing w:after="0" w:line="189" w:lineRule="exact"/>
              <w:rPr>
                <w:sz w:val="20"/>
                <w:szCs w:val="20"/>
                <w:color w:val="auto"/>
              </w:rPr>
            </w:pPr>
            <w:r>
              <w:rPr>
                <w:rFonts w:ascii="Arial" w:cs="Arial" w:eastAsia="Arial" w:hAnsi="Arial"/>
                <w:sz w:val="17"/>
                <w:szCs w:val="17"/>
                <w:color w:val="auto"/>
              </w:rPr>
              <w:t>2,510</w:t>
            </w:r>
          </w:p>
        </w:tc>
      </w:tr>
      <w:tr>
        <w:trPr>
          <w:trHeight w:val="189"/>
        </w:trPr>
        <w:tc>
          <w:tcPr>
            <w:tcW w:w="320" w:type="dxa"/>
            <w:vAlign w:val="bottom"/>
          </w:tcPr>
          <w:p>
            <w:pPr>
              <w:spacing w:after="0"/>
              <w:rPr>
                <w:sz w:val="16"/>
                <w:szCs w:val="16"/>
                <w:color w:val="auto"/>
              </w:rPr>
            </w:pPr>
          </w:p>
        </w:tc>
        <w:tc>
          <w:tcPr>
            <w:tcW w:w="1160" w:type="dxa"/>
            <w:vAlign w:val="bottom"/>
          </w:tcPr>
          <w:p>
            <w:pPr>
              <w:jc w:val="right"/>
              <w:ind w:right="36"/>
              <w:spacing w:after="0" w:line="189" w:lineRule="exact"/>
              <w:rPr>
                <w:sz w:val="20"/>
                <w:szCs w:val="20"/>
                <w:color w:val="auto"/>
              </w:rPr>
            </w:pPr>
            <w:r>
              <w:rPr>
                <w:rFonts w:ascii="Arial" w:cs="Arial" w:eastAsia="Arial" w:hAnsi="Arial"/>
                <w:sz w:val="17"/>
                <w:szCs w:val="17"/>
                <w:color w:val="auto"/>
              </w:rPr>
              <w:t>10,984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36"/>
              <w:spacing w:after="0" w:line="189" w:lineRule="exact"/>
              <w:rPr>
                <w:sz w:val="20"/>
                <w:szCs w:val="20"/>
                <w:color w:val="auto"/>
              </w:rPr>
            </w:pPr>
            <w:r>
              <w:rPr>
                <w:rFonts w:ascii="Arial" w:cs="Arial" w:eastAsia="Arial" w:hAnsi="Arial"/>
                <w:sz w:val="17"/>
                <w:szCs w:val="17"/>
                <w:color w:val="auto"/>
              </w:rPr>
              <w:t>11,202</w:t>
            </w:r>
          </w:p>
        </w:tc>
      </w:tr>
      <w:tr>
        <w:trPr>
          <w:trHeight w:val="211"/>
        </w:trPr>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(1,162)</w:t>
            </w:r>
          </w:p>
        </w:tc>
      </w:tr>
      <w:tr>
        <w:trPr>
          <w:trHeight w:val="183"/>
        </w:trPr>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(146,716)</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(104,351)</w:t>
            </w:r>
          </w:p>
        </w:tc>
      </w:tr>
    </w:tbl>
    <w:p>
      <w:pPr>
        <w:spacing w:after="0" w:line="16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—(159)</w:t>
      </w:r>
    </w:p>
    <w:p>
      <w:pPr>
        <w:spacing w:after="0" w:line="9" w:lineRule="exact"/>
        <w:rPr>
          <w:sz w:val="20"/>
          <w:szCs w:val="20"/>
          <w:color w:val="auto"/>
        </w:rPr>
      </w:pPr>
    </w:p>
    <w:p>
      <w:pPr>
        <w:ind w:left="740"/>
        <w:spacing w:after="0" w:line="232" w:lineRule="auto"/>
        <w:rPr>
          <w:sz w:val="20"/>
          <w:szCs w:val="20"/>
          <w:color w:val="auto"/>
        </w:rPr>
      </w:pPr>
      <w:r>
        <w:rPr>
          <w:rFonts w:ascii="Arial" w:cs="Arial" w:eastAsia="Arial" w:hAnsi="Arial"/>
          <w:sz w:val="17"/>
          <w:szCs w:val="17"/>
          <w:color w:val="auto"/>
        </w:rPr>
        <w:t>344,962301,592</w:t>
      </w:r>
    </w:p>
    <w:tbl>
      <w:tblPr>
        <w:tblLayout w:type="fixed"/>
        <w:tblInd w:w="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(500,722)</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(394,959)</w:t>
            </w:r>
          </w:p>
        </w:tc>
      </w:tr>
      <w:tr>
        <w:trPr>
          <w:trHeight w:val="183"/>
        </w:trPr>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
              <w:spacing w:after="0" w:line="183" w:lineRule="exact"/>
              <w:rPr>
                <w:sz w:val="20"/>
                <w:szCs w:val="20"/>
                <w:color w:val="auto"/>
              </w:rPr>
            </w:pPr>
            <w:r>
              <w:rPr>
                <w:rFonts w:ascii="Arial" w:cs="Arial" w:eastAsia="Arial" w:hAnsi="Arial"/>
                <w:sz w:val="17"/>
                <w:szCs w:val="17"/>
                <w:color w:val="auto"/>
              </w:rPr>
              <w:t>(155,760)</w:t>
            </w: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(93,526)</w:t>
            </w:r>
          </w:p>
        </w:tc>
      </w:tr>
      <w:tr>
        <w:trPr>
          <w:trHeight w:val="349"/>
        </w:trPr>
        <w:tc>
          <w:tcPr>
            <w:tcW w:w="400" w:type="dxa"/>
            <w:vAlign w:val="bottom"/>
          </w:tcPr>
          <w:p>
            <w:pPr>
              <w:spacing w:after="0"/>
              <w:rPr>
                <w:sz w:val="24"/>
                <w:szCs w:val="24"/>
                <w:color w:val="auto"/>
              </w:rPr>
            </w:pPr>
          </w:p>
        </w:tc>
        <w:tc>
          <w:tcPr>
            <w:tcW w:w="1160" w:type="dxa"/>
            <w:vAlign w:val="bottom"/>
          </w:tcPr>
          <w:p>
            <w:pPr>
              <w:jc w:val="right"/>
              <w:ind w:right="115"/>
              <w:spacing w:after="0"/>
              <w:rPr>
                <w:sz w:val="20"/>
                <w:szCs w:val="20"/>
                <w:color w:val="auto"/>
              </w:rPr>
            </w:pPr>
            <w:r>
              <w:rPr>
                <w:rFonts w:ascii="Arial" w:cs="Arial" w:eastAsia="Arial" w:hAnsi="Arial"/>
                <w:sz w:val="17"/>
                <w:szCs w:val="17"/>
                <w:color w:val="auto"/>
              </w:rPr>
              <w:t>205,390</w:t>
            </w:r>
          </w:p>
        </w:tc>
        <w:tc>
          <w:tcPr>
            <w:tcW w:w="500" w:type="dxa"/>
            <w:vAlign w:val="bottom"/>
          </w:tcPr>
          <w:p>
            <w:pPr>
              <w:spacing w:after="0"/>
              <w:rPr>
                <w:sz w:val="24"/>
                <w:szCs w:val="24"/>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w:t>
            </w:r>
          </w:p>
        </w:tc>
      </w:tr>
      <w:tr>
        <w:trPr>
          <w:trHeight w:val="189"/>
        </w:trPr>
        <w:tc>
          <w:tcPr>
            <w:tcW w:w="400" w:type="dxa"/>
            <w:vAlign w:val="bottom"/>
          </w:tcPr>
          <w:p>
            <w:pPr>
              <w:spacing w:after="0"/>
              <w:rPr>
                <w:sz w:val="16"/>
                <w:szCs w:val="16"/>
                <w:color w:val="auto"/>
              </w:rPr>
            </w:pPr>
          </w:p>
        </w:tc>
        <w:tc>
          <w:tcPr>
            <w:tcW w:w="11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22,787</w:t>
            </w:r>
          </w:p>
        </w:tc>
      </w:tr>
      <w:tr>
        <w:trPr>
          <w:trHeight w:val="189"/>
        </w:trPr>
        <w:tc>
          <w:tcPr>
            <w:tcW w:w="400" w:type="dxa"/>
            <w:vAlign w:val="bottom"/>
          </w:tcPr>
          <w:p>
            <w:pPr>
              <w:spacing w:after="0"/>
              <w:rPr>
                <w:sz w:val="16"/>
                <w:szCs w:val="16"/>
                <w:color w:val="auto"/>
              </w:rPr>
            </w:pPr>
          </w:p>
        </w:tc>
        <w:tc>
          <w:tcPr>
            <w:tcW w:w="11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5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243,501</w:t>
            </w:r>
          </w:p>
        </w:tc>
      </w:tr>
      <w:tr>
        <w:trPr>
          <w:trHeight w:val="189"/>
        </w:trPr>
        <w:tc>
          <w:tcPr>
            <w:tcW w:w="400" w:type="dxa"/>
            <w:vAlign w:val="bottom"/>
          </w:tcPr>
          <w:p>
            <w:pPr>
              <w:spacing w:after="0"/>
              <w:rPr>
                <w:sz w:val="16"/>
                <w:szCs w:val="16"/>
                <w:color w:val="auto"/>
              </w:rPr>
            </w:pPr>
          </w:p>
        </w:tc>
        <w:tc>
          <w:tcPr>
            <w:tcW w:w="1160" w:type="dxa"/>
            <w:vAlign w:val="bottom"/>
          </w:tcPr>
          <w:p>
            <w:pPr>
              <w:jc w:val="right"/>
              <w:ind w:right="55"/>
              <w:spacing w:after="0" w:line="189" w:lineRule="exact"/>
              <w:rPr>
                <w:sz w:val="20"/>
                <w:szCs w:val="20"/>
                <w:color w:val="auto"/>
              </w:rPr>
            </w:pPr>
            <w:r>
              <w:rPr>
                <w:rFonts w:ascii="Arial" w:cs="Arial" w:eastAsia="Arial" w:hAnsi="Arial"/>
                <w:sz w:val="17"/>
                <w:szCs w:val="17"/>
                <w:color w:val="auto"/>
              </w:rPr>
              <w:t>(6,514)</w:t>
            </w:r>
          </w:p>
        </w:tc>
        <w:tc>
          <w:tcPr>
            <w:tcW w:w="5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r>
      <w:tr>
        <w:trPr>
          <w:trHeight w:val="189"/>
        </w:trPr>
        <w:tc>
          <w:tcPr>
            <w:tcW w:w="400" w:type="dxa"/>
            <w:vAlign w:val="bottom"/>
          </w:tcPr>
          <w:p>
            <w:pPr>
              <w:spacing w:after="0"/>
              <w:rPr>
                <w:sz w:val="16"/>
                <w:szCs w:val="16"/>
                <w:color w:val="auto"/>
              </w:rPr>
            </w:pPr>
          </w:p>
        </w:tc>
        <w:tc>
          <w:tcPr>
            <w:tcW w:w="11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3,000</w:t>
            </w:r>
          </w:p>
        </w:tc>
        <w:tc>
          <w:tcPr>
            <w:tcW w:w="5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w:t>
            </w:r>
          </w:p>
        </w:tc>
      </w:tr>
      <w:tr>
        <w:trPr>
          <w:trHeight w:val="189"/>
        </w:trPr>
        <w:tc>
          <w:tcPr>
            <w:tcW w:w="400" w:type="dxa"/>
            <w:vAlign w:val="bottom"/>
          </w:tcPr>
          <w:p>
            <w:pPr>
              <w:spacing w:after="0"/>
              <w:rPr>
                <w:sz w:val="16"/>
                <w:szCs w:val="16"/>
                <w:color w:val="auto"/>
              </w:rPr>
            </w:pPr>
          </w:p>
        </w:tc>
        <w:tc>
          <w:tcPr>
            <w:tcW w:w="116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8,391</w:t>
            </w:r>
          </w:p>
        </w:tc>
        <w:tc>
          <w:tcPr>
            <w:tcW w:w="500" w:type="dxa"/>
            <w:vAlign w:val="bottom"/>
          </w:tcPr>
          <w:p>
            <w:pPr>
              <w:spacing w:after="0"/>
              <w:rPr>
                <w:sz w:val="16"/>
                <w:szCs w:val="16"/>
                <w:color w:val="auto"/>
              </w:rPr>
            </w:pPr>
          </w:p>
        </w:tc>
        <w:tc>
          <w:tcPr>
            <w:tcW w:w="1080" w:type="dxa"/>
            <w:vAlign w:val="bottom"/>
          </w:tcPr>
          <w:p>
            <w:pPr>
              <w:jc w:val="right"/>
              <w:ind w:right="35"/>
              <w:spacing w:after="0" w:line="189" w:lineRule="exact"/>
              <w:rPr>
                <w:sz w:val="20"/>
                <w:szCs w:val="20"/>
                <w:color w:val="auto"/>
              </w:rPr>
            </w:pPr>
            <w:r>
              <w:rPr>
                <w:rFonts w:ascii="Arial" w:cs="Arial" w:eastAsia="Arial" w:hAnsi="Arial"/>
                <w:sz w:val="17"/>
                <w:szCs w:val="17"/>
                <w:color w:val="auto"/>
              </w:rPr>
              <w:t>1,671</w:t>
            </w:r>
          </w:p>
        </w:tc>
      </w:tr>
      <w:tr>
        <w:trPr>
          <w:trHeight w:val="211"/>
        </w:trPr>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1,030</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859</w:t>
            </w:r>
          </w:p>
        </w:tc>
      </w:tr>
      <w:tr>
        <w:trPr>
          <w:trHeight w:val="183"/>
        </w:trPr>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5"/>
              <w:spacing w:after="0" w:line="183" w:lineRule="exact"/>
              <w:rPr>
                <w:sz w:val="20"/>
                <w:szCs w:val="20"/>
                <w:color w:val="auto"/>
              </w:rPr>
            </w:pPr>
            <w:r>
              <w:rPr>
                <w:rFonts w:ascii="Arial" w:cs="Arial" w:eastAsia="Arial" w:hAnsi="Arial"/>
                <w:sz w:val="17"/>
                <w:szCs w:val="17"/>
                <w:color w:val="auto"/>
              </w:rPr>
              <w:t>211,297</w:t>
            </w:r>
          </w:p>
        </w:tc>
        <w:tc>
          <w:tcPr>
            <w:tcW w:w="5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
              <w:spacing w:after="0" w:line="183" w:lineRule="exact"/>
              <w:rPr>
                <w:sz w:val="20"/>
                <w:szCs w:val="20"/>
                <w:color w:val="auto"/>
              </w:rPr>
            </w:pPr>
            <w:r>
              <w:rPr>
                <w:rFonts w:ascii="Arial" w:cs="Arial" w:eastAsia="Arial" w:hAnsi="Arial"/>
                <w:sz w:val="17"/>
                <w:szCs w:val="17"/>
                <w:color w:val="auto"/>
              </w:rPr>
              <w:t>268,818</w:t>
            </w:r>
          </w:p>
        </w:tc>
      </w:tr>
      <w:tr>
        <w:trPr>
          <w:trHeight w:val="160"/>
        </w:trPr>
        <w:tc>
          <w:tcPr>
            <w:tcW w:w="400" w:type="dxa"/>
            <w:vAlign w:val="bottom"/>
          </w:tcPr>
          <w:p>
            <w:pPr>
              <w:spacing w:after="0"/>
              <w:rPr>
                <w:sz w:val="13"/>
                <w:szCs w:val="13"/>
                <w:color w:val="auto"/>
              </w:rPr>
            </w:pPr>
          </w:p>
        </w:tc>
        <w:tc>
          <w:tcPr>
            <w:tcW w:w="1160" w:type="dxa"/>
            <w:vAlign w:val="bottom"/>
          </w:tcPr>
          <w:p>
            <w:pPr>
              <w:jc w:val="right"/>
              <w:ind w:right="55"/>
              <w:spacing w:after="0" w:line="160" w:lineRule="exact"/>
              <w:rPr>
                <w:sz w:val="20"/>
                <w:szCs w:val="20"/>
                <w:color w:val="auto"/>
              </w:rPr>
            </w:pPr>
            <w:r>
              <w:rPr>
                <w:rFonts w:ascii="Arial" w:cs="Arial" w:eastAsia="Arial" w:hAnsi="Arial"/>
                <w:sz w:val="17"/>
                <w:szCs w:val="17"/>
                <w:color w:val="auto"/>
              </w:rPr>
              <w:t>(91,179)</w:t>
            </w:r>
          </w:p>
        </w:tc>
        <w:tc>
          <w:tcPr>
            <w:tcW w:w="500" w:type="dxa"/>
            <w:vAlign w:val="bottom"/>
          </w:tcPr>
          <w:p>
            <w:pPr>
              <w:spacing w:after="0"/>
              <w:rPr>
                <w:sz w:val="13"/>
                <w:szCs w:val="13"/>
                <w:color w:val="auto"/>
              </w:rPr>
            </w:pPr>
          </w:p>
        </w:tc>
        <w:tc>
          <w:tcPr>
            <w:tcW w:w="1080" w:type="dxa"/>
            <w:vAlign w:val="bottom"/>
          </w:tcPr>
          <w:p>
            <w:pPr>
              <w:jc w:val="right"/>
              <w:ind w:right="35"/>
              <w:spacing w:after="0" w:line="160" w:lineRule="exact"/>
              <w:rPr>
                <w:sz w:val="20"/>
                <w:szCs w:val="20"/>
                <w:color w:val="auto"/>
              </w:rPr>
            </w:pPr>
            <w:r>
              <w:rPr>
                <w:rFonts w:ascii="Arial" w:cs="Arial" w:eastAsia="Arial" w:hAnsi="Arial"/>
                <w:sz w:val="17"/>
                <w:szCs w:val="17"/>
                <w:color w:val="auto"/>
              </w:rPr>
              <w:t>70,941</w:t>
            </w:r>
          </w:p>
        </w:tc>
      </w:tr>
      <w:tr>
        <w:trPr>
          <w:trHeight w:val="211"/>
        </w:trPr>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139,480</w:t>
            </w: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68,539</w:t>
            </w:r>
          </w:p>
        </w:tc>
      </w:tr>
      <w:tr>
        <w:trPr>
          <w:trHeight w:val="218"/>
        </w:trPr>
        <w:tc>
          <w:tcPr>
            <w:tcW w:w="40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15"/>
              <w:spacing w:after="0"/>
              <w:rPr>
                <w:sz w:val="20"/>
                <w:szCs w:val="20"/>
                <w:color w:val="auto"/>
              </w:rPr>
            </w:pPr>
            <w:r>
              <w:rPr>
                <w:rFonts w:ascii="Arial" w:cs="Arial" w:eastAsia="Arial" w:hAnsi="Arial"/>
                <w:sz w:val="17"/>
                <w:szCs w:val="17"/>
                <w:color w:val="auto"/>
              </w:rPr>
              <w:t>48,301</w:t>
            </w:r>
          </w:p>
        </w:tc>
        <w:tc>
          <w:tcPr>
            <w:tcW w:w="5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139,480</w:t>
            </w:r>
          </w:p>
        </w:tc>
      </w:tr>
    </w:tbl>
    <w:p>
      <w:pPr>
        <w:spacing w:after="0" w:line="187" w:lineRule="exact"/>
        <w:rPr>
          <w:sz w:val="20"/>
          <w:szCs w:val="20"/>
          <w:color w:val="auto"/>
        </w:rPr>
      </w:pPr>
    </w:p>
    <w:p>
      <w:pPr>
        <w:sectPr>
          <w:pgSz w:w="11900" w:h="16838" w:orient="portrait"/>
          <w:cols w:equalWidth="0" w:num="2">
            <w:col w:w="7400" w:space="700"/>
            <w:col w:w="31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7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2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r>
      <w:tr>
        <w:trPr>
          <w:trHeight w:val="189"/>
        </w:trPr>
        <w:tc>
          <w:tcPr>
            <w:tcW w:w="7300" w:type="dxa"/>
            <w:vAlign w:val="bottom"/>
          </w:tcPr>
          <w:p>
            <w:pPr>
              <w:spacing w:after="0" w:line="189" w:lineRule="exact"/>
              <w:rPr>
                <w:sz w:val="20"/>
                <w:szCs w:val="20"/>
                <w:color w:val="auto"/>
              </w:rPr>
            </w:pPr>
            <w:r>
              <w:rPr>
                <w:rFonts w:ascii="Arial" w:cs="Arial" w:eastAsia="Arial" w:hAnsi="Arial"/>
                <w:sz w:val="17"/>
                <w:szCs w:val="17"/>
                <w:color w:val="auto"/>
              </w:rPr>
              <w:t>Exchange common stock shares for pre-funded warrants</w:t>
            </w:r>
          </w:p>
        </w:tc>
        <w:tc>
          <w:tcPr>
            <w:tcW w:w="128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29,379</w:t>
            </w:r>
          </w:p>
        </w:tc>
        <w:tc>
          <w:tcPr>
            <w:tcW w:w="58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31,054</w:t>
            </w:r>
          </w:p>
        </w:tc>
      </w:tr>
      <w:tr>
        <w:trPr>
          <w:trHeight w:val="189"/>
        </w:trPr>
        <w:tc>
          <w:tcPr>
            <w:tcW w:w="73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Right-of-use asset obtained in exchange for operating lease liabilities</w:t>
            </w:r>
          </w:p>
        </w:tc>
        <w:tc>
          <w:tcPr>
            <w:tcW w:w="1280" w:type="dxa"/>
            <w:vAlign w:val="bottom"/>
            <w:shd w:val="clear" w:color="auto" w:fill="CFF0FC"/>
          </w:tcPr>
          <w:p>
            <w:pPr>
              <w:jc w:val="right"/>
              <w:ind w:right="25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896</w:t>
            </w:r>
          </w:p>
        </w:tc>
        <w:tc>
          <w:tcPr>
            <w:tcW w:w="580" w:type="dxa"/>
            <w:vAlign w:val="bottom"/>
            <w:shd w:val="clear" w:color="auto" w:fill="CFF0FC"/>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w:t>
            </w:r>
          </w:p>
        </w:tc>
      </w:tr>
      <w:tr>
        <w:trPr>
          <w:trHeight w:val="189"/>
        </w:trPr>
        <w:tc>
          <w:tcPr>
            <w:tcW w:w="7300" w:type="dxa"/>
            <w:vAlign w:val="bottom"/>
          </w:tcPr>
          <w:p>
            <w:pPr>
              <w:spacing w:after="0" w:line="189" w:lineRule="exact"/>
              <w:rPr>
                <w:sz w:val="20"/>
                <w:szCs w:val="20"/>
                <w:color w:val="auto"/>
              </w:rPr>
            </w:pPr>
            <w:r>
              <w:rPr>
                <w:rFonts w:ascii="Arial" w:cs="Arial" w:eastAsia="Arial" w:hAnsi="Arial"/>
                <w:sz w:val="17"/>
                <w:szCs w:val="17"/>
                <w:color w:val="auto"/>
              </w:rPr>
              <w:t>Unpaid issuance costs related to follow-on public offering and 2024 private placement</w:t>
            </w:r>
          </w:p>
        </w:tc>
        <w:tc>
          <w:tcPr>
            <w:tcW w:w="128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line="189" w:lineRule="exact"/>
              <w:rPr>
                <w:sz w:val="20"/>
                <w:szCs w:val="20"/>
                <w:color w:val="auto"/>
              </w:rPr>
            </w:pPr>
            <w:r>
              <w:rPr>
                <w:rFonts w:ascii="Arial" w:cs="Arial" w:eastAsia="Arial" w:hAnsi="Arial"/>
                <w:sz w:val="17"/>
                <w:szCs w:val="17"/>
                <w:color w:val="auto"/>
              </w:rPr>
              <w:t>578</w:t>
            </w:r>
          </w:p>
        </w:tc>
        <w:tc>
          <w:tcPr>
            <w:tcW w:w="58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000" w:type="dxa"/>
            <w:vAlign w:val="bottom"/>
          </w:tcPr>
          <w:p>
            <w:pPr>
              <w:jc w:val="right"/>
              <w:ind w:right="35"/>
              <w:spacing w:after="0" w:line="189" w:lineRule="exact"/>
              <w:rPr>
                <w:sz w:val="20"/>
                <w:szCs w:val="20"/>
                <w:color w:val="auto"/>
              </w:rPr>
            </w:pPr>
            <w:r>
              <w:rPr>
                <w:rFonts w:ascii="Arial" w:cs="Arial" w:eastAsia="Arial" w:hAnsi="Arial"/>
                <w:sz w:val="17"/>
                <w:szCs w:val="17"/>
                <w:color w:val="auto"/>
              </w:rPr>
              <w:t>6,500</w:t>
            </w:r>
          </w:p>
        </w:tc>
      </w:tr>
      <w:tr>
        <w:trPr>
          <w:trHeight w:val="189"/>
        </w:trPr>
        <w:tc>
          <w:tcPr>
            <w:tcW w:w="7300" w:type="dxa"/>
            <w:vAlign w:val="bottom"/>
            <w:shd w:val="clear" w:color="auto" w:fill="CFF0FC"/>
          </w:tcPr>
          <w:p>
            <w:pPr>
              <w:spacing w:after="0" w:line="189" w:lineRule="exact"/>
              <w:rPr>
                <w:sz w:val="20"/>
                <w:szCs w:val="20"/>
                <w:color w:val="auto"/>
              </w:rPr>
            </w:pPr>
            <w:r>
              <w:rPr>
                <w:rFonts w:ascii="Arial" w:cs="Arial" w:eastAsia="Arial" w:hAnsi="Arial"/>
                <w:sz w:val="17"/>
                <w:szCs w:val="17"/>
                <w:color w:val="auto"/>
              </w:rPr>
              <w:t>Research and development project deposit applied against study invoices</w:t>
            </w:r>
          </w:p>
        </w:tc>
        <w:tc>
          <w:tcPr>
            <w:tcW w:w="1280" w:type="dxa"/>
            <w:vAlign w:val="bottom"/>
            <w:shd w:val="clear" w:color="auto" w:fill="CFF0FC"/>
          </w:tcPr>
          <w:p>
            <w:pPr>
              <w:jc w:val="right"/>
              <w:ind w:right="255"/>
              <w:spacing w:after="0" w:line="189" w:lineRule="exact"/>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ind w:right="115"/>
              <w:spacing w:after="0" w:line="189" w:lineRule="exact"/>
              <w:rPr>
                <w:sz w:val="20"/>
                <w:szCs w:val="20"/>
                <w:color w:val="auto"/>
              </w:rPr>
            </w:pPr>
            <w:r>
              <w:rPr>
                <w:rFonts w:ascii="Arial" w:cs="Arial" w:eastAsia="Arial" w:hAnsi="Arial"/>
                <w:sz w:val="17"/>
                <w:szCs w:val="17"/>
                <w:color w:val="auto"/>
              </w:rPr>
              <w:t>177</w:t>
            </w:r>
          </w:p>
        </w:tc>
        <w:tc>
          <w:tcPr>
            <w:tcW w:w="580" w:type="dxa"/>
            <w:vAlign w:val="bottom"/>
            <w:shd w:val="clear" w:color="auto" w:fill="CFF0FC"/>
          </w:tcPr>
          <w:p>
            <w:pPr>
              <w:jc w:val="right"/>
              <w:ind w:right="275"/>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ind w:right="35"/>
              <w:spacing w:after="0" w:line="189" w:lineRule="exact"/>
              <w:rPr>
                <w:sz w:val="20"/>
                <w:szCs w:val="20"/>
                <w:color w:val="auto"/>
              </w:rPr>
            </w:pPr>
            <w:r>
              <w:rPr>
                <w:rFonts w:ascii="Arial" w:cs="Arial" w:eastAsia="Arial" w:hAnsi="Arial"/>
                <w:sz w:val="17"/>
                <w:szCs w:val="17"/>
                <w:color w:val="auto"/>
              </w:rPr>
              <w:t>748</w:t>
            </w:r>
          </w:p>
        </w:tc>
      </w:tr>
      <w:tr>
        <w:trPr>
          <w:trHeight w:val="225"/>
        </w:trPr>
        <w:tc>
          <w:tcPr>
            <w:tcW w:w="7300" w:type="dxa"/>
            <w:vAlign w:val="bottom"/>
          </w:tcPr>
          <w:p>
            <w:pPr>
              <w:spacing w:after="0"/>
              <w:rPr>
                <w:sz w:val="20"/>
                <w:szCs w:val="20"/>
                <w:color w:val="auto"/>
              </w:rPr>
            </w:pPr>
            <w:r>
              <w:rPr>
                <w:rFonts w:ascii="Arial" w:cs="Arial" w:eastAsia="Arial" w:hAnsi="Arial"/>
                <w:sz w:val="17"/>
                <w:szCs w:val="17"/>
                <w:color w:val="auto"/>
              </w:rPr>
              <w:t>System implementation cost included in other current liabilities</w:t>
            </w:r>
          </w:p>
        </w:tc>
        <w:tc>
          <w:tcPr>
            <w:tcW w:w="128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55"/>
              <w:spacing w:after="0"/>
              <w:rPr>
                <w:sz w:val="20"/>
                <w:szCs w:val="20"/>
                <w:color w:val="auto"/>
              </w:rPr>
            </w:pPr>
            <w:r>
              <w:rPr>
                <w:rFonts w:ascii="Arial" w:cs="Arial" w:eastAsia="Arial" w:hAnsi="Arial"/>
                <w:sz w:val="17"/>
                <w:szCs w:val="17"/>
                <w:color w:val="auto"/>
              </w:rPr>
              <w:t>(95)</w:t>
            </w:r>
          </w:p>
        </w:tc>
        <w:tc>
          <w:tcPr>
            <w:tcW w:w="5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(337)</w:t>
            </w:r>
          </w:p>
        </w:tc>
      </w:tr>
    </w:tbl>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Olema Pharmaceuticals,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w:t>
      </w:r>
    </w:p>
    <w:p>
      <w:pPr>
        <w:spacing w:after="0" w:line="214" w:lineRule="exact"/>
        <w:rPr>
          <w:sz w:val="20"/>
          <w:szCs w:val="20"/>
          <w:color w:val="auto"/>
        </w:rPr>
      </w:pPr>
    </w:p>
    <w:p>
      <w:pPr>
        <w:ind w:left="360" w:hanging="352"/>
        <w:spacing w:after="0"/>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Nature of the Business and Basis of Presentation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p>
    <w:p>
      <w:pPr>
        <w:spacing w:after="0" w:line="17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incorporated on January 6, 2021 under the laws of Australia, and Olema Oncology International Limited, incorporated on December 11, 2025 under the laws of Ireland, are wholly-owned subsidiaries of the Company (collectively with Olema Pharmaceuticals, Inc., referred to as “Olema” or the “Company” herein). It operates in one business segment and therefore has only one reportable segment. The Company is subject to risks and uncertainties common to late-stage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had $505.4 million of cash, cash equivalents and marketable securities at December 31, 2025, in addition to the available balance under the Loan and Security Agreement dated as of September 5, 2023 (the “Original Loan Agreement”), by and between the Company, as borrower, and Silicon Valley Bank, a division of First-Citizens Bank &amp; Trust Company (the “Bank”), as amended by the First Amendment to Loan and Security Agreement, dated June 28, 2024 (the "First Amendment"), as further amended by the Second Amendment to Loan and Security Agreement, dated June 27, 2025 (the "Second Amendment"), as further amended by the Third Amendment to Loan and Security Agreement, dated January 11, 2026 (the "Third Amendment" and, collectively with the First Amendment, Second Amendment and the Original Loan Agreement, the "Loan Agreement"). See Note 13, "Long-term Borrowing" for further details. Management believes that the Company’s cash, cash equivalents, marketable securities, and the amounts available under the Loan Agreement will be sufficient to fund the Company’s current operating plan for at least the next 12 months from the filing date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Follow-on Public Offering</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19, 2025, the Company completed a follow-on public offering pursuant to which we issued and sold 11,500,000 shares of common stock at a public offering price of $19.00 per share, including 1,500,000 shares sold pursuant to the underwriters’ full exercise of their option to purchase additional shares, resulting in aggregate net proceeds of $204.8 million, after deducting underwriting discounts and commissions and estimated offering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November 29, 2024, the Company entered into a securities purchase agreement for a private placement of (i) 19,928,875 shares of the Company’s common stock at a price of $9.08 per share and (ii) pre-funded warrants to purchase up to an aggregate of 7,604,163 shares of the Company's common stock at a price of $9.0799 per pre-funded warrant, which represents the per share purchase price of the Company's common stock sold in the private placement less the $0.0001 per share exercise price for each pre-funded warrant to selected institutional and accredited investors (the “2024 Private Placement”). The aggregate gross proceeds for the 2024 Private Placement were approximately $250.0 million. After deducting offering expenses related to the 2024 Private Placement of approximately $13.0 million, the net proceeds to the Company from the 2024 Private Placement were approximately $237.0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Exchanges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November 29, 2024 and January 10, 2025, the Company entered into exchange agreements with certain investors and issued to such investors pre-funded warrants to purchase up to 3,420,000 and 6,070,000 shares of the Company's common stock, respectively, in exchange for an equivalent number of shares of the Company's common stock previously outstanding and held by such investors (the "Exchange Transactions"). The pre-funded warrants were issued without registration under the Securities Act of 1933, as amended (the “Securities Act”), in reliance on the exemption from registration contained in Section 3(a)(9) of the Securities Act. Refer to Note 7. Common Stock for further details.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Offering</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January 5, 2024, the Company entered into a sales agreement (the “2024 Sales Agreement”) with Cowen and Company, LLC ("Cowen and Company”) as sales agent, pursuant to which the Company was permitted to offer and sell, from time to time, shares of its common stock, having an aggregate offering price of up to $150.0 million (the “2024 ATM Shares”). The sales of the 2024 ATM Shares were made by an "at-the-market" ("ATM") equity offering as defined in Rule 415(a)(4) promulgated under the Securities Act of 1933, as amended ("Securities Act"). The Company agreed to pay Cowen and Company a commission of up to 3.0% of the aggregate gross proceeds from any 2024 ATM Shares sold by Cowen and Company. During the year ended December 31, 2024, the Company issued 1,772,278 shares of the Company's common stock under the 2024 Sales Agreement at a weighted-average price of $13.19 for net proceeds of $22.8 million after deducting related issuance costs.</w:t>
      </w:r>
    </w:p>
    <w:p>
      <w:pPr>
        <w:spacing w:after="0" w:line="18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January 6, 2025, the Company entered into a sales agreement (the "2025 Sales Agreement") with TD Securities (USA) LLC, ("TD Cowen") as sales agent, pursuant to which the Company was permitted to sell, from time to time, shares of the Company's common stock, having an aggregate offering price of up to $150.0 million (the “2025 ATM Shares”). The 2025 Sales Agreement replaced the prior 2024 Sales Agreement. The sales of the 2025 ATM Shares would be made by any method permitted that is deemed to be an ATM equity offering as defined in Rule 415(a)(4) promulgated under the Securities Act, including sales made directly on or through the Nasdaq Global Select Market. The Company agreed to pay TD Cowen a commission of up to 3.0% of the aggregate gross proceeds from any 2025 ATM Shares sold by TD Cowen. On December 11, 2025, the Company entered into Amendment No. 1 to the 2025 Sales Agreement which increased the maximum aggregate offering price under the 2025 Sales Agreement to $200.0 million. As of December 31, 2025, no securities had been sold under the 2025 Sales Agreement.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Geopolitical and Macroeconomic Events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Global economic and business activities continue to face widespread uncertainty related to the geopolitical and macroeconomic environment, generally, including economic uncertainty, market volatility, labor shortages, recent and changing tariff policy announcements (including related legal challenges), tariffs, trade tensions and retaliatory measures by other countries, supply chain disruptions, military conflicts, as well as any related political or economic responses and counter-responses or otherwise by various global actors, inflationary pressures, monetary supply shifts, increased recession risk, and related financial instability.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spacing w:after="0" w:line="183" w:lineRule="exact"/>
        <w:rPr>
          <w:sz w:val="20"/>
          <w:szCs w:val="20"/>
          <w:color w:val="auto"/>
        </w:rPr>
      </w:pPr>
    </w:p>
    <w:p>
      <w:pPr>
        <w:ind w:left="380" w:hanging="372"/>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(“GAAP”) and applicable rules and regulations of the Securities and Exchange Commission (the “SEC”) regarding financial reporting, and the instructions to Form 10-K and Article 10 of Regulation S-X. These consolidated financial statements include the accounts of Olema Pharmaceuticals, Inc. and its wholly-owned subsidiaries, Olema Oncology Australia Pty Ltd and Olema Oncology International Limited. All intercompany balances and transactions have been eliminated upon consolidation.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accompanying consolidated financial statements are prepared in accordance with GAAP. The preparation of the consolidated financial statements in conformity with GAAP requires management to make estimates and assumptions that affect the reported amounts of assets and liabilities at the date of the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fewer at the date of purchase. Cash deposits are all in reputable financial institutions in the United States as of December 31, 2025 and 2024. Cash and cash equivalents primarily consisted of cash on deposit with U.S. banks, including the Company’s bank account for its Australia subsidiary, denominated in U.S. dollars and Australian dollars, and investments in interest-bearing money market funds.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however, the Company has not experienced any losses on such deposits.</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Under Accounting Standards Update ("ASU") 2026-12, Leases, Topic 842,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Most leases include options to renew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consolidated statements of operations and comprehensive loss.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Refer to Note 11, Leases for further details.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 prepayments for goods or services that will be used or rendered for future research and development activities are recorded as either prepaid expenses and other current assets or other assets and long-term deposits. Such amounts are recognized as an expense as the goods are delivered or the related services are performed.</w:t>
      </w:r>
    </w:p>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15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Reimbursements of certain costs associated with research activities performed under the agreement with Novartis Institutes for BioMedical Research, Inc. are recorded as a reduction of research and development expenses and as a receivable due from Novartis, which is recorded under prepaid expenses and other current assets in the accompanying consolidated financial statements, as described in Note 12, Commitments and Contingencies – 2020 Clinical Collaboration and Supply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16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capitalizes certain costs incurred for the development and implementation of computer software for internal use. These costs generally relate to the implementation of the third-party developed software for the Company's clinical development purposes. The Company capitalizes these costs when it is determined that it is probable that the project will be completed and the software will be used to perform the function intended, and the preliminary project stage is completed. Capitalized internal-use software development and implementation costs are included in Other assets and long-term deposits within the consolidated balance sheets. Capitalized implementation costs are amortized on a straight-line basis over the estimated useful lives of five years. Costs related to the preliminary project stage, post-implementation, training and maintenance are expensed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Income taxes are computed using the asset and liability approach that requires the recognition of deferred tax assets and liabilities for the expected future tax consequences of events that have been recognized in the Company’s consolidated financial statements. In estimating future tax consequences, the Company considers all expected future events other than enactment of changes in tax laws or rates. A valuation allowance is recorded, if necessary, to reduce net deferred tax assets to their realizable values if management does not believe it is more likely than not that the net deferred tax assets will be realized. As of December 31, 2025 and 2024, the Company has recorded a full valuation allowance against its net deferred tax assets.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had no unrecognized tax benefits for the years ended December 31, 2025 and 2024, respectively. The Company may be subject to U.S. Federal, state, and local tax examinations by tax authorities for years before 2025, which may include adjustments to carry-forward attributes (see Note 9, “Income Taxes”).</w:t>
      </w:r>
    </w:p>
    <w:p>
      <w:pPr>
        <w:spacing w:after="0" w:line="169"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policy is to recognize interest and penalties related to uncertain tax positions in the provision for income taxes. As of December 31, 2025 and 2024, the Company had no accrued interest or penalties related to uncertain tax positions.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Comprehensive loss includes net loss and other comprehensive (loss) income for each period presented. Other comprehensive (loss) income represents net unrealized (loss) gain on marketable securities.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Stock-based compensation cost, including grants of stock options and restricted stock awards issued under the Company’s equity incentive plans and the 2020 Employee Stock Purchase Plan (the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Accounting Standards Codification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Transactions</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functional currency of Olema Oncology Australia Pty Ltd and Olema Oncology International Limited, the Company’s wholly-owned subsidiaries,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consolidated statements of operations.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1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issued pre-funded warrants in connection with the 2024 Private Placement and the Exchange Transactions executed in November 2024 and January 2025. Refer to Note 7, Common Stock for further details.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accounts for the pre-funded warrants as a freestanding equity-linked financial instrument that met the criteria for equity classification pursuant to ASC 480, Distinguishing Liabilities from Equity ("ASC 480"), and ASC 815, Derivatives and Hedging ("ASC 815"). Accordingly, the Company recorded the pre-funded warrants as a component of stockholders' equity within additional paid-in capital. The Company valued the pre-funded warrants at issuance, concluding that their sales price approximated their fair value. The pre-funded warrants are immediately exercisable at an exercise price of $0.0001 per share of the Company's common stock, subject to beneficial ownership limitations. Exercise of the pre-funded warrants is virtually assured because the underlying common shares will be issued for nominal cash consideration or at an exercise price of $0.0001 per share. All necessary conditions for issuance of the underlying common shares were met when the pre-funded warrants were issued, and as such, related pre-funded warrants shares were included in the denominator for both the basic and diluted earnings per share calculations.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including the pre-funded warrants shares.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the pre-funded warrants shares and potential dilutive common shares. For purpose of this calculation, outstanding stock options and contingently issuable common stock related to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1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Company's chief operating decision maker (“CODM”), the Chief Executive Officer, manages its business activities as a single operating and reportable segment at the consolidated level. Accordingly, the Company's CODM uses consolidated net loss to measure segment loss, allocate resources and assess performance. Further, the CODM reviews and utilizes functional expenses (research and development, and general and administrative) at the consolidated level to manage the Company’s operations. Other segment items included in consolidated net loss is interest income, which is reflected in the consolidated 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December 2023, the Financial Accounting Standards Board (“FASB”) issued Accounting Standards Update (“ASU”) No. 2023 09, Income Taxes (Topic 740): Improvements to Income Tax Disclosures. The ASU enhances the transparency and decision usefulness of income tax disclosures by requiring additional disaggregation of information related to the effective tax rate reconciliation, income taxes paid, and income tax expense and pretax income by jurisdiction.</w:t>
      </w:r>
    </w:p>
    <w:p>
      <w:pPr>
        <w:spacing w:after="0" w:line="17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adopted ASU 2023-09 on a prospective basis effective January 1, 2025. Accordingly, the enhanced income tax disclosures are presented beginning in fiscal year 2025, and prior period disclosures have not been recast. The adoption of this guidance did not have an impact on the Company’s consolidated results of operations, financial position, or cash flows, as the amendments relate solely to disclosure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related enhanced disclosures are included in Note 9. Income Taxes.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which requires public business entities to provide enhanced disclosures about specific expense categories in both interim and annual financial statements. The new standard requires entities to disclose in tabular format certain categories of expenses, including purchases of inventory, employee compensation, depreciation, intangible asset amortization, and other specified expense categories, along with a qualitative description of amounts remaining in relevant expense captions. The objective of this ASU is to provide investors with more detailed information to better assess an entity's performance and future cash flow prospects. As clarified by ASU 2025-01 issued in January 2025, ASU 2024-03 is effective for public business entities for annual reporting periods beginning after December 15, 2026, and interim reporting periods beginning after December 15, 2027. Early adoption is permitted. The Company is currently evaluating the impact of this standard on its consolidated financial statement disclosures.</w:t>
      </w:r>
    </w:p>
    <w:p>
      <w:pPr>
        <w:spacing w:after="0" w:line="18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Targeted Improvements to the Accounting for Internal-Use Software</w:t>
      </w:r>
      <w:r>
        <w:rPr>
          <w:rFonts w:ascii="Arial" w:cs="Arial" w:eastAsia="Arial" w:hAnsi="Arial"/>
          <w:sz w:val="18"/>
          <w:szCs w:val="18"/>
          <w:color w:val="auto"/>
        </w:rPr>
        <w:t xml:space="preserve">, which modernizes the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guidance for costs associated with developing or obtaining internal-use software. The ASU eliminates the previous stage-based model (preliminary project stage, application development stage, and post-implementation stage) and replaces it with a principles-based approach that better aligns with modern software development practices, including agile and iterative methodologies. Under the new guidance, entities may begin capitalizing internal-use software development costs when (1) management has authorized and committed to funding the software project, and (2) it is probable that the project will be completed and the software will be used to perform the function intended. The ASU also supersedes the separate guidance on website development costs and incorporates it into the internal-use software framework. ASU 2025-06 is effective for all entities for annual reporting periods beginning after December 15, 2027, and interim reporting periods within those annual reporting periods. Early adoption is permitted as the beginning of an annual reporting period. The Company is evaluating the impact of this standard on its consolidated financial statements.</w:t>
      </w:r>
    </w:p>
    <w:p>
      <w:pPr>
        <w:spacing w:after="0" w:line="16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Company continues to monitor new accounting pronouncements issued by the FASB and does not believe that any pronouncements issued but not yet adopted as of the date of this report will have a material impact on the Company’s consolidated financial statements.</w:t>
      </w:r>
    </w:p>
    <w:p>
      <w:pPr>
        <w:spacing w:after="0" w:line="200" w:lineRule="exact"/>
        <w:rPr>
          <w:sz w:val="20"/>
          <w:szCs w:val="20"/>
          <w:color w:val="auto"/>
        </w:rPr>
      </w:pPr>
    </w:p>
    <w:p>
      <w:pPr>
        <w:spacing w:after="0" w:line="372"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76" w:lineRule="exact"/>
        <w:rPr>
          <w:sz w:val="20"/>
          <w:szCs w:val="20"/>
          <w:color w:val="auto"/>
        </w:rPr>
      </w:pPr>
    </w:p>
    <w:p>
      <w:pPr>
        <w:ind w:left="760" w:right="20" w:hanging="378"/>
        <w:spacing w:after="0" w:line="270" w:lineRule="auto"/>
        <w:tabs>
          <w:tab w:leader="none" w:pos="760" w:val="left"/>
        </w:tabs>
        <w:numPr>
          <w:ilvl w:val="0"/>
          <w:numId w:val="61"/>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54" w:lineRule="exact"/>
        <w:rPr>
          <w:rFonts w:ascii="Times New Roman" w:cs="Times New Roman" w:eastAsia="Times New Roman" w:hAnsi="Times New Roman"/>
          <w:sz w:val="18"/>
          <w:szCs w:val="18"/>
          <w:color w:val="231F20"/>
        </w:rPr>
      </w:pPr>
    </w:p>
    <w:p>
      <w:pPr>
        <w:jc w:val="both"/>
        <w:ind w:left="760" w:hanging="378"/>
        <w:spacing w:after="0" w:line="252" w:lineRule="auto"/>
        <w:tabs>
          <w:tab w:leader="none" w:pos="760" w:val="left"/>
        </w:tabs>
        <w:numPr>
          <w:ilvl w:val="0"/>
          <w:numId w:val="61"/>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0" w:lineRule="exact"/>
        <w:rPr>
          <w:rFonts w:ascii="Times New Roman" w:cs="Times New Roman" w:eastAsia="Times New Roman" w:hAnsi="Times New Roman"/>
          <w:sz w:val="18"/>
          <w:szCs w:val="18"/>
          <w:color w:val="231F20"/>
        </w:rPr>
      </w:pPr>
    </w:p>
    <w:p>
      <w:pPr>
        <w:ind w:left="760" w:hanging="378"/>
        <w:spacing w:after="0" w:line="270" w:lineRule="auto"/>
        <w:tabs>
          <w:tab w:leader="none" w:pos="760" w:val="left"/>
        </w:tabs>
        <w:numPr>
          <w:ilvl w:val="0"/>
          <w:numId w:val="61"/>
        </w:numPr>
        <w:rPr>
          <w:rFonts w:ascii="Times New Roman" w:cs="Times New Roman" w:eastAsia="Times New Roman" w:hAnsi="Times New Roman"/>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920" w:type="dxa"/>
            <w:vAlign w:val="bottom"/>
            <w:tcBorders>
              <w:top w:val="single" w:sz="8" w:color="auto"/>
              <w:bottom w:val="single" w:sz="8" w:color="auto"/>
            </w:tcBorders>
            <w:gridSpan w:val="3"/>
          </w:tcPr>
          <w:p>
            <w:pPr>
              <w:jc w:val="right"/>
              <w:ind w:right="855"/>
              <w:spacing w:after="0"/>
              <w:rPr>
                <w:sz w:val="20"/>
                <w:szCs w:val="20"/>
                <w:color w:val="auto"/>
              </w:rPr>
            </w:pPr>
            <w:r>
              <w:rPr>
                <w:rFonts w:ascii="Arial" w:cs="Arial" w:eastAsia="Arial" w:hAnsi="Arial"/>
                <w:sz w:val="14"/>
                <w:szCs w:val="14"/>
                <w:b w:val="1"/>
                <w:bCs w:val="1"/>
                <w:color w:val="auto"/>
              </w:rPr>
              <w:t>December 31, 2025</w:t>
            </w:r>
          </w:p>
        </w:tc>
        <w:tc>
          <w:tcPr>
            <w:tcW w:w="3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56"/>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335"/>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14"/>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Cash</w:t>
            </w:r>
          </w:p>
        </w:tc>
        <w:tc>
          <w:tcPr>
            <w:tcW w:w="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16,007</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16,007</w:t>
            </w:r>
          </w:p>
        </w:tc>
        <w:tc>
          <w:tcPr>
            <w:tcW w:w="0" w:type="dxa"/>
            <w:vAlign w:val="bottom"/>
          </w:tcPr>
          <w:p>
            <w:pPr>
              <w:spacing w:after="0"/>
              <w:rPr>
                <w:sz w:val="1"/>
                <w:szCs w:val="1"/>
                <w:color w:val="auto"/>
              </w:rPr>
            </w:pPr>
          </w:p>
        </w:tc>
      </w:tr>
      <w:tr>
        <w:trPr>
          <w:trHeight w:val="202"/>
        </w:trPr>
        <w:tc>
          <w:tcPr>
            <w:tcW w:w="4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Money market funds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30,866</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30,866</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Commercial paper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102,193</w:t>
            </w:r>
          </w:p>
        </w:tc>
        <w:tc>
          <w:tcPr>
            <w:tcW w:w="360" w:type="dxa"/>
            <w:vAlign w:val="bottom"/>
          </w:tcPr>
          <w:p>
            <w:pPr>
              <w:spacing w:after="0"/>
              <w:rPr>
                <w:sz w:val="17"/>
                <w:szCs w:val="17"/>
                <w:color w:val="auto"/>
              </w:rPr>
            </w:pP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102,193</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81,607</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81,607</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U.S. government treasury bills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233,938</w:t>
            </w:r>
          </w:p>
        </w:tc>
        <w:tc>
          <w:tcPr>
            <w:tcW w:w="340" w:type="dxa"/>
            <w:vAlign w:val="bottom"/>
          </w:tcPr>
          <w:p>
            <w:pPr>
              <w:spacing w:after="0"/>
              <w:rPr>
                <w:sz w:val="17"/>
                <w:szCs w:val="17"/>
                <w:color w:val="auto"/>
              </w:rPr>
            </w:pP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233,938</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41,029</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41,029</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280,811</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224,829</w:t>
            </w:r>
          </w:p>
        </w:tc>
        <w:tc>
          <w:tcPr>
            <w:tcW w:w="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505,640</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tcPr>
          <w:p>
            <w:pPr>
              <w:jc w:val="right"/>
              <w:ind w:right="915"/>
              <w:spacing w:after="0" w:line="155" w:lineRule="exact"/>
              <w:rPr>
                <w:sz w:val="20"/>
                <w:szCs w:val="20"/>
                <w:color w:val="auto"/>
              </w:rPr>
            </w:pPr>
            <w:r>
              <w:rPr>
                <w:rFonts w:ascii="Arial" w:cs="Arial" w:eastAsia="Arial" w:hAnsi="Arial"/>
                <w:sz w:val="14"/>
                <w:szCs w:val="14"/>
                <w:b w:val="1"/>
                <w:bCs w:val="1"/>
                <w:color w:val="auto"/>
              </w:rPr>
              <w:t>December 31, 2025</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ind w:right="276"/>
              <w:spacing w:after="0" w:line="147"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300" w:type="dxa"/>
            <w:vAlign w:val="bottom"/>
          </w:tcPr>
          <w:p>
            <w:pPr>
              <w:jc w:val="center"/>
              <w:ind w:right="315"/>
              <w:spacing w:after="0" w:line="147"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234"/>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4"/>
                <w:szCs w:val="14"/>
                <w:color w:val="auto"/>
              </w:rPr>
            </w:pPr>
          </w:p>
        </w:tc>
        <w:tc>
          <w:tcPr>
            <w:tcW w:w="1260" w:type="dxa"/>
            <w:vAlign w:val="bottom"/>
          </w:tcPr>
          <w:p>
            <w:pPr>
              <w:jc w:val="center"/>
              <w:ind w:right="256"/>
              <w:spacing w:after="0"/>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4"/>
                <w:szCs w:val="14"/>
                <w:color w:val="auto"/>
              </w:rPr>
            </w:pPr>
          </w:p>
        </w:tc>
        <w:tc>
          <w:tcPr>
            <w:tcW w:w="1300" w:type="dxa"/>
            <w:vAlign w:val="bottom"/>
          </w:tcPr>
          <w:p>
            <w:pPr>
              <w:jc w:val="center"/>
              <w:ind w:right="335"/>
              <w:spacing w:after="0"/>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4"/>
                <w:szCs w:val="1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rPr>
              <w:t>Gains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315"/>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48,503</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48,503</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Short-term marketable securities (&lt;12 months to maturity)</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300,243</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501</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300,732</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Long-term marketable securities (&gt;12 months to maturity)</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156,273</w:t>
            </w: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160</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(28)</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color w:val="auto"/>
              </w:rPr>
              <w:t>156,405</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auto"/>
            </w:tcBorders>
            <w:shd w:val="clear" w:color="auto" w:fill="CFF0FC"/>
          </w:tcPr>
          <w:p>
            <w:pPr>
              <w:ind w:left="14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505,019</w:t>
            </w:r>
          </w:p>
        </w:tc>
        <w:tc>
          <w:tcPr>
            <w:tcW w:w="3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661</w:t>
            </w:r>
          </w:p>
        </w:tc>
        <w:tc>
          <w:tcPr>
            <w:tcW w:w="3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505,640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tcPr>
          <w:p>
            <w:pPr>
              <w:jc w:val="right"/>
              <w:ind w:right="855"/>
              <w:spacing w:after="0" w:line="155" w:lineRule="exact"/>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234"/>
              <w:spacing w:after="0" w:line="155" w:lineRule="exact"/>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256"/>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335"/>
              <w:spacing w:after="0" w:line="155" w:lineRule="exact"/>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314"/>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Cash</w:t>
            </w:r>
          </w:p>
        </w:tc>
        <w:tc>
          <w:tcPr>
            <w:tcW w:w="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6,489</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Money market funds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118,955</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118,955</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Commercial paper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109,432</w:t>
            </w:r>
          </w:p>
        </w:tc>
        <w:tc>
          <w:tcPr>
            <w:tcW w:w="360" w:type="dxa"/>
            <w:vAlign w:val="bottom"/>
          </w:tcPr>
          <w:p>
            <w:pPr>
              <w:spacing w:after="0"/>
              <w:rPr>
                <w:sz w:val="17"/>
                <w:szCs w:val="17"/>
                <w:color w:val="auto"/>
              </w:rPr>
            </w:pP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109,432</w:t>
            </w:r>
          </w:p>
        </w:tc>
        <w:tc>
          <w:tcPr>
            <w:tcW w:w="0" w:type="dxa"/>
            <w:vAlign w:val="bottom"/>
          </w:tcPr>
          <w:p>
            <w:pPr>
              <w:spacing w:after="0"/>
              <w:rPr>
                <w:sz w:val="1"/>
                <w:szCs w:val="1"/>
                <w:color w:val="auto"/>
              </w:rPr>
            </w:pPr>
          </w:p>
        </w:tc>
      </w:tr>
      <w:tr>
        <w:trPr>
          <w:trHeight w:val="203"/>
        </w:trPr>
        <w:tc>
          <w:tcPr>
            <w:tcW w:w="48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Corporate bonds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43,409</w:t>
            </w: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43,409</w:t>
            </w:r>
          </w:p>
        </w:tc>
        <w:tc>
          <w:tcPr>
            <w:tcW w:w="0" w:type="dxa"/>
            <w:vAlign w:val="bottom"/>
          </w:tcPr>
          <w:p>
            <w:pPr>
              <w:spacing w:after="0"/>
              <w:rPr>
                <w:sz w:val="1"/>
                <w:szCs w:val="1"/>
                <w:color w:val="auto"/>
              </w:rPr>
            </w:pPr>
          </w:p>
        </w:tc>
      </w:tr>
      <w:tr>
        <w:trPr>
          <w:trHeight w:val="203"/>
        </w:trPr>
        <w:tc>
          <w:tcPr>
            <w:tcW w:w="4840" w:type="dxa"/>
            <w:vAlign w:val="bottom"/>
          </w:tcPr>
          <w:p>
            <w:pPr>
              <w:ind w:left="140"/>
              <w:spacing w:after="0" w:line="202" w:lineRule="exact"/>
              <w:rPr>
                <w:sz w:val="20"/>
                <w:szCs w:val="20"/>
                <w:color w:val="auto"/>
              </w:rPr>
            </w:pPr>
            <w:r>
              <w:rPr>
                <w:rFonts w:ascii="Arial" w:cs="Arial" w:eastAsia="Arial" w:hAnsi="Arial"/>
                <w:sz w:val="18"/>
                <w:szCs w:val="18"/>
                <w:color w:val="auto"/>
              </w:rPr>
              <w:t>U.S. government treasury bills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144,741</w:t>
            </w:r>
          </w:p>
        </w:tc>
        <w:tc>
          <w:tcPr>
            <w:tcW w:w="340" w:type="dxa"/>
            <w:vAlign w:val="bottom"/>
          </w:tcPr>
          <w:p>
            <w:pPr>
              <w:spacing w:after="0"/>
              <w:rPr>
                <w:sz w:val="17"/>
                <w:szCs w:val="17"/>
                <w:color w:val="auto"/>
              </w:rPr>
            </w:pPr>
          </w:p>
        </w:tc>
        <w:tc>
          <w:tcPr>
            <w:tcW w:w="126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30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144,741</w:t>
            </w:r>
          </w:p>
        </w:tc>
        <w:tc>
          <w:tcPr>
            <w:tcW w:w="0" w:type="dxa"/>
            <w:vAlign w:val="bottom"/>
          </w:tcPr>
          <w:p>
            <w:pPr>
              <w:spacing w:after="0"/>
              <w:rPr>
                <w:sz w:val="1"/>
                <w:szCs w:val="1"/>
                <w:color w:val="auto"/>
              </w:rPr>
            </w:pPr>
          </w:p>
        </w:tc>
      </w:tr>
      <w:tr>
        <w:trPr>
          <w:trHeight w:val="203"/>
        </w:trPr>
        <w:tc>
          <w:tcPr>
            <w:tcW w:w="4840" w:type="dxa"/>
            <w:vAlign w:val="bottom"/>
            <w:tcBorders>
              <w:bottom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11,714</w:t>
            </w: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11,714</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270,185</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164,555</w:t>
            </w:r>
          </w:p>
        </w:tc>
        <w:tc>
          <w:tcPr>
            <w:tcW w:w="3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95"/>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434,740</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3"/>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tcPr>
          <w:p>
            <w:pPr>
              <w:jc w:val="right"/>
              <w:ind w:right="935"/>
              <w:spacing w:after="0" w:line="155" w:lineRule="exact"/>
              <w:rPr>
                <w:sz w:val="20"/>
                <w:szCs w:val="20"/>
                <w:color w:val="auto"/>
              </w:rPr>
            </w:pPr>
            <w:r>
              <w:rPr>
                <w:rFonts w:ascii="Arial" w:cs="Arial" w:eastAsia="Arial" w:hAnsi="Arial"/>
                <w:sz w:val="14"/>
                <w:szCs w:val="14"/>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jc w:val="center"/>
              <w:ind w:right="236"/>
              <w:spacing w:after="0" w:line="147" w:lineRule="exact"/>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300" w:type="dxa"/>
            <w:vAlign w:val="bottom"/>
          </w:tcPr>
          <w:p>
            <w:pPr>
              <w:jc w:val="center"/>
              <w:ind w:right="275"/>
              <w:spacing w:after="0" w:line="147"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434"/>
              <w:spacing w:after="0"/>
              <w:rPr>
                <w:sz w:val="20"/>
                <w:szCs w:val="20"/>
                <w:color w:val="auto"/>
              </w:rPr>
            </w:pPr>
            <w:r>
              <w:rPr>
                <w:rFonts w:ascii="Arial" w:cs="Arial" w:eastAsia="Arial" w:hAnsi="Arial"/>
                <w:sz w:val="14"/>
                <w:szCs w:val="14"/>
                <w:b w:val="1"/>
                <w:bCs w:val="1"/>
                <w:color w:val="auto"/>
              </w:rPr>
              <w:t>Amortized</w:t>
            </w:r>
          </w:p>
        </w:tc>
        <w:tc>
          <w:tcPr>
            <w:tcW w:w="340" w:type="dxa"/>
            <w:vAlign w:val="bottom"/>
          </w:tcPr>
          <w:p>
            <w:pPr>
              <w:spacing w:after="0"/>
              <w:rPr>
                <w:sz w:val="14"/>
                <w:szCs w:val="14"/>
                <w:color w:val="auto"/>
              </w:rPr>
            </w:pPr>
          </w:p>
        </w:tc>
        <w:tc>
          <w:tcPr>
            <w:tcW w:w="1260" w:type="dxa"/>
            <w:vAlign w:val="bottom"/>
          </w:tcPr>
          <w:p>
            <w:pPr>
              <w:jc w:val="center"/>
              <w:ind w:right="236"/>
              <w:spacing w:after="0"/>
              <w:rPr>
                <w:sz w:val="20"/>
                <w:szCs w:val="20"/>
                <w:color w:val="auto"/>
              </w:rPr>
            </w:pPr>
            <w:r>
              <w:rPr>
                <w:rFonts w:ascii="Arial" w:cs="Arial" w:eastAsia="Arial" w:hAnsi="Arial"/>
                <w:sz w:val="14"/>
                <w:szCs w:val="14"/>
                <w:b w:val="1"/>
                <w:bCs w:val="1"/>
                <w:color w:val="auto"/>
              </w:rPr>
              <w:t>Unrealized</w:t>
            </w:r>
          </w:p>
        </w:tc>
        <w:tc>
          <w:tcPr>
            <w:tcW w:w="360" w:type="dxa"/>
            <w:vAlign w:val="bottom"/>
          </w:tcPr>
          <w:p>
            <w:pPr>
              <w:spacing w:after="0"/>
              <w:rPr>
                <w:sz w:val="14"/>
                <w:szCs w:val="14"/>
                <w:color w:val="auto"/>
              </w:rPr>
            </w:pPr>
          </w:p>
        </w:tc>
        <w:tc>
          <w:tcPr>
            <w:tcW w:w="1300" w:type="dxa"/>
            <w:vAlign w:val="bottom"/>
          </w:tcPr>
          <w:p>
            <w:pPr>
              <w:jc w:val="center"/>
              <w:ind w:right="255"/>
              <w:spacing w:after="0"/>
              <w:rPr>
                <w:sz w:val="20"/>
                <w:szCs w:val="20"/>
                <w:color w:val="auto"/>
              </w:rPr>
            </w:pPr>
            <w:r>
              <w:rPr>
                <w:rFonts w:ascii="Arial" w:cs="Arial" w:eastAsia="Arial" w:hAnsi="Arial"/>
                <w:sz w:val="14"/>
                <w:szCs w:val="14"/>
                <w:b w:val="1"/>
                <w:bCs w:val="1"/>
                <w:color w:val="auto"/>
              </w:rPr>
              <w:t>Unrealized</w:t>
            </w:r>
          </w:p>
        </w:tc>
        <w:tc>
          <w:tcPr>
            <w:tcW w:w="320" w:type="dxa"/>
            <w:vAlign w:val="bottom"/>
          </w:tcPr>
          <w:p>
            <w:pPr>
              <w:spacing w:after="0"/>
              <w:rPr>
                <w:sz w:val="14"/>
                <w:szCs w:val="14"/>
                <w:color w:val="auto"/>
              </w:rPr>
            </w:pPr>
          </w:p>
        </w:tc>
        <w:tc>
          <w:tcPr>
            <w:tcW w:w="1260" w:type="dxa"/>
            <w:vAlign w:val="bottom"/>
          </w:tcPr>
          <w:p>
            <w:pPr>
              <w:jc w:val="right"/>
              <w:ind w:right="354"/>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Cost</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Gains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rPr>
              <w:t>Losses</w:t>
            </w: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8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142,706</w:t>
            </w: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w:t>
            </w:r>
          </w:p>
        </w:tc>
        <w:tc>
          <w:tcPr>
            <w:tcW w:w="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142,710</w:t>
            </w:r>
          </w:p>
        </w:tc>
        <w:tc>
          <w:tcPr>
            <w:tcW w:w="0" w:type="dxa"/>
            <w:vAlign w:val="bottom"/>
          </w:tcPr>
          <w:p>
            <w:pPr>
              <w:spacing w:after="0"/>
              <w:rPr>
                <w:sz w:val="1"/>
                <w:szCs w:val="1"/>
                <w:color w:val="auto"/>
              </w:rPr>
            </w:pPr>
          </w:p>
        </w:tc>
      </w:tr>
      <w:tr>
        <w:trPr>
          <w:trHeight w:val="184"/>
        </w:trPr>
        <w:tc>
          <w:tcPr>
            <w:tcW w:w="48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Short-term marketable securities (&lt;12 months to</w:t>
            </w: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maturity)</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219,062</w:t>
            </w:r>
          </w:p>
        </w:tc>
        <w:tc>
          <w:tcPr>
            <w:tcW w:w="3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185</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219,190</w:t>
            </w:r>
          </w:p>
        </w:tc>
        <w:tc>
          <w:tcPr>
            <w:tcW w:w="0" w:type="dxa"/>
            <w:vAlign w:val="bottom"/>
          </w:tcPr>
          <w:p>
            <w:pPr>
              <w:spacing w:after="0"/>
              <w:rPr>
                <w:sz w:val="1"/>
                <w:szCs w:val="1"/>
                <w:color w:val="auto"/>
              </w:rPr>
            </w:pPr>
          </w:p>
        </w:tc>
      </w:tr>
      <w:tr>
        <w:trPr>
          <w:trHeight w:val="184"/>
        </w:trPr>
        <w:tc>
          <w:tcPr>
            <w:tcW w:w="4840" w:type="dxa"/>
            <w:vAlign w:val="bottom"/>
          </w:tcPr>
          <w:p>
            <w:pPr>
              <w:ind w:left="120"/>
              <w:spacing w:after="0" w:line="183" w:lineRule="exact"/>
              <w:rPr>
                <w:sz w:val="20"/>
                <w:szCs w:val="20"/>
                <w:color w:val="auto"/>
              </w:rPr>
            </w:pPr>
            <w:r>
              <w:rPr>
                <w:rFonts w:ascii="Arial" w:cs="Arial" w:eastAsia="Arial" w:hAnsi="Arial"/>
                <w:sz w:val="18"/>
                <w:szCs w:val="18"/>
                <w:color w:val="auto"/>
              </w:rPr>
              <w:t>Long-term marketable securities (&gt;12 months to</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vMerge w:val="restart"/>
          </w:tcPr>
          <w:p>
            <w:pPr>
              <w:jc w:val="right"/>
              <w:ind w:right="74"/>
              <w:spacing w:after="0"/>
              <w:rPr>
                <w:sz w:val="20"/>
                <w:szCs w:val="20"/>
                <w:color w:val="auto"/>
              </w:rPr>
            </w:pPr>
            <w:r>
              <w:rPr>
                <w:rFonts w:ascii="Arial" w:cs="Arial" w:eastAsia="Arial" w:hAnsi="Arial"/>
                <w:sz w:val="18"/>
                <w:szCs w:val="18"/>
                <w:color w:val="auto"/>
              </w:rPr>
              <w:t>72,829</w:t>
            </w:r>
          </w:p>
        </w:tc>
        <w:tc>
          <w:tcPr>
            <w:tcW w:w="340" w:type="dxa"/>
            <w:vAlign w:val="bottom"/>
          </w:tcPr>
          <w:p>
            <w:pPr>
              <w:spacing w:after="0"/>
              <w:rPr>
                <w:sz w:val="15"/>
                <w:szCs w:val="15"/>
                <w:color w:val="auto"/>
              </w:rPr>
            </w:pPr>
          </w:p>
        </w:tc>
        <w:tc>
          <w:tcPr>
            <w:tcW w:w="1260" w:type="dxa"/>
            <w:vAlign w:val="bottom"/>
            <w:vMerge w:val="restart"/>
          </w:tcPr>
          <w:p>
            <w:pPr>
              <w:jc w:val="right"/>
              <w:ind w:right="16"/>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5"/>
                <w:szCs w:val="15"/>
                <w:color w:val="auto"/>
              </w:rPr>
            </w:pPr>
          </w:p>
        </w:tc>
        <w:tc>
          <w:tcPr>
            <w:tcW w:w="1260" w:type="dxa"/>
            <w:vAlign w:val="bottom"/>
            <w:vMerge w:val="restart"/>
          </w:tcPr>
          <w:p>
            <w:pPr>
              <w:jc w:val="right"/>
              <w:ind w:right="14"/>
              <w:spacing w:after="0"/>
              <w:rPr>
                <w:sz w:val="20"/>
                <w:szCs w:val="20"/>
                <w:color w:val="auto"/>
              </w:rPr>
            </w:pPr>
            <w:r>
              <w:rPr>
                <w:rFonts w:ascii="Arial" w:cs="Arial" w:eastAsia="Arial" w:hAnsi="Arial"/>
                <w:sz w:val="18"/>
                <w:szCs w:val="18"/>
                <w:color w:val="auto"/>
              </w:rPr>
              <w:t>72,840</w:t>
            </w:r>
          </w:p>
        </w:tc>
        <w:tc>
          <w:tcPr>
            <w:tcW w:w="0" w:type="dxa"/>
            <w:vAlign w:val="bottom"/>
          </w:tcPr>
          <w:p>
            <w:pPr>
              <w:spacing w:after="0"/>
              <w:rPr>
                <w:sz w:val="1"/>
                <w:szCs w:val="1"/>
                <w:color w:val="auto"/>
              </w:rPr>
            </w:pPr>
          </w:p>
        </w:tc>
      </w:tr>
      <w:tr>
        <w:trPr>
          <w:trHeight w:val="208"/>
        </w:trPr>
        <w:tc>
          <w:tcPr>
            <w:tcW w:w="4840" w:type="dxa"/>
            <w:vAlign w:val="bottom"/>
          </w:tcPr>
          <w:p>
            <w:pPr>
              <w:ind w:left="120"/>
              <w:spacing w:after="0"/>
              <w:rPr>
                <w:sz w:val="20"/>
                <w:szCs w:val="20"/>
                <w:color w:val="auto"/>
              </w:rPr>
            </w:pPr>
            <w:r>
              <w:rPr>
                <w:rFonts w:ascii="Arial" w:cs="Arial" w:eastAsia="Arial" w:hAnsi="Arial"/>
                <w:sz w:val="18"/>
                <w:szCs w:val="18"/>
                <w:color w:val="auto"/>
              </w:rPr>
              <w:t>maturity)</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40" w:type="dxa"/>
            <w:vAlign w:val="bottom"/>
            <w:tcBorders>
              <w:bottom w:val="single" w:sz="8" w:color="auto"/>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74"/>
              <w:spacing w:after="0" w:line="196" w:lineRule="exact"/>
              <w:rPr>
                <w:sz w:val="20"/>
                <w:szCs w:val="20"/>
                <w:color w:val="auto"/>
              </w:rPr>
            </w:pPr>
            <w:r>
              <w:rPr>
                <w:rFonts w:ascii="Arial" w:cs="Arial" w:eastAsia="Arial" w:hAnsi="Arial"/>
                <w:sz w:val="18"/>
                <w:szCs w:val="18"/>
                <w:color w:val="auto"/>
              </w:rPr>
              <w:t>434,597</w:t>
            </w:r>
          </w:p>
        </w:tc>
        <w:tc>
          <w:tcPr>
            <w:tcW w:w="3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242</w:t>
            </w:r>
          </w:p>
        </w:tc>
        <w:tc>
          <w:tcPr>
            <w:tcW w:w="3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w:t>
            </w:r>
          </w:p>
        </w:tc>
        <w:tc>
          <w:tcPr>
            <w:tcW w:w="3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434,740</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marketable securities that have been in a consecutive loss position for more than 12 months as of December 31, 2025. During the year ended December 31, 2025, the Company did not recognize any other-than-temporary impairment loss. As of December 31, 2025, there was no allowance for losses on available-for-sale debt securities attributable to credit risk.</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all of the Company’s cash and cash equivalents primarily consisted of cash on deposit with U.S. banks denominated in U. S. dollars and Australian dollars, and investments in interest-bearing money market funds.</w:t>
      </w:r>
    </w:p>
    <w:p>
      <w:pPr>
        <w:spacing w:after="0" w:line="14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4.</w:t>
        <w:tab/>
        <w:t>Prepaid Expenses and Other Current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top w:val="single" w:sz="8" w:color="auto"/>
              <w:bottom w:val="single" w:sz="8" w:color="auto"/>
            </w:tcBorders>
          </w:tcPr>
          <w:p>
            <w:pPr>
              <w:spacing w:after="0"/>
              <w:rPr>
                <w:sz w:val="15"/>
                <w:szCs w:val="15"/>
                <w:color w:val="auto"/>
              </w:rPr>
            </w:pPr>
          </w:p>
        </w:tc>
      </w:tr>
      <w:tr>
        <w:trPr>
          <w:trHeight w:val="155"/>
        </w:trPr>
        <w:tc>
          <w:tcPr>
            <w:tcW w:w="73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5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Interest receivable</w:t>
            </w:r>
          </w:p>
        </w:tc>
        <w:tc>
          <w:tcPr>
            <w:tcW w:w="1000" w:type="dxa"/>
            <w:vAlign w:val="bottom"/>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3,137</w:t>
            </w:r>
          </w:p>
        </w:tc>
        <w:tc>
          <w:tcPr>
            <w:tcW w:w="82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2,120</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Prepaid clinical development costs</w:t>
            </w:r>
          </w:p>
        </w:tc>
        <w:tc>
          <w:tcPr>
            <w:tcW w:w="10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2,124</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140</w:t>
            </w:r>
          </w:p>
        </w:tc>
      </w:tr>
      <w:tr>
        <w:trPr>
          <w:trHeight w:val="203"/>
        </w:trPr>
        <w:tc>
          <w:tcPr>
            <w:tcW w:w="7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subscriptions and licenses</w:t>
            </w:r>
          </w:p>
        </w:tc>
        <w:tc>
          <w:tcPr>
            <w:tcW w:w="10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1,200</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728</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Prepaid insurance</w:t>
            </w:r>
          </w:p>
        </w:tc>
        <w:tc>
          <w:tcPr>
            <w:tcW w:w="1000" w:type="dxa"/>
            <w:vAlign w:val="bottom"/>
          </w:tcPr>
          <w:p>
            <w:pPr>
              <w:spacing w:after="0"/>
              <w:rPr>
                <w:sz w:val="17"/>
                <w:szCs w:val="17"/>
                <w:color w:val="auto"/>
              </w:rPr>
            </w:pPr>
          </w:p>
        </w:tc>
        <w:tc>
          <w:tcPr>
            <w:tcW w:w="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1,049</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1,033</w:t>
            </w:r>
          </w:p>
        </w:tc>
      </w:tr>
      <w:tr>
        <w:trPr>
          <w:trHeight w:val="202"/>
        </w:trPr>
        <w:tc>
          <w:tcPr>
            <w:tcW w:w="7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Value added tax receivable</w:t>
            </w:r>
          </w:p>
        </w:tc>
        <w:tc>
          <w:tcPr>
            <w:tcW w:w="10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919</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tcPr>
          <w:p>
            <w:pPr>
              <w:spacing w:after="0" w:line="202" w:lineRule="exact"/>
              <w:rPr>
                <w:sz w:val="20"/>
                <w:szCs w:val="20"/>
                <w:color w:val="auto"/>
              </w:rPr>
            </w:pPr>
            <w:r>
              <w:rPr>
                <w:rFonts w:ascii="Arial" w:cs="Arial" w:eastAsia="Arial" w:hAnsi="Arial"/>
                <w:sz w:val="18"/>
                <w:szCs w:val="18"/>
                <w:color w:val="auto"/>
              </w:rPr>
              <w:t>Other¹</w:t>
            </w:r>
          </w:p>
        </w:tc>
        <w:tc>
          <w:tcPr>
            <w:tcW w:w="100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32"/>
              <w:spacing w:after="0" w:line="202" w:lineRule="exact"/>
              <w:rPr>
                <w:sz w:val="20"/>
                <w:szCs w:val="20"/>
                <w:color w:val="auto"/>
              </w:rPr>
            </w:pPr>
            <w:r>
              <w:rPr>
                <w:rFonts w:ascii="Arial" w:cs="Arial" w:eastAsia="Arial" w:hAnsi="Arial"/>
                <w:sz w:val="18"/>
                <w:szCs w:val="18"/>
                <w:color w:val="auto"/>
              </w:rPr>
              <w:t>1,586</w:t>
            </w:r>
          </w:p>
        </w:tc>
        <w:tc>
          <w:tcPr>
            <w:tcW w:w="300" w:type="dxa"/>
            <w:vAlign w:val="bottom"/>
          </w:tcPr>
          <w:p>
            <w:pPr>
              <w:spacing w:after="0"/>
              <w:rPr>
                <w:sz w:val="17"/>
                <w:szCs w:val="17"/>
                <w:color w:val="auto"/>
              </w:rPr>
            </w:pPr>
          </w:p>
        </w:tc>
        <w:tc>
          <w:tcPr>
            <w:tcW w:w="52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jc w:val="right"/>
              <w:ind w:right="32"/>
              <w:spacing w:after="0" w:line="202" w:lineRule="exact"/>
              <w:rPr>
                <w:sz w:val="20"/>
                <w:szCs w:val="20"/>
                <w:color w:val="auto"/>
              </w:rPr>
            </w:pPr>
            <w:r>
              <w:rPr>
                <w:rFonts w:ascii="Arial" w:cs="Arial" w:eastAsia="Arial" w:hAnsi="Arial"/>
                <w:sz w:val="18"/>
                <w:szCs w:val="18"/>
                <w:color w:val="auto"/>
              </w:rPr>
              <w:t>366</w:t>
            </w:r>
          </w:p>
        </w:tc>
      </w:tr>
      <w:tr>
        <w:trPr>
          <w:trHeight w:val="236"/>
        </w:trPr>
        <w:tc>
          <w:tcPr>
            <w:tcW w:w="73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776"/>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10,015</w:t>
            </w:r>
          </w:p>
        </w:tc>
        <w:tc>
          <w:tcPr>
            <w:tcW w:w="820" w:type="dxa"/>
            <w:vAlign w:val="bottom"/>
            <w:tcBorders>
              <w:bottom w:val="single" w:sz="8" w:color="auto"/>
            </w:tcBorders>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4,387</w:t>
            </w:r>
          </w:p>
        </w:tc>
      </w:tr>
    </w:tbl>
    <w:p>
      <w:pPr>
        <w:spacing w:after="0" w:line="188" w:lineRule="exact"/>
        <w:rPr>
          <w:sz w:val="20"/>
          <w:szCs w:val="20"/>
          <w:color w:val="auto"/>
        </w:rPr>
      </w:pPr>
    </w:p>
    <w:p>
      <w:pPr>
        <w:ind w:right="680" w:firstLine="8"/>
        <w:spacing w:after="0" w:line="286" w:lineRule="auto"/>
        <w:tabs>
          <w:tab w:leader="none" w:pos="99" w:val="left"/>
        </w:tabs>
        <w:numPr>
          <w:ilvl w:val="0"/>
          <w:numId w:val="62"/>
        </w:numPr>
        <w:rPr>
          <w:rFonts w:ascii="Arial" w:cs="Arial" w:eastAsia="Arial" w:hAnsi="Arial"/>
          <w:sz w:val="16"/>
          <w:szCs w:val="16"/>
          <w:color w:val="auto"/>
        </w:rPr>
      </w:pPr>
      <w:r>
        <w:rPr>
          <w:rFonts w:ascii="Arial" w:cs="Arial" w:eastAsia="Arial" w:hAnsi="Arial"/>
          <w:sz w:val="16"/>
          <w:szCs w:val="16"/>
          <w:color w:val="auto"/>
        </w:rPr>
        <w:t>Other current assets included a $0.5 million tax refund receivable from the Australian Taxation Office related to the 2025 calendar year, which was received in February 2026.</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5. Other Assets and Long-Term Deposits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Other assets and long-term deposits consisted of the following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2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tcBorders>
              <w:top w:val="single" w:sz="8" w:color="auto"/>
              <w:bottom w:val="single" w:sz="8" w:color="auto"/>
            </w:tcBorders>
          </w:tcPr>
          <w:p>
            <w:pPr>
              <w:spacing w:after="0"/>
              <w:rPr>
                <w:sz w:val="15"/>
                <w:szCs w:val="15"/>
                <w:color w:val="auto"/>
              </w:rPr>
            </w:pPr>
          </w:p>
        </w:tc>
      </w:tr>
      <w:tr>
        <w:trPr>
          <w:trHeight w:val="155"/>
        </w:trPr>
        <w:tc>
          <w:tcPr>
            <w:tcW w:w="42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53"/>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42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Clinical development project deposits</w:t>
            </w:r>
          </w:p>
        </w:tc>
        <w:tc>
          <w:tcPr>
            <w:tcW w:w="4200" w:type="dxa"/>
            <w:vAlign w:val="bottom"/>
            <w:gridSpan w:val="2"/>
            <w:shd w:val="clear" w:color="auto" w:fill="CFF0FC"/>
          </w:tcPr>
          <w:p>
            <w:pPr>
              <w:jc w:val="right"/>
              <w:ind w:right="968"/>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15,202</w:t>
            </w:r>
          </w:p>
        </w:tc>
        <w:tc>
          <w:tcPr>
            <w:tcW w:w="700" w:type="dxa"/>
            <w:vAlign w:val="bottom"/>
            <w:gridSpan w:val="2"/>
            <w:shd w:val="clear" w:color="auto" w:fill="CFF0FC"/>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9,263</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System implementation costs</w:t>
            </w:r>
          </w:p>
        </w:tc>
        <w:tc>
          <w:tcPr>
            <w:tcW w:w="3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892</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683</w:t>
            </w:r>
          </w:p>
        </w:tc>
      </w:tr>
      <w:tr>
        <w:trPr>
          <w:trHeight w:val="203"/>
        </w:trPr>
        <w:tc>
          <w:tcPr>
            <w:tcW w:w="42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Office lease deposits</w:t>
            </w:r>
          </w:p>
        </w:tc>
        <w:tc>
          <w:tcPr>
            <w:tcW w:w="30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464</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485</w:t>
            </w: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274</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746</w:t>
            </w:r>
          </w:p>
        </w:tc>
      </w:tr>
      <w:tr>
        <w:trPr>
          <w:trHeight w:val="203"/>
        </w:trPr>
        <w:tc>
          <w:tcPr>
            <w:tcW w:w="42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w:t>
            </w:r>
          </w:p>
        </w:tc>
        <w:tc>
          <w:tcPr>
            <w:tcW w:w="306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15</w:t>
            </w:r>
          </w:p>
        </w:tc>
      </w:tr>
      <w:tr>
        <w:trPr>
          <w:trHeight w:val="196"/>
        </w:trPr>
        <w:tc>
          <w:tcPr>
            <w:tcW w:w="4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200" w:type="dxa"/>
            <w:vAlign w:val="bottom"/>
            <w:tcBorders>
              <w:bottom w:val="single" w:sz="8" w:color="auto"/>
            </w:tcBorders>
            <w:gridSpan w:val="2"/>
          </w:tcPr>
          <w:p>
            <w:pPr>
              <w:jc w:val="right"/>
              <w:ind w:right="968"/>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16,832</w:t>
            </w:r>
          </w:p>
        </w:tc>
        <w:tc>
          <w:tcPr>
            <w:tcW w:w="700" w:type="dxa"/>
            <w:vAlign w:val="bottom"/>
            <w:tcBorders>
              <w:bottom w:val="single" w:sz="8" w:color="auto"/>
            </w:tcBorders>
            <w:gridSpan w:val="2"/>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11,192</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48"/>
        </w:trPr>
        <w:tc>
          <w:tcPr>
            <w:tcW w:w="4220" w:type="dxa"/>
            <w:vAlign w:val="bottom"/>
          </w:tcPr>
          <w:p>
            <w:pPr>
              <w:spacing w:after="0"/>
              <w:rPr>
                <w:sz w:val="24"/>
                <w:szCs w:val="24"/>
                <w:color w:val="auto"/>
              </w:rPr>
            </w:pPr>
          </w:p>
        </w:tc>
        <w:tc>
          <w:tcPr>
            <w:tcW w:w="3060" w:type="dxa"/>
            <w:vAlign w:val="bottom"/>
          </w:tcPr>
          <w:p>
            <w:pPr>
              <w:jc w:val="right"/>
              <w:ind w:right="1410"/>
              <w:spacing w:after="0"/>
              <w:rPr>
                <w:sz w:val="20"/>
                <w:szCs w:val="20"/>
                <w:color w:val="auto"/>
              </w:rPr>
            </w:pPr>
            <w:r>
              <w:rPr>
                <w:rFonts w:ascii="Arial" w:cs="Arial" w:eastAsia="Arial" w:hAnsi="Arial"/>
                <w:sz w:val="18"/>
                <w:szCs w:val="18"/>
                <w:color w:val="auto"/>
              </w:rPr>
              <w:t>161</w:t>
            </w: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745"/>
        </w:trPr>
        <w:tc>
          <w:tcPr>
            <w:tcW w:w="42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-1199515</wp:posOffset>
            </wp:positionV>
            <wp:extent cx="1117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7200" w:type="dxa"/>
            <w:vAlign w:val="bottom"/>
          </w:tcPr>
          <w:p>
            <w:pPr>
              <w:ind w:left="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9"/>
        </w:trPr>
        <w:tc>
          <w:tcPr>
            <w:tcW w:w="7440" w:type="dxa"/>
            <w:vAlign w:val="bottom"/>
            <w:gridSpan w:val="2"/>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240" w:type="dxa"/>
            <w:vAlign w:val="bottom"/>
            <w:tcBorders>
              <w:bottom w:val="single" w:sz="8" w:color="auto"/>
            </w:tcBorders>
          </w:tcPr>
          <w:p>
            <w:pPr>
              <w:spacing w:after="0"/>
              <w:rPr>
                <w:sz w:val="16"/>
                <w:szCs w:val="16"/>
                <w:color w:val="auto"/>
              </w:rPr>
            </w:pPr>
          </w:p>
        </w:tc>
        <w:tc>
          <w:tcPr>
            <w:tcW w:w="7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56"/>
        </w:trPr>
        <w:tc>
          <w:tcPr>
            <w:tcW w:w="24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3"/>
                <w:szCs w:val="13"/>
                <w:color w:val="auto"/>
              </w:rPr>
            </w:pPr>
          </w:p>
        </w:tc>
      </w:tr>
      <w:tr>
        <w:trPr>
          <w:trHeight w:val="155"/>
        </w:trPr>
        <w:tc>
          <w:tcPr>
            <w:tcW w:w="24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02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13"/>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4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Accrued research and development related costs</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29,286</w:t>
            </w:r>
          </w:p>
        </w:tc>
        <w:tc>
          <w:tcPr>
            <w:tcW w:w="760" w:type="dxa"/>
            <w:vAlign w:val="bottom"/>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22,768</w:t>
            </w:r>
          </w:p>
        </w:tc>
      </w:tr>
      <w:tr>
        <w:trPr>
          <w:trHeight w:val="203"/>
        </w:trPr>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Accrued employee bonuses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8,253</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tcPr>
          <w:p>
            <w:pPr>
              <w:jc w:val="right"/>
              <w:ind w:right="53"/>
              <w:spacing w:after="0" w:line="202" w:lineRule="exact"/>
              <w:rPr>
                <w:sz w:val="20"/>
                <w:szCs w:val="20"/>
                <w:color w:val="auto"/>
              </w:rPr>
            </w:pPr>
            <w:r>
              <w:rPr>
                <w:rFonts w:ascii="Arial" w:cs="Arial" w:eastAsia="Arial" w:hAnsi="Arial"/>
                <w:sz w:val="18"/>
                <w:szCs w:val="18"/>
                <w:color w:val="auto"/>
              </w:rPr>
              <w:t>5,661</w:t>
            </w:r>
          </w:p>
        </w:tc>
      </w:tr>
      <w:tr>
        <w:trPr>
          <w:trHeight w:val="202"/>
        </w:trPr>
        <w:tc>
          <w:tcPr>
            <w:tcW w:w="744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Accrued corporate related costs</w:t>
            </w: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2,737</w:t>
            </w:r>
          </w:p>
        </w:tc>
        <w:tc>
          <w:tcPr>
            <w:tcW w:w="3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7,586</w:t>
            </w:r>
          </w:p>
        </w:tc>
      </w:tr>
      <w:tr>
        <w:trPr>
          <w:trHeight w:val="203"/>
        </w:trPr>
        <w:tc>
          <w:tcPr>
            <w:tcW w:w="7440" w:type="dxa"/>
            <w:vAlign w:val="bottom"/>
            <w:tcBorders>
              <w:bottom w:val="single" w:sz="8" w:color="CFF0FC"/>
            </w:tcBorders>
            <w:gridSpan w:val="2"/>
          </w:tcPr>
          <w:p>
            <w:pPr>
              <w:spacing w:after="0" w:line="202" w:lineRule="exact"/>
              <w:rPr>
                <w:sz w:val="20"/>
                <w:szCs w:val="20"/>
                <w:color w:val="auto"/>
              </w:rPr>
            </w:pPr>
            <w:r>
              <w:rPr>
                <w:rFonts w:ascii="Arial" w:cs="Arial" w:eastAsia="Arial" w:hAnsi="Arial"/>
                <w:sz w:val="18"/>
                <w:szCs w:val="18"/>
                <w:color w:val="auto"/>
              </w:rPr>
              <w:t>Accrued payroll related costs</w:t>
            </w:r>
          </w:p>
        </w:tc>
        <w:tc>
          <w:tcPr>
            <w:tcW w:w="120" w:type="dxa"/>
            <w:vAlign w:val="bottom"/>
            <w:tcBorders>
              <w:bottom w:val="single" w:sz="8" w:color="231F20"/>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1,149</w:t>
            </w:r>
          </w:p>
        </w:tc>
        <w:tc>
          <w:tcPr>
            <w:tcW w:w="300" w:type="dxa"/>
            <w:vAlign w:val="bottom"/>
            <w:tcBorders>
              <w:bottom w:val="single" w:sz="8" w:color="CFF0FC"/>
            </w:tcBorders>
          </w:tcPr>
          <w:p>
            <w:pPr>
              <w:spacing w:after="0"/>
              <w:rPr>
                <w:sz w:val="17"/>
                <w:szCs w:val="17"/>
                <w:color w:val="auto"/>
              </w:rPr>
            </w:pPr>
          </w:p>
        </w:tc>
        <w:tc>
          <w:tcPr>
            <w:tcW w:w="46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jc w:val="right"/>
              <w:ind w:right="53"/>
              <w:spacing w:after="0" w:line="202" w:lineRule="exact"/>
              <w:rPr>
                <w:sz w:val="20"/>
                <w:szCs w:val="20"/>
                <w:color w:val="auto"/>
              </w:rPr>
            </w:pPr>
            <w:r>
              <w:rPr>
                <w:rFonts w:ascii="Arial" w:cs="Arial" w:eastAsia="Arial" w:hAnsi="Arial"/>
                <w:sz w:val="18"/>
                <w:szCs w:val="18"/>
                <w:color w:val="auto"/>
              </w:rPr>
              <w:t>111</w:t>
            </w:r>
          </w:p>
        </w:tc>
      </w:tr>
      <w:tr>
        <w:trPr>
          <w:trHeight w:val="236"/>
        </w:trPr>
        <w:tc>
          <w:tcPr>
            <w:tcW w:w="7440" w:type="dxa"/>
            <w:vAlign w:val="bottom"/>
            <w:tcBorders>
              <w:bottom w:val="single" w:sz="8" w:color="auto"/>
            </w:tcBorders>
            <w:gridSpan w:val="2"/>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41,425</w:t>
            </w:r>
          </w:p>
        </w:tc>
        <w:tc>
          <w:tcPr>
            <w:tcW w:w="30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36,126</w:t>
            </w:r>
          </w:p>
        </w:tc>
      </w:tr>
      <w:tr>
        <w:trPr>
          <w:trHeight w:val="443"/>
        </w:trPr>
        <w:tc>
          <w:tcPr>
            <w:tcW w:w="240" w:type="dxa"/>
            <w:vAlign w:val="bottom"/>
          </w:tcPr>
          <w:p>
            <w:pPr>
              <w:spacing w:after="0"/>
              <w:rPr>
                <w:sz w:val="20"/>
                <w:szCs w:val="20"/>
                <w:color w:val="auto"/>
              </w:rPr>
            </w:pPr>
            <w:r>
              <w:rPr>
                <w:rFonts w:ascii="Arial" w:cs="Arial" w:eastAsia="Arial" w:hAnsi="Arial"/>
                <w:sz w:val="18"/>
                <w:szCs w:val="18"/>
                <w:color w:val="auto"/>
              </w:rPr>
              <w:t>7.</w:t>
            </w:r>
          </w:p>
        </w:tc>
        <w:tc>
          <w:tcPr>
            <w:tcW w:w="720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-456565</wp:posOffset>
            </wp:positionV>
            <wp:extent cx="1885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each of the balance sheet dates below, the Company had reserved shares of common stock for issuance in connection with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4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1280" w:type="dxa"/>
            <w:vAlign w:val="bottom"/>
            <w:tcBorders>
              <w:top w:val="single" w:sz="8" w:color="auto"/>
              <w:bottom w:val="single" w:sz="8" w:color="auto"/>
            </w:tcBorders>
          </w:tcPr>
          <w:p>
            <w:pPr>
              <w:spacing w:after="0"/>
              <w:rPr>
                <w:sz w:val="15"/>
                <w:szCs w:val="15"/>
                <w:color w:val="auto"/>
              </w:rPr>
            </w:pPr>
          </w:p>
        </w:tc>
      </w:tr>
      <w:tr>
        <w:trPr>
          <w:trHeight w:val="155"/>
        </w:trPr>
        <w:tc>
          <w:tcPr>
            <w:tcW w:w="7540" w:type="dxa"/>
            <w:vAlign w:val="bottom"/>
          </w:tcPr>
          <w:p>
            <w:pPr>
              <w:spacing w:after="0"/>
              <w:rPr>
                <w:sz w:val="13"/>
                <w:szCs w:val="13"/>
                <w:color w:val="auto"/>
              </w:rPr>
            </w:pPr>
          </w:p>
        </w:tc>
        <w:tc>
          <w:tcPr>
            <w:tcW w:w="2420" w:type="dxa"/>
            <w:vAlign w:val="bottom"/>
            <w:tcBorders>
              <w:bottom w:val="single" w:sz="8" w:color="auto"/>
            </w:tcBorders>
            <w:gridSpan w:val="2"/>
          </w:tcPr>
          <w:p>
            <w:pPr>
              <w:jc w:val="right"/>
              <w:ind w:right="1359"/>
              <w:spacing w:after="0" w:line="155" w:lineRule="exact"/>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auto"/>
            </w:tcBorders>
          </w:tcPr>
          <w:p>
            <w:pPr>
              <w:jc w:val="right"/>
              <w:ind w:right="712"/>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outstanding under the 2014 Stock Plan</w:t>
            </w:r>
          </w:p>
        </w:tc>
        <w:tc>
          <w:tcPr>
            <w:tcW w:w="2420" w:type="dxa"/>
            <w:vAlign w:val="bottom"/>
            <w:gridSpan w:val="2"/>
            <w:shd w:val="clear" w:color="auto" w:fill="CFF0FC"/>
          </w:tcPr>
          <w:p>
            <w:pPr>
              <w:jc w:val="right"/>
              <w:ind w:right="699"/>
              <w:spacing w:after="0" w:line="196" w:lineRule="exact"/>
              <w:rPr>
                <w:sz w:val="20"/>
                <w:szCs w:val="20"/>
                <w:color w:val="auto"/>
              </w:rPr>
            </w:pPr>
            <w:r>
              <w:rPr>
                <w:rFonts w:ascii="Arial" w:cs="Arial" w:eastAsia="Arial" w:hAnsi="Arial"/>
                <w:sz w:val="18"/>
                <w:szCs w:val="18"/>
                <w:color w:val="auto"/>
              </w:rPr>
              <w:t>1,528,982</w:t>
            </w:r>
          </w:p>
        </w:tc>
        <w:tc>
          <w:tcPr>
            <w:tcW w:w="128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1,875,140</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Options outstanding under the 2020 Equity Incentive Plan</w:t>
            </w:r>
          </w:p>
        </w:tc>
        <w:tc>
          <w:tcPr>
            <w:tcW w:w="2420" w:type="dxa"/>
            <w:vAlign w:val="bottom"/>
            <w:gridSpan w:val="2"/>
          </w:tcPr>
          <w:p>
            <w:pPr>
              <w:jc w:val="right"/>
              <w:ind w:right="699"/>
              <w:spacing w:after="0" w:line="202" w:lineRule="exact"/>
              <w:rPr>
                <w:sz w:val="20"/>
                <w:szCs w:val="20"/>
                <w:color w:val="auto"/>
              </w:rPr>
            </w:pPr>
            <w:r>
              <w:rPr>
                <w:rFonts w:ascii="Arial" w:cs="Arial" w:eastAsia="Arial" w:hAnsi="Arial"/>
                <w:sz w:val="18"/>
                <w:szCs w:val="18"/>
                <w:color w:val="auto"/>
              </w:rPr>
              <w:t>9,873,692</w:t>
            </w: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7,786,735</w:t>
            </w:r>
          </w:p>
        </w:tc>
      </w:tr>
      <w:tr>
        <w:trPr>
          <w:trHeight w:val="203"/>
        </w:trPr>
        <w:tc>
          <w:tcPr>
            <w:tcW w:w="7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Options outstanding under the 2022 Inducement Plan</w:t>
            </w:r>
          </w:p>
        </w:tc>
        <w:tc>
          <w:tcPr>
            <w:tcW w:w="2420" w:type="dxa"/>
            <w:vAlign w:val="bottom"/>
            <w:gridSpan w:val="2"/>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rPr>
              <w:t>3,026,865</w:t>
            </w: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1,691,182</w:t>
            </w:r>
          </w:p>
        </w:tc>
      </w:tr>
      <w:tr>
        <w:trPr>
          <w:trHeight w:val="184"/>
        </w:trPr>
        <w:tc>
          <w:tcPr>
            <w:tcW w:w="7540" w:type="dxa"/>
            <w:vAlign w:val="bottom"/>
          </w:tcPr>
          <w:p>
            <w:pPr>
              <w:spacing w:after="0" w:line="183" w:lineRule="exact"/>
              <w:rPr>
                <w:sz w:val="20"/>
                <w:szCs w:val="20"/>
                <w:color w:val="auto"/>
              </w:rPr>
            </w:pPr>
            <w:r>
              <w:rPr>
                <w:rFonts w:ascii="Arial" w:cs="Arial" w:eastAsia="Arial" w:hAnsi="Arial"/>
                <w:sz w:val="18"/>
                <w:szCs w:val="18"/>
                <w:color w:val="auto"/>
              </w:rPr>
              <w:t>Shares available for future grant under the 2020 Equity Incentive Plan and the 2022</w:t>
            </w: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21"/>
        </w:trPr>
        <w:tc>
          <w:tcPr>
            <w:tcW w:w="7540" w:type="dxa"/>
            <w:vAlign w:val="bottom"/>
          </w:tcPr>
          <w:p>
            <w:pPr>
              <w:spacing w:after="0"/>
              <w:rPr>
                <w:sz w:val="20"/>
                <w:szCs w:val="20"/>
                <w:color w:val="auto"/>
              </w:rPr>
            </w:pPr>
            <w:r>
              <w:rPr>
                <w:rFonts w:ascii="Arial" w:cs="Arial" w:eastAsia="Arial" w:hAnsi="Arial"/>
                <w:sz w:val="18"/>
                <w:szCs w:val="18"/>
                <w:color w:val="auto"/>
              </w:rPr>
              <w:t>Inducement Plan</w:t>
            </w:r>
          </w:p>
        </w:tc>
        <w:tc>
          <w:tcPr>
            <w:tcW w:w="2420" w:type="dxa"/>
            <w:vAlign w:val="bottom"/>
            <w:gridSpan w:val="2"/>
          </w:tcPr>
          <w:p>
            <w:pPr>
              <w:jc w:val="right"/>
              <w:ind w:right="699"/>
              <w:spacing w:after="0"/>
              <w:rPr>
                <w:sz w:val="20"/>
                <w:szCs w:val="20"/>
                <w:color w:val="auto"/>
              </w:rPr>
            </w:pPr>
            <w:r>
              <w:rPr>
                <w:rFonts w:ascii="Arial" w:cs="Arial" w:eastAsia="Arial" w:hAnsi="Arial"/>
                <w:sz w:val="18"/>
                <w:szCs w:val="18"/>
                <w:color w:val="auto"/>
              </w:rPr>
              <w:t>4,416,066</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2,056,300</w:t>
            </w:r>
          </w:p>
        </w:tc>
      </w:tr>
      <w:tr>
        <w:trPr>
          <w:trHeight w:val="203"/>
        </w:trPr>
        <w:tc>
          <w:tcPr>
            <w:tcW w:w="7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Available for the ESPP</w:t>
            </w:r>
          </w:p>
        </w:tc>
        <w:tc>
          <w:tcPr>
            <w:tcW w:w="2420" w:type="dxa"/>
            <w:vAlign w:val="bottom"/>
            <w:gridSpan w:val="2"/>
            <w:shd w:val="clear" w:color="auto" w:fill="CFF0FC"/>
          </w:tcPr>
          <w:p>
            <w:pPr>
              <w:jc w:val="right"/>
              <w:ind w:right="699"/>
              <w:spacing w:after="0" w:line="202" w:lineRule="exact"/>
              <w:rPr>
                <w:sz w:val="20"/>
                <w:szCs w:val="20"/>
                <w:color w:val="auto"/>
              </w:rPr>
            </w:pPr>
            <w:r>
              <w:rPr>
                <w:rFonts w:ascii="Arial" w:cs="Arial" w:eastAsia="Arial" w:hAnsi="Arial"/>
                <w:sz w:val="18"/>
                <w:szCs w:val="18"/>
                <w:color w:val="auto"/>
              </w:rPr>
              <w:t>1,583,220</w:t>
            </w:r>
          </w:p>
        </w:tc>
        <w:tc>
          <w:tcPr>
            <w:tcW w:w="128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1,122,615</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Shares available for issuance related to pre-funded warrants</w:t>
            </w:r>
          </w:p>
        </w:tc>
        <w:tc>
          <w:tcPr>
            <w:tcW w:w="2420" w:type="dxa"/>
            <w:vAlign w:val="bottom"/>
            <w:gridSpan w:val="2"/>
          </w:tcPr>
          <w:p>
            <w:pPr>
              <w:jc w:val="right"/>
              <w:ind w:right="699"/>
              <w:spacing w:after="0" w:line="202" w:lineRule="exact"/>
              <w:rPr>
                <w:sz w:val="20"/>
                <w:szCs w:val="20"/>
                <w:color w:val="auto"/>
              </w:rPr>
            </w:pPr>
            <w:r>
              <w:rPr>
                <w:rFonts w:ascii="Arial" w:cs="Arial" w:eastAsia="Arial" w:hAnsi="Arial"/>
                <w:sz w:val="18"/>
                <w:szCs w:val="18"/>
                <w:color w:val="auto"/>
              </w:rPr>
              <w:t>17,094,163</w:t>
            </w:r>
          </w:p>
        </w:tc>
        <w:tc>
          <w:tcPr>
            <w:tcW w:w="12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11,024,163</w:t>
            </w:r>
          </w:p>
        </w:tc>
      </w:tr>
      <w:tr>
        <w:trPr>
          <w:trHeight w:val="196"/>
        </w:trPr>
        <w:tc>
          <w:tcPr>
            <w:tcW w:w="7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20" w:type="dxa"/>
            <w:vAlign w:val="bottom"/>
            <w:tcBorders>
              <w:top w:val="single" w:sz="8" w:color="auto"/>
              <w:bottom w:val="single" w:sz="8" w:color="auto"/>
            </w:tcBorders>
          </w:tcPr>
          <w:p>
            <w:pPr>
              <w:jc w:val="right"/>
              <w:ind w:right="699"/>
              <w:spacing w:after="0" w:line="196" w:lineRule="exact"/>
              <w:rPr>
                <w:sz w:val="20"/>
                <w:szCs w:val="20"/>
                <w:color w:val="auto"/>
              </w:rPr>
            </w:pPr>
            <w:r>
              <w:rPr>
                <w:rFonts w:ascii="Arial" w:cs="Arial" w:eastAsia="Arial" w:hAnsi="Arial"/>
                <w:sz w:val="18"/>
                <w:szCs w:val="18"/>
                <w:color w:val="auto"/>
              </w:rPr>
              <w:t>37,522,988</w:t>
            </w:r>
          </w:p>
        </w:tc>
        <w:tc>
          <w:tcPr>
            <w:tcW w:w="1280" w:type="dxa"/>
            <w:vAlign w:val="bottom"/>
            <w:tcBorders>
              <w:top w:val="single" w:sz="8" w:color="auto"/>
              <w:bottom w:val="single" w:sz="8" w:color="auto"/>
            </w:tcBorders>
          </w:tcPr>
          <w:p>
            <w:pPr>
              <w:jc w:val="right"/>
              <w:ind w:right="52"/>
              <w:spacing w:after="0" w:line="196" w:lineRule="exact"/>
              <w:rPr>
                <w:sz w:val="20"/>
                <w:szCs w:val="20"/>
                <w:color w:val="auto"/>
              </w:rPr>
            </w:pPr>
            <w:r>
              <w:rPr>
                <w:rFonts w:ascii="Arial" w:cs="Arial" w:eastAsia="Arial" w:hAnsi="Arial"/>
                <w:sz w:val="18"/>
                <w:szCs w:val="18"/>
                <w:color w:val="auto"/>
              </w:rPr>
              <w:t>25,556,135</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Pre-Funded Warrants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2024, the Company issued pre-funded warrants to purchase up to 7,604,163 shares of the Company's common stock in connection with the 2024 Private Placement at $9.07998 per share of the common stock, less the $0.0001 per share exercise price of each warrant.</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November 2024 and January 2025, the Company entered into the Exchange Transactions with certain investors and issued to such investors pre-funded warrants to purchase up to 3,420,000 and 6,070,000 shares of its common stock, respectively, at an exercise price of $0.0001 per share, in exchange for an equivalent number of shares of the Company's common stock previously outstanding and held by such investors.</w:t>
      </w:r>
    </w:p>
    <w:p>
      <w:pPr>
        <w:spacing w:after="0" w:line="17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pre-funded warrants were issued without registration under the Securities Act, in reliance on the exemption from registration contained in Section 3(a)(9) of the Securities Act.</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accounted for the pre-funded warrants as a freestanding equity-linked financial instrument that met the criteria for equity classification pursuant to ASC 480 and ASC 815. Accordingly, the Company recorded the pre-funded warrants as a component of stockholders' equity within additional paid-in capital. The following table summarizes the pre-funded warrants issued as of December 31, 2025: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1082675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Issued Year</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4"/>
                <w:szCs w:val="14"/>
                <w:color w:val="auto"/>
              </w:rPr>
            </w:pPr>
          </w:p>
        </w:tc>
        <w:tc>
          <w:tcPr>
            <w:tcW w:w="3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Number of Warrants Outstanding</w:t>
            </w:r>
          </w:p>
        </w:tc>
      </w:tr>
      <w:tr>
        <w:trPr>
          <w:trHeight w:val="196"/>
        </w:trPr>
        <w:tc>
          <w:tcPr>
            <w:tcW w:w="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2024</w:t>
            </w:r>
          </w:p>
        </w:tc>
        <w:tc>
          <w:tcPr>
            <w:tcW w:w="4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(Private Placement)</w:t>
            </w: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rPr>
              <w:t>None</w:t>
            </w:r>
          </w:p>
        </w:tc>
        <w:tc>
          <w:tcPr>
            <w:tcW w:w="42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0.0001</w:t>
            </w:r>
          </w:p>
        </w:tc>
        <w:tc>
          <w:tcPr>
            <w:tcW w:w="3140" w:type="dxa"/>
            <w:vAlign w:val="bottom"/>
            <w:gridSpan w:val="2"/>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7,604,163</w:t>
            </w:r>
          </w:p>
        </w:tc>
      </w:tr>
      <w:tr>
        <w:trPr>
          <w:trHeight w:val="203"/>
        </w:trPr>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4"/>
              </w:rPr>
              <w:t>2024</w:t>
            </w:r>
          </w:p>
        </w:tc>
        <w:tc>
          <w:tcPr>
            <w:tcW w:w="4140" w:type="dxa"/>
            <w:vAlign w:val="bottom"/>
          </w:tcPr>
          <w:p>
            <w:pPr>
              <w:ind w:left="20"/>
              <w:spacing w:after="0" w:line="202" w:lineRule="exact"/>
              <w:rPr>
                <w:sz w:val="20"/>
                <w:szCs w:val="20"/>
                <w:color w:val="auto"/>
              </w:rPr>
            </w:pPr>
            <w:r>
              <w:rPr>
                <w:rFonts w:ascii="Arial" w:cs="Arial" w:eastAsia="Arial" w:hAnsi="Arial"/>
                <w:sz w:val="18"/>
                <w:szCs w:val="18"/>
                <w:color w:val="auto"/>
              </w:rPr>
              <w:t>(Warrant Exchange Agreement)</w:t>
            </w:r>
          </w:p>
        </w:tc>
        <w:tc>
          <w:tcPr>
            <w:tcW w:w="200" w:type="dxa"/>
            <w:vAlign w:val="bottom"/>
          </w:tcPr>
          <w:p>
            <w:pPr>
              <w:spacing w:after="0"/>
              <w:rPr>
                <w:sz w:val="17"/>
                <w:szCs w:val="17"/>
                <w:color w:val="auto"/>
              </w:rPr>
            </w:pPr>
          </w:p>
        </w:tc>
        <w:tc>
          <w:tcPr>
            <w:tcW w:w="1340" w:type="dxa"/>
            <w:vAlign w:val="bottom"/>
          </w:tcPr>
          <w:p>
            <w:pPr>
              <w:jc w:val="center"/>
              <w:spacing w:after="0" w:line="202" w:lineRule="exact"/>
              <w:rPr>
                <w:sz w:val="20"/>
                <w:szCs w:val="20"/>
                <w:color w:val="auto"/>
              </w:rPr>
            </w:pPr>
            <w:r>
              <w:rPr>
                <w:rFonts w:ascii="Arial" w:cs="Arial" w:eastAsia="Arial" w:hAnsi="Arial"/>
                <w:sz w:val="18"/>
                <w:szCs w:val="18"/>
                <w:color w:val="auto"/>
              </w:rPr>
              <w:t>None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0.0001</w:t>
            </w:r>
          </w:p>
        </w:tc>
        <w:tc>
          <w:tcPr>
            <w:tcW w:w="314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3,420,000</w:t>
            </w:r>
          </w:p>
        </w:tc>
      </w:tr>
      <w:tr>
        <w:trPr>
          <w:trHeight w:val="203"/>
        </w:trPr>
        <w:tc>
          <w:tcPr>
            <w:tcW w:w="44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4"/>
              </w:rPr>
              <w:t>2025</w:t>
            </w:r>
          </w:p>
        </w:tc>
        <w:tc>
          <w:tcPr>
            <w:tcW w:w="41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(Warrant Exchange Agreement)</w:t>
            </w:r>
          </w:p>
        </w:tc>
        <w:tc>
          <w:tcPr>
            <w:tcW w:w="20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rPr>
              <w:t>None</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0.0001</w:t>
            </w:r>
          </w:p>
        </w:tc>
        <w:tc>
          <w:tcPr>
            <w:tcW w:w="140" w:type="dxa"/>
            <w:vAlign w:val="bottom"/>
            <w:tcBorders>
              <w:bottom w:val="single" w:sz="8" w:color="CFF0FC"/>
            </w:tcBorders>
            <w:shd w:val="clear" w:color="auto" w:fill="CFF0FC"/>
          </w:tcPr>
          <w:p>
            <w:pPr>
              <w:spacing w:after="0"/>
              <w:rPr>
                <w:sz w:val="17"/>
                <w:szCs w:val="17"/>
                <w:color w:val="auto"/>
              </w:rPr>
            </w:pPr>
          </w:p>
        </w:tc>
        <w:tc>
          <w:tcPr>
            <w:tcW w:w="3000" w:type="dxa"/>
            <w:vAlign w:val="bottom"/>
            <w:tcBorders>
              <w:bottom w:val="single" w:sz="8" w:color="auto"/>
            </w:tcBorders>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6,070,000</w:t>
            </w:r>
          </w:p>
        </w:tc>
      </w:tr>
      <w:tr>
        <w:trPr>
          <w:trHeight w:val="196"/>
        </w:trPr>
        <w:tc>
          <w:tcPr>
            <w:tcW w:w="4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2"/>
          </w:tcPr>
          <w:p>
            <w:pPr>
              <w:jc w:val="right"/>
              <w:ind w:right="59"/>
              <w:spacing w:after="0" w:line="196" w:lineRule="exact"/>
              <w:rPr>
                <w:sz w:val="20"/>
                <w:szCs w:val="20"/>
                <w:color w:val="auto"/>
              </w:rPr>
            </w:pPr>
            <w:r>
              <w:rPr>
                <w:rFonts w:ascii="Arial" w:cs="Arial" w:eastAsia="Arial" w:hAnsi="Arial"/>
                <w:sz w:val="18"/>
                <w:szCs w:val="18"/>
                <w:color w:val="auto"/>
              </w:rPr>
              <w:t>17,094,163</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8.</w:t>
        <w:tab/>
        <w:t>Stock-Based Compensation</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2022, the Board approved and adopted the Company’s 2022 Inducement Plan (the “2022 Inducement Plan”). Under the 2022 Inducement Plan, initially 2,000,000 shares of common stock were reserved for issuance. In December 2024, the Compensation Committee of the Board approved an increase of an additional 3,000,000 shares of common stock reserved for issuance under the 2022 Inducement Plan, which increase was made effective as of January 1, 2025. The 2022 Inducement Plan permits the grant of options, restricted stock awards, stock appreciation rights, restricted stock unit awards, performance awards, and other awards.</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0% since the Company has never paid cash dividends and does not expect to pay any cash dividends in the foreseeable future.</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80" w:type="dxa"/>
            <w:vAlign w:val="bottom"/>
          </w:tcPr>
          <w:p>
            <w:pPr>
              <w:spacing w:after="0"/>
              <w:rPr>
                <w:sz w:val="13"/>
                <w:szCs w:val="13"/>
                <w:color w:val="auto"/>
              </w:rPr>
            </w:pPr>
          </w:p>
        </w:tc>
        <w:tc>
          <w:tcPr>
            <w:tcW w:w="11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2025</w:t>
            </w:r>
          </w:p>
        </w:tc>
        <w:tc>
          <w:tcPr>
            <w:tcW w:w="7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40" w:type="dxa"/>
            <w:vAlign w:val="bottom"/>
            <w:tcBorders>
              <w:top w:val="single" w:sz="8" w:color="auto"/>
              <w:bottom w:val="single" w:sz="8" w:color="auto"/>
            </w:tcBorders>
          </w:tcPr>
          <w:p>
            <w:pPr>
              <w:jc w:val="right"/>
              <w:ind w:right="779"/>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84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Risk-free interest rate</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4.07%</w:t>
            </w:r>
          </w:p>
        </w:tc>
        <w:tc>
          <w:tcPr>
            <w:tcW w:w="20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3.91%</w:t>
            </w:r>
          </w:p>
        </w:tc>
      </w:tr>
      <w:tr>
        <w:trPr>
          <w:trHeight w:val="203"/>
        </w:trPr>
        <w:tc>
          <w:tcPr>
            <w:tcW w:w="8480" w:type="dxa"/>
            <w:vAlign w:val="bottom"/>
            <w:gridSpan w:val="2"/>
          </w:tcPr>
          <w:p>
            <w:pPr>
              <w:spacing w:after="0" w:line="202" w:lineRule="exact"/>
              <w:rPr>
                <w:sz w:val="20"/>
                <w:szCs w:val="20"/>
                <w:color w:val="auto"/>
              </w:rPr>
            </w:pPr>
            <w:r>
              <w:rPr>
                <w:rFonts w:ascii="Arial" w:cs="Arial" w:eastAsia="Arial" w:hAnsi="Arial"/>
                <w:sz w:val="18"/>
                <w:szCs w:val="18"/>
                <w:color w:val="auto"/>
              </w:rPr>
              <w:t>Expected term (in years)</w:t>
            </w:r>
          </w:p>
        </w:tc>
        <w:tc>
          <w:tcPr>
            <w:tcW w:w="7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6.04</w:t>
            </w:r>
          </w:p>
        </w:tc>
        <w:tc>
          <w:tcPr>
            <w:tcW w:w="2020" w:type="dxa"/>
            <w:vAlign w:val="bottom"/>
            <w:gridSpan w:val="2"/>
          </w:tcPr>
          <w:p>
            <w:pPr>
              <w:jc w:val="right"/>
              <w:ind w:right="99"/>
              <w:spacing w:after="0" w:line="202" w:lineRule="exact"/>
              <w:rPr>
                <w:sz w:val="20"/>
                <w:szCs w:val="20"/>
                <w:color w:val="auto"/>
              </w:rPr>
            </w:pPr>
            <w:r>
              <w:rPr>
                <w:rFonts w:ascii="Arial" w:cs="Arial" w:eastAsia="Arial" w:hAnsi="Arial"/>
                <w:sz w:val="18"/>
                <w:szCs w:val="18"/>
                <w:color w:val="auto"/>
              </w:rPr>
              <w:t>6.03</w:t>
            </w:r>
          </w:p>
        </w:tc>
      </w:tr>
      <w:tr>
        <w:trPr>
          <w:trHeight w:val="203"/>
        </w:trPr>
        <w:tc>
          <w:tcPr>
            <w:tcW w:w="84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Expected volatility</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78.18%</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85.00%</w:t>
            </w:r>
          </w:p>
        </w:tc>
      </w:tr>
      <w:tr>
        <w:trPr>
          <w:trHeight w:val="203"/>
        </w:trPr>
        <w:tc>
          <w:tcPr>
            <w:tcW w:w="848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Expected dividend yield</w:t>
            </w:r>
          </w:p>
        </w:tc>
        <w:tc>
          <w:tcPr>
            <w:tcW w:w="7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99"/>
              <w:spacing w:after="0" w:line="202" w:lineRule="exact"/>
              <w:rPr>
                <w:sz w:val="20"/>
                <w:szCs w:val="20"/>
                <w:color w:val="auto"/>
              </w:rPr>
            </w:pPr>
            <w:r>
              <w:rPr>
                <w:rFonts w:ascii="Arial" w:cs="Arial" w:eastAsia="Arial" w:hAnsi="Arial"/>
                <w:sz w:val="18"/>
                <w:szCs w:val="18"/>
                <w:color w:val="auto"/>
              </w:rPr>
              <w:t>—</w:t>
            </w: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 Inducement Plan: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Weighted</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97"/>
              <w:spacing w:after="0"/>
              <w:rPr>
                <w:sz w:val="20"/>
                <w:szCs w:val="20"/>
                <w:color w:val="auto"/>
              </w:rPr>
            </w:pPr>
            <w:r>
              <w:rPr>
                <w:rFonts w:ascii="Arial" w:cs="Arial" w:eastAsia="Arial" w:hAnsi="Arial"/>
                <w:sz w:val="14"/>
                <w:szCs w:val="14"/>
                <w:b w:val="1"/>
                <w:bCs w:val="1"/>
                <w:color w:val="auto"/>
              </w:rPr>
              <w:t>Weighted</w:t>
            </w:r>
          </w:p>
        </w:tc>
        <w:tc>
          <w:tcPr>
            <w:tcW w:w="1400" w:type="dxa"/>
            <w:vAlign w:val="bottom"/>
          </w:tcPr>
          <w:p>
            <w:pPr>
              <w:jc w:val="center"/>
              <w:ind w:right="38"/>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rPr>
              <w:t>Average</w:t>
            </w:r>
          </w:p>
        </w:tc>
        <w:tc>
          <w:tcPr>
            <w:tcW w:w="1400" w:type="dxa"/>
            <w:vAlign w:val="bottom"/>
          </w:tcPr>
          <w:p>
            <w:pPr>
              <w:jc w:val="center"/>
              <w:ind w:right="38"/>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60" w:type="dxa"/>
            <w:vAlign w:val="bottom"/>
          </w:tcPr>
          <w:p>
            <w:pPr>
              <w:spacing w:after="0"/>
              <w:rPr>
                <w:sz w:val="14"/>
                <w:szCs w:val="14"/>
                <w:color w:val="auto"/>
              </w:rPr>
            </w:pPr>
          </w:p>
        </w:tc>
        <w:tc>
          <w:tcPr>
            <w:tcW w:w="1480" w:type="dxa"/>
            <w:vAlign w:val="bottom"/>
          </w:tcPr>
          <w:p>
            <w:pPr>
              <w:jc w:val="right"/>
              <w:ind w:right="374"/>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320" w:type="dxa"/>
            <w:vAlign w:val="bottom"/>
          </w:tcPr>
          <w:p>
            <w:pPr>
              <w:jc w:val="center"/>
              <w:ind w:right="377"/>
              <w:spacing w:after="0"/>
              <w:rPr>
                <w:sz w:val="20"/>
                <w:szCs w:val="20"/>
                <w:color w:val="auto"/>
              </w:rPr>
            </w:pPr>
            <w:r>
              <w:rPr>
                <w:rFonts w:ascii="Arial" w:cs="Arial" w:eastAsia="Arial" w:hAnsi="Arial"/>
                <w:sz w:val="14"/>
                <w:szCs w:val="14"/>
                <w:b w:val="1"/>
                <w:bCs w:val="1"/>
                <w:color w:val="auto"/>
              </w:rPr>
              <w:t>Exercise</w:t>
            </w:r>
          </w:p>
        </w:tc>
        <w:tc>
          <w:tcPr>
            <w:tcW w:w="1400" w:type="dxa"/>
            <w:vAlign w:val="bottom"/>
          </w:tcPr>
          <w:p>
            <w:pPr>
              <w:jc w:val="center"/>
              <w:ind w:right="38"/>
              <w:spacing w:after="0"/>
              <w:rPr>
                <w:sz w:val="20"/>
                <w:szCs w:val="20"/>
                <w:color w:val="auto"/>
              </w:rPr>
            </w:pPr>
            <w:r>
              <w:rPr>
                <w:rFonts w:ascii="Arial" w:cs="Arial" w:eastAsia="Arial" w:hAnsi="Arial"/>
                <w:sz w:val="14"/>
                <w:szCs w:val="14"/>
                <w:b w:val="1"/>
                <w:bCs w:val="1"/>
                <w:color w:val="auto"/>
              </w:rPr>
              <w:t>Contractual</w:t>
            </w:r>
          </w:p>
        </w:tc>
        <w:tc>
          <w:tcPr>
            <w:tcW w:w="260" w:type="dxa"/>
            <w:vAlign w:val="bottom"/>
          </w:tcPr>
          <w:p>
            <w:pPr>
              <w:spacing w:after="0"/>
              <w:rPr>
                <w:sz w:val="14"/>
                <w:szCs w:val="14"/>
                <w:color w:val="auto"/>
              </w:rPr>
            </w:pPr>
          </w:p>
        </w:tc>
        <w:tc>
          <w:tcPr>
            <w:tcW w:w="1300" w:type="dxa"/>
            <w:vAlign w:val="bottom"/>
          </w:tcPr>
          <w:p>
            <w:pPr>
              <w:jc w:val="center"/>
              <w:ind w:right="177"/>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160" w:type="dxa"/>
            <w:vAlign w:val="bottom"/>
          </w:tcPr>
          <w:p>
            <w:pPr>
              <w:spacing w:after="0"/>
              <w:rPr>
                <w:sz w:val="14"/>
                <w:szCs w:val="14"/>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77"/>
              <w:spacing w:after="0"/>
              <w:rPr>
                <w:sz w:val="20"/>
                <w:szCs w:val="20"/>
                <w:color w:val="auto"/>
              </w:rPr>
            </w:pPr>
            <w:r>
              <w:rPr>
                <w:rFonts w:ascii="Arial" w:cs="Arial" w:eastAsia="Arial" w:hAnsi="Arial"/>
                <w:sz w:val="14"/>
                <w:szCs w:val="14"/>
                <w:b w:val="1"/>
                <w:bCs w:val="1"/>
                <w:color w:val="auto"/>
                <w:w w:val="99"/>
              </w:rPr>
              <w:t>Price</w:t>
            </w:r>
          </w:p>
        </w:tc>
        <w:tc>
          <w:tcPr>
            <w:tcW w:w="14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rPr>
              <w:t>Term</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rPr>
              <w:t>Value</w:t>
            </w: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0" w:type="dxa"/>
            <w:vAlign w:val="bottom"/>
          </w:tcPr>
          <w:p>
            <w:pPr>
              <w:jc w:val="center"/>
              <w:ind w:right="38"/>
              <w:spacing w:after="0" w:line="155" w:lineRule="exact"/>
              <w:rPr>
                <w:sz w:val="20"/>
                <w:szCs w:val="20"/>
                <w:color w:val="auto"/>
              </w:rPr>
            </w:pPr>
            <w:r>
              <w:rPr>
                <w:rFonts w:ascii="Arial" w:cs="Arial" w:eastAsia="Arial" w:hAnsi="Arial"/>
                <w:sz w:val="14"/>
                <w:szCs w:val="14"/>
                <w:b w:val="1"/>
                <w:bCs w:val="1"/>
                <w:color w:val="auto"/>
              </w:rPr>
              <w:t>(in years)</w:t>
            </w:r>
          </w:p>
        </w:tc>
        <w:tc>
          <w:tcPr>
            <w:tcW w:w="260" w:type="dxa"/>
            <w:vAlign w:val="bottom"/>
          </w:tcPr>
          <w:p>
            <w:pPr>
              <w:spacing w:after="0"/>
              <w:rPr>
                <w:sz w:val="13"/>
                <w:szCs w:val="13"/>
                <w:color w:val="auto"/>
              </w:rPr>
            </w:pPr>
          </w:p>
        </w:tc>
        <w:tc>
          <w:tcPr>
            <w:tcW w:w="1300" w:type="dxa"/>
            <w:vAlign w:val="bottom"/>
          </w:tcPr>
          <w:p>
            <w:pPr>
              <w:jc w:val="center"/>
              <w:ind w:right="177"/>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03"/>
        </w:trPr>
        <w:tc>
          <w:tcPr>
            <w:tcW w:w="5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Outstanding as of December 31, 2024</w:t>
            </w:r>
          </w:p>
        </w:tc>
        <w:tc>
          <w:tcPr>
            <w:tcW w:w="1480" w:type="dxa"/>
            <w:vAlign w:val="bottom"/>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11,353,057</w:t>
            </w: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10.28</w:t>
            </w:r>
          </w:p>
        </w:tc>
        <w:tc>
          <w:tcPr>
            <w:tcW w:w="14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6.37</w:t>
            </w:r>
          </w:p>
        </w:tc>
        <w:tc>
          <w:tcPr>
            <w:tcW w:w="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7,519</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Granted</w:t>
            </w:r>
          </w:p>
        </w:tc>
        <w:tc>
          <w:tcPr>
            <w:tcW w:w="1480" w:type="dxa"/>
            <w:vAlign w:val="bottom"/>
          </w:tcPr>
          <w:p>
            <w:pPr>
              <w:jc w:val="right"/>
              <w:ind w:right="74"/>
              <w:spacing w:after="0" w:line="202" w:lineRule="exact"/>
              <w:rPr>
                <w:sz w:val="20"/>
                <w:szCs w:val="20"/>
                <w:color w:val="auto"/>
              </w:rPr>
            </w:pPr>
            <w:r>
              <w:rPr>
                <w:rFonts w:ascii="Arial" w:cs="Arial" w:eastAsia="Arial" w:hAnsi="Arial"/>
                <w:sz w:val="18"/>
                <w:szCs w:val="18"/>
                <w:color w:val="auto"/>
              </w:rPr>
              <w:t>5,030,060</w:t>
            </w:r>
          </w:p>
        </w:tc>
        <w:tc>
          <w:tcPr>
            <w:tcW w:w="320" w:type="dxa"/>
            <w:vAlign w:val="bottom"/>
          </w:tcPr>
          <w:p>
            <w:pPr>
              <w:spacing w:after="0"/>
              <w:rPr>
                <w:sz w:val="17"/>
                <w:szCs w:val="17"/>
                <w:color w:val="auto"/>
              </w:rPr>
            </w:pPr>
          </w:p>
        </w:tc>
        <w:tc>
          <w:tcPr>
            <w:tcW w:w="132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5.06</w:t>
            </w:r>
          </w:p>
        </w:tc>
        <w:tc>
          <w:tcPr>
            <w:tcW w:w="14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300" w:type="dxa"/>
            <w:vAlign w:val="bottom"/>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Exercised¹</w:t>
            </w:r>
          </w:p>
        </w:tc>
        <w:tc>
          <w:tcPr>
            <w:tcW w:w="14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(1,412,406)</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6.45</w:t>
            </w:r>
          </w:p>
        </w:tc>
        <w:tc>
          <w:tcPr>
            <w:tcW w:w="14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Forfeited and cancelled</w:t>
            </w:r>
          </w:p>
        </w:tc>
        <w:tc>
          <w:tcPr>
            <w:tcW w:w="148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(541,172)</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57"/>
              <w:spacing w:after="0" w:line="202" w:lineRule="exact"/>
              <w:rPr>
                <w:sz w:val="20"/>
                <w:szCs w:val="20"/>
                <w:color w:val="auto"/>
              </w:rPr>
            </w:pPr>
            <w:r>
              <w:rPr>
                <w:rFonts w:ascii="Arial" w:cs="Arial" w:eastAsia="Arial" w:hAnsi="Arial"/>
                <w:sz w:val="18"/>
                <w:szCs w:val="18"/>
                <w:color w:val="auto"/>
              </w:rPr>
              <w:t>8.92</w:t>
            </w:r>
          </w:p>
        </w:tc>
        <w:tc>
          <w:tcPr>
            <w:tcW w:w="140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w:t>
            </w:r>
          </w:p>
        </w:tc>
      </w:tr>
      <w:tr>
        <w:trPr>
          <w:trHeight w:val="236"/>
        </w:trPr>
        <w:tc>
          <w:tcPr>
            <w:tcW w:w="516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as of December 31, 2025</w:t>
            </w:r>
          </w:p>
        </w:tc>
        <w:tc>
          <w:tcPr>
            <w:tcW w:w="1480" w:type="dxa"/>
            <w:vAlign w:val="bottom"/>
            <w:tcBorders>
              <w:bottom w:val="single" w:sz="8" w:color="auto"/>
            </w:tcBorders>
            <w:shd w:val="clear" w:color="auto" w:fill="CFF0FC"/>
          </w:tcPr>
          <w:p>
            <w:pPr>
              <w:jc w:val="right"/>
              <w:ind w:right="74"/>
              <w:spacing w:after="0" w:line="182" w:lineRule="exact"/>
              <w:rPr>
                <w:sz w:val="20"/>
                <w:szCs w:val="20"/>
                <w:color w:val="auto"/>
              </w:rPr>
            </w:pPr>
            <w:r>
              <w:rPr>
                <w:rFonts w:ascii="Arial" w:cs="Arial" w:eastAsia="Arial" w:hAnsi="Arial"/>
                <w:sz w:val="18"/>
                <w:szCs w:val="18"/>
                <w:color w:val="auto"/>
              </w:rPr>
              <w:t>14,429,539</w:t>
            </w:r>
          </w:p>
        </w:tc>
        <w:tc>
          <w:tcPr>
            <w:tcW w:w="3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157"/>
              <w:spacing w:after="0" w:line="182" w:lineRule="exact"/>
              <w:rPr>
                <w:sz w:val="20"/>
                <w:szCs w:val="20"/>
                <w:color w:val="auto"/>
              </w:rPr>
            </w:pPr>
            <w:r>
              <w:rPr>
                <w:rFonts w:ascii="Arial" w:cs="Arial" w:eastAsia="Arial" w:hAnsi="Arial"/>
                <w:sz w:val="18"/>
                <w:szCs w:val="18"/>
                <w:color w:val="auto"/>
              </w:rPr>
              <w:t>8.89</w:t>
            </w:r>
          </w:p>
        </w:tc>
        <w:tc>
          <w:tcPr>
            <w:tcW w:w="1400" w:type="dxa"/>
            <w:vAlign w:val="bottom"/>
            <w:tcBorders>
              <w:bottom w:val="single" w:sz="8" w:color="auto"/>
            </w:tcBorders>
            <w:shd w:val="clear" w:color="auto" w:fill="CFF0FC"/>
          </w:tcPr>
          <w:p>
            <w:pPr>
              <w:jc w:val="right"/>
              <w:ind w:right="38"/>
              <w:spacing w:after="0" w:line="182" w:lineRule="exact"/>
              <w:rPr>
                <w:sz w:val="20"/>
                <w:szCs w:val="20"/>
                <w:color w:val="auto"/>
              </w:rPr>
            </w:pPr>
            <w:r>
              <w:rPr>
                <w:rFonts w:ascii="Arial" w:cs="Arial" w:eastAsia="Arial" w:hAnsi="Arial"/>
                <w:sz w:val="18"/>
                <w:szCs w:val="18"/>
                <w:color w:val="auto"/>
              </w:rPr>
              <w:t>7.40</w:t>
            </w:r>
          </w:p>
        </w:tc>
        <w:tc>
          <w:tcPr>
            <w:tcW w:w="2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7"/>
              <w:spacing w:after="0" w:line="182" w:lineRule="exact"/>
              <w:rPr>
                <w:sz w:val="20"/>
                <w:szCs w:val="20"/>
                <w:color w:val="auto"/>
              </w:rPr>
            </w:pPr>
            <w:r>
              <w:rPr>
                <w:rFonts w:ascii="Arial" w:cs="Arial" w:eastAsia="Arial" w:hAnsi="Arial"/>
                <w:sz w:val="18"/>
                <w:szCs w:val="18"/>
                <w:color w:val="auto"/>
              </w:rPr>
              <w:t>235,660</w:t>
            </w:r>
          </w:p>
        </w:tc>
      </w:tr>
      <w:tr>
        <w:trPr>
          <w:trHeight w:val="385"/>
        </w:trPr>
        <w:tc>
          <w:tcPr>
            <w:tcW w:w="5160" w:type="dxa"/>
            <w:vAlign w:val="bottom"/>
          </w:tcPr>
          <w:p>
            <w:pPr>
              <w:spacing w:after="0"/>
              <w:rPr>
                <w:sz w:val="20"/>
                <w:szCs w:val="20"/>
                <w:color w:val="auto"/>
              </w:rPr>
            </w:pPr>
            <w:r>
              <w:rPr>
                <w:rFonts w:ascii="Arial" w:cs="Arial" w:eastAsia="Arial" w:hAnsi="Arial"/>
                <w:sz w:val="18"/>
                <w:szCs w:val="18"/>
                <w:color w:val="auto"/>
              </w:rPr>
              <w:t>Options vested and exercisable as of December 31, 2025</w:t>
            </w: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7,459,442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7"/>
              <w:spacing w:after="0"/>
              <w:rPr>
                <w:sz w:val="20"/>
                <w:szCs w:val="20"/>
                <w:color w:val="auto"/>
              </w:rPr>
            </w:pPr>
            <w:r>
              <w:rPr>
                <w:rFonts w:ascii="Arial" w:cs="Arial" w:eastAsia="Arial" w:hAnsi="Arial"/>
                <w:sz w:val="18"/>
                <w:szCs w:val="18"/>
                <w:color w:val="auto"/>
              </w:rPr>
              <w:t>10.36</w:t>
            </w: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6.08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112,222</w:t>
            </w:r>
          </w:p>
        </w:tc>
      </w:tr>
      <w:tr>
        <w:trPr>
          <w:trHeight w:val="243"/>
        </w:trPr>
        <w:tc>
          <w:tcPr>
            <w:tcW w:w="5160" w:type="dxa"/>
            <w:vAlign w:val="bottom"/>
            <w:tcBorders>
              <w:bottom w:val="single" w:sz="8" w:color="auto"/>
            </w:tcBorders>
            <w:shd w:val="clear" w:color="auto" w:fill="CFF0FC"/>
          </w:tcPr>
          <w:p>
            <w:pPr>
              <w:spacing w:after="0" w:line="202" w:lineRule="exact"/>
              <w:rPr>
                <w:sz w:val="20"/>
                <w:szCs w:val="20"/>
                <w:color w:val="auto"/>
              </w:rPr>
            </w:pPr>
            <w:r>
              <w:rPr>
                <w:rFonts w:ascii="Arial" w:cs="Arial" w:eastAsia="Arial" w:hAnsi="Arial"/>
                <w:sz w:val="18"/>
                <w:szCs w:val="18"/>
                <w:color w:val="auto"/>
              </w:rPr>
              <w:t>Options expected to vest as of December 31, 2025</w:t>
            </w:r>
          </w:p>
        </w:tc>
        <w:tc>
          <w:tcPr>
            <w:tcW w:w="1480" w:type="dxa"/>
            <w:vAlign w:val="bottom"/>
            <w:tcBorders>
              <w:bottom w:val="single" w:sz="8" w:color="auto"/>
            </w:tcBorders>
            <w:shd w:val="clear" w:color="auto" w:fill="CFF0FC"/>
          </w:tcPr>
          <w:p>
            <w:pPr>
              <w:jc w:val="right"/>
              <w:ind w:right="74"/>
              <w:spacing w:after="0" w:line="202" w:lineRule="exact"/>
              <w:rPr>
                <w:sz w:val="20"/>
                <w:szCs w:val="20"/>
                <w:color w:val="auto"/>
              </w:rPr>
            </w:pPr>
            <w:r>
              <w:rPr>
                <w:rFonts w:ascii="Arial" w:cs="Arial" w:eastAsia="Arial" w:hAnsi="Arial"/>
                <w:sz w:val="18"/>
                <w:szCs w:val="18"/>
                <w:color w:val="auto"/>
              </w:rPr>
              <w:t>6,970,097</w:t>
            </w: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157"/>
              <w:spacing w:after="0" w:line="202" w:lineRule="exact"/>
              <w:rPr>
                <w:sz w:val="20"/>
                <w:szCs w:val="20"/>
                <w:color w:val="auto"/>
              </w:rPr>
            </w:pPr>
            <w:r>
              <w:rPr>
                <w:rFonts w:ascii="Arial" w:cs="Arial" w:eastAsia="Arial" w:hAnsi="Arial"/>
                <w:sz w:val="18"/>
                <w:szCs w:val="18"/>
                <w:color w:val="auto"/>
              </w:rPr>
              <w:t>7.32</w:t>
            </w:r>
          </w:p>
        </w:tc>
        <w:tc>
          <w:tcPr>
            <w:tcW w:w="140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8.82</w:t>
            </w:r>
          </w:p>
        </w:tc>
        <w:tc>
          <w:tcPr>
            <w:tcW w:w="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123,438</w:t>
            </w:r>
          </w:p>
        </w:tc>
      </w:tr>
    </w:tbl>
    <w:p>
      <w:pPr>
        <w:spacing w:after="0" w:line="234"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4"/>
          <w:szCs w:val="14"/>
          <w:color w:val="231F20"/>
        </w:rPr>
      </w:pPr>
      <w:r>
        <w:rPr>
          <w:rFonts w:ascii="Arial" w:cs="Arial" w:eastAsia="Arial" w:hAnsi="Arial"/>
          <w:sz w:val="14"/>
          <w:szCs w:val="14"/>
          <w:color w:val="231F20"/>
        </w:rPr>
        <w:t>Exercised amount includes shares returned for taxes withheld for exercise and net transactions.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weighted-average grant-date fair value per share of options granted during the years ended December 31, 2025 and 2024 was $3.56 and $10.40, respectively. For the years ended December 31, 2025 and 2024, there were 2,519,878 and 2,213,715 shares vested, respectively. The weighted-average grant-date fair value per share of options vested during the years ended December 31, 2025 and 2024 was $7.93 and $6.58, respectively. The total fair value of options vested during the years ended December 31, 2025 and 2024 was $20.0 million and $14.6 million, respectively. The aggregate intrinsic value of options exercised during the years ended December 31, 2025 and 2024 was $24.2 million and $3.3 million, respectively.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December 31, 2025, the total unrecognized compensation expense related to unvested options was $32.1 million, which the Company expects to recognize over an estimated weighted average period of 2.58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Restricted stock awards ("RSAs") granted under the 2014 Plan were fully vested as of December 31, 2024. The total grant-date fair value of RSAs that vested during 2024 was $0.2 million, which was recognized as stock-based compensation expense during that period. As of December 31, 2024, there was no unrecognized compensation expense related to RSAs.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Restricted Stock Unit Awards</w:t>
      </w:r>
    </w:p>
    <w:p>
      <w:pPr>
        <w:spacing w:after="0" w:line="2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November 2022, the Company granted to certain employees 710,000 shares of performance-based restricted stock unit awards (the "PSUs") under the 2020 Plan as consideration for services subject to performance conditions with grant-date fair value measured using the closing price of the Company's common stock. Vesting of the awards was contingent upon certification by the Compensation Committee of the achievement of defined performance goals.</w:t>
      </w:r>
    </w:p>
    <w:p>
      <w:pPr>
        <w:spacing w:after="0" w:line="17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Under the original terms, 35% and 65% of the PSUs were eligible to vest upon achievement of performance goals by June 30, 2024. The performance condition for the 35% tranche was achieved and certified in 2023, and the related stock-based compensation expense of $0.7 million was recognized in that period. In June 2024, the Compensation Committee extended the performance period for the remaining 65% tranche to December 31, 2024. The performance goal for this tranche was achieved and certified as of December 31, 2024, resulting in $1.4 million of stock-based compensation expense recognized in 2024. All PSUs were fully vested as of December 31, 2024.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Employee Stock Purchase Plan</w:t>
      </w:r>
    </w:p>
    <w:p>
      <w:pPr>
        <w:spacing w:after="0" w:line="2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Board in the offering. A total of 430,416 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 shares of common stock, or (iii) a lesser number of shares determined by the Board no later than December 31 of the preceding calendar year.</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$0.5 million and $0.6 million for the years ended December 31, 2025 and 2024,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Stock-based compensation expense related to awards granted under the 2014 Plan, the 2020 Plan, the ESPP and the 2022 Inducement Plan was classified in the consolidated statements of operations and comprehensive loss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Borders>
              <w:top w:val="single" w:sz="8" w:color="auto"/>
            </w:tcBorders>
          </w:tcPr>
          <w:p>
            <w:pPr>
              <w:spacing w:after="0"/>
              <w:rPr>
                <w:sz w:val="15"/>
                <w:szCs w:val="15"/>
                <w:color w:val="auto"/>
              </w:rPr>
            </w:pPr>
          </w:p>
        </w:tc>
        <w:tc>
          <w:tcPr>
            <w:tcW w:w="2960" w:type="dxa"/>
            <w:vAlign w:val="bottom"/>
            <w:tcBorders>
              <w:top w:val="single" w:sz="8" w:color="auto"/>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top w:val="single" w:sz="8" w:color="auto"/>
              <w:bottom w:val="single" w:sz="8" w:color="auto"/>
            </w:tcBorders>
          </w:tcPr>
          <w:p>
            <w:pPr>
              <w:spacing w:after="0"/>
              <w:rPr>
                <w:sz w:val="15"/>
                <w:szCs w:val="15"/>
                <w:color w:val="auto"/>
              </w:rPr>
            </w:pPr>
          </w:p>
        </w:tc>
      </w:tr>
      <w:tr>
        <w:trPr>
          <w:trHeight w:val="155"/>
        </w:trPr>
        <w:tc>
          <w:tcPr>
            <w:tcW w:w="756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r>
      <w:tr>
        <w:trPr>
          <w:trHeight w:val="196"/>
        </w:trPr>
        <w:tc>
          <w:tcPr>
            <w:tcW w:w="75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12,164</w:t>
            </w:r>
          </w:p>
        </w:tc>
        <w:tc>
          <w:tcPr>
            <w:tcW w:w="1180" w:type="dxa"/>
            <w:vAlign w:val="bottom"/>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16,543</w:t>
            </w: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231F20"/>
            </w:tcBorders>
          </w:tcPr>
          <w:p>
            <w:pPr>
              <w:spacing w:after="0"/>
              <w:rPr>
                <w:sz w:val="17"/>
                <w:szCs w:val="17"/>
                <w:color w:val="auto"/>
              </w:rPr>
            </w:pPr>
          </w:p>
        </w:tc>
        <w:tc>
          <w:tcPr>
            <w:tcW w:w="780" w:type="dxa"/>
            <w:vAlign w:val="bottom"/>
            <w:tcBorders>
              <w:bottom w:val="single" w:sz="8" w:color="231F20"/>
            </w:tcBorders>
          </w:tcPr>
          <w:p>
            <w:pPr>
              <w:jc w:val="right"/>
              <w:ind w:right="110"/>
              <w:spacing w:after="0" w:line="202" w:lineRule="exact"/>
              <w:rPr>
                <w:sz w:val="20"/>
                <w:szCs w:val="20"/>
                <w:color w:val="auto"/>
              </w:rPr>
            </w:pPr>
            <w:r>
              <w:rPr>
                <w:rFonts w:ascii="Arial" w:cs="Arial" w:eastAsia="Arial" w:hAnsi="Arial"/>
                <w:sz w:val="18"/>
                <w:szCs w:val="18"/>
                <w:color w:val="auto"/>
              </w:rPr>
              <w:t>5,422</w:t>
            </w:r>
          </w:p>
        </w:tc>
        <w:tc>
          <w:tcPr>
            <w:tcW w:w="1180" w:type="dxa"/>
            <w:vAlign w:val="bottom"/>
            <w:tcBorders>
              <w:bottom w:val="single" w:sz="8" w:color="231F20"/>
            </w:tcBorders>
          </w:tcPr>
          <w:p>
            <w:pPr>
              <w:spacing w:after="0"/>
              <w:rPr>
                <w:sz w:val="17"/>
                <w:szCs w:val="17"/>
                <w:color w:val="auto"/>
              </w:rPr>
            </w:pPr>
          </w:p>
        </w:tc>
        <w:tc>
          <w:tcPr>
            <w:tcW w:w="720" w:type="dxa"/>
            <w:vAlign w:val="bottom"/>
            <w:tcBorders>
              <w:bottom w:val="single" w:sz="8" w:color="231F20"/>
            </w:tcBorders>
          </w:tcPr>
          <w:p>
            <w:pPr>
              <w:jc w:val="right"/>
              <w:ind w:right="30"/>
              <w:spacing w:after="0" w:line="202" w:lineRule="exact"/>
              <w:rPr>
                <w:sz w:val="20"/>
                <w:szCs w:val="20"/>
                <w:color w:val="auto"/>
              </w:rPr>
            </w:pPr>
            <w:r>
              <w:rPr>
                <w:rFonts w:ascii="Arial" w:cs="Arial" w:eastAsia="Arial" w:hAnsi="Arial"/>
                <w:sz w:val="18"/>
                <w:szCs w:val="18"/>
                <w:color w:val="auto"/>
              </w:rPr>
              <w:t>6,039</w:t>
            </w:r>
          </w:p>
        </w:tc>
      </w:tr>
      <w:tr>
        <w:trPr>
          <w:trHeight w:val="236"/>
        </w:trPr>
        <w:tc>
          <w:tcPr>
            <w:tcW w:w="75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739"/>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17,586</w:t>
            </w:r>
          </w:p>
        </w:tc>
        <w:tc>
          <w:tcPr>
            <w:tcW w:w="1180" w:type="dxa"/>
            <w:vAlign w:val="bottom"/>
            <w:tcBorders>
              <w:bottom w:val="single" w:sz="8" w:color="auto"/>
            </w:tcBorders>
            <w:shd w:val="clear" w:color="auto" w:fill="CFF0FC"/>
          </w:tcPr>
          <w:p>
            <w:pPr>
              <w:jc w:val="right"/>
              <w:ind w:right="796"/>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22,582</w:t>
            </w:r>
          </w:p>
        </w:tc>
      </w:tr>
    </w:tbl>
    <w:p>
      <w:pPr>
        <w:spacing w:after="0" w:line="200" w:lineRule="exact"/>
        <w:rPr>
          <w:sz w:val="20"/>
          <w:szCs w:val="20"/>
          <w:color w:val="auto"/>
        </w:rPr>
      </w:pPr>
    </w:p>
    <w:p>
      <w:pPr>
        <w:spacing w:after="0" w:line="240"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incorporated in the United States and operates a wholly owned subsidiary in Australia and is subject to both U.S. and Australia tax laws and rates. A portion of the Company's loss before taxes and the provision for income taxes is generated from the Company's Australian operation.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taxes for the years ended December 31, 2025 and 2024 is summarized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Years Ended December 31,</w:t>
            </w:r>
          </w:p>
        </w:tc>
        <w:tc>
          <w:tcPr>
            <w:tcW w:w="1040" w:type="dxa"/>
            <w:vAlign w:val="bottom"/>
            <w:tcBorders>
              <w:bottom w:val="single" w:sz="8" w:color="auto"/>
            </w:tcBorders>
          </w:tcPr>
          <w:p>
            <w:pPr>
              <w:spacing w:after="0"/>
              <w:rPr>
                <w:sz w:val="14"/>
                <w:szCs w:val="14"/>
                <w:color w:val="auto"/>
              </w:rPr>
            </w:pPr>
          </w:p>
        </w:tc>
      </w:tr>
      <w:tr>
        <w:trPr>
          <w:trHeight w:val="183"/>
        </w:trPr>
        <w:tc>
          <w:tcPr>
            <w:tcW w:w="39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5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196"/>
        </w:trPr>
        <w:tc>
          <w:tcPr>
            <w:tcW w:w="3960" w:type="dxa"/>
            <w:vAlign w:val="bottom"/>
            <w:shd w:val="clear" w:color="auto" w:fill="BEE7FE"/>
          </w:tcPr>
          <w:p>
            <w:pPr>
              <w:spacing w:after="0" w:line="196" w:lineRule="exact"/>
              <w:rPr>
                <w:sz w:val="20"/>
                <w:szCs w:val="20"/>
                <w:color w:val="auto"/>
              </w:rPr>
            </w:pPr>
            <w:r>
              <w:rPr>
                <w:rFonts w:ascii="Arial" w:cs="Arial" w:eastAsia="Arial" w:hAnsi="Arial"/>
                <w:sz w:val="18"/>
                <w:szCs w:val="18"/>
                <w:color w:val="auto"/>
              </w:rPr>
              <w:t>Domestic</w:t>
            </w:r>
          </w:p>
        </w:tc>
        <w:tc>
          <w:tcPr>
            <w:tcW w:w="3740" w:type="dxa"/>
            <w:vAlign w:val="bottom"/>
            <w:gridSpan w:val="2"/>
            <w:shd w:val="clear" w:color="auto" w:fill="BEE7FE"/>
          </w:tcPr>
          <w:p>
            <w:pPr>
              <w:jc w:val="right"/>
              <w:ind w:right="340"/>
              <w:spacing w:after="0" w:line="196" w:lineRule="exact"/>
              <w:rPr>
                <w:sz w:val="20"/>
                <w:szCs w:val="20"/>
                <w:color w:val="auto"/>
              </w:rPr>
            </w:pPr>
            <w:r>
              <w:rPr>
                <w:rFonts w:ascii="Arial" w:cs="Arial" w:eastAsia="Arial" w:hAnsi="Arial"/>
                <w:sz w:val="18"/>
                <w:szCs w:val="18"/>
                <w:color w:val="auto"/>
              </w:rPr>
              <w:t>$</w:t>
            </w:r>
          </w:p>
        </w:tc>
        <w:tc>
          <w:tcPr>
            <w:tcW w:w="1280" w:type="dxa"/>
            <w:vAlign w:val="bottom"/>
            <w:shd w:val="clear" w:color="auto" w:fill="BEE7FE"/>
          </w:tcPr>
          <w:p>
            <w:pPr>
              <w:jc w:val="right"/>
              <w:spacing w:after="0" w:line="196" w:lineRule="exact"/>
              <w:rPr>
                <w:sz w:val="20"/>
                <w:szCs w:val="20"/>
                <w:color w:val="auto"/>
              </w:rPr>
            </w:pPr>
            <w:r>
              <w:rPr>
                <w:rFonts w:ascii="Arial" w:cs="Arial" w:eastAsia="Arial" w:hAnsi="Arial"/>
                <w:sz w:val="18"/>
                <w:szCs w:val="18"/>
                <w:color w:val="auto"/>
              </w:rPr>
              <w:t>(164,215)</w:t>
            </w:r>
          </w:p>
        </w:tc>
        <w:tc>
          <w:tcPr>
            <w:tcW w:w="1220" w:type="dxa"/>
            <w:vAlign w:val="bottom"/>
            <w:gridSpan w:val="2"/>
            <w:shd w:val="clear" w:color="auto" w:fill="BEE7FE"/>
          </w:tcPr>
          <w:p>
            <w:pPr>
              <w:jc w:val="right"/>
              <w:ind w:right="54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BEE7FE"/>
          </w:tcPr>
          <w:p>
            <w:pPr>
              <w:jc w:val="right"/>
              <w:spacing w:after="0" w:line="196" w:lineRule="exact"/>
              <w:rPr>
                <w:sz w:val="20"/>
                <w:szCs w:val="20"/>
                <w:color w:val="auto"/>
              </w:rPr>
            </w:pPr>
            <w:r>
              <w:rPr>
                <w:rFonts w:ascii="Arial" w:cs="Arial" w:eastAsia="Arial" w:hAnsi="Arial"/>
                <w:sz w:val="18"/>
                <w:szCs w:val="18"/>
                <w:color w:val="auto"/>
              </w:rPr>
              <w:t>(132,285)</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3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1,767</w:t>
            </w:r>
          </w:p>
        </w:tc>
        <w:tc>
          <w:tcPr>
            <w:tcW w:w="5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2,811</w:t>
            </w:r>
          </w:p>
        </w:tc>
      </w:tr>
      <w:tr>
        <w:trPr>
          <w:trHeight w:val="236"/>
        </w:trPr>
        <w:tc>
          <w:tcPr>
            <w:tcW w:w="3960" w:type="dxa"/>
            <w:vAlign w:val="bottom"/>
            <w:shd w:val="clear" w:color="auto" w:fill="BEE7FE"/>
          </w:tcPr>
          <w:p>
            <w:pPr>
              <w:spacing w:after="0" w:line="182" w:lineRule="exact"/>
              <w:rPr>
                <w:sz w:val="20"/>
                <w:szCs w:val="20"/>
                <w:color w:val="auto"/>
              </w:rPr>
            </w:pPr>
            <w:r>
              <w:rPr>
                <w:rFonts w:ascii="Arial" w:cs="Arial" w:eastAsia="Arial" w:hAnsi="Arial"/>
                <w:sz w:val="18"/>
                <w:szCs w:val="18"/>
                <w:color w:val="auto"/>
              </w:rPr>
              <w:t>Total loss before income taxes</w:t>
            </w:r>
          </w:p>
        </w:tc>
        <w:tc>
          <w:tcPr>
            <w:tcW w:w="3740" w:type="dxa"/>
            <w:vAlign w:val="bottom"/>
            <w:gridSpan w:val="2"/>
            <w:shd w:val="clear" w:color="auto" w:fill="BEE7FE"/>
          </w:tcPr>
          <w:p>
            <w:pPr>
              <w:jc w:val="right"/>
              <w:ind w:right="340"/>
              <w:spacing w:after="0" w:line="182" w:lineRule="exact"/>
              <w:rPr>
                <w:sz w:val="20"/>
                <w:szCs w:val="20"/>
                <w:color w:val="auto"/>
              </w:rPr>
            </w:pPr>
            <w:r>
              <w:rPr>
                <w:rFonts w:ascii="Arial" w:cs="Arial" w:eastAsia="Arial" w:hAnsi="Arial"/>
                <w:sz w:val="18"/>
                <w:szCs w:val="18"/>
                <w:color w:val="auto"/>
              </w:rPr>
              <w:t>$</w:t>
            </w:r>
          </w:p>
        </w:tc>
        <w:tc>
          <w:tcPr>
            <w:tcW w:w="1280" w:type="dxa"/>
            <w:vAlign w:val="bottom"/>
            <w:shd w:val="clear" w:color="auto" w:fill="BEE7FE"/>
          </w:tcPr>
          <w:p>
            <w:pPr>
              <w:jc w:val="right"/>
              <w:spacing w:after="0" w:line="182" w:lineRule="exact"/>
              <w:rPr>
                <w:sz w:val="20"/>
                <w:szCs w:val="20"/>
                <w:color w:val="auto"/>
              </w:rPr>
            </w:pPr>
            <w:r>
              <w:rPr>
                <w:rFonts w:ascii="Arial" w:cs="Arial" w:eastAsia="Arial" w:hAnsi="Arial"/>
                <w:sz w:val="18"/>
                <w:szCs w:val="18"/>
                <w:color w:val="auto"/>
              </w:rPr>
              <w:t>(162,448)</w:t>
            </w:r>
          </w:p>
        </w:tc>
        <w:tc>
          <w:tcPr>
            <w:tcW w:w="1220" w:type="dxa"/>
            <w:vAlign w:val="bottom"/>
            <w:gridSpan w:val="2"/>
            <w:shd w:val="clear" w:color="auto" w:fill="BEE7FE"/>
          </w:tcPr>
          <w:p>
            <w:pPr>
              <w:jc w:val="right"/>
              <w:ind w:right="540"/>
              <w:spacing w:after="0" w:line="182" w:lineRule="exact"/>
              <w:rPr>
                <w:sz w:val="20"/>
                <w:szCs w:val="20"/>
                <w:color w:val="auto"/>
              </w:rPr>
            </w:pPr>
            <w:r>
              <w:rPr>
                <w:rFonts w:ascii="Arial" w:cs="Arial" w:eastAsia="Arial" w:hAnsi="Arial"/>
                <w:sz w:val="18"/>
                <w:szCs w:val="18"/>
                <w:color w:val="auto"/>
              </w:rPr>
              <w:t>$</w:t>
            </w:r>
          </w:p>
        </w:tc>
        <w:tc>
          <w:tcPr>
            <w:tcW w:w="1040" w:type="dxa"/>
            <w:vAlign w:val="bottom"/>
            <w:shd w:val="clear" w:color="auto" w:fill="BEE7FE"/>
          </w:tcPr>
          <w:p>
            <w:pPr>
              <w:jc w:val="right"/>
              <w:spacing w:after="0" w:line="182" w:lineRule="exact"/>
              <w:rPr>
                <w:sz w:val="20"/>
                <w:szCs w:val="20"/>
                <w:color w:val="auto"/>
              </w:rPr>
            </w:pPr>
            <w:r>
              <w:rPr>
                <w:rFonts w:ascii="Arial" w:cs="Arial" w:eastAsia="Arial" w:hAnsi="Arial"/>
                <w:sz w:val="18"/>
                <w:szCs w:val="18"/>
                <w:color w:val="auto"/>
              </w:rPr>
              <w:t>(129,474)</w:t>
            </w:r>
          </w:p>
        </w:tc>
      </w:tr>
      <w:tr>
        <w:trPr>
          <w:trHeight w:val="848"/>
        </w:trPr>
        <w:tc>
          <w:tcPr>
            <w:tcW w:w="3960" w:type="dxa"/>
            <w:vAlign w:val="bottom"/>
            <w:tcBorders>
              <w:top w:val="single" w:sz="8" w:color="BEE7FE"/>
            </w:tcBorders>
          </w:tcPr>
          <w:p>
            <w:pPr>
              <w:spacing w:after="0"/>
              <w:rPr>
                <w:sz w:val="24"/>
                <w:szCs w:val="24"/>
                <w:color w:val="auto"/>
              </w:rPr>
            </w:pPr>
          </w:p>
        </w:tc>
        <w:tc>
          <w:tcPr>
            <w:tcW w:w="3300" w:type="dxa"/>
            <w:vAlign w:val="bottom"/>
            <w:tcBorders>
              <w:top w:val="single" w:sz="8" w:color="BEE7FE"/>
            </w:tcBorders>
          </w:tcPr>
          <w:p>
            <w:pPr>
              <w:jc w:val="right"/>
              <w:ind w:right="1390"/>
              <w:spacing w:after="0"/>
              <w:rPr>
                <w:sz w:val="20"/>
                <w:szCs w:val="20"/>
                <w:color w:val="auto"/>
              </w:rPr>
            </w:pPr>
            <w:r>
              <w:rPr>
                <w:rFonts w:ascii="Arial" w:cs="Arial" w:eastAsia="Arial" w:hAnsi="Arial"/>
                <w:sz w:val="18"/>
                <w:szCs w:val="18"/>
                <w:color w:val="auto"/>
              </w:rPr>
              <w:t>166</w:t>
            </w:r>
          </w:p>
        </w:tc>
        <w:tc>
          <w:tcPr>
            <w:tcW w:w="4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745"/>
        </w:trPr>
        <w:tc>
          <w:tcPr>
            <w:tcW w:w="396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is a reconciliation of the U.S. federal statutory income tax rate of 21% to the Company's effective income tax rate for the year ended December 31, 2025 in accordance with ASU 2023-09 (in thousands, except for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Year Ended December 31, 2025</w:t>
            </w:r>
          </w:p>
        </w:tc>
        <w:tc>
          <w:tcPr>
            <w:tcW w:w="700" w:type="dxa"/>
            <w:vAlign w:val="bottom"/>
            <w:tcBorders>
              <w:bottom w:val="single" w:sz="8" w:color="auto"/>
            </w:tcBorders>
          </w:tcPr>
          <w:p>
            <w:pPr>
              <w:spacing w:after="0"/>
              <w:rPr>
                <w:sz w:val="14"/>
                <w:szCs w:val="14"/>
                <w:color w:val="auto"/>
              </w:rPr>
            </w:pPr>
          </w:p>
        </w:tc>
      </w:tr>
      <w:tr>
        <w:trPr>
          <w:trHeight w:val="196"/>
        </w:trPr>
        <w:tc>
          <w:tcPr>
            <w:tcW w:w="768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U.S. federal statutory tax rate</w:t>
            </w:r>
          </w:p>
        </w:tc>
        <w:tc>
          <w:tcPr>
            <w:tcW w:w="44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right"/>
              <w:ind w:right="751"/>
              <w:spacing w:after="0" w:line="196" w:lineRule="exact"/>
              <w:rPr>
                <w:sz w:val="20"/>
                <w:szCs w:val="20"/>
                <w:color w:val="auto"/>
              </w:rPr>
            </w:pPr>
            <w:r>
              <w:rPr>
                <w:rFonts w:ascii="Arial" w:cs="Arial" w:eastAsia="Arial" w:hAnsi="Arial"/>
                <w:sz w:val="18"/>
                <w:szCs w:val="18"/>
                <w:color w:val="auto"/>
              </w:rPr>
              <w:t>34,114</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7"/>
                <w:szCs w:val="17"/>
                <w:color w:val="auto"/>
              </w:rPr>
              <w:t>State and local income taxes, net of federal income tax effect</w:t>
            </w:r>
            <w:r>
              <w:rPr>
                <w:rFonts w:ascii="Arial" w:cs="Arial" w:eastAsia="Arial" w:hAnsi="Arial"/>
                <w:sz w:val="23"/>
                <w:szCs w:val="23"/>
                <w:color w:val="auto"/>
                <w:vertAlign w:val="superscript"/>
              </w:rPr>
              <w:t>(a)</w:t>
            </w:r>
          </w:p>
        </w:tc>
        <w:tc>
          <w:tcPr>
            <w:tcW w:w="440" w:type="dxa"/>
            <w:vAlign w:val="bottom"/>
          </w:tcPr>
          <w:p>
            <w:pPr>
              <w:spacing w:after="0"/>
              <w:rPr>
                <w:sz w:val="17"/>
                <w:szCs w:val="17"/>
                <w:color w:val="auto"/>
              </w:rPr>
            </w:pPr>
          </w:p>
        </w:tc>
        <w:tc>
          <w:tcPr>
            <w:tcW w:w="242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0.0%</w:t>
            </w:r>
          </w:p>
        </w:tc>
      </w:tr>
      <w:tr>
        <w:trPr>
          <w:trHeight w:val="203"/>
        </w:trPr>
        <w:tc>
          <w:tcPr>
            <w:tcW w:w="76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Foreign tax effects:</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Australia</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Statutory tax rate difference between Australia and United States</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671"/>
              <w:spacing w:after="0" w:line="202" w:lineRule="exact"/>
              <w:rPr>
                <w:sz w:val="20"/>
                <w:szCs w:val="20"/>
                <w:color w:val="auto"/>
              </w:rPr>
            </w:pPr>
            <w:r>
              <w:rPr>
                <w:rFonts w:ascii="Arial" w:cs="Arial" w:eastAsia="Arial" w:hAnsi="Arial"/>
                <w:sz w:val="18"/>
                <w:szCs w:val="18"/>
                <w:color w:val="auto"/>
              </w:rPr>
              <w:t>(71)</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7"/>
                <w:szCs w:val="17"/>
                <w:color w:val="auto"/>
              </w:rPr>
            </w:pPr>
          </w:p>
        </w:tc>
        <w:tc>
          <w:tcPr>
            <w:tcW w:w="242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(3,026)</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w:t>
            </w: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751"/>
              <w:spacing w:after="0" w:line="202" w:lineRule="exact"/>
              <w:rPr>
                <w:sz w:val="20"/>
                <w:szCs w:val="20"/>
                <w:color w:val="auto"/>
              </w:rPr>
            </w:pPr>
            <w:r>
              <w:rPr>
                <w:rFonts w:ascii="Arial" w:cs="Arial" w:eastAsia="Arial" w:hAnsi="Arial"/>
                <w:sz w:val="18"/>
                <w:szCs w:val="18"/>
                <w:color w:val="auto"/>
              </w:rPr>
              <w:t>5,256</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Changes in valuation allowance</w:t>
            </w:r>
          </w:p>
        </w:tc>
        <w:tc>
          <w:tcPr>
            <w:tcW w:w="440" w:type="dxa"/>
            <w:vAlign w:val="bottom"/>
          </w:tcPr>
          <w:p>
            <w:pPr>
              <w:spacing w:after="0"/>
              <w:rPr>
                <w:sz w:val="17"/>
                <w:szCs w:val="17"/>
                <w:color w:val="auto"/>
              </w:rPr>
            </w:pPr>
          </w:p>
        </w:tc>
        <w:tc>
          <w:tcPr>
            <w:tcW w:w="242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(1,853)</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751"/>
              <w:spacing w:after="0" w:line="202" w:lineRule="exact"/>
              <w:rPr>
                <w:sz w:val="20"/>
                <w:szCs w:val="20"/>
                <w:color w:val="auto"/>
              </w:rPr>
            </w:pPr>
            <w:r>
              <w:rPr>
                <w:rFonts w:ascii="Arial" w:cs="Arial" w:eastAsia="Arial" w:hAnsi="Arial"/>
                <w:sz w:val="18"/>
                <w:szCs w:val="18"/>
                <w:color w:val="auto"/>
              </w:rPr>
              <w:t>65</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w:t>
            </w:r>
          </w:p>
        </w:tc>
      </w:tr>
      <w:tr>
        <w:trPr>
          <w:trHeight w:val="203"/>
        </w:trPr>
        <w:tc>
          <w:tcPr>
            <w:tcW w:w="7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Ireland</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Aquired intangible</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671"/>
              <w:spacing w:after="0" w:line="202" w:lineRule="exact"/>
              <w:rPr>
                <w:sz w:val="20"/>
                <w:szCs w:val="20"/>
                <w:color w:val="auto"/>
              </w:rPr>
            </w:pPr>
            <w:r>
              <w:rPr>
                <w:rFonts w:ascii="Arial" w:cs="Arial" w:eastAsia="Arial" w:hAnsi="Arial"/>
                <w:sz w:val="18"/>
                <w:szCs w:val="18"/>
                <w:color w:val="auto"/>
              </w:rPr>
              <w:t>(8,438)</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Changes in valuation allowance</w:t>
            </w:r>
          </w:p>
        </w:tc>
        <w:tc>
          <w:tcPr>
            <w:tcW w:w="440" w:type="dxa"/>
            <w:vAlign w:val="bottom"/>
          </w:tcPr>
          <w:p>
            <w:pPr>
              <w:spacing w:after="0"/>
              <w:rPr>
                <w:sz w:val="17"/>
                <w:szCs w:val="17"/>
                <w:color w:val="auto"/>
              </w:rPr>
            </w:pPr>
          </w:p>
        </w:tc>
        <w:tc>
          <w:tcPr>
            <w:tcW w:w="2420" w:type="dxa"/>
            <w:vAlign w:val="bottom"/>
          </w:tcPr>
          <w:p>
            <w:pPr>
              <w:jc w:val="right"/>
              <w:ind w:right="751"/>
              <w:spacing w:after="0" w:line="202" w:lineRule="exact"/>
              <w:rPr>
                <w:sz w:val="20"/>
                <w:szCs w:val="20"/>
                <w:color w:val="auto"/>
              </w:rPr>
            </w:pPr>
            <w:r>
              <w:rPr>
                <w:rFonts w:ascii="Arial" w:cs="Arial" w:eastAsia="Arial" w:hAnsi="Arial"/>
                <w:sz w:val="18"/>
                <w:szCs w:val="18"/>
                <w:color w:val="auto"/>
              </w:rPr>
              <w:t>8,438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r>
      <w:tr>
        <w:trPr>
          <w:trHeight w:val="203"/>
        </w:trPr>
        <w:tc>
          <w:tcPr>
            <w:tcW w:w="76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Effect of cross-border tax laws:</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r>
      <w:tr>
        <w:trPr>
          <w:trHeight w:val="203"/>
        </w:trPr>
        <w:tc>
          <w:tcPr>
            <w:tcW w:w="7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Global intangible low-taxes income</w:t>
            </w:r>
          </w:p>
        </w:tc>
        <w:tc>
          <w:tcPr>
            <w:tcW w:w="440" w:type="dxa"/>
            <w:vAlign w:val="bottom"/>
          </w:tcPr>
          <w:p>
            <w:pPr>
              <w:spacing w:after="0"/>
              <w:rPr>
                <w:sz w:val="17"/>
                <w:szCs w:val="17"/>
                <w:color w:val="auto"/>
              </w:rPr>
            </w:pPr>
          </w:p>
        </w:tc>
        <w:tc>
          <w:tcPr>
            <w:tcW w:w="242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(258)</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r>
      <w:tr>
        <w:trPr>
          <w:trHeight w:val="203"/>
        </w:trPr>
        <w:tc>
          <w:tcPr>
            <w:tcW w:w="768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671"/>
              <w:spacing w:after="0" w:line="202" w:lineRule="exact"/>
              <w:rPr>
                <w:sz w:val="20"/>
                <w:szCs w:val="20"/>
                <w:color w:val="auto"/>
              </w:rPr>
            </w:pPr>
            <w:r>
              <w:rPr>
                <w:rFonts w:ascii="Arial" w:cs="Arial" w:eastAsia="Arial" w:hAnsi="Arial"/>
                <w:sz w:val="18"/>
                <w:szCs w:val="18"/>
                <w:color w:val="auto"/>
              </w:rPr>
              <w:t>(20,490)</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r>
      <w:tr>
        <w:trPr>
          <w:trHeight w:val="203"/>
        </w:trPr>
        <w:tc>
          <w:tcPr>
            <w:tcW w:w="7680" w:type="dxa"/>
            <w:vAlign w:val="bottom"/>
            <w:gridSpan w:val="2"/>
          </w:tcPr>
          <w:p>
            <w:pPr>
              <w:spacing w:after="0" w:line="202" w:lineRule="exact"/>
              <w:rPr>
                <w:sz w:val="20"/>
                <w:szCs w:val="20"/>
                <w:color w:val="auto"/>
              </w:rPr>
            </w:pPr>
            <w:r>
              <w:rPr>
                <w:rFonts w:ascii="Arial" w:cs="Arial" w:eastAsia="Arial" w:hAnsi="Arial"/>
                <w:sz w:val="18"/>
                <w:szCs w:val="18"/>
                <w:color w:val="auto"/>
              </w:rPr>
              <w:t>Nontaxable or nondeductible items:</w:t>
            </w:r>
          </w:p>
        </w:tc>
        <w:tc>
          <w:tcPr>
            <w:tcW w:w="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Gain from intellectual property transfer</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671"/>
              <w:spacing w:after="0" w:line="202" w:lineRule="exact"/>
              <w:rPr>
                <w:sz w:val="20"/>
                <w:szCs w:val="20"/>
                <w:color w:val="auto"/>
              </w:rPr>
            </w:pPr>
            <w:r>
              <w:rPr>
                <w:rFonts w:ascii="Arial" w:cs="Arial" w:eastAsia="Arial" w:hAnsi="Arial"/>
                <w:sz w:val="18"/>
                <w:szCs w:val="18"/>
                <w:color w:val="auto"/>
              </w:rPr>
              <w:t>(14,175)</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w:t>
            </w:r>
          </w:p>
        </w:tc>
      </w:tr>
      <w:tr>
        <w:trPr>
          <w:trHeight w:val="203"/>
        </w:trPr>
        <w:tc>
          <w:tcPr>
            <w:tcW w:w="7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Section 162M</w:t>
            </w:r>
          </w:p>
        </w:tc>
        <w:tc>
          <w:tcPr>
            <w:tcW w:w="440" w:type="dxa"/>
            <w:vAlign w:val="bottom"/>
          </w:tcPr>
          <w:p>
            <w:pPr>
              <w:spacing w:after="0"/>
              <w:rPr>
                <w:sz w:val="17"/>
                <w:szCs w:val="17"/>
                <w:color w:val="auto"/>
              </w:rPr>
            </w:pPr>
          </w:p>
        </w:tc>
        <w:tc>
          <w:tcPr>
            <w:tcW w:w="2420" w:type="dxa"/>
            <w:vAlign w:val="bottom"/>
          </w:tcPr>
          <w:p>
            <w:pPr>
              <w:jc w:val="right"/>
              <w:ind w:right="671"/>
              <w:spacing w:after="0" w:line="202" w:lineRule="exact"/>
              <w:rPr>
                <w:sz w:val="20"/>
                <w:szCs w:val="20"/>
                <w:color w:val="auto"/>
              </w:rPr>
            </w:pPr>
            <w:r>
              <w:rPr>
                <w:rFonts w:ascii="Arial" w:cs="Arial" w:eastAsia="Arial" w:hAnsi="Arial"/>
                <w:sz w:val="18"/>
                <w:szCs w:val="18"/>
                <w:color w:val="auto"/>
              </w:rPr>
              <w:t>(455)</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7680" w:type="dxa"/>
            <w:vAlign w:val="bottom"/>
            <w:gridSpan w:val="2"/>
            <w:shd w:val="clear" w:color="auto" w:fill="CFF0FC"/>
          </w:tcPr>
          <w:p>
            <w:pPr>
              <w:ind w:left="100"/>
              <w:spacing w:after="0" w:line="202" w:lineRule="exact"/>
              <w:rPr>
                <w:sz w:val="20"/>
                <w:szCs w:val="20"/>
                <w:color w:val="auto"/>
              </w:rPr>
            </w:pPr>
            <w:r>
              <w:rPr>
                <w:rFonts w:ascii="Arial" w:cs="Arial" w:eastAsia="Arial" w:hAnsi="Arial"/>
                <w:sz w:val="18"/>
                <w:szCs w:val="18"/>
                <w:color w:val="auto"/>
              </w:rPr>
              <w:t>Share-based payment awards</w:t>
            </w:r>
          </w:p>
        </w:tc>
        <w:tc>
          <w:tcPr>
            <w:tcW w:w="440" w:type="dxa"/>
            <w:vAlign w:val="bottom"/>
            <w:shd w:val="clear" w:color="auto" w:fill="CFF0FC"/>
          </w:tcPr>
          <w:p>
            <w:pPr>
              <w:spacing w:after="0"/>
              <w:rPr>
                <w:sz w:val="17"/>
                <w:szCs w:val="17"/>
                <w:color w:val="auto"/>
              </w:rPr>
            </w:pPr>
          </w:p>
        </w:tc>
        <w:tc>
          <w:tcPr>
            <w:tcW w:w="2420" w:type="dxa"/>
            <w:vAlign w:val="bottom"/>
            <w:shd w:val="clear" w:color="auto" w:fill="CFF0FC"/>
          </w:tcPr>
          <w:p>
            <w:pPr>
              <w:jc w:val="right"/>
              <w:ind w:right="751"/>
              <w:spacing w:after="0" w:line="202" w:lineRule="exact"/>
              <w:rPr>
                <w:sz w:val="20"/>
                <w:szCs w:val="20"/>
                <w:color w:val="auto"/>
              </w:rPr>
            </w:pPr>
            <w:r>
              <w:rPr>
                <w:rFonts w:ascii="Arial" w:cs="Arial" w:eastAsia="Arial" w:hAnsi="Arial"/>
                <w:sz w:val="18"/>
                <w:szCs w:val="18"/>
                <w:color w:val="auto"/>
              </w:rPr>
              <w:t>884</w:t>
            </w: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76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jc w:val="right"/>
              <w:ind w:right="751"/>
              <w:spacing w:after="0" w:line="202" w:lineRule="exact"/>
              <w:rPr>
                <w:sz w:val="20"/>
                <w:szCs w:val="20"/>
                <w:color w:val="auto"/>
              </w:rPr>
            </w:pPr>
            <w:r>
              <w:rPr>
                <w:rFonts w:ascii="Arial" w:cs="Arial" w:eastAsia="Arial" w:hAnsi="Arial"/>
                <w:sz w:val="18"/>
                <w:szCs w:val="18"/>
                <w:color w:val="auto"/>
              </w:rPr>
              <w:t>9</w:t>
            </w: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w:t>
            </w:r>
          </w:p>
        </w:tc>
      </w:tr>
      <w:tr>
        <w:trPr>
          <w:trHeight w:val="236"/>
        </w:trPr>
        <w:tc>
          <w:tcPr>
            <w:tcW w:w="75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Income tax expense and effective income tax rate</w:t>
            </w:r>
          </w:p>
        </w:tc>
        <w:tc>
          <w:tcPr>
            <w:tcW w:w="10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2420" w:type="dxa"/>
            <w:vAlign w:val="bottom"/>
            <w:tcBorders>
              <w:bottom w:val="single" w:sz="8" w:color="auto"/>
            </w:tcBorders>
            <w:shd w:val="clear" w:color="auto" w:fill="CFF0FC"/>
          </w:tcPr>
          <w:p>
            <w:pPr>
              <w:jc w:val="right"/>
              <w:ind w:right="671"/>
              <w:spacing w:after="0" w:line="182" w:lineRule="exact"/>
              <w:rPr>
                <w:sz w:val="20"/>
                <w:szCs w:val="20"/>
                <w:color w:val="auto"/>
              </w:rPr>
            </w:pPr>
            <w:r>
              <w:rPr>
                <w:rFonts w:ascii="Arial" w:cs="Arial" w:eastAsia="Arial" w:hAnsi="Arial"/>
                <w:sz w:val="18"/>
                <w:szCs w:val="18"/>
                <w:color w:val="auto"/>
              </w:rPr>
              <w:t>(3)</w:t>
            </w:r>
          </w:p>
        </w:tc>
        <w:tc>
          <w:tcPr>
            <w:tcW w:w="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w:t>
            </w:r>
          </w:p>
        </w:tc>
      </w:tr>
    </w:tbl>
    <w:p>
      <w:pPr>
        <w:spacing w:after="0" w:line="162"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21"/>
          <w:szCs w:val="21"/>
          <w:color w:val="auto"/>
          <w:vertAlign w:val="superscript"/>
        </w:rPr>
      </w:pPr>
      <w:r>
        <w:rPr>
          <w:rFonts w:ascii="Arial" w:cs="Arial" w:eastAsia="Arial" w:hAnsi="Arial"/>
          <w:sz w:val="15"/>
          <w:szCs w:val="15"/>
          <w:color w:val="auto"/>
        </w:rPr>
        <w:t>State and local income taxes, net of federal income tax effect, reflect minimum state taxes and were not material to the effective tax rate for the period.</w:t>
      </w:r>
    </w:p>
    <w:p>
      <w:pPr>
        <w:spacing w:after="0" w:line="17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Income taxes paid during the period consisted solely of minimum state income taxes and were not material. No disaggregation of income taxes paid by jurisdiction has been provided.</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previously disclosed for the year ended December 31, 2024 prior to the adoption of ASU 2023-09, the following table is a reconciliation of the U.S. federal statutory income tax provision to the Company's effective income tax provision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00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90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932"/>
              <w:spacing w:after="0"/>
              <w:rPr>
                <w:sz w:val="20"/>
                <w:szCs w:val="20"/>
                <w:color w:val="auto"/>
              </w:rPr>
            </w:pPr>
            <w:r>
              <w:rPr>
                <w:rFonts w:ascii="Arial" w:cs="Arial" w:eastAsia="Arial" w:hAnsi="Arial"/>
                <w:sz w:val="14"/>
                <w:szCs w:val="14"/>
                <w:b w:val="1"/>
                <w:bCs w:val="1"/>
                <w:color w:val="auto"/>
              </w:rPr>
              <w:t>2024</w:t>
            </w:r>
          </w:p>
        </w:tc>
      </w:tr>
      <w:tr>
        <w:trPr>
          <w:trHeight w:val="196"/>
        </w:trPr>
        <w:tc>
          <w:tcPr>
            <w:tcW w:w="9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income tax</w:t>
            </w:r>
          </w:p>
        </w:tc>
        <w:tc>
          <w:tcPr>
            <w:tcW w:w="620" w:type="dxa"/>
            <w:vAlign w:val="bottom"/>
            <w:shd w:val="clear" w:color="auto" w:fill="CFF0FC"/>
          </w:tcPr>
          <w:p>
            <w:pPr>
              <w:jc w:val="right"/>
              <w:ind w:right="176"/>
              <w:spacing w:after="0" w:line="196" w:lineRule="exact"/>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27,309</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tax benefit</w:t>
            </w:r>
          </w:p>
        </w:tc>
        <w:tc>
          <w:tcPr>
            <w:tcW w:w="62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8,550</w:t>
            </w:r>
          </w:p>
        </w:tc>
      </w:tr>
      <w:tr>
        <w:trPr>
          <w:trHeight w:val="203"/>
        </w:trPr>
        <w:tc>
          <w:tcPr>
            <w:tcW w:w="9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Foreign research and development tax credit</w:t>
            </w:r>
          </w:p>
        </w:tc>
        <w:tc>
          <w:tcPr>
            <w:tcW w:w="6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2,210</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Permanent differences in non-tax-deductible executive compensation</w:t>
            </w:r>
          </w:p>
        </w:tc>
        <w:tc>
          <w:tcPr>
            <w:tcW w:w="6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(3,348)</w:t>
            </w:r>
          </w:p>
        </w:tc>
      </w:tr>
      <w:tr>
        <w:trPr>
          <w:trHeight w:val="203"/>
        </w:trPr>
        <w:tc>
          <w:tcPr>
            <w:tcW w:w="9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Permanent differences in foreign jurisdiction</w:t>
            </w:r>
          </w:p>
        </w:tc>
        <w:tc>
          <w:tcPr>
            <w:tcW w:w="6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(1,650)</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Permanent differences others</w:t>
            </w:r>
          </w:p>
        </w:tc>
        <w:tc>
          <w:tcPr>
            <w:tcW w:w="6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r>
      <w:tr>
        <w:trPr>
          <w:trHeight w:val="203"/>
        </w:trPr>
        <w:tc>
          <w:tcPr>
            <w:tcW w:w="9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deferred items</w:t>
            </w:r>
          </w:p>
        </w:tc>
        <w:tc>
          <w:tcPr>
            <w:tcW w:w="6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351</w:t>
            </w:r>
          </w:p>
        </w:tc>
      </w:tr>
      <w:tr>
        <w:trPr>
          <w:trHeight w:val="203"/>
        </w:trPr>
        <w:tc>
          <w:tcPr>
            <w:tcW w:w="9000" w:type="dxa"/>
            <w:vAlign w:val="bottom"/>
          </w:tcPr>
          <w:p>
            <w:pPr>
              <w:spacing w:after="0" w:line="202" w:lineRule="exact"/>
              <w:rPr>
                <w:sz w:val="20"/>
                <w:szCs w:val="20"/>
                <w:color w:val="auto"/>
              </w:rPr>
            </w:pPr>
            <w:r>
              <w:rPr>
                <w:rFonts w:ascii="Arial" w:cs="Arial" w:eastAsia="Arial" w:hAnsi="Arial"/>
                <w:sz w:val="18"/>
                <w:szCs w:val="18"/>
                <w:color w:val="auto"/>
              </w:rPr>
              <w:t>Rate changes</w:t>
            </w:r>
          </w:p>
        </w:tc>
        <w:tc>
          <w:tcPr>
            <w:tcW w:w="62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(90)</w:t>
            </w:r>
          </w:p>
        </w:tc>
      </w:tr>
      <w:tr>
        <w:trPr>
          <w:trHeight w:val="203"/>
        </w:trPr>
        <w:tc>
          <w:tcPr>
            <w:tcW w:w="90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Valuation allowance</w:t>
            </w:r>
          </w:p>
        </w:tc>
        <w:tc>
          <w:tcPr>
            <w:tcW w:w="62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(32,865)</w:t>
            </w:r>
          </w:p>
        </w:tc>
      </w:tr>
      <w:tr>
        <w:trPr>
          <w:trHeight w:val="196"/>
        </w:trPr>
        <w:tc>
          <w:tcPr>
            <w:tcW w:w="90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expense for income taxes</w:t>
            </w:r>
          </w:p>
        </w:tc>
        <w:tc>
          <w:tcPr>
            <w:tcW w:w="620" w:type="dxa"/>
            <w:vAlign w:val="bottom"/>
            <w:tcBorders>
              <w:bottom w:val="single" w:sz="8" w:color="auto"/>
            </w:tcBorders>
          </w:tcPr>
          <w:p>
            <w:pPr>
              <w:jc w:val="right"/>
              <w:ind w:right="176"/>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848"/>
        </w:trPr>
        <w:tc>
          <w:tcPr>
            <w:tcW w:w="9000" w:type="dxa"/>
            <w:vAlign w:val="bottom"/>
          </w:tcPr>
          <w:p>
            <w:pPr>
              <w:ind w:left="5480"/>
              <w:spacing w:after="0"/>
              <w:rPr>
                <w:sz w:val="20"/>
                <w:szCs w:val="20"/>
                <w:color w:val="auto"/>
              </w:rPr>
            </w:pPr>
            <w:r>
              <w:rPr>
                <w:rFonts w:ascii="Arial" w:cs="Arial" w:eastAsia="Arial" w:hAnsi="Arial"/>
                <w:sz w:val="18"/>
                <w:szCs w:val="18"/>
                <w:color w:val="auto"/>
              </w:rPr>
              <w:t>167</w:t>
            </w: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746"/>
        </w:trPr>
        <w:tc>
          <w:tcPr>
            <w:tcW w:w="9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Deferred income taxes reflect the net tax effects of loss and credit carryforwards and temporary differences between the carrying amounts of assets and liabilities for financial reporting purposes and the amounts used for income tax purposes. The Company’s deferred income tax assets and liabilities as of December 31, 2025 and 2024 were comprised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14"/>
                <w:szCs w:val="14"/>
                <w:color w:val="auto"/>
              </w:rPr>
            </w:pPr>
          </w:p>
        </w:tc>
      </w:tr>
      <w:tr>
        <w:trPr>
          <w:trHeight w:val="183"/>
        </w:trPr>
        <w:tc>
          <w:tcPr>
            <w:tcW w:w="76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2024</w:t>
            </w:r>
          </w:p>
        </w:tc>
      </w:tr>
      <w:tr>
        <w:trPr>
          <w:trHeight w:val="196"/>
        </w:trPr>
        <w:tc>
          <w:tcPr>
            <w:tcW w:w="7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91,771</w:t>
            </w:r>
          </w:p>
        </w:tc>
        <w:tc>
          <w:tcPr>
            <w:tcW w:w="6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60,600</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Capitalized research and development</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32,918</w:t>
            </w: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35,639</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17"/>
                <w:szCs w:val="17"/>
                <w:color w:val="auto"/>
              </w:rPr>
            </w:pP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6,276</w:t>
            </w:r>
          </w:p>
        </w:tc>
        <w:tc>
          <w:tcPr>
            <w:tcW w:w="68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6,963</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liability</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342</w:t>
            </w: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405</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Foreign R&amp;D tax credits</w:t>
            </w:r>
          </w:p>
        </w:tc>
        <w:tc>
          <w:tcPr>
            <w:tcW w:w="380" w:type="dxa"/>
            <w:vAlign w:val="bottom"/>
          </w:tcPr>
          <w:p>
            <w:pPr>
              <w:spacing w:after="0"/>
              <w:rPr>
                <w:sz w:val="17"/>
                <w:szCs w:val="17"/>
                <w:color w:val="auto"/>
              </w:rPr>
            </w:pPr>
          </w:p>
        </w:tc>
        <w:tc>
          <w:tcPr>
            <w:tcW w:w="14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1,853</w:t>
            </w:r>
          </w:p>
        </w:tc>
        <w:tc>
          <w:tcPr>
            <w:tcW w:w="68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Acquired intangible</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92"/>
              <w:spacing w:after="0" w:line="202" w:lineRule="exact"/>
              <w:rPr>
                <w:sz w:val="20"/>
                <w:szCs w:val="20"/>
                <w:color w:val="auto"/>
              </w:rPr>
            </w:pPr>
            <w:r>
              <w:rPr>
                <w:rFonts w:ascii="Arial" w:cs="Arial" w:eastAsia="Arial" w:hAnsi="Arial"/>
                <w:sz w:val="18"/>
                <w:szCs w:val="18"/>
                <w:color w:val="auto"/>
              </w:rPr>
              <w:t>8,438</w:t>
            </w: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2,290</w:t>
            </w: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1,482</w:t>
            </w:r>
          </w:p>
        </w:tc>
      </w:tr>
      <w:tr>
        <w:trPr>
          <w:trHeight w:val="236"/>
        </w:trPr>
        <w:tc>
          <w:tcPr>
            <w:tcW w:w="7660" w:type="dxa"/>
            <w:vAlign w:val="bottom"/>
            <w:tcBorders>
              <w:bottom w:val="single" w:sz="8" w:color="CFF0FC"/>
            </w:tcBorders>
            <w:shd w:val="clear" w:color="auto" w:fill="CFF0FC"/>
          </w:tcPr>
          <w:p>
            <w:pPr>
              <w:ind w:left="400"/>
              <w:spacing w:after="0" w:line="182" w:lineRule="exact"/>
              <w:rPr>
                <w:sz w:val="20"/>
                <w:szCs w:val="20"/>
                <w:color w:val="auto"/>
              </w:rPr>
            </w:pPr>
            <w:r>
              <w:rPr>
                <w:rFonts w:ascii="Arial" w:cs="Arial" w:eastAsia="Arial" w:hAnsi="Arial"/>
                <w:sz w:val="18"/>
                <w:szCs w:val="18"/>
                <w:color w:val="auto"/>
              </w:rPr>
              <w:t>Total deferred tax assets</w:t>
            </w:r>
          </w:p>
        </w:tc>
        <w:tc>
          <w:tcPr>
            <w:tcW w:w="38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ind w:right="92"/>
              <w:spacing w:after="0" w:line="182" w:lineRule="exact"/>
              <w:rPr>
                <w:sz w:val="20"/>
                <w:szCs w:val="20"/>
                <w:color w:val="auto"/>
              </w:rPr>
            </w:pPr>
            <w:r>
              <w:rPr>
                <w:rFonts w:ascii="Arial" w:cs="Arial" w:eastAsia="Arial" w:hAnsi="Arial"/>
                <w:sz w:val="18"/>
                <w:szCs w:val="18"/>
                <w:color w:val="auto"/>
              </w:rPr>
              <w:t>143,888</w:t>
            </w:r>
          </w:p>
        </w:tc>
        <w:tc>
          <w:tcPr>
            <w:tcW w:w="680" w:type="dxa"/>
            <w:vAlign w:val="bottom"/>
            <w:tcBorders>
              <w:bottom w:val="single" w:sz="8" w:color="auto"/>
            </w:tcBorders>
            <w:shd w:val="clear" w:color="auto" w:fill="CFF0FC"/>
          </w:tcPr>
          <w:p>
            <w:pPr>
              <w:jc w:val="right"/>
              <w:ind w:right="390"/>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105,089</w:t>
            </w:r>
          </w:p>
        </w:tc>
      </w:tr>
      <w:tr>
        <w:trPr>
          <w:trHeight w:val="183"/>
        </w:trPr>
        <w:tc>
          <w:tcPr>
            <w:tcW w:w="7660" w:type="dxa"/>
            <w:vAlign w:val="bottom"/>
          </w:tcPr>
          <w:p>
            <w:pPr>
              <w:spacing w:after="0" w:line="183" w:lineRule="exact"/>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76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Fixed assets</w:t>
            </w:r>
          </w:p>
        </w:tc>
        <w:tc>
          <w:tcPr>
            <w:tcW w:w="38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(166)</w:t>
            </w:r>
          </w:p>
        </w:tc>
        <w:tc>
          <w:tcPr>
            <w:tcW w:w="68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w:t>
            </w:r>
          </w:p>
        </w:tc>
      </w:tr>
      <w:tr>
        <w:trPr>
          <w:trHeight w:val="203"/>
        </w:trPr>
        <w:tc>
          <w:tcPr>
            <w:tcW w:w="766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assets</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(329)</w:t>
            </w: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w:t>
            </w:r>
          </w:p>
        </w:tc>
      </w:tr>
      <w:tr>
        <w:trPr>
          <w:trHeight w:val="196"/>
        </w:trPr>
        <w:tc>
          <w:tcPr>
            <w:tcW w:w="76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Total deferred tax liabilities</w:t>
            </w:r>
          </w:p>
        </w:tc>
        <w:tc>
          <w:tcPr>
            <w:tcW w:w="3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(495)</w:t>
            </w:r>
          </w:p>
        </w:tc>
        <w:tc>
          <w:tcPr>
            <w:tcW w:w="6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(587)</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(143,393)</w:t>
            </w:r>
          </w:p>
        </w:tc>
        <w:tc>
          <w:tcPr>
            <w:tcW w:w="6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(104,502)</w:t>
            </w:r>
          </w:p>
        </w:tc>
      </w:tr>
      <w:tr>
        <w:trPr>
          <w:trHeight w:val="236"/>
        </w:trPr>
        <w:tc>
          <w:tcPr>
            <w:tcW w:w="7660" w:type="dxa"/>
            <w:vAlign w:val="bottom"/>
            <w:tcBorders>
              <w:bottom w:val="single" w:sz="8" w:color="auto"/>
            </w:tcBorders>
            <w:shd w:val="clear" w:color="auto" w:fill="CFF0FC"/>
          </w:tcPr>
          <w:p>
            <w:pPr>
              <w:ind w:left="400"/>
              <w:spacing w:after="0" w:line="196" w:lineRule="exact"/>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on the level of historical operating results and the uncertainty of the economic conditions, the Company has recorded a valuation allowance of $143.4 million and $104.5 million as of December 31, 2025 and 2024, respectively. The change in the valuation allowance for the year end December 31, 2025 was an increase of $38.9 million.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2025 and 2024, the Company had Federal net operating losses ("NOLs") of approximately $305.0 million and $190.2 million, and state NOLs of $398.8 million and $296.7 million, respectively. As a result of the Tax Cuts and Jobs Act, for U.S. income tax purposes, NOLs generated in tax years beginning before January 1, 2018 can still be carried forward for up to 20 years, but net operating losses generated for tax years beginning after December 31, 2017 may be carried forward indefinitely and can be used to offset taxable income, but the deductibility of such Federal NOLs may be limited to 80% of current year taxable income for tax years beginning on or after December 31, 2025. Of the total Federal NOLs of $305.0 million, $3.3 million will begin to expire in 2032 and $301.7 million will not expire. The state NOL carryover of $398.8 million will begin to expire in 2032.</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 that has occurred or may occur in the future. Any adjustment to the Company’s tax attributes as a result of an ownership change will result in a corresponding decrease to the valuation allowance recorded against the Company’s deferred tax assets.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Company’s valuation allowance increased during the years ended December 31, 2025 and 2024 due primarily to the generation of net operating losses,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3440" w:type="dxa"/>
            <w:vAlign w:val="bottom"/>
            <w:tcBorders>
              <w:top w:val="single" w:sz="8" w:color="auto"/>
              <w:bottom w:val="single" w:sz="8" w:color="auto"/>
            </w:tcBorders>
            <w:gridSpan w:val="3"/>
          </w:tcPr>
          <w:p>
            <w:pPr>
              <w:jc w:val="right"/>
              <w:ind w:right="835"/>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6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6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104,502</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71,579</w:t>
            </w: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Increase recorded to provision for income taxes</w:t>
            </w:r>
          </w:p>
        </w:tc>
        <w:tc>
          <w:tcPr>
            <w:tcW w:w="140" w:type="dxa"/>
            <w:vAlign w:val="bottom"/>
          </w:tcPr>
          <w:p>
            <w:pPr>
              <w:spacing w:after="0"/>
              <w:rPr>
                <w:sz w:val="17"/>
                <w:szCs w:val="17"/>
                <w:color w:val="auto"/>
              </w:rPr>
            </w:pPr>
          </w:p>
        </w:tc>
        <w:tc>
          <w:tcPr>
            <w:tcW w:w="158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38,891</w:t>
            </w:r>
          </w:p>
        </w:tc>
        <w:tc>
          <w:tcPr>
            <w:tcW w:w="280" w:type="dxa"/>
            <w:vAlign w:val="bottom"/>
          </w:tcPr>
          <w:p>
            <w:pPr>
              <w:spacing w:after="0"/>
              <w:rPr>
                <w:sz w:val="17"/>
                <w:szCs w:val="17"/>
                <w:color w:val="auto"/>
              </w:rPr>
            </w:pPr>
          </w:p>
        </w:tc>
        <w:tc>
          <w:tcPr>
            <w:tcW w:w="15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32,923</w:t>
            </w:r>
          </w:p>
        </w:tc>
      </w:tr>
      <w:tr>
        <w:trPr>
          <w:trHeight w:val="236"/>
        </w:trPr>
        <w:tc>
          <w:tcPr>
            <w:tcW w:w="766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Valuation allowance at end of year</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143,393</w:t>
            </w:r>
          </w:p>
        </w:tc>
        <w:tc>
          <w:tcPr>
            <w:tcW w:w="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104,502</w:t>
            </w:r>
          </w:p>
        </w:tc>
      </w:tr>
    </w:tbl>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Company has not incurred any material interest or penalties as of the current reporting date with respect to income tax matters. The Company does not expect that there will be unrecognized tax benefits within 12 months of the reporting date. The Company is subject to U.S. Federal and state income taxes. The Federal and state income tax returns for tax years prior to 2024 may remain open to examination as carry-forward attributes generated prior may be adjusted upon examination.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10.  Net Loss Per Common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common share was calculated as follows (in thousands, except share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3140" w:type="dxa"/>
            <w:vAlign w:val="bottom"/>
            <w:tcBorders>
              <w:top w:val="single" w:sz="8" w:color="auto"/>
              <w:bottom w:val="single" w:sz="8" w:color="auto"/>
            </w:tcBorders>
            <w:gridSpan w:val="3"/>
          </w:tcPr>
          <w:p>
            <w:pPr>
              <w:jc w:val="right"/>
              <w:ind w:right="815"/>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7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7"/>
              <w:spacing w:after="0" w:line="155" w:lineRule="exact"/>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(162,451)</w:t>
            </w:r>
          </w:p>
        </w:tc>
        <w:tc>
          <w:tcPr>
            <w:tcW w:w="4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(129,474)</w:t>
            </w: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Arial" w:cs="Arial" w:eastAsia="Arial" w:hAnsi="Arial"/>
                <w:sz w:val="18"/>
                <w:szCs w:val="18"/>
                <w:color w:val="auto"/>
              </w:rPr>
              <w:t>Weighted average shares used to compute net loss per share, basic and diluted¹</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87,006,027</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58,743,522</w:t>
            </w:r>
          </w:p>
        </w:tc>
      </w:tr>
      <w:tr>
        <w:trPr>
          <w:trHeight w:val="236"/>
        </w:trPr>
        <w:tc>
          <w:tcPr>
            <w:tcW w:w="774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(1.87)</w:t>
            </w:r>
          </w:p>
        </w:tc>
        <w:tc>
          <w:tcPr>
            <w:tcW w:w="4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w:t>
            </w:r>
          </w:p>
        </w:tc>
      </w:tr>
    </w:tbl>
    <w:p>
      <w:pPr>
        <w:spacing w:after="0" w:line="197" w:lineRule="exact"/>
        <w:rPr>
          <w:sz w:val="20"/>
          <w:szCs w:val="20"/>
          <w:color w:val="auto"/>
        </w:rPr>
      </w:pPr>
    </w:p>
    <w:p>
      <w:pPr>
        <w:ind w:right="300" w:firstLine="8"/>
        <w:spacing w:after="0" w:line="271" w:lineRule="auto"/>
        <w:tabs>
          <w:tab w:leader="none" w:pos="11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the years ended December 31, 2025 and 2024, the weighted average shares used to compute net loss per share, basic and diluted, include the pre-funded warrants.</w:t>
      </w:r>
    </w:p>
    <w:p>
      <w:pPr>
        <w:spacing w:after="0" w:line="38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6350</wp:posOffset>
            </wp:positionV>
            <wp:extent cx="2091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 w:lineRule="exact"/>
        <w:rPr>
          <w:sz w:val="20"/>
          <w:szCs w:val="20"/>
          <w:color w:val="auto"/>
        </w:rPr>
      </w:pPr>
    </w:p>
    <w:p>
      <w:pPr>
        <w:ind w:left="8560"/>
        <w:spacing w:after="0"/>
        <w:tabs>
          <w:tab w:leader="none" w:pos="1026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tbl>
      <w:tblPr>
        <w:tblLayout w:type="fixed"/>
        <w:tblInd w:w="0" w:type="dxa"/>
        <w:tblCellMar>
          <w:top w:w="0" w:type="dxa"/>
          <w:left w:w="0" w:type="dxa"/>
          <w:bottom w:w="0" w:type="dxa"/>
          <w:right w:w="0" w:type="dxa"/>
        </w:tblCellMar>
      </w:tblPr>
      <w:tr>
        <w:trPr>
          <w:trHeight w:val="196"/>
        </w:trPr>
        <w:tc>
          <w:tcPr>
            <w:tcW w:w="7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Options to purchase common stock</w:t>
            </w:r>
          </w:p>
        </w:tc>
        <w:tc>
          <w:tcPr>
            <w:tcW w:w="1920" w:type="dxa"/>
            <w:vAlign w:val="bottom"/>
            <w:tcBorders>
              <w:top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rPr>
              <w:t>14,429,539</w:t>
            </w:r>
          </w:p>
        </w:tc>
        <w:tc>
          <w:tcPr>
            <w:tcW w:w="138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11,353,057</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11.  Leases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certain of its facilities under non-cancellable operating leases expiring at various dates into 2027.</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and lab space in San Francisco, California (the "Laboratory Lease Agreement"). The Laboratory Lease Agreement was for a period of five years commencing approximately February 1, 2021 and ending January 31, 2026. In April 2025, the Company exercised its option to extend the lease term by an additional year, resulting in a revised expiration date of January 31, 2027. The modification was accounted under ASC 842, resulting in a remeasurement of the lease liability and a corresponding $0.8 million increase to the ROU asset. The incremental borrowing rate was also updated as part of the remeasurement. According to the terms of the Laboratory Lease Agreement, the Company paid a $0.4 million security deposit and is required to pay monthly rent and common area charges. No additional security deposit was paid in connection with the amendment.</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August 17, 2023, the Company entered into a sublease agreement with Dropbox, Inc. to sublease approximately 6,713 square feet of office space in San Francisco, California (the "Dropbox Sublease Agreement"). The Dropbox Sublease Agreement was for a period of two years commencing on September 5, 2023 and ending December 31, 2025. In June 2025, the Company exercised its option to extend the lease term by an additional year, resulting in a revised expiration date of December 31, 2026. The modification was accounted under ASC 842, resulting in a remeasurement of the lease liability and a corresponding $0.1 million increase to the ROU asset. The incremental borrowing rate was also updated as part of the remeasurement. According to the terms of the Dropbox Sublease Agreement, the Company paid a $0.1 million security deposit and is required to pay monthly rent and common area charges.</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August 23, 2023, the Company entered into a lease agreement with The Cambridge Redevelopment Authority to lease approximately 4,020 square feet of office space in Cambridge, Massachusetts (the "Cambridge Lease Agreement"). The Cambridge Lease Agreement is for a period of three years commencing on September 15, 2023 and ending September 14, 2026. According to the terms of the Cambridge Lease Agreement, the Company paid a less than $0.1 million security deposit and is required to pay monthly rent and common area charges. The lease was accounted for under Topic 842 and the Company recorded ROU asset and lease liability of $0.7 million and $0.7 million, respectively, at inception of the lease.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lease expense during the years ended December 31, 2025 and 2024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Borders>
              <w:top w:val="single" w:sz="8" w:color="auto"/>
            </w:tcBorders>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3280" w:type="dxa"/>
            <w:vAlign w:val="bottom"/>
            <w:tcBorders>
              <w:top w:val="single" w:sz="8" w:color="auto"/>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Years Ended December 31,</w:t>
            </w:r>
          </w:p>
        </w:tc>
        <w:tc>
          <w:tcPr>
            <w:tcW w:w="720" w:type="dxa"/>
            <w:vAlign w:val="bottom"/>
            <w:tcBorders>
              <w:top w:val="single" w:sz="8" w:color="auto"/>
              <w:bottom w:val="single" w:sz="8" w:color="auto"/>
            </w:tcBorders>
          </w:tcPr>
          <w:p>
            <w:pPr>
              <w:spacing w:after="0"/>
              <w:rPr>
                <w:sz w:val="15"/>
                <w:szCs w:val="15"/>
                <w:color w:val="auto"/>
              </w:rPr>
            </w:pPr>
          </w:p>
        </w:tc>
      </w:tr>
      <w:tr>
        <w:trPr>
          <w:trHeight w:val="155"/>
        </w:trPr>
        <w:tc>
          <w:tcPr>
            <w:tcW w:w="5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2024</w:t>
            </w:r>
          </w:p>
        </w:tc>
        <w:tc>
          <w:tcPr>
            <w:tcW w:w="720" w:type="dxa"/>
            <w:vAlign w:val="bottom"/>
            <w:tcBorders>
              <w:bottom w:val="single" w:sz="8" w:color="auto"/>
            </w:tcBorders>
          </w:tcPr>
          <w:p>
            <w:pPr>
              <w:spacing w:after="0"/>
              <w:rPr>
                <w:sz w:val="13"/>
                <w:szCs w:val="13"/>
                <w:color w:val="auto"/>
              </w:rPr>
            </w:pPr>
          </w:p>
        </w:tc>
      </w:tr>
      <w:tr>
        <w:trPr>
          <w:trHeight w:val="196"/>
        </w:trPr>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Straight-line operating lease expense</w:t>
            </w:r>
          </w:p>
        </w:tc>
        <w:tc>
          <w:tcPr>
            <w:tcW w:w="3340" w:type="dxa"/>
            <w:vAlign w:val="bottom"/>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1,165</w:t>
            </w:r>
          </w:p>
        </w:tc>
        <w:tc>
          <w:tcPr>
            <w:tcW w:w="1380" w:type="dxa"/>
            <w:vAlign w:val="bottom"/>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1,150</w:t>
            </w:r>
          </w:p>
        </w:tc>
      </w:tr>
      <w:tr>
        <w:trPr>
          <w:trHeight w:val="203"/>
        </w:trPr>
        <w:tc>
          <w:tcPr>
            <w:tcW w:w="5100" w:type="dxa"/>
            <w:vAlign w:val="bottom"/>
          </w:tcPr>
          <w:p>
            <w:pPr>
              <w:spacing w:after="0" w:line="202" w:lineRule="exact"/>
              <w:rPr>
                <w:sz w:val="20"/>
                <w:szCs w:val="20"/>
                <w:color w:val="auto"/>
              </w:rPr>
            </w:pPr>
            <w:r>
              <w:rPr>
                <w:rFonts w:ascii="Arial" w:cs="Arial" w:eastAsia="Arial" w:hAnsi="Arial"/>
                <w:sz w:val="18"/>
                <w:szCs w:val="18"/>
                <w:color w:val="auto"/>
              </w:rPr>
              <w:t>Variable lease expense</w:t>
            </w:r>
          </w:p>
        </w:tc>
        <w:tc>
          <w:tcPr>
            <w:tcW w:w="21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360</w:t>
            </w:r>
          </w:p>
        </w:tc>
        <w:tc>
          <w:tcPr>
            <w:tcW w:w="1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382</w:t>
            </w:r>
          </w:p>
        </w:tc>
      </w:tr>
      <w:tr>
        <w:trPr>
          <w:trHeight w:val="236"/>
        </w:trPr>
        <w:tc>
          <w:tcPr>
            <w:tcW w:w="51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3340" w:type="dxa"/>
            <w:vAlign w:val="bottom"/>
            <w:tcBorders>
              <w:bottom w:val="single" w:sz="8" w:color="auto"/>
            </w:tcBorders>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1,525</w:t>
            </w:r>
          </w:p>
        </w:tc>
        <w:tc>
          <w:tcPr>
            <w:tcW w:w="1380" w:type="dxa"/>
            <w:vAlign w:val="bottom"/>
            <w:tcBorders>
              <w:bottom w:val="single" w:sz="8" w:color="auto"/>
            </w:tcBorders>
            <w:gridSpan w:val="2"/>
            <w:shd w:val="clear" w:color="auto" w:fill="CFF0FC"/>
          </w:tcPr>
          <w:p>
            <w:pPr>
              <w:jc w:val="right"/>
              <w:ind w:right="1028"/>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1,532</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supplemental cash flow information during the years ended December 31, 2025 and 2024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120" w:type="dxa"/>
            <w:vAlign w:val="bottom"/>
            <w:tcBorders>
              <w:top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rPr>
              <w:t>Years Ended December 31,</w:t>
            </w:r>
          </w:p>
        </w:tc>
      </w:tr>
      <w:tr>
        <w:trPr>
          <w:trHeight w:val="155"/>
        </w:trPr>
        <w:tc>
          <w:tcPr>
            <w:tcW w:w="7720" w:type="dxa"/>
            <w:vAlign w:val="bottom"/>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3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77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paid for amounts included measurement of lease liabilities:</w:t>
            </w:r>
          </w:p>
        </w:tc>
        <w:tc>
          <w:tcPr>
            <w:tcW w:w="4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40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1,233</w:t>
            </w:r>
          </w:p>
        </w:tc>
        <w:tc>
          <w:tcPr>
            <w:tcW w:w="5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1,162</w:t>
            </w:r>
          </w:p>
        </w:tc>
      </w:tr>
      <w:tr>
        <w:trPr>
          <w:trHeight w:val="243"/>
        </w:trPr>
        <w:tc>
          <w:tcPr>
            <w:tcW w:w="7720" w:type="dxa"/>
            <w:vAlign w:val="bottom"/>
            <w:tcBorders>
              <w:bottom w:val="single" w:sz="8" w:color="auto"/>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Supplemental noncash information on lease liability arising from obtaining a right-use-asset</w:t>
            </w:r>
          </w:p>
        </w:tc>
        <w:tc>
          <w:tcPr>
            <w:tcW w:w="400" w:type="dxa"/>
            <w:vAlign w:val="bottom"/>
            <w:tcBorders>
              <w:bottom w:val="single" w:sz="8" w:color="auto"/>
            </w:tcBorders>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896</w:t>
            </w:r>
          </w:p>
        </w:tc>
        <w:tc>
          <w:tcPr>
            <w:tcW w:w="500" w:type="dxa"/>
            <w:vAlign w:val="bottom"/>
            <w:tcBorders>
              <w:bottom w:val="single" w:sz="8" w:color="auto"/>
            </w:tcBorders>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r>
      <w:tr>
        <w:trPr>
          <w:trHeight w:val="848"/>
        </w:trPr>
        <w:tc>
          <w:tcPr>
            <w:tcW w:w="7720" w:type="dxa"/>
            <w:vAlign w:val="bottom"/>
          </w:tcPr>
          <w:p>
            <w:pPr>
              <w:jc w:val="right"/>
              <w:ind w:right="1850"/>
              <w:spacing w:after="0"/>
              <w:rPr>
                <w:sz w:val="20"/>
                <w:szCs w:val="20"/>
                <w:color w:val="auto"/>
              </w:rPr>
            </w:pPr>
            <w:r>
              <w:rPr>
                <w:rFonts w:ascii="Arial" w:cs="Arial" w:eastAsia="Arial" w:hAnsi="Arial"/>
                <w:sz w:val="18"/>
                <w:szCs w:val="18"/>
                <w:color w:val="auto"/>
              </w:rPr>
              <w:t>170</w:t>
            </w: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746"/>
        </w:trPr>
        <w:tc>
          <w:tcPr>
            <w:tcW w:w="7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-1580515</wp:posOffset>
            </wp:positionV>
            <wp:extent cx="145415" cy="145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5415" cy="1454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December 31, 2025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Years Ending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18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2026</w:t>
            </w:r>
          </w:p>
        </w:tc>
        <w:tc>
          <w:tcPr>
            <w:tcW w:w="80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1,172</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69</w:t>
            </w:r>
          </w:p>
        </w:tc>
      </w:tr>
      <w:tr>
        <w:trPr>
          <w:trHeight w:val="196"/>
        </w:trPr>
        <w:tc>
          <w:tcPr>
            <w:tcW w:w="9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1,241</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8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r>
      <w:tr>
        <w:trPr>
          <w:trHeight w:val="196"/>
        </w:trPr>
        <w:tc>
          <w:tcPr>
            <w:tcW w:w="9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lease liabilities at present value</w:t>
            </w:r>
          </w:p>
        </w:tc>
        <w:tc>
          <w:tcPr>
            <w:tcW w:w="8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1,193</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Lease liabilities, current</w:t>
            </w:r>
          </w:p>
        </w:tc>
        <w:tc>
          <w:tcPr>
            <w:tcW w:w="8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1,124</w:t>
            </w:r>
          </w:p>
        </w:tc>
      </w:tr>
      <w:tr>
        <w:trPr>
          <w:trHeight w:val="250"/>
        </w:trPr>
        <w:tc>
          <w:tcPr>
            <w:tcW w:w="9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Lease liabilities, non-current</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69</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lease term and discount rate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40" w:type="dxa"/>
            <w:vAlign w:val="bottom"/>
          </w:tcPr>
          <w:p>
            <w:pPr>
              <w:spacing w:after="0"/>
              <w:rPr>
                <w:sz w:val="13"/>
                <w:szCs w:val="13"/>
                <w:color w:val="auto"/>
              </w:rPr>
            </w:pPr>
          </w:p>
        </w:tc>
        <w:tc>
          <w:tcPr>
            <w:tcW w:w="13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2025</w:t>
            </w:r>
          </w:p>
        </w:tc>
        <w:tc>
          <w:tcPr>
            <w:tcW w:w="7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140" w:type="dxa"/>
            <w:vAlign w:val="bottom"/>
            <w:tcBorders>
              <w:top w:val="single" w:sz="8" w:color="auto"/>
              <w:bottom w:val="single" w:sz="8" w:color="auto"/>
            </w:tcBorders>
          </w:tcPr>
          <w:p>
            <w:pPr>
              <w:jc w:val="right"/>
              <w:ind w:right="928"/>
              <w:spacing w:after="0" w:line="155" w:lineRule="exact"/>
              <w:rPr>
                <w:sz w:val="20"/>
                <w:szCs w:val="20"/>
                <w:color w:val="auto"/>
              </w:rPr>
            </w:pPr>
            <w:r>
              <w:rPr>
                <w:rFonts w:ascii="Arial" w:cs="Arial" w:eastAsia="Arial" w:hAnsi="Arial"/>
                <w:sz w:val="14"/>
                <w:szCs w:val="14"/>
                <w:b w:val="1"/>
                <w:bCs w:val="1"/>
                <w:color w:val="auto"/>
              </w:rPr>
              <w:t>2024</w:t>
            </w:r>
          </w:p>
        </w:tc>
      </w:tr>
      <w:tr>
        <w:trPr>
          <w:trHeight w:val="196"/>
        </w:trPr>
        <w:tc>
          <w:tcPr>
            <w:tcW w:w="820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760" w:type="dxa"/>
            <w:vAlign w:val="bottom"/>
            <w:shd w:val="clear" w:color="auto" w:fill="CFF0FC"/>
          </w:tcPr>
          <w:p>
            <w:pPr>
              <w:ind w:left="220"/>
              <w:spacing w:after="0" w:line="196" w:lineRule="exact"/>
              <w:rPr>
                <w:sz w:val="20"/>
                <w:szCs w:val="20"/>
                <w:color w:val="auto"/>
              </w:rPr>
            </w:pPr>
            <w:r>
              <w:rPr>
                <w:rFonts w:ascii="Arial" w:cs="Arial" w:eastAsia="Arial" w:hAnsi="Arial"/>
                <w:sz w:val="18"/>
                <w:szCs w:val="18"/>
                <w:color w:val="auto"/>
              </w:rPr>
              <w:t>1.01</w:t>
            </w:r>
          </w:p>
        </w:tc>
        <w:tc>
          <w:tcPr>
            <w:tcW w:w="2280" w:type="dxa"/>
            <w:vAlign w:val="bottom"/>
            <w:gridSpan w:val="2"/>
            <w:shd w:val="clear" w:color="auto" w:fill="CFF0FC"/>
          </w:tcPr>
          <w:p>
            <w:pPr>
              <w:ind w:left="1740"/>
              <w:spacing w:after="0" w:line="196" w:lineRule="exact"/>
              <w:rPr>
                <w:sz w:val="20"/>
                <w:szCs w:val="20"/>
                <w:color w:val="auto"/>
              </w:rPr>
            </w:pPr>
            <w:r>
              <w:rPr>
                <w:rFonts w:ascii="Arial" w:cs="Arial" w:eastAsia="Arial" w:hAnsi="Arial"/>
                <w:sz w:val="18"/>
                <w:szCs w:val="18"/>
                <w:color w:val="auto"/>
              </w:rPr>
              <w:t>1.27</w:t>
            </w:r>
          </w:p>
        </w:tc>
      </w:tr>
      <w:tr>
        <w:trPr>
          <w:trHeight w:val="203"/>
        </w:trPr>
        <w:tc>
          <w:tcPr>
            <w:tcW w:w="820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760" w:type="dxa"/>
            <w:vAlign w:val="bottom"/>
            <w:tcBorders>
              <w:bottom w:val="single" w:sz="8" w:color="auto"/>
            </w:tcBorders>
          </w:tcPr>
          <w:p>
            <w:pPr>
              <w:ind w:left="220"/>
              <w:spacing w:after="0" w:line="202" w:lineRule="exact"/>
              <w:rPr>
                <w:sz w:val="20"/>
                <w:szCs w:val="20"/>
                <w:color w:val="auto"/>
              </w:rPr>
            </w:pPr>
            <w:r>
              <w:rPr>
                <w:rFonts w:ascii="Arial" w:cs="Arial" w:eastAsia="Arial" w:hAnsi="Arial"/>
                <w:sz w:val="18"/>
                <w:szCs w:val="18"/>
                <w:color w:val="auto"/>
              </w:rPr>
              <w:t>9.00%</w:t>
            </w:r>
          </w:p>
        </w:tc>
        <w:tc>
          <w:tcPr>
            <w:tcW w:w="2280" w:type="dxa"/>
            <w:vAlign w:val="bottom"/>
            <w:tcBorders>
              <w:bottom w:val="single" w:sz="8" w:color="auto"/>
            </w:tcBorders>
            <w:gridSpan w:val="2"/>
          </w:tcPr>
          <w:p>
            <w:pPr>
              <w:ind w:left="1740"/>
              <w:spacing w:after="0" w:line="202" w:lineRule="exact"/>
              <w:rPr>
                <w:sz w:val="20"/>
                <w:szCs w:val="20"/>
                <w:color w:val="auto"/>
              </w:rPr>
            </w:pPr>
            <w:r>
              <w:rPr>
                <w:rFonts w:ascii="Arial" w:cs="Arial" w:eastAsia="Arial" w:hAnsi="Arial"/>
                <w:sz w:val="18"/>
                <w:szCs w:val="18"/>
                <w:color w:val="auto"/>
              </w:rPr>
              <w:t>9.00%</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12.  Commitments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Novartis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Clinical Trial Collaboration and Supply Agreement with Novartis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On November 29, 2024, the Company entered into a Clinical Trial Collaboration and Supply Agreement (the "2024 Novartis Agreement") with Novartis Pharma AG (collectively, with affiliated entities, "Novartis"). Pursuant to the 2024 Novartis Agreement, Novartis will provide the Company with ribociclib drug supply for the Company’s Phase 3 OPERA-02 clinical trial of palazestrant in combination with ribociclib in ER+/HER2- frontline advanced or metastatic breast cancer (the "OPERA-02 trial").</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Under the 2024 Novartis Agreement, the Company will supply (including manufacturing, packaging and labeling) palazestrant and letrozole for the OPERA-02 trial. Novartis will manufacture and supply (including primary packaging) the Company with a specified amount of ribociclib, which amount is expected to be sufficient for the OPERA-02 trial.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Any inventions developed in the performance of the clinical studies for the combined therapies (other than those specific to each component study drug) are jointly owned by the parties. Except as otherwise specified below, the 2024 Novartis Agreement does not grant any right of first negotiation to participate in future clinical trials, and each party retains all rights and ability to evaluate their respective compounds in any studies or clinical trials, either as a monotherapy or in combination with any other product or compound, in any therapeutic area. The parties retain their independent rights to commercialize their respective therapies both alone and with third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granted Novartis a right of first negotiation with respect to (a) the grant to any person or entity any right, license or sublicense to exploit palazestrant, in any field or territory, other than to third party service providers, or (b) the sale or other transfer to any person or entity of palazestrant and any related assets (each referred to herein as an "Olema Compound Transaction"). If the Company desires to or does, at any time, (a) solicit or entertain any third party proposal or indication of interest with respect to an Olema Compound Transaction, or</w:t>
      </w:r>
    </w:p>
    <w:p>
      <w:pPr>
        <w:jc w:val="both"/>
        <w:ind w:firstLine="8"/>
        <w:spacing w:after="0" w:line="239" w:lineRule="auto"/>
        <w:tabs>
          <w:tab w:leader="none" w:pos="279"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negotiate (including in response to any proposal or indication of interest received by the Company), enter into or perform under, in each case, any written definitive agreement with a third party with respect to or that contemplates an Olema Compound Transaction, then the Company must provide written notice to Novartis regarding such Olema Compound Transaction, along with certain other specified information. Novartis will have 30 days after receipt of such notice to elect to enter into exclusive good faith negotiations with respect to such Olema Compound Transaction for a period of up to 120 days.</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the Company’s board of directors (or a duly authorized board committee) determines that the Company should pursue or explore a change of control of the Company or sale of all or substantially all of its assets (an "Olema Change of Control"), other than in response to an unsolicited bona fide acquisition proposal (a "Proposed Sale"), the Company must promptly notify Novartis of such determination. In the event Novartis elects to engage in negotiations with the Company in respect of such Proposed Sale, then from the date such notice is given until 45 days after the later of (a) the date on which the foregoing notice is given to Novartis, (b) the date on which Novartis is given notice that a data room has been populated as required by the 2024 Novartis Agreement, and (c) entry by the Company and Novartis into a customary nondisclosure agreement, Novartis will have the exclusive right (but no obligation) to conduct due diligence on the Company and its business and negotiate with the Company and its representatives the definitive terms and conditions of the Proposed Sale.</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If the Company or its affiliates receive an unsolicited bona fide acquisition proposal from a third party, the Company must promptly notify its board of directors (or a duly authorized board committee) of the receipt thereof and request that they consider the merits of such acquisition proposal. If, after such consideration, the Company’s board of directors (or authorized committee) authorizes the Company to engage in negotiations with regard to such acquisition proposal, then the Company must notify Novartis in writing within 24 hours of receipt of such authorization. To the extent possible in light of any confidentiality obligations, such notice must include a summary of the key structural, non-financial terms of such acquisition proposal.</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event of an Olema Compound Transaction or Olema Change of Control involving a third party other than Novartis (the first to occur, a "Repayment Trigger Event"), the Company must promptly pay, or procure the payment of, the Repayment Amount (as defined below) to Novartis. Notwithstanding the foregoing, if the 2024 Novartis Agreement is terminated as a result of certain patient safety issues, lack of product efficacy, regulatory issues or clinical hold issues prior to the consummation of the Olema Compound Transaction or Olema Change of Control, then the Company shall not be obligated to pay the Repayment Amount unless (a) the Olema Change of Control or Olema Compound Transaction occurs after such termination and (b) prior to the fifth anniversary of such Olema Change of Control or Olema Compound Transaction (as applicable), the Company or its affiliates (or the applicable acquirer, successor, licensee or optionholder of the Company or its affiliates) enrolls a subject in any clinical study involving the combination of palazestrant and ribociclib (the "Olema Combination") or submits any filing with any regulatory authority relating to the Olema Combination. The “Repayment Amount” is the proportion of approximately $275 million that is represented by the number of units of ribociclib actually supplied to the Company under the 2024 Novartis Agreement as of immediately prior to the Repayment Trigger Event as compared to the total number of units that could be supplied under the 2024 Novartis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foregoing rights of first negotiation, first offer and notice and repayment obligations remain in effect until the first to occur of: (a) the date that is 120 days after filing of the New Drug Application for the Olema Combination, (b) one year after any expiration or termination of the 2024 Novartis Agreement, and (c) such time as the 2024 Novartis Agreement is terminated by the Company due to Novartis’ material breach. However, in the event the 2024 Novartis Agreement is terminated due to certain patient safety issues, lack of product efficacy, regulatory issues or clinical hold issues prior to the consummation of an Olema Change of Control or Olema Compound Transaction, then the Repayment Obligation shall survive until the fifth anniversary of such Olema Change of Control or Olema Compound Transaction (as applicable) or, if payment of the Repayment Amount is required, until the next business day after the Repayment Amount has been received by Novartis.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2024 Novartis Agreement will terminate on the fifth anniversary of the date on which the first dose of palazestrant is administered to the first study subject. Either party may terminate the 2024 Novartis Agreement for the uncured material breach or insolvency of the other party, for failure to comply with certain anti-corruption obligations, in the event of a change of control of the other party, if it reasonably deems it necessary in order to protect the safety, health or welfare of subjects enrolled in the clinical studies for the combined therapies due to the existence of a material safety issue, if the parties jointly decide that the Olema Combination is not achieving sufficiently superior levels of efficacy, if any regulatory authority action prevents a party (or the letrozole supplier) from supplying its product, in the event of an unresolved force majeure event, or in certain circumstances for an unresolved clinical hold with respect to ribociclib, palazestrant or letrozole (or the combination of ribociclib and palazestrant or ribociclib and letrozole). In addition, Novartis may terminate the 2024 Novartis Agreement if the Company has failed to commence the OPERA-02 trial on or prior to March 31, 2026 or if the Company consummates an Olema Compound Transaction, and the Company may terminate the 2024 Novartis Agreement if the Company terminates the OPERA-02 trial other than due to a material safety issue, efficacy issue, regulatory action or upon a clinical hold.</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Costs incurred in connection with the 2024 Novartis Agreement are included in the research and development expense in the accompanying consolidated statements of operations and comprehensive loss for the years ended December 31, 2025 and 2024.</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Collaboration and Supply Agreement with Novartis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On January 13, 2022, the Company entered into an amended and restated clinical collaboration and supply agreement with Novartis, and on October 9, 2023, the Company and Novartis entered into the amendment no. 1 (the "Novartis Amendment") to the amended and restated clinical collaboration and supply agreement (as amended, the "2020 Novartis Agreement"). The collaboration is focused on the evaluation of the safety, tolerability and efficacy of palazestrant in combination with Novartis’ proprietary CDK4/6 inhibitor KISQALI® (ribociclib) and/or Novartis’ proprietary phosphatidylinositol 3-kinase ("PI3Ka") Inhibitor PIQRAY® (alpelisib) (collectively the "Novartis Study Drugs") as part of the Company’s Phase 1b/2 study of palazestrant in patients with metastatic estrogen receptor-positive breast cancer. The Novartis Amendment, among other things, expanded the Company's clinical collaboration with Novartis, increasing the size of the ongoing Phase 1/2 study testing palazestrant in combination with ribociclib to approximately 60 patients.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2020 Novartis Agreement will terminate upon completion of all activities outlined in the development plan and the relevant protocols. Either party may terminate the 2020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2020 Novartis Agreement if certain disputes between the parties are not resolved after following the applicable dispute resolution procedures, and the Company may terminate the 2020 Novartis Agreement in the event the Company terminates all clinical trials of the combined therapies other than due to a material safety issue or upon a clinical hold.</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Costs associated with research activities performed under the 2020 Novartis Agreement are included in research and development expenses in the accompanying consolidated statements of operations and comprehensive loss for the years ended December 31, 2025, and 2024, with any reimbursable costs from Novartis reflected as a reduction of such expenses. The Company had previously incurred the full agreed-upon reimbursement amount.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Pfizer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Clinical Trial Collaboration and Supply Agreement with Pfizer</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September 2025, the Company announced that it entered into a non-exclusive clinical trial collaboration and supply agreement with Pfizer Inc. (“Pfizer”) (the “2025 Pfizer Agreement”), to evaluate the safety and tolerability of palazestrant in combination with Pfizer’s proprietary investigative selective CDK4 inhibitor atirmociclib in patients with metastatic ER+, HER2- breast cancer in a Phase 1b/2 clinical trial. Under the terms of the 2025 Pfizer Agreement, the Company will be responsible for conducting the clinical trial for the combined therapies and Pfizer is responsible for supplying atirmociclib to the Company at no cost to the Company. As part of the collaboration, the parties granted to each other a non-exclusive, royalty-free license under certain of the parties’ respective patent rights in the combination of atirmociclib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Pfizer is responsible for manufacturing and delivering to us atirmociclib in such quantities as reasonably needed for the clinical trials for the combined therapies.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2025 Pfizer Agreement will terminate upon completion of all activities outlined in the study plan and the relevant protocols. Either party may terminate the 2025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atirmociclib or palazestrant. In addition, Pfizer may terminate the 2025 Pfizer Agreement if reasonably and in good faith believe that atirmociclib is being used in an unsafe manner, and either party may terminate the 2025 Pfizer Agreement if either party determines to discontinue clinical development for medical, scientific, legal or other reasons.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2025 Pfizer Agreement does not grant any right of first negotiation to participate in future clinical trials, and each of the parties retains all rights and ability to evaluate their respective compounds. Costs incurred in connection with the 2025 Pfizer Agreement are included in the research and development expense in the accompanying consolidated statements of operations and comprehensive loss for the year ended December 31, 2025.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Clinical Trial Agreement with Pfizer</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November 2020, the Company entered into a non-exclusive clinical trial agreement with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with the Pfizer Agreement are included in the research and development expense in the accompanying consolidated statements of operations and comprehensive loss for the years ended December 31, 2025, and 2024.</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Aurigene</w:t>
      </w:r>
    </w:p>
    <w:p>
      <w:pPr>
        <w:spacing w:after="0" w:line="1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 $8.0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$8.0 million upfront payment was incurred in June 2022.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 million milestone payment related to initiation of the first IND-enabling safety study was incurred and recorded as research and development expenses in the accompanying consolidated statement of operations and comprehensive loss during the year ended December 31, 2024. The $10.0 million milestone payment related to dosing of the fifth patient in the first Phase 1 study was incurred and recognized as research and development expenses in the accompanying consolidated statement of operations and comprehensive loss during the year ended December 31, 2025.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Services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December 31, 2025, the Company did not have material contractual commitments with respect to these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December 31, 2025, the Company had not incurred any material costs as a result of such indemnifications.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13.  Long-term Borrowing</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September 5, 2023, the Company entered into the Original Loan Agreement by and between the Company and the Bank. The Original Loan Agreement provided for a four-year senior secured credit facility in an aggregate principal amount of up to $50.0 million (the "Original Credit Facility"), of which $25.0 million became available upon the closing of a private placement and the issuance of our common stock to selected institutional and accredited investors pursuant to a securities purchase agreement in September 2023 ("Term Loan A"), and the remaining $25.0 million could have been made available upon approval of the Bank in its discretion. The Original Credit Facility was scheduled to mature on August 1, 2027 (the "Original Maturity Date").</w:t>
      </w:r>
    </w:p>
    <w:p>
      <w:pPr>
        <w:spacing w:after="0" w:line="17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28, 2024, the Company entered into the First Amendment, which, among other things, (i) increased the aggregate principal amount of the Original Credit Facility from up to $50.0 million to up to $100.0 million (the "Credit Facility"), of which the Term Loan A of $25.0 million was immediately available, an additional $25.0 million will become available upon the Company achieving certain milestones related to the execution of a first line pivotal Phase 3 clinical trial of palazestrant in combination with ribociclib, and an additional $50.0 million which may be made available upon the approval of the Bank in its discretion, and (ii) extended the Original Maturity Date to July 1, 2028.</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27, 2025, the Company entered into the Second Amendment, which, among other things, (i) decreased the interest rate to a floating rate equal to the greater of 6.0% or the prime rate, and (ii) extended the draw period of the Term Loan A to January 15, 2026.</w:t>
      </w:r>
    </w:p>
    <w:p>
      <w:pPr>
        <w:spacing w:after="0" w:line="15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January 11, 2026, the Company entered into the Third Amendment, which among other things, (i) extended the draw period of Term Loan A to January 31, 2027, (ii) extended the draw period of Term Loan B to January 31, 2027, (iii) extended the draw period of Term Loan C to January 31, 2027, and (iv) extended the maturity date to January 1, 2029 ("Maturity Date"). Based on the occurrence of specified (a) development milestones related to the pivotal Phase 3 OPERA-01 clinical trial of palazestrant or (b) receipt of proceeds from capital financing, the draw period of Term Loan B and Term Loan C may be further extended to July 31, 2027, and the Maturity Date may be further extended to July 1, 2029.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obligations under the Loan Agreement are secured by substantially all of the assets of the Company, subject to limited exceptions.</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term of the Credit Facility, interest will accrue on any outstanding balance due under the Credit Facility at a floating rate per annum equal to the greater of (i) 6.0%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of December 31, 2025, the Company had drawn $3.0 million from the Credit Facility which was recorded at cost and presented as long-term borrowing on the consolidated balance sheet. The interest expense was $0.1 million for the year ended December 31, 2025, which was included in other income on the consolidated statement of operations and comprehensive loss. As of December 31, 2025, the carrying amount of the borrowing approximated fair value, as the interest rate is variable and resets periodically based on market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spacing w:after="0" w:line="208" w:lineRule="exact"/>
        <w:rPr>
          <w:sz w:val="20"/>
          <w:szCs w:val="20"/>
          <w:color w:val="auto"/>
        </w:rPr>
      </w:pPr>
      <w:r>
        <w:rPr>
          <w:rFonts w:ascii="Arial" w:cs="Arial" w:eastAsia="Arial" w:hAnsi="Arial"/>
          <w:sz w:val="18"/>
          <w:szCs w:val="18"/>
          <w:color w:val="auto"/>
        </w:rPr>
        <w:t>As of December 31, 2025, management, with the participation of our Chief Executive Officer (our principal executive officer and principal financial officer), performed an evaluation of the effectiveness of the design and operation of our disclosure controls and procedures as defined in Rules 13a</w:t>
      </w:r>
      <w:r>
        <w:rPr>
          <w:rFonts w:ascii="MS PGothic" w:cs="MS PGothic" w:eastAsia="MS PGothic" w:hAnsi="MS PGothic"/>
          <w:sz w:val="18"/>
          <w:szCs w:val="18"/>
          <w:color w:val="auto"/>
        </w:rPr>
        <w:t>‑</w:t>
      </w:r>
      <w:r>
        <w:rPr>
          <w:rFonts w:ascii="Arial" w:cs="Arial" w:eastAsia="Arial" w:hAnsi="Arial"/>
          <w:sz w:val="18"/>
          <w:szCs w:val="18"/>
          <w:color w:val="auto"/>
        </w:rPr>
        <w:t>15(e) and 15d</w:t>
      </w:r>
      <w:r>
        <w:rPr>
          <w:rFonts w:ascii="MS PGothic" w:cs="MS PGothic" w:eastAsia="MS PGothic" w:hAnsi="MS PGothic"/>
          <w:sz w:val="18"/>
          <w:szCs w:val="18"/>
          <w:color w:val="auto"/>
        </w:rPr>
        <w:t>‑</w:t>
      </w:r>
      <w:r>
        <w:rPr>
          <w:rFonts w:ascii="Arial" w:cs="Arial" w:eastAsia="Arial" w:hAnsi="Arial"/>
          <w:sz w:val="18"/>
          <w:szCs w:val="18"/>
          <w:color w:val="auto"/>
        </w:rPr>
        <w:t>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required disclosures.</w:t>
      </w:r>
    </w:p>
    <w:p>
      <w:pPr>
        <w:spacing w:after="0" w:line="1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officer concluded that, as of December 31, 2025, the design and operation of our disclosure controls and procedures were effective at a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for our company. Internal control over financial reporting is defined in Rule 13a-15(f) or 15d-15(f) promulgated under the Exchange Act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jc w:val="both"/>
        <w:ind w:firstLine="8"/>
        <w:spacing w:after="0"/>
        <w:tabs>
          <w:tab w:leader="none" w:pos="267"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our company are being made only in accordance with authorizations of management and directors of the company; and (iii) provide reasonable assurance regarding prevention or timely detection of unauthorized acquisition, use, or disposition of our company’s assets that could have a material effect on the financial statements.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Internal control over financial reporting is designed to provide reasonable assurance regarding the reliability of financial reporting and the preparation of financial statements prepared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principal financial officer), assessed the effectiveness of our internal control over financial reporting as of December 31, 2025. In making this assessment, our management used the criteria set forth in the Internal Control—Integrated Framework (2013) issued by the Committee of Sponsoring Organizations of the Treadway Commission. Based on its assessment, management concluded that our internal control over financial reporting was effective as of December 31, 2025 based on those criteria.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fourth quarter ended December 31, 2025 that has materially affected, or is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are no disclosures required by this Item 9B, including those relating to “Rule 10b5-1 trading arrangements” and “non-Rule 10b5-1 trading arrangements,” as those terms are defined in Item 408 of Regulation S-K.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Information required by this item will be included in our Proxy Statement for our 2026 Annual Meeting of Stockholders (the 2026 Proxy Statement) and is incorporated herein by reference.</w:t>
      </w:r>
    </w:p>
    <w:p>
      <w:pPr>
        <w:spacing w:after="0" w:line="154"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Our written code of business conduct and ethics (the Code of Conduct) applies to all of our employees, officers and directors, including our principal executive officer, principal financial officer and principal accounting officer or controller. The Code of Conduct is available on our corporate website at https://www.olema.com/ in the Investors section under “Corporate Governance.” If we make any substantive amendments to our Code of Conduct or grant any of our directors or executive officers any waiver, including any implicit waiver, from a provision of our Code of Conduct, we will disclose the nature of the amendment or waiver on our website or in a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Information contained in, or that can be accessed through, our website is not incorporated by reference herein, and you should not consider information on our website to be part of this Annual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will be included in our 2026 Proxy Statement and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will be included in our 2026 Proxy Statement and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will be included in our 2026 Proxy Statement and is incorporated herein by reference.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required by this item will be included in our 2026 Proxy Statement and is incorporated herein by reference.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PART IV</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12" w:lineRule="exact"/>
        <w:rPr>
          <w:sz w:val="20"/>
          <w:szCs w:val="20"/>
          <w:color w:val="auto"/>
        </w:rPr>
      </w:pPr>
    </w:p>
    <w:p>
      <w:pPr>
        <w:ind w:left="380" w:hanging="372"/>
        <w:spacing w:after="0"/>
        <w:tabs>
          <w:tab w:leader="none" w:pos="380" w:val="left"/>
        </w:tabs>
        <w:numPr>
          <w:ilvl w:val="0"/>
          <w:numId w:val="69"/>
        </w:numPr>
        <w:rPr>
          <w:rFonts w:ascii="Arial" w:cs="Arial" w:eastAsia="Arial" w:hAnsi="Arial"/>
          <w:sz w:val="16"/>
          <w:szCs w:val="16"/>
          <w:color w:val="auto"/>
        </w:rPr>
      </w:pPr>
      <w:r>
        <w:rPr>
          <w:rFonts w:ascii="Arial" w:cs="Arial" w:eastAsia="Arial" w:hAnsi="Arial"/>
          <w:sz w:val="18"/>
          <w:szCs w:val="18"/>
          <w:color w:val="auto"/>
        </w:rPr>
        <w:t>The following documents are filed as part of this Annual Report:</w:t>
      </w:r>
    </w:p>
    <w:p>
      <w:pPr>
        <w:spacing w:after="0" w:line="211" w:lineRule="exact"/>
        <w:rPr>
          <w:rFonts w:ascii="Arial" w:cs="Arial" w:eastAsia="Arial" w:hAnsi="Arial"/>
          <w:sz w:val="16"/>
          <w:szCs w:val="16"/>
          <w:color w:val="auto"/>
        </w:rPr>
      </w:pPr>
    </w:p>
    <w:p>
      <w:pPr>
        <w:ind w:left="760" w:hanging="378"/>
        <w:spacing w:after="0"/>
        <w:tabs>
          <w:tab w:leader="none" w:pos="760" w:val="left"/>
        </w:tabs>
        <w:numPr>
          <w:ilvl w:val="1"/>
          <w:numId w:val="69"/>
        </w:numPr>
        <w:rPr>
          <w:rFonts w:ascii="Arial" w:cs="Arial" w:eastAsia="Arial" w:hAnsi="Arial"/>
          <w:sz w:val="16"/>
          <w:szCs w:val="16"/>
          <w:color w:val="auto"/>
        </w:rPr>
      </w:pP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See Index to Consolidated Financial Statements in Part II Item 8 of this Annual Report.</w:t>
      </w:r>
    </w:p>
    <w:p>
      <w:pPr>
        <w:spacing w:after="0" w:line="211" w:lineRule="exact"/>
        <w:rPr>
          <w:rFonts w:ascii="Arial" w:cs="Arial" w:eastAsia="Arial" w:hAnsi="Arial"/>
          <w:sz w:val="16"/>
          <w:szCs w:val="16"/>
          <w:color w:val="auto"/>
        </w:rPr>
      </w:pPr>
    </w:p>
    <w:p>
      <w:pPr>
        <w:ind w:left="760" w:hanging="378"/>
        <w:spacing w:after="0" w:line="271" w:lineRule="auto"/>
        <w:tabs>
          <w:tab w:leader="none" w:pos="760" w:val="left"/>
        </w:tabs>
        <w:numPr>
          <w:ilvl w:val="1"/>
          <w:numId w:val="69"/>
        </w:numPr>
        <w:rPr>
          <w:rFonts w:ascii="Arial" w:cs="Arial" w:eastAsia="Arial" w:hAnsi="Arial"/>
          <w:sz w:val="16"/>
          <w:szCs w:val="16"/>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 None. All financial statement schedules are omitted because they are not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not required under the instructions, or the requested information is included in the financial statements or notes thereto.</w:t>
      </w:r>
    </w:p>
    <w:p>
      <w:pPr>
        <w:spacing w:after="0" w:line="153" w:lineRule="exact"/>
        <w:rPr>
          <w:rFonts w:ascii="Arial" w:cs="Arial" w:eastAsia="Arial" w:hAnsi="Arial"/>
          <w:sz w:val="16"/>
          <w:szCs w:val="16"/>
          <w:color w:val="auto"/>
        </w:rPr>
      </w:pPr>
    </w:p>
    <w:p>
      <w:pPr>
        <w:ind w:left="760" w:hanging="378"/>
        <w:spacing w:after="0"/>
        <w:tabs>
          <w:tab w:leader="none" w:pos="760" w:val="left"/>
        </w:tabs>
        <w:numPr>
          <w:ilvl w:val="1"/>
          <w:numId w:val="69"/>
        </w:numPr>
        <w:rPr>
          <w:rFonts w:ascii="Arial" w:cs="Arial" w:eastAsia="Arial" w:hAnsi="Arial"/>
          <w:sz w:val="16"/>
          <w:szCs w:val="16"/>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is a list of exhibits filed with this Annual Report or incorporated herein by reference: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60" w:type="dxa"/>
            <w:vAlign w:val="bottom"/>
            <w:gridSpan w:val="17"/>
            <w:vMerge w:val="restart"/>
          </w:tcPr>
          <w:p>
            <w:pPr>
              <w:jc w:val="center"/>
              <w:ind w:right="1200"/>
              <w:spacing w:after="0"/>
              <w:rPr>
                <w:sz w:val="20"/>
                <w:szCs w:val="20"/>
                <w:color w:val="auto"/>
              </w:rPr>
            </w:pPr>
            <w:r>
              <w:rPr>
                <w:rFonts w:ascii="Arial" w:cs="Arial" w:eastAsia="Arial" w:hAnsi="Arial"/>
                <w:sz w:val="18"/>
                <w:szCs w:val="18"/>
                <w:b w:val="1"/>
                <w:bCs w:val="1"/>
                <w:color w:val="auto"/>
                <w:w w:val="99"/>
              </w:rPr>
              <w:t>Exhibit</w:t>
            </w:r>
          </w:p>
        </w:tc>
        <w:tc>
          <w:tcPr>
            <w:tcW w:w="10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Incorporation by Reference</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60" w:type="dxa"/>
            <w:vAlign w:val="bottom"/>
            <w:gridSpan w:val="17"/>
            <w:vMerge w:val="continue"/>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40" w:type="dxa"/>
            <w:vAlign w:val="bottom"/>
          </w:tcPr>
          <w:p>
            <w:pPr>
              <w:jc w:val="center"/>
              <w:ind w:left="30"/>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17"/>
          </w:tcPr>
          <w:p>
            <w:pPr>
              <w:jc w:val="center"/>
              <w:ind w:right="1200"/>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File No.</w:t>
            </w: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3960" w:type="dxa"/>
            <w:vAlign w:val="bottom"/>
            <w:gridSpan w:val="21"/>
          </w:tcPr>
          <w:p>
            <w:pPr>
              <w:spacing w:after="0"/>
              <w:rPr>
                <w:rFonts w:ascii="Arial" w:cs="Arial" w:eastAsia="Arial" w:hAnsi="Arial"/>
                <w:sz w:val="18"/>
                <w:szCs w:val="18"/>
                <w:color w:val="0000FF"/>
              </w:rPr>
            </w:pPr>
            <w:hyperlink r:id="rId245">
              <w:r>
                <w:rPr>
                  <w:rFonts w:ascii="Arial" w:cs="Arial" w:eastAsia="Arial" w:hAnsi="Arial"/>
                  <w:sz w:val="18"/>
                  <w:szCs w:val="18"/>
                  <w:color w:val="0000FF"/>
                </w:rPr>
                <w:t>Amended and Restated Certificate of</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3.1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11/23/2020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00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245">
              <w:r>
                <w:rPr>
                  <w:rFonts w:ascii="Arial" w:cs="Arial" w:eastAsia="Arial" w:hAnsi="Arial"/>
                  <w:sz w:val="18"/>
                  <w:szCs w:val="18"/>
                  <w:color w:val="0000FF"/>
                </w:rPr>
                <w:t>Incorporation.</w:t>
              </w:r>
            </w:hyperlink>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8</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3960" w:type="dxa"/>
            <w:vAlign w:val="bottom"/>
            <w:gridSpan w:val="21"/>
          </w:tcPr>
          <w:p>
            <w:pPr>
              <w:spacing w:after="0"/>
              <w:rPr>
                <w:rFonts w:ascii="Arial" w:cs="Arial" w:eastAsia="Arial" w:hAnsi="Arial"/>
                <w:sz w:val="18"/>
                <w:szCs w:val="18"/>
                <w:color w:val="0000FF"/>
              </w:rPr>
            </w:pPr>
            <w:hyperlink r:id="rId246">
              <w:r>
                <w:rPr>
                  <w:rFonts w:ascii="Arial" w:cs="Arial" w:eastAsia="Arial" w:hAnsi="Arial"/>
                  <w:sz w:val="18"/>
                  <w:szCs w:val="18"/>
                  <w:color w:val="0000FF"/>
                </w:rPr>
                <w:t>Amended and Restated Bylaws.</w:t>
              </w:r>
            </w:hyperlink>
          </w:p>
        </w:tc>
        <w:tc>
          <w:tcPr>
            <w:tcW w:w="106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3.1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12/16/2022</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4.1</w:t>
            </w:r>
          </w:p>
        </w:tc>
        <w:tc>
          <w:tcPr>
            <w:tcW w:w="2820" w:type="dxa"/>
            <w:vAlign w:val="bottom"/>
            <w:tcBorders>
              <w:bottom w:val="single" w:sz="8" w:color="0000FF"/>
            </w:tcBorders>
            <w:gridSpan w:val="8"/>
          </w:tcPr>
          <w:p>
            <w:pPr>
              <w:spacing w:after="0"/>
              <w:rPr>
                <w:rFonts w:ascii="Arial" w:cs="Arial" w:eastAsia="Arial" w:hAnsi="Arial"/>
                <w:sz w:val="18"/>
                <w:szCs w:val="18"/>
                <w:color w:val="0000FF"/>
                <w:w w:val="99"/>
              </w:rPr>
            </w:pPr>
            <w:hyperlink r:id="rId247">
              <w:r>
                <w:rPr>
                  <w:rFonts w:ascii="Arial" w:cs="Arial" w:eastAsia="Arial" w:hAnsi="Arial"/>
                  <w:sz w:val="18"/>
                  <w:szCs w:val="18"/>
                  <w:color w:val="0000FF"/>
                  <w:w w:val="99"/>
                </w:rPr>
                <w:t>Form of Common Stock Certificate.</w:t>
              </w:r>
            </w:hyperlink>
          </w:p>
        </w:tc>
        <w:tc>
          <w:tcPr>
            <w:tcW w:w="1140" w:type="dxa"/>
            <w:vAlign w:val="bottom"/>
            <w:gridSpan w:val="13"/>
          </w:tcPr>
          <w:p>
            <w:pPr>
              <w:spacing w:after="0"/>
              <w:rPr>
                <w:sz w:val="24"/>
                <w:szCs w:val="24"/>
                <w:color w:val="auto"/>
              </w:rPr>
            </w:pPr>
          </w:p>
        </w:tc>
        <w:tc>
          <w:tcPr>
            <w:tcW w:w="106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4.1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4.2</w:t>
            </w:r>
          </w:p>
        </w:tc>
        <w:tc>
          <w:tcPr>
            <w:tcW w:w="3960" w:type="dxa"/>
            <w:vAlign w:val="bottom"/>
            <w:gridSpan w:val="21"/>
          </w:tcPr>
          <w:p>
            <w:pPr>
              <w:spacing w:after="0"/>
              <w:rPr>
                <w:rFonts w:ascii="Arial" w:cs="Arial" w:eastAsia="Arial" w:hAnsi="Arial"/>
                <w:sz w:val="18"/>
                <w:szCs w:val="18"/>
                <w:color w:val="0000FF"/>
              </w:rPr>
            </w:pPr>
            <w:hyperlink r:id="rId248">
              <w:r>
                <w:rPr>
                  <w:rFonts w:ascii="Arial" w:cs="Arial" w:eastAsia="Arial" w:hAnsi="Arial"/>
                  <w:sz w:val="18"/>
                  <w:szCs w:val="18"/>
                  <w:color w:val="0000FF"/>
                </w:rPr>
                <w:t>Description of Capital Stock.</w:t>
              </w:r>
            </w:hyperlink>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line="207" w:lineRule="exact"/>
              <w:rPr>
                <w:sz w:val="20"/>
                <w:szCs w:val="20"/>
                <w:color w:val="auto"/>
              </w:rPr>
            </w:pPr>
            <w:r>
              <w:rPr>
                <w:rFonts w:ascii="Arial" w:cs="Arial" w:eastAsia="Arial" w:hAnsi="Arial"/>
                <w:sz w:val="18"/>
                <w:szCs w:val="18"/>
                <w:color w:val="auto"/>
              </w:rPr>
              <w:t>001</w:t>
            </w:r>
            <w:r>
              <w:rPr>
                <w:rFonts w:ascii="MS PGothic" w:cs="MS PGothic" w:eastAsia="MS PGothic" w:hAnsi="MS PGothic"/>
                <w:sz w:val="18"/>
                <w:szCs w:val="18"/>
                <w:color w:val="auto"/>
              </w:rPr>
              <w:t>‑</w:t>
            </w:r>
            <w:r>
              <w:rPr>
                <w:rFonts w:ascii="Arial" w:cs="Arial" w:eastAsia="Arial" w:hAnsi="Arial"/>
                <w:sz w:val="18"/>
                <w:szCs w:val="18"/>
                <w:color w:val="auto"/>
              </w:rPr>
              <w:t>39712</w:t>
            </w:r>
          </w:p>
        </w:tc>
        <w:tc>
          <w:tcPr>
            <w:tcW w:w="1080" w:type="dxa"/>
            <w:vAlign w:val="bottom"/>
          </w:tcPr>
          <w:p>
            <w:pPr>
              <w:jc w:val="center"/>
              <w:spacing w:after="0"/>
              <w:rPr>
                <w:sz w:val="20"/>
                <w:szCs w:val="20"/>
                <w:color w:val="auto"/>
              </w:rPr>
            </w:pPr>
            <w:r>
              <w:rPr>
                <w:rFonts w:ascii="Arial" w:cs="Arial" w:eastAsia="Arial" w:hAnsi="Arial"/>
                <w:sz w:val="18"/>
                <w:szCs w:val="18"/>
                <w:color w:val="auto"/>
              </w:rPr>
              <w:t>4.3</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3/17/2021</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4.3</w:t>
            </w:r>
          </w:p>
        </w:tc>
        <w:tc>
          <w:tcPr>
            <w:tcW w:w="3960" w:type="dxa"/>
            <w:vAlign w:val="bottom"/>
            <w:gridSpan w:val="21"/>
          </w:tcPr>
          <w:p>
            <w:pPr>
              <w:spacing w:after="0"/>
              <w:rPr>
                <w:rFonts w:ascii="Arial" w:cs="Arial" w:eastAsia="Arial" w:hAnsi="Arial"/>
                <w:sz w:val="18"/>
                <w:szCs w:val="18"/>
                <w:color w:val="0000FF"/>
              </w:rPr>
            </w:pPr>
            <w:hyperlink r:id="rId249">
              <w:r>
                <w:rPr>
                  <w:rFonts w:ascii="Arial" w:cs="Arial" w:eastAsia="Arial" w:hAnsi="Arial"/>
                  <w:sz w:val="18"/>
                  <w:szCs w:val="18"/>
                  <w:color w:val="0000FF"/>
                </w:rPr>
                <w:t>Form of Pre-Funded and Exchange</w:t>
              </w:r>
            </w:hyperlink>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4.1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12/2/2024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8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249">
              <w:r>
                <w:rPr>
                  <w:rFonts w:ascii="Arial" w:cs="Arial" w:eastAsia="Arial" w:hAnsi="Arial"/>
                  <w:sz w:val="18"/>
                  <w:szCs w:val="18"/>
                  <w:color w:val="0000FF"/>
                </w:rPr>
                <w:t>Warrant</w:t>
              </w:r>
              <w:r>
                <w:rPr>
                  <w:rFonts w:ascii="Arial" w:cs="Arial" w:eastAsia="Arial" w:hAnsi="Arial"/>
                  <w:sz w:val="18"/>
                  <w:szCs w:val="18"/>
                  <w:color w:val="000000"/>
                </w:rPr>
                <w:t>.</w:t>
              </w:r>
            </w:hyperlink>
          </w:p>
        </w:tc>
        <w:tc>
          <w:tcPr>
            <w:tcW w:w="8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4.4</w:t>
            </w:r>
          </w:p>
        </w:tc>
        <w:tc>
          <w:tcPr>
            <w:tcW w:w="3960" w:type="dxa"/>
            <w:vAlign w:val="bottom"/>
            <w:gridSpan w:val="21"/>
          </w:tcPr>
          <w:p>
            <w:pPr>
              <w:spacing w:after="0"/>
              <w:rPr>
                <w:rFonts w:ascii="Arial" w:cs="Arial" w:eastAsia="Arial" w:hAnsi="Arial"/>
                <w:sz w:val="18"/>
                <w:szCs w:val="18"/>
                <w:color w:val="0000FF"/>
              </w:rPr>
            </w:pPr>
            <w:hyperlink r:id="rId250">
              <w:r>
                <w:rPr>
                  <w:rFonts w:ascii="Arial" w:cs="Arial" w:eastAsia="Arial" w:hAnsi="Arial"/>
                  <w:sz w:val="18"/>
                  <w:szCs w:val="18"/>
                  <w:color w:val="0000FF"/>
                </w:rPr>
                <w:t>Form of Exchange Warrant</w:t>
              </w:r>
            </w:hyperlink>
            <w:r>
              <w:rPr>
                <w:rFonts w:ascii="Arial" w:cs="Arial" w:eastAsia="Arial" w:hAnsi="Arial"/>
                <w:sz w:val="18"/>
                <w:szCs w:val="18"/>
                <w:color w:val="000000"/>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tcPr>
          <w:p>
            <w:pPr>
              <w:jc w:val="center"/>
              <w:spacing w:after="0"/>
              <w:rPr>
                <w:sz w:val="20"/>
                <w:szCs w:val="20"/>
                <w:color w:val="auto"/>
              </w:rPr>
            </w:pPr>
            <w:r>
              <w:rPr>
                <w:rFonts w:ascii="Arial" w:cs="Arial" w:eastAsia="Arial" w:hAnsi="Arial"/>
                <w:sz w:val="18"/>
                <w:szCs w:val="18"/>
                <w:color w:val="auto"/>
              </w:rPr>
              <w:t>4.1</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1/10/2025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3960" w:type="dxa"/>
            <w:vAlign w:val="bottom"/>
            <w:gridSpan w:val="21"/>
          </w:tcPr>
          <w:p>
            <w:pPr>
              <w:spacing w:after="0"/>
              <w:rPr>
                <w:rFonts w:ascii="Arial" w:cs="Arial" w:eastAsia="Arial" w:hAnsi="Arial"/>
                <w:sz w:val="18"/>
                <w:szCs w:val="18"/>
                <w:color w:val="0000FF"/>
              </w:rPr>
            </w:pPr>
            <w:hyperlink r:id="rId251">
              <w:r>
                <w:rPr>
                  <w:rFonts w:ascii="Arial" w:cs="Arial" w:eastAsia="Arial" w:hAnsi="Arial"/>
                  <w:sz w:val="18"/>
                  <w:szCs w:val="18"/>
                  <w:color w:val="0000FF"/>
                </w:rPr>
                <w:t>Olema Pharmaceuticals, Inc. 2014 Stock Plan,</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8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251">
              <w:r>
                <w:rPr>
                  <w:rFonts w:ascii="Arial" w:cs="Arial" w:eastAsia="Arial" w:hAnsi="Arial"/>
                  <w:sz w:val="18"/>
                  <w:szCs w:val="18"/>
                  <w:color w:val="0000FF"/>
                </w:rPr>
                <w:t>as amended.</w:t>
              </w:r>
            </w:hyperlink>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3960" w:type="dxa"/>
            <w:vAlign w:val="bottom"/>
            <w:gridSpan w:val="21"/>
          </w:tcPr>
          <w:p>
            <w:pPr>
              <w:spacing w:after="0"/>
              <w:rPr>
                <w:rFonts w:ascii="Arial" w:cs="Arial" w:eastAsia="Arial" w:hAnsi="Arial"/>
                <w:sz w:val="18"/>
                <w:szCs w:val="18"/>
                <w:color w:val="0000FF"/>
              </w:rPr>
            </w:pPr>
            <w:hyperlink r:id="rId252">
              <w:r>
                <w:rPr>
                  <w:rFonts w:ascii="Arial" w:cs="Arial" w:eastAsia="Arial" w:hAnsi="Arial"/>
                  <w:sz w:val="18"/>
                  <w:szCs w:val="18"/>
                  <w:color w:val="0000FF"/>
                </w:rPr>
                <w:t>Forms of Stock Option Grant Notice, Stock</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26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Option Agreement, Early Exercise Stock</w:t>
              </w:r>
            </w:hyperlink>
          </w:p>
        </w:tc>
        <w:tc>
          <w:tcPr>
            <w:tcW w:w="200" w:type="dxa"/>
            <w:vAlign w:val="bottom"/>
            <w:tcBorders>
              <w:top w:val="single" w:sz="8" w:color="0000FF"/>
            </w:tcBorders>
            <w:gridSpan w:val="3"/>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3960" w:type="dxa"/>
            <w:vAlign w:val="bottom"/>
            <w:gridSpan w:val="21"/>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Purchase Agreement and Notice of Exercise and</w:t>
              </w:r>
            </w:hyperlink>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4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Restricted Stock Award Grant Notice and</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3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Restricted Stock Award Agreement under</w:t>
              </w:r>
            </w:hyperlink>
          </w:p>
        </w:tc>
        <w:tc>
          <w:tcPr>
            <w:tcW w:w="20" w:type="dxa"/>
            <w:vAlign w:val="bottom"/>
          </w:tcPr>
          <w:p>
            <w:pPr>
              <w:spacing w:after="0"/>
              <w:rPr>
                <w:sz w:val="15"/>
                <w:szCs w:val="15"/>
                <w:color w:val="auto"/>
              </w:rPr>
            </w:pPr>
          </w:p>
        </w:tc>
        <w:tc>
          <w:tcPr>
            <w:tcW w:w="600" w:type="dxa"/>
            <w:vAlign w:val="bottom"/>
            <w:gridSpan w:val="8"/>
          </w:tcPr>
          <w:p>
            <w:pPr>
              <w:spacing w:after="0" w:line="182" w:lineRule="exact"/>
              <w:rPr>
                <w:rFonts w:ascii="Arial" w:cs="Arial" w:eastAsia="Arial" w:hAnsi="Arial"/>
                <w:sz w:val="18"/>
                <w:szCs w:val="18"/>
                <w:color w:val="0000FF"/>
              </w:rPr>
            </w:pPr>
            <w:hyperlink r:id="rId252">
              <w:r>
                <w:rPr>
                  <w:rFonts w:ascii="Arial" w:cs="Arial" w:eastAsia="Arial" w:hAnsi="Arial"/>
                  <w:sz w:val="18"/>
                  <w:szCs w:val="18"/>
                  <w:color w:val="0000FF"/>
                </w:rPr>
                <w:t>the</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10.2</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8"/>
              </w:rPr>
            </w:pPr>
            <w:hyperlink r:id="rId252">
              <w:r>
                <w:rPr>
                  <w:rFonts w:ascii="Arial" w:cs="Arial" w:eastAsia="Arial" w:hAnsi="Arial"/>
                  <w:sz w:val="18"/>
                  <w:szCs w:val="18"/>
                  <w:color w:val="0000FF"/>
                  <w:w w:val="98"/>
                </w:rPr>
                <w:t>Olema Pharmaceuticals, Inc. 2014 Stock Plan.</w:t>
              </w:r>
            </w:hyperlink>
          </w:p>
        </w:tc>
        <w:tc>
          <w:tcPr>
            <w:tcW w:w="6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gridSpan w:val="3"/>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3960" w:type="dxa"/>
            <w:vAlign w:val="bottom"/>
            <w:gridSpan w:val="21"/>
          </w:tcPr>
          <w:p>
            <w:pPr>
              <w:spacing w:after="0"/>
              <w:rPr>
                <w:rFonts w:ascii="Arial" w:cs="Arial" w:eastAsia="Arial" w:hAnsi="Arial"/>
                <w:sz w:val="18"/>
                <w:szCs w:val="18"/>
                <w:color w:val="0000FF"/>
              </w:rPr>
            </w:pPr>
            <w:hyperlink r:id="rId253">
              <w:r>
                <w:rPr>
                  <w:rFonts w:ascii="Arial" w:cs="Arial" w:eastAsia="Arial" w:hAnsi="Arial"/>
                  <w:sz w:val="18"/>
                  <w:szCs w:val="18"/>
                  <w:color w:val="0000FF"/>
                </w:rPr>
                <w:t>Olema Pharmaceuticals, Inc. 2020 Equity</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10.3</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3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53">
              <w:r>
                <w:rPr>
                  <w:rFonts w:ascii="Arial" w:cs="Arial" w:eastAsia="Arial" w:hAnsi="Arial"/>
                  <w:sz w:val="18"/>
                  <w:szCs w:val="18"/>
                  <w:color w:val="0000FF"/>
                </w:rPr>
                <w:t>Incentive Plan.</w:t>
              </w:r>
            </w:hyperlink>
          </w:p>
        </w:tc>
        <w:tc>
          <w:tcPr>
            <w:tcW w:w="180" w:type="dxa"/>
            <w:vAlign w:val="bottom"/>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200" w:type="dxa"/>
            <w:vAlign w:val="bottom"/>
            <w:gridSpan w:val="3"/>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3960" w:type="dxa"/>
            <w:vAlign w:val="bottom"/>
            <w:gridSpan w:val="21"/>
          </w:tcPr>
          <w:p>
            <w:pPr>
              <w:spacing w:after="0"/>
              <w:rPr>
                <w:rFonts w:ascii="Arial" w:cs="Arial" w:eastAsia="Arial" w:hAnsi="Arial"/>
                <w:sz w:val="18"/>
                <w:szCs w:val="18"/>
                <w:color w:val="0000FF"/>
              </w:rPr>
            </w:pPr>
            <w:hyperlink r:id="rId254">
              <w:r>
                <w:rPr>
                  <w:rFonts w:ascii="Arial" w:cs="Arial" w:eastAsia="Arial" w:hAnsi="Arial"/>
                  <w:sz w:val="18"/>
                  <w:szCs w:val="18"/>
                  <w:color w:val="0000FF"/>
                </w:rPr>
                <w:t>Forms of Stock Option Grant Notice and Stock</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6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Option Agreement under the Olema</w:t>
              </w:r>
            </w:hyperlink>
          </w:p>
        </w:tc>
        <w:tc>
          <w:tcPr>
            <w:tcW w:w="20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9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Pharmaceuticals, Inc. 2020 Equity</w:t>
              </w:r>
            </w:hyperlink>
          </w:p>
        </w:tc>
        <w:tc>
          <w:tcPr>
            <w:tcW w:w="1060" w:type="dxa"/>
            <w:vAlign w:val="bottom"/>
            <w:gridSpan w:val="12"/>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Incentive</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10.4</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54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54">
              <w:r>
                <w:rPr>
                  <w:rFonts w:ascii="Arial" w:cs="Arial" w:eastAsia="Arial" w:hAnsi="Arial"/>
                  <w:sz w:val="18"/>
                  <w:szCs w:val="18"/>
                  <w:color w:val="0000FF"/>
                </w:rPr>
                <w:t>Plan.</w:t>
              </w:r>
            </w:hyperlink>
          </w:p>
        </w:tc>
        <w:tc>
          <w:tcPr>
            <w:tcW w:w="420" w:type="dxa"/>
            <w:vAlign w:val="bottom"/>
            <w:gridSpan w:val="6"/>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16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182</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23"/>
            <w:vMerge w:val="restart"/>
          </w:tcPr>
          <w:p>
            <w:pPr>
              <w:jc w:val="center"/>
              <w:ind w:right="1680"/>
              <w:spacing w:after="0"/>
              <w:rPr>
                <w:sz w:val="20"/>
                <w:szCs w:val="20"/>
                <w:color w:val="auto"/>
              </w:rPr>
            </w:pPr>
            <w:r>
              <w:rPr>
                <w:rFonts w:ascii="Arial" w:cs="Arial" w:eastAsia="Arial" w:hAnsi="Arial"/>
                <w:sz w:val="18"/>
                <w:szCs w:val="18"/>
                <w:b w:val="1"/>
                <w:bCs w:val="1"/>
                <w:color w:val="auto"/>
                <w:w w:val="89"/>
              </w:rPr>
              <w:t>Exhibit</w:t>
            </w:r>
          </w:p>
        </w:tc>
        <w:tc>
          <w:tcPr>
            <w:tcW w:w="106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Incorporation by Reference</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3"/>
            <w:vMerge w:val="continue"/>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40" w:type="dxa"/>
            <w:vAlign w:val="bottom"/>
          </w:tcPr>
          <w:p>
            <w:pPr>
              <w:jc w:val="center"/>
              <w:ind w:left="30"/>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25"/>
          </w:tcPr>
          <w:p>
            <w:pPr>
              <w:jc w:val="center"/>
              <w:ind w:right="1460"/>
              <w:spacing w:after="0"/>
              <w:rPr>
                <w:sz w:val="20"/>
                <w:szCs w:val="20"/>
                <w:color w:val="auto"/>
              </w:rPr>
            </w:pPr>
            <w:r>
              <w:rPr>
                <w:rFonts w:ascii="Arial" w:cs="Arial" w:eastAsia="Arial" w:hAnsi="Arial"/>
                <w:sz w:val="18"/>
                <w:szCs w:val="18"/>
                <w:b w:val="1"/>
                <w:bCs w:val="1"/>
                <w:color w:val="auto"/>
              </w:rPr>
              <w:t>Description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File No.</w:t>
            </w: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10.5#</w:t>
            </w:r>
          </w:p>
        </w:tc>
        <w:tc>
          <w:tcPr>
            <w:tcW w:w="3960" w:type="dxa"/>
            <w:vAlign w:val="bottom"/>
            <w:gridSpan w:val="30"/>
          </w:tcPr>
          <w:p>
            <w:pPr>
              <w:spacing w:after="0"/>
              <w:rPr>
                <w:rFonts w:ascii="Arial" w:cs="Arial" w:eastAsia="Arial" w:hAnsi="Arial"/>
                <w:sz w:val="18"/>
                <w:szCs w:val="18"/>
                <w:color w:val="0000FF"/>
              </w:rPr>
            </w:pPr>
            <w:hyperlink r:id="rId257">
              <w:r>
                <w:rPr>
                  <w:rFonts w:ascii="Arial" w:cs="Arial" w:eastAsia="Arial" w:hAnsi="Arial"/>
                  <w:sz w:val="18"/>
                  <w:szCs w:val="18"/>
                  <w:color w:val="0000FF"/>
                </w:rPr>
                <w:t>Forms of Restricted Stock Unit Grant Notice and</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2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Restricted Stock Unit Award Agreement under</w:t>
              </w:r>
            </w:hyperlink>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the Olema Pharmaceuticals, Inc. 2020 Equity</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10.5</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257">
              <w:r>
                <w:rPr>
                  <w:rFonts w:ascii="Arial" w:cs="Arial" w:eastAsia="Arial" w:hAnsi="Arial"/>
                  <w:sz w:val="18"/>
                  <w:szCs w:val="18"/>
                  <w:color w:val="0000FF"/>
                </w:rPr>
                <w:t>Incentive Plan.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10.6#</w:t>
            </w:r>
          </w:p>
        </w:tc>
        <w:tc>
          <w:tcPr>
            <w:tcW w:w="3960" w:type="dxa"/>
            <w:vAlign w:val="bottom"/>
            <w:gridSpan w:val="30"/>
          </w:tcPr>
          <w:p>
            <w:pPr>
              <w:spacing w:after="0"/>
              <w:rPr>
                <w:rFonts w:ascii="Arial" w:cs="Arial" w:eastAsia="Arial" w:hAnsi="Arial"/>
                <w:sz w:val="18"/>
                <w:szCs w:val="18"/>
                <w:color w:val="0000FF"/>
              </w:rPr>
            </w:pPr>
            <w:hyperlink r:id="rId258">
              <w:r>
                <w:rPr>
                  <w:rFonts w:ascii="Arial" w:cs="Arial" w:eastAsia="Arial" w:hAnsi="Arial"/>
                  <w:sz w:val="18"/>
                  <w:szCs w:val="18"/>
                  <w:color w:val="0000FF"/>
                </w:rPr>
                <w:t>Olema Pharmaceuticals, Inc. 2020 Employee</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10.6</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258">
              <w:r>
                <w:rPr>
                  <w:rFonts w:ascii="Arial" w:cs="Arial" w:eastAsia="Arial" w:hAnsi="Arial"/>
                  <w:sz w:val="18"/>
                  <w:szCs w:val="18"/>
                  <w:color w:val="0000FF"/>
                </w:rPr>
                <w:t>Stock Purchase Plan.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10.7#</w:t>
            </w:r>
          </w:p>
        </w:tc>
        <w:tc>
          <w:tcPr>
            <w:tcW w:w="3560" w:type="dxa"/>
            <w:vAlign w:val="bottom"/>
            <w:tcBorders>
              <w:bottom w:val="single" w:sz="8" w:color="0000FF"/>
            </w:tcBorders>
            <w:gridSpan w:val="17"/>
          </w:tcPr>
          <w:p>
            <w:pPr>
              <w:spacing w:after="0"/>
              <w:rPr>
                <w:rFonts w:ascii="Arial" w:cs="Arial" w:eastAsia="Arial" w:hAnsi="Arial"/>
                <w:sz w:val="18"/>
                <w:szCs w:val="18"/>
                <w:color w:val="0000FF"/>
              </w:rPr>
            </w:pPr>
            <w:hyperlink r:id="rId259">
              <w:r>
                <w:rPr>
                  <w:rFonts w:ascii="Arial" w:cs="Arial" w:eastAsia="Arial" w:hAnsi="Arial"/>
                  <w:sz w:val="18"/>
                  <w:szCs w:val="18"/>
                  <w:color w:val="0000FF"/>
                </w:rPr>
                <w:t>Olema Pharmaceuticals, Inc. Amended and</w:t>
              </w:r>
            </w:hyperlink>
          </w:p>
        </w:tc>
        <w:tc>
          <w:tcPr>
            <w:tcW w:w="400" w:type="dxa"/>
            <w:vAlign w:val="bottom"/>
            <w:gridSpan w:val="13"/>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tcBorders>
              <w:bottom w:val="single" w:sz="8" w:color="0000FF"/>
            </w:tcBorders>
            <w:gridSpan w:val="30"/>
          </w:tcPr>
          <w:p>
            <w:pPr>
              <w:spacing w:after="0" w:line="182" w:lineRule="exact"/>
              <w:rPr>
                <w:rFonts w:ascii="Arial" w:cs="Arial" w:eastAsia="Arial" w:hAnsi="Arial"/>
                <w:sz w:val="18"/>
                <w:szCs w:val="18"/>
                <w:color w:val="0000FF"/>
              </w:rPr>
            </w:pPr>
            <w:hyperlink r:id="rId259">
              <w:r>
                <w:rPr>
                  <w:rFonts w:ascii="Arial" w:cs="Arial" w:eastAsia="Arial" w:hAnsi="Arial"/>
                  <w:sz w:val="18"/>
                  <w:szCs w:val="18"/>
                  <w:color w:val="0000FF"/>
                </w:rPr>
                <w:t>Restated Non-Employee Director Compensation</w:t>
              </w:r>
            </w:hyperlink>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8/11/2025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540" w:type="dxa"/>
            <w:vAlign w:val="bottom"/>
            <w:tcBorders>
              <w:bottom w:val="single" w:sz="8" w:color="0000FF"/>
            </w:tcBorders>
          </w:tcPr>
          <w:p>
            <w:pPr>
              <w:spacing w:after="0" w:line="182" w:lineRule="exact"/>
              <w:rPr>
                <w:rFonts w:ascii="Arial" w:cs="Arial" w:eastAsia="Arial" w:hAnsi="Arial"/>
                <w:sz w:val="18"/>
                <w:szCs w:val="18"/>
                <w:color w:val="0000FF"/>
                <w:w w:val="97"/>
              </w:rPr>
            </w:pPr>
            <w:hyperlink r:id="rId259">
              <w:r>
                <w:rPr>
                  <w:rFonts w:ascii="Arial" w:cs="Arial" w:eastAsia="Arial" w:hAnsi="Arial"/>
                  <w:sz w:val="18"/>
                  <w:szCs w:val="18"/>
                  <w:color w:val="0000FF"/>
                  <w:w w:val="97"/>
                </w:rPr>
                <w:t>Policy.</w:t>
              </w:r>
            </w:hyperlink>
          </w:p>
        </w:tc>
        <w:tc>
          <w:tcPr>
            <w:tcW w:w="20" w:type="dxa"/>
            <w:vAlign w:val="bottom"/>
            <w:tcBorders>
              <w:bottom w:val="single" w:sz="8" w:color="0000EE"/>
            </w:tcBorders>
          </w:tcPr>
          <w:p>
            <w:pPr>
              <w:spacing w:after="0"/>
              <w:rPr>
                <w:sz w:val="15"/>
                <w:szCs w:val="15"/>
                <w:color w:val="auto"/>
              </w:rPr>
            </w:pPr>
          </w:p>
        </w:tc>
        <w:tc>
          <w:tcPr>
            <w:tcW w:w="3400" w:type="dxa"/>
            <w:vAlign w:val="bottom"/>
            <w:gridSpan w:val="28"/>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10.8#</w:t>
            </w:r>
          </w:p>
        </w:tc>
        <w:tc>
          <w:tcPr>
            <w:tcW w:w="3960" w:type="dxa"/>
            <w:vAlign w:val="bottom"/>
            <w:gridSpan w:val="30"/>
          </w:tcPr>
          <w:p>
            <w:pPr>
              <w:spacing w:after="0"/>
              <w:rPr>
                <w:rFonts w:ascii="Arial" w:cs="Arial" w:eastAsia="Arial" w:hAnsi="Arial"/>
                <w:sz w:val="18"/>
                <w:szCs w:val="18"/>
                <w:color w:val="0000FF"/>
              </w:rPr>
            </w:pPr>
            <w:hyperlink r:id="rId260">
              <w:r>
                <w:rPr>
                  <w:rFonts w:ascii="Arial" w:cs="Arial" w:eastAsia="Arial" w:hAnsi="Arial"/>
                  <w:sz w:val="18"/>
                  <w:szCs w:val="18"/>
                  <w:color w:val="0000FF"/>
                </w:rPr>
                <w:t>Form of Indemnification Agreement by and</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7"/>
              </w:rPr>
            </w:pPr>
            <w:hyperlink r:id="rId260">
              <w:r>
                <w:rPr>
                  <w:rFonts w:ascii="Arial" w:cs="Arial" w:eastAsia="Arial" w:hAnsi="Arial"/>
                  <w:sz w:val="18"/>
                  <w:szCs w:val="18"/>
                  <w:color w:val="0000FF"/>
                  <w:w w:val="97"/>
                </w:rPr>
                <w:t>between the Registrant and its directors and</w:t>
              </w:r>
            </w:hyperlink>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10.8</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10/30/2020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580" w:type="dxa"/>
            <w:vAlign w:val="bottom"/>
            <w:gridSpan w:val="18"/>
          </w:tcPr>
          <w:p>
            <w:pPr>
              <w:spacing w:after="0" w:line="182" w:lineRule="exact"/>
              <w:rPr>
                <w:rFonts w:ascii="Arial" w:cs="Arial" w:eastAsia="Arial" w:hAnsi="Arial"/>
                <w:sz w:val="18"/>
                <w:szCs w:val="18"/>
                <w:color w:val="0000FF"/>
              </w:rPr>
            </w:pPr>
            <w:hyperlink r:id="rId260">
              <w:r>
                <w:rPr>
                  <w:rFonts w:ascii="Arial" w:cs="Arial" w:eastAsia="Arial" w:hAnsi="Arial"/>
                  <w:sz w:val="18"/>
                  <w:szCs w:val="18"/>
                  <w:color w:val="0000FF"/>
                </w:rPr>
                <w:t>executive officers.</w:t>
              </w:r>
            </w:hyperlink>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10.9#</w:t>
            </w:r>
          </w:p>
        </w:tc>
        <w:tc>
          <w:tcPr>
            <w:tcW w:w="3500" w:type="dxa"/>
            <w:vAlign w:val="bottom"/>
            <w:tcBorders>
              <w:bottom w:val="single" w:sz="8" w:color="0000FF"/>
            </w:tcBorders>
            <w:gridSpan w:val="14"/>
          </w:tcPr>
          <w:p>
            <w:pPr>
              <w:spacing w:after="0"/>
              <w:rPr>
                <w:rFonts w:ascii="Arial" w:cs="Arial" w:eastAsia="Arial" w:hAnsi="Arial"/>
                <w:sz w:val="18"/>
                <w:szCs w:val="18"/>
                <w:color w:val="0000FF"/>
              </w:rPr>
            </w:pPr>
            <w:hyperlink r:id="rId261">
              <w:r>
                <w:rPr>
                  <w:rFonts w:ascii="Arial" w:cs="Arial" w:eastAsia="Arial" w:hAnsi="Arial"/>
                  <w:sz w:val="18"/>
                  <w:szCs w:val="18"/>
                  <w:color w:val="0000FF"/>
                </w:rPr>
                <w:t>Amended and Restated Offer Letter by and</w:t>
              </w:r>
            </w:hyperlink>
          </w:p>
        </w:tc>
        <w:tc>
          <w:tcPr>
            <w:tcW w:w="46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30"/>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between the Registrant and Sean Bohen, dated</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10.9</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6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61">
              <w:r>
                <w:rPr>
                  <w:rFonts w:ascii="Arial" w:cs="Arial" w:eastAsia="Arial" w:hAnsi="Arial"/>
                  <w:sz w:val="18"/>
                  <w:szCs w:val="18"/>
                  <w:color w:val="0000FF"/>
                  <w:w w:val="99"/>
                </w:rPr>
                <w:t>November 13, 2020.</w:t>
              </w:r>
            </w:hyperlink>
          </w:p>
        </w:tc>
        <w:tc>
          <w:tcPr>
            <w:tcW w:w="100" w:type="dxa"/>
            <w:vAlign w:val="bottom"/>
            <w:tcBorders>
              <w:top w:val="single" w:sz="8" w:color="0000FF"/>
              <w:bottom w:val="single" w:sz="8" w:color="0000EE"/>
            </w:tcBorders>
          </w:tcPr>
          <w:p>
            <w:pPr>
              <w:spacing w:after="0"/>
              <w:rPr>
                <w:sz w:val="15"/>
                <w:szCs w:val="15"/>
                <w:color w:val="auto"/>
              </w:rPr>
            </w:pPr>
          </w:p>
        </w:tc>
        <w:tc>
          <w:tcPr>
            <w:tcW w:w="2120" w:type="dxa"/>
            <w:vAlign w:val="bottom"/>
            <w:tcBorders>
              <w:top w:val="single" w:sz="8" w:color="0000FF"/>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10.10#</w:t>
            </w:r>
          </w:p>
        </w:tc>
        <w:tc>
          <w:tcPr>
            <w:tcW w:w="3960" w:type="dxa"/>
            <w:vAlign w:val="bottom"/>
            <w:gridSpan w:val="30"/>
          </w:tcPr>
          <w:p>
            <w:pPr>
              <w:spacing w:after="0"/>
              <w:rPr>
                <w:rFonts w:ascii="Arial" w:cs="Arial" w:eastAsia="Arial" w:hAnsi="Arial"/>
                <w:sz w:val="18"/>
                <w:szCs w:val="18"/>
                <w:color w:val="0000FF"/>
              </w:rPr>
            </w:pPr>
            <w:hyperlink r:id="rId262">
              <w:r>
                <w:rPr>
                  <w:rFonts w:ascii="Arial" w:cs="Arial" w:eastAsia="Arial" w:hAnsi="Arial"/>
                  <w:sz w:val="18"/>
                  <w:szCs w:val="18"/>
                  <w:color w:val="0000FF"/>
                </w:rPr>
                <w:t>Amended and Restated Offer Letter by and</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50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62">
              <w:r>
                <w:rPr>
                  <w:rFonts w:ascii="Arial" w:cs="Arial" w:eastAsia="Arial" w:hAnsi="Arial"/>
                  <w:sz w:val="18"/>
                  <w:szCs w:val="18"/>
                  <w:color w:val="0000FF"/>
                </w:rPr>
                <w:t>between the Registrant and Shane Kovacs,</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10.12</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14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r:id="rId262">
              <w:r>
                <w:rPr>
                  <w:rFonts w:ascii="Arial" w:cs="Arial" w:eastAsia="Arial" w:hAnsi="Arial"/>
                  <w:sz w:val="18"/>
                  <w:szCs w:val="18"/>
                  <w:color w:val="0000FF"/>
                  <w:w w:val="99"/>
                </w:rPr>
                <w:t>dated November 13, 2020.</w:t>
              </w:r>
            </w:hyperlink>
          </w:p>
        </w:tc>
        <w:tc>
          <w:tcPr>
            <w:tcW w:w="20" w:type="dxa"/>
            <w:vAlign w:val="bottom"/>
            <w:tcBorders>
              <w:bottom w:val="single" w:sz="8" w:color="0000EE"/>
            </w:tcBorders>
          </w:tcPr>
          <w:p>
            <w:pPr>
              <w:spacing w:after="0"/>
              <w:rPr>
                <w:sz w:val="15"/>
                <w:szCs w:val="15"/>
                <w:color w:val="auto"/>
              </w:rPr>
            </w:pPr>
          </w:p>
        </w:tc>
        <w:tc>
          <w:tcPr>
            <w:tcW w:w="1380" w:type="dxa"/>
            <w:vAlign w:val="bottom"/>
            <w:gridSpan w:val="7"/>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10.11#</w:t>
            </w:r>
          </w:p>
        </w:tc>
        <w:tc>
          <w:tcPr>
            <w:tcW w:w="3500" w:type="dxa"/>
            <w:vAlign w:val="bottom"/>
            <w:tcBorders>
              <w:bottom w:val="single" w:sz="8" w:color="0000FF"/>
            </w:tcBorders>
            <w:gridSpan w:val="14"/>
          </w:tcPr>
          <w:p>
            <w:pPr>
              <w:spacing w:after="0"/>
              <w:rPr>
                <w:rFonts w:ascii="Arial" w:cs="Arial" w:eastAsia="Arial" w:hAnsi="Arial"/>
                <w:sz w:val="18"/>
                <w:szCs w:val="18"/>
                <w:color w:val="0000FF"/>
              </w:rPr>
            </w:pPr>
            <w:hyperlink r:id="rId263">
              <w:r>
                <w:rPr>
                  <w:rFonts w:ascii="Arial" w:cs="Arial" w:eastAsia="Arial" w:hAnsi="Arial"/>
                  <w:sz w:val="18"/>
                  <w:szCs w:val="18"/>
                  <w:color w:val="0000FF"/>
                </w:rPr>
                <w:t>Amended and Restated Offer Letter by and</w:t>
              </w:r>
            </w:hyperlink>
          </w:p>
        </w:tc>
        <w:tc>
          <w:tcPr>
            <w:tcW w:w="460" w:type="dxa"/>
            <w:vAlign w:val="bottom"/>
            <w:gridSpan w:val="16"/>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30"/>
          </w:tcPr>
          <w:p>
            <w:pPr>
              <w:spacing w:after="0" w:line="182" w:lineRule="exact"/>
              <w:rPr>
                <w:rFonts w:ascii="Arial" w:cs="Arial" w:eastAsia="Arial" w:hAnsi="Arial"/>
                <w:sz w:val="18"/>
                <w:szCs w:val="18"/>
                <w:color w:val="0000FF"/>
              </w:rPr>
            </w:pPr>
            <w:hyperlink r:id="rId263">
              <w:r>
                <w:rPr>
                  <w:rFonts w:ascii="Arial" w:cs="Arial" w:eastAsia="Arial" w:hAnsi="Arial"/>
                  <w:sz w:val="18"/>
                  <w:szCs w:val="18"/>
                  <w:color w:val="0000FF"/>
                </w:rPr>
                <w:t>between the Registrant and David Myles, dated</w:t>
              </w:r>
            </w:hyperlink>
          </w:p>
        </w:tc>
        <w:tc>
          <w:tcPr>
            <w:tcW w:w="106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S</w:t>
            </w:r>
            <w:r>
              <w:rPr>
                <w:rFonts w:ascii="MS PGothic" w:cs="MS PGothic" w:eastAsia="MS PGothic" w:hAnsi="MS PGothic"/>
                <w:sz w:val="18"/>
                <w:szCs w:val="18"/>
                <w:color w:val="auto"/>
              </w:rPr>
              <w:t>‑</w:t>
            </w:r>
            <w:r>
              <w:rPr>
                <w:rFonts w:ascii="Arial" w:cs="Arial" w:eastAsia="Arial" w:hAnsi="Arial"/>
                <w:sz w:val="18"/>
                <w:szCs w:val="18"/>
                <w:color w:val="auto"/>
              </w:rPr>
              <w:t>1/A</w:t>
            </w:r>
          </w:p>
        </w:tc>
        <w:tc>
          <w:tcPr>
            <w:tcW w:w="1440" w:type="dxa"/>
            <w:vAlign w:val="bottom"/>
            <w:vMerge w:val="restart"/>
          </w:tcPr>
          <w:p>
            <w:pPr>
              <w:jc w:val="center"/>
              <w:spacing w:after="0" w:line="207" w:lineRule="exact"/>
              <w:rPr>
                <w:sz w:val="20"/>
                <w:szCs w:val="20"/>
                <w:color w:val="auto"/>
              </w:rPr>
            </w:pPr>
            <w:r>
              <w:rPr>
                <w:rFonts w:ascii="Arial" w:cs="Arial" w:eastAsia="Arial" w:hAnsi="Arial"/>
                <w:sz w:val="18"/>
                <w:szCs w:val="18"/>
                <w:color w:val="auto"/>
              </w:rPr>
              <w:t>333</w:t>
            </w:r>
            <w:r>
              <w:rPr>
                <w:rFonts w:ascii="MS PGothic" w:cs="MS PGothic" w:eastAsia="MS PGothic" w:hAnsi="MS PGothic"/>
                <w:sz w:val="18"/>
                <w:szCs w:val="18"/>
                <w:color w:val="auto"/>
              </w:rPr>
              <w:t>‑</w:t>
            </w:r>
            <w:r>
              <w:rPr>
                <w:rFonts w:ascii="Arial" w:cs="Arial" w:eastAsia="Arial" w:hAnsi="Arial"/>
                <w:sz w:val="18"/>
                <w:szCs w:val="18"/>
                <w:color w:val="auto"/>
              </w:rPr>
              <w:t>249748</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10.14</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11/16/2020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6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63">
              <w:r>
                <w:rPr>
                  <w:rFonts w:ascii="Arial" w:cs="Arial" w:eastAsia="Arial" w:hAnsi="Arial"/>
                  <w:sz w:val="18"/>
                  <w:szCs w:val="18"/>
                  <w:color w:val="0000FF"/>
                  <w:w w:val="99"/>
                </w:rPr>
                <w:t>November 13, 2020.</w:t>
              </w:r>
            </w:hyperlink>
          </w:p>
        </w:tc>
        <w:tc>
          <w:tcPr>
            <w:tcW w:w="100" w:type="dxa"/>
            <w:vAlign w:val="bottom"/>
            <w:tcBorders>
              <w:top w:val="single" w:sz="8" w:color="0000FF"/>
              <w:bottom w:val="single" w:sz="8" w:color="0000EE"/>
            </w:tcBorders>
          </w:tcPr>
          <w:p>
            <w:pPr>
              <w:spacing w:after="0"/>
              <w:rPr>
                <w:sz w:val="15"/>
                <w:szCs w:val="15"/>
                <w:color w:val="auto"/>
              </w:rPr>
            </w:pPr>
          </w:p>
        </w:tc>
        <w:tc>
          <w:tcPr>
            <w:tcW w:w="2100" w:type="dxa"/>
            <w:vAlign w:val="bottom"/>
            <w:tcBorders>
              <w:top w:val="single" w:sz="8" w:color="0000FF"/>
            </w:tcBorders>
            <w:gridSpan w:val="1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10.12¥</w:t>
            </w:r>
          </w:p>
        </w:tc>
        <w:tc>
          <w:tcPr>
            <w:tcW w:w="3960" w:type="dxa"/>
            <w:vAlign w:val="bottom"/>
            <w:gridSpan w:val="30"/>
          </w:tcPr>
          <w:p>
            <w:pPr>
              <w:spacing w:after="0"/>
              <w:rPr>
                <w:rFonts w:ascii="Arial" w:cs="Arial" w:eastAsia="Arial" w:hAnsi="Arial"/>
                <w:sz w:val="18"/>
                <w:szCs w:val="18"/>
                <w:color w:val="0000FF"/>
              </w:rPr>
            </w:pPr>
            <w:hyperlink r:id="rId264">
              <w:r>
                <w:rPr>
                  <w:rFonts w:ascii="Arial" w:cs="Arial" w:eastAsia="Arial" w:hAnsi="Arial"/>
                  <w:sz w:val="18"/>
                  <w:szCs w:val="18"/>
                  <w:color w:val="0000FF"/>
                </w:rPr>
                <w:t>Amended and Restated Clinical Collaboration</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52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and Supply Agreement by and between the</w:t>
              </w:r>
            </w:hyperlink>
          </w:p>
        </w:tc>
        <w:tc>
          <w:tcPr>
            <w:tcW w:w="16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30"/>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Registrant and Novartis Institutes for BioMedical</w:t>
              </w:r>
            </w:hyperlink>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5/9/2023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28"/>
          </w:tcPr>
          <w:p>
            <w:pPr>
              <w:spacing w:after="0" w:line="182" w:lineRule="exact"/>
              <w:rPr>
                <w:rFonts w:ascii="Arial" w:cs="Arial" w:eastAsia="Arial" w:hAnsi="Arial"/>
                <w:sz w:val="18"/>
                <w:szCs w:val="18"/>
                <w:color w:val="0000FF"/>
              </w:rPr>
            </w:pPr>
            <w:hyperlink r:id="rId264">
              <w:r>
                <w:rPr>
                  <w:rFonts w:ascii="Arial" w:cs="Arial" w:eastAsia="Arial" w:hAnsi="Arial"/>
                  <w:sz w:val="18"/>
                  <w:szCs w:val="18"/>
                  <w:color w:val="0000FF"/>
                </w:rPr>
                <w:t>Research, Inc., dated January 13, 2022.</w:t>
              </w:r>
            </w:hyperlink>
          </w:p>
        </w:tc>
        <w:tc>
          <w:tcPr>
            <w:tcW w:w="60" w:type="dxa"/>
            <w:vAlign w:val="bottom"/>
            <w:gridSpan w:val="2"/>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10.13</w:t>
            </w:r>
          </w:p>
        </w:tc>
        <w:tc>
          <w:tcPr>
            <w:tcW w:w="3960" w:type="dxa"/>
            <w:vAlign w:val="bottom"/>
            <w:gridSpan w:val="30"/>
          </w:tcPr>
          <w:p>
            <w:pPr>
              <w:spacing w:after="0"/>
              <w:rPr>
                <w:rFonts w:ascii="Arial" w:cs="Arial" w:eastAsia="Arial" w:hAnsi="Arial"/>
                <w:sz w:val="18"/>
                <w:szCs w:val="18"/>
                <w:color w:val="0000FF"/>
              </w:rPr>
            </w:pPr>
            <w:hyperlink r:id="rId265">
              <w:r>
                <w:rPr>
                  <w:rFonts w:ascii="Arial" w:cs="Arial" w:eastAsia="Arial" w:hAnsi="Arial"/>
                  <w:sz w:val="18"/>
                  <w:szCs w:val="18"/>
                  <w:color w:val="0000FF"/>
                </w:rPr>
                <w:t>Amendment No. 1 to Amended and Restated</w:t>
              </w:r>
            </w:hyperlink>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Clinical Collaboration and Supply Agreement</w:t>
              </w:r>
            </w:hyperlink>
          </w:p>
        </w:tc>
        <w:tc>
          <w:tcPr>
            <w:tcW w:w="320" w:type="dxa"/>
            <w:vAlign w:val="bottom"/>
            <w:gridSpan w:val="11"/>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by</w:t>
              </w:r>
            </w:hyperlink>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8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and between the Registrant and Novartis</w:t>
              </w:r>
            </w:hyperlink>
          </w:p>
        </w:tc>
        <w:tc>
          <w:tcPr>
            <w:tcW w:w="80" w:type="dxa"/>
            <w:vAlign w:val="bottom"/>
            <w:gridSpan w:val="3"/>
          </w:tcPr>
          <w:p>
            <w:pPr>
              <w:spacing w:after="0"/>
              <w:rPr>
                <w:sz w:val="15"/>
                <w:szCs w:val="15"/>
                <w:color w:val="auto"/>
              </w:rPr>
            </w:pPr>
          </w:p>
        </w:tc>
        <w:tc>
          <w:tcPr>
            <w:tcW w:w="10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3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Institutes for BioMedical Research, Inc.,</w:t>
              </w:r>
            </w:hyperlink>
          </w:p>
        </w:tc>
        <w:tc>
          <w:tcPr>
            <w:tcW w:w="640" w:type="dxa"/>
            <w:vAlign w:val="bottom"/>
            <w:gridSpan w:val="18"/>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dated</w:t>
              </w:r>
            </w:hyperlink>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10/10/2023</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65">
              <w:r>
                <w:rPr>
                  <w:rFonts w:ascii="Arial" w:cs="Arial" w:eastAsia="Arial" w:hAnsi="Arial"/>
                  <w:sz w:val="18"/>
                  <w:szCs w:val="18"/>
                  <w:color w:val="0000FF"/>
                </w:rPr>
                <w:t>October 9, 2023.</w:t>
              </w:r>
            </w:hyperlink>
          </w:p>
        </w:tc>
        <w:tc>
          <w:tcPr>
            <w:tcW w:w="80" w:type="dxa"/>
            <w:vAlign w:val="bottom"/>
            <w:gridSpan w:val="2"/>
          </w:tcPr>
          <w:p>
            <w:pPr>
              <w:spacing w:after="0"/>
              <w:rPr>
                <w:sz w:val="15"/>
                <w:szCs w:val="15"/>
                <w:color w:val="auto"/>
              </w:rPr>
            </w:pPr>
          </w:p>
        </w:tc>
        <w:tc>
          <w:tcPr>
            <w:tcW w:w="160" w:type="dxa"/>
            <w:vAlign w:val="bottom"/>
            <w:gridSpan w:val="6"/>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760" w:type="dxa"/>
            <w:vAlign w:val="bottom"/>
            <w:gridSpan w:val="1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10.14#</w:t>
            </w:r>
          </w:p>
        </w:tc>
        <w:tc>
          <w:tcPr>
            <w:tcW w:w="3960" w:type="dxa"/>
            <w:vAlign w:val="bottom"/>
            <w:gridSpan w:val="30"/>
          </w:tcPr>
          <w:p>
            <w:pPr>
              <w:spacing w:after="0"/>
              <w:rPr>
                <w:rFonts w:ascii="Arial" w:cs="Arial" w:eastAsia="Arial" w:hAnsi="Arial"/>
                <w:sz w:val="18"/>
                <w:szCs w:val="18"/>
                <w:color w:val="0000FF"/>
              </w:rPr>
            </w:pPr>
            <w:hyperlink r:id="rId266">
              <w:r>
                <w:rPr>
                  <w:rFonts w:ascii="Arial" w:cs="Arial" w:eastAsia="Arial" w:hAnsi="Arial"/>
                  <w:sz w:val="18"/>
                  <w:szCs w:val="18"/>
                  <w:color w:val="0000FF"/>
                </w:rPr>
                <w:t>Olema Pharmaceuticals, Inc. 2022 Inducement</w:t>
              </w:r>
            </w:hyperlink>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10.14</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3/18/2025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266">
              <w:r>
                <w:rPr>
                  <w:rFonts w:ascii="Arial" w:cs="Arial" w:eastAsia="Arial" w:hAnsi="Arial"/>
                  <w:sz w:val="18"/>
                  <w:szCs w:val="18"/>
                  <w:color w:val="0000FF"/>
                </w:rPr>
                <w:t>Plan, as amended December 5, 2024.</w:t>
              </w:r>
            </w:hyperlink>
          </w:p>
        </w:tc>
        <w:tc>
          <w:tcPr>
            <w:tcW w:w="160" w:type="dxa"/>
            <w:vAlign w:val="bottom"/>
            <w:gridSpan w:val="6"/>
          </w:tcPr>
          <w:p>
            <w:pPr>
              <w:spacing w:after="0"/>
              <w:rPr>
                <w:sz w:val="15"/>
                <w:szCs w:val="15"/>
                <w:color w:val="auto"/>
              </w:rPr>
            </w:pPr>
          </w:p>
        </w:tc>
        <w:tc>
          <w:tcPr>
            <w:tcW w:w="10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1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183</w:t>
            </w:r>
          </w:p>
        </w:tc>
        <w:tc>
          <w:tcPr>
            <w:tcW w:w="1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0" w:type="dxa"/>
            <w:vAlign w:val="bottom"/>
            <w:gridSpan w:val="21"/>
            <w:vMerge w:val="restart"/>
          </w:tcPr>
          <w:p>
            <w:pPr>
              <w:jc w:val="center"/>
              <w:ind w:right="1560"/>
              <w:spacing w:after="0"/>
              <w:rPr>
                <w:sz w:val="20"/>
                <w:szCs w:val="20"/>
                <w:color w:val="auto"/>
              </w:rPr>
            </w:pPr>
            <w:r>
              <w:rPr>
                <w:rFonts w:ascii="Arial" w:cs="Arial" w:eastAsia="Arial" w:hAnsi="Arial"/>
                <w:sz w:val="18"/>
                <w:szCs w:val="18"/>
                <w:b w:val="1"/>
                <w:bCs w:val="1"/>
                <w:color w:val="auto"/>
                <w:w w:val="99"/>
              </w:rPr>
              <w:t>Exhibit</w:t>
            </w: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Incorporation by Reference</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21"/>
            <w:vMerge w:val="continue"/>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80" w:type="dxa"/>
            <w:vAlign w:val="bottom"/>
          </w:tcPr>
          <w:p>
            <w:pPr>
              <w:jc w:val="center"/>
              <w:ind w:left="70"/>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22"/>
          </w:tcPr>
          <w:p>
            <w:pPr>
              <w:jc w:val="center"/>
              <w:ind w:right="132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File No.</w:t>
            </w: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10.15#</w:t>
            </w:r>
          </w:p>
        </w:tc>
        <w:tc>
          <w:tcPr>
            <w:tcW w:w="3960" w:type="dxa"/>
            <w:vAlign w:val="bottom"/>
            <w:gridSpan w:val="26"/>
          </w:tcPr>
          <w:p>
            <w:pPr>
              <w:spacing w:after="0"/>
              <w:rPr>
                <w:rFonts w:ascii="Arial" w:cs="Arial" w:eastAsia="Arial" w:hAnsi="Arial"/>
                <w:sz w:val="18"/>
                <w:szCs w:val="18"/>
                <w:color w:val="0000FF"/>
              </w:rPr>
            </w:pPr>
            <w:hyperlink r:id="rId269">
              <w:r>
                <w:rPr>
                  <w:rFonts w:ascii="Arial" w:cs="Arial" w:eastAsia="Arial" w:hAnsi="Arial"/>
                  <w:sz w:val="18"/>
                  <w:szCs w:val="18"/>
                  <w:color w:val="0000FF"/>
                </w:rPr>
                <w:t>Form of Stock Option Agreement and Option</w:t>
              </w:r>
            </w:hyperlink>
          </w:p>
        </w:tc>
        <w:tc>
          <w:tcPr>
            <w:tcW w:w="2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10.18</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28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69">
              <w:r>
                <w:rPr>
                  <w:rFonts w:ascii="Arial" w:cs="Arial" w:eastAsia="Arial" w:hAnsi="Arial"/>
                  <w:sz w:val="18"/>
                  <w:szCs w:val="18"/>
                  <w:color w:val="0000FF"/>
                  <w:w w:val="99"/>
                </w:rPr>
                <w:t>Grant Notice under the Inducement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32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10.16#</w:t>
            </w:r>
          </w:p>
        </w:tc>
        <w:tc>
          <w:tcPr>
            <w:tcW w:w="3960" w:type="dxa"/>
            <w:vAlign w:val="bottom"/>
            <w:gridSpan w:val="26"/>
          </w:tcPr>
          <w:p>
            <w:pPr>
              <w:spacing w:after="0"/>
              <w:rPr>
                <w:rFonts w:ascii="Arial" w:cs="Arial" w:eastAsia="Arial" w:hAnsi="Arial"/>
                <w:sz w:val="18"/>
                <w:szCs w:val="18"/>
                <w:color w:val="0000FF"/>
              </w:rPr>
            </w:pPr>
            <w:hyperlink r:id="rId270">
              <w:r>
                <w:rPr>
                  <w:rFonts w:ascii="Arial" w:cs="Arial" w:eastAsia="Arial" w:hAnsi="Arial"/>
                  <w:sz w:val="18"/>
                  <w:szCs w:val="18"/>
                  <w:color w:val="0000FF"/>
                </w:rPr>
                <w:t>Offer Letter by and between the Registrant and</w:t>
              </w:r>
            </w:hyperlink>
          </w:p>
        </w:tc>
        <w:tc>
          <w:tcPr>
            <w:tcW w:w="2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10.19</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2/28/2022</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rPr>
            </w:pPr>
            <w:hyperlink r:id="rId270">
              <w:r>
                <w:rPr>
                  <w:rFonts w:ascii="Arial" w:cs="Arial" w:eastAsia="Arial" w:hAnsi="Arial"/>
                  <w:sz w:val="18"/>
                  <w:szCs w:val="18"/>
                  <w:color w:val="0000FF"/>
                </w:rPr>
                <w:t>Naseem Zojwalla, dated December 15, 2021.</w:t>
              </w:r>
            </w:hyperlink>
          </w:p>
        </w:tc>
        <w:tc>
          <w:tcPr>
            <w:tcW w:w="20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10.17¥</w:t>
            </w:r>
          </w:p>
        </w:tc>
        <w:tc>
          <w:tcPr>
            <w:tcW w:w="3960" w:type="dxa"/>
            <w:vAlign w:val="bottom"/>
            <w:gridSpan w:val="26"/>
          </w:tcPr>
          <w:p>
            <w:pPr>
              <w:spacing w:after="0"/>
              <w:rPr>
                <w:rFonts w:ascii="Arial" w:cs="Arial" w:eastAsia="Arial" w:hAnsi="Arial"/>
                <w:sz w:val="18"/>
                <w:szCs w:val="18"/>
                <w:color w:val="0000FF"/>
              </w:rPr>
            </w:pPr>
            <w:hyperlink r:id="rId271">
              <w:r>
                <w:rPr>
                  <w:rFonts w:ascii="Arial" w:cs="Arial" w:eastAsia="Arial" w:hAnsi="Arial"/>
                  <w:sz w:val="18"/>
                  <w:szCs w:val="18"/>
                  <w:color w:val="0000FF"/>
                </w:rPr>
                <w:t>Drug Discovery Collaboration and License</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2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71">
              <w:r>
                <w:rPr>
                  <w:rFonts w:ascii="Arial" w:cs="Arial" w:eastAsia="Arial" w:hAnsi="Arial"/>
                  <w:sz w:val="18"/>
                  <w:szCs w:val="18"/>
                  <w:color w:val="0000FF"/>
                </w:rPr>
                <w:t>Agreement by and between the Registrant</w:t>
              </w:r>
            </w:hyperlink>
          </w:p>
        </w:tc>
        <w:tc>
          <w:tcPr>
            <w:tcW w:w="540" w:type="dxa"/>
            <w:vAlign w:val="bottom"/>
            <w:gridSpan w:val="15"/>
          </w:tcPr>
          <w:p>
            <w:pPr>
              <w:spacing w:after="0" w:line="182" w:lineRule="exact"/>
              <w:rPr>
                <w:rFonts w:ascii="Arial" w:cs="Arial" w:eastAsia="Arial" w:hAnsi="Arial"/>
                <w:sz w:val="18"/>
                <w:szCs w:val="18"/>
                <w:color w:val="0000FF"/>
              </w:rPr>
            </w:pPr>
            <w:hyperlink r:id="rId271">
              <w:r>
                <w:rPr>
                  <w:rFonts w:ascii="Arial" w:cs="Arial" w:eastAsia="Arial" w:hAnsi="Arial"/>
                  <w:sz w:val="18"/>
                  <w:szCs w:val="18"/>
                  <w:color w:val="0000FF"/>
                </w:rPr>
                <w:t>and</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2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8"/>
              </w:rPr>
            </w:pPr>
            <w:hyperlink r:id="rId271">
              <w:r>
                <w:rPr>
                  <w:rFonts w:ascii="Arial" w:cs="Arial" w:eastAsia="Arial" w:hAnsi="Arial"/>
                  <w:sz w:val="18"/>
                  <w:szCs w:val="18"/>
                  <w:color w:val="0000FF"/>
                  <w:w w:val="98"/>
                </w:rPr>
                <w:t>Aurigene Discovery Technologies Limited, dated</w:t>
              </w:r>
            </w:hyperlink>
          </w:p>
        </w:tc>
        <w:tc>
          <w:tcPr>
            <w:tcW w:w="40" w:type="dxa"/>
            <w:vAlign w:val="bottom"/>
            <w:tcBorders>
              <w:bottom w:val="single" w:sz="8" w:color="0000FF"/>
            </w:tcBorders>
            <w:gridSpan w:val="2"/>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8/9/2022</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100" w:type="dxa"/>
            <w:vAlign w:val="bottom"/>
            <w:tcBorders>
              <w:bottom w:val="single" w:sz="8" w:color="0000FF"/>
            </w:tcBorders>
            <w:gridSpan w:val="2"/>
          </w:tcPr>
          <w:p>
            <w:pPr>
              <w:spacing w:after="0" w:line="182" w:lineRule="exact"/>
              <w:rPr>
                <w:rFonts w:ascii="Arial" w:cs="Arial" w:eastAsia="Arial" w:hAnsi="Arial"/>
                <w:sz w:val="18"/>
                <w:szCs w:val="18"/>
                <w:color w:val="0000FF"/>
                <w:w w:val="98"/>
              </w:rPr>
            </w:pPr>
            <w:hyperlink r:id="rId271">
              <w:r>
                <w:rPr>
                  <w:rFonts w:ascii="Arial" w:cs="Arial" w:eastAsia="Arial" w:hAnsi="Arial"/>
                  <w:sz w:val="18"/>
                  <w:szCs w:val="18"/>
                  <w:color w:val="0000FF"/>
                  <w:w w:val="98"/>
                </w:rPr>
                <w:t>June 7, 2022.</w:t>
              </w:r>
            </w:hyperlink>
          </w:p>
        </w:tc>
        <w:tc>
          <w:tcPr>
            <w:tcW w:w="20" w:type="dxa"/>
            <w:vAlign w:val="bottom"/>
            <w:tcBorders>
              <w:bottom w:val="single" w:sz="8" w:color="0000EE"/>
            </w:tcBorders>
          </w:tcPr>
          <w:p>
            <w:pPr>
              <w:spacing w:after="0"/>
              <w:rPr>
                <w:sz w:val="15"/>
                <w:szCs w:val="15"/>
                <w:color w:val="auto"/>
              </w:rPr>
            </w:pPr>
          </w:p>
        </w:tc>
        <w:tc>
          <w:tcPr>
            <w:tcW w:w="2800" w:type="dxa"/>
            <w:vAlign w:val="bottom"/>
            <w:gridSpan w:val="2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10.18#</w:t>
            </w:r>
          </w:p>
        </w:tc>
        <w:tc>
          <w:tcPr>
            <w:tcW w:w="3960" w:type="dxa"/>
            <w:vAlign w:val="bottom"/>
            <w:gridSpan w:val="26"/>
          </w:tcPr>
          <w:p>
            <w:pPr>
              <w:spacing w:after="0"/>
              <w:rPr>
                <w:rFonts w:ascii="Arial" w:cs="Arial" w:eastAsia="Arial" w:hAnsi="Arial"/>
                <w:sz w:val="18"/>
                <w:szCs w:val="18"/>
                <w:color w:val="0000FF"/>
              </w:rPr>
            </w:pPr>
            <w:hyperlink r:id="rId272">
              <w:r>
                <w:rPr>
                  <w:rFonts w:ascii="Arial" w:cs="Arial" w:eastAsia="Arial" w:hAnsi="Arial"/>
                  <w:sz w:val="18"/>
                  <w:szCs w:val="18"/>
                  <w:color w:val="0000FF"/>
                </w:rPr>
                <w:t>Offer Letter by and between the Registrant and</w:t>
              </w:r>
            </w:hyperlink>
          </w:p>
        </w:tc>
        <w:tc>
          <w:tcPr>
            <w:tcW w:w="2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10.18</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3/18/2025</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Shawnte Mitchell, dated January 27, 2025</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10.19</w:t>
            </w:r>
          </w:p>
        </w:tc>
        <w:tc>
          <w:tcPr>
            <w:tcW w:w="3960" w:type="dxa"/>
            <w:vAlign w:val="bottom"/>
            <w:gridSpan w:val="26"/>
          </w:tcPr>
          <w:p>
            <w:pPr>
              <w:spacing w:after="0"/>
              <w:rPr>
                <w:rFonts w:ascii="Arial" w:cs="Arial" w:eastAsia="Arial" w:hAnsi="Arial"/>
                <w:sz w:val="18"/>
                <w:szCs w:val="18"/>
                <w:color w:val="0000FF"/>
              </w:rPr>
            </w:pPr>
            <w:hyperlink r:id="rId273">
              <w:r>
                <w:rPr>
                  <w:rFonts w:ascii="Arial" w:cs="Arial" w:eastAsia="Arial" w:hAnsi="Arial"/>
                  <w:sz w:val="18"/>
                  <w:szCs w:val="18"/>
                  <w:color w:val="0000FF"/>
                </w:rPr>
                <w:t>Stock Purchase Agreement by and among the</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Registrant and the Purchasers named therein,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9/5/2023</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60" w:type="dxa"/>
            <w:vAlign w:val="bottom"/>
            <w:gridSpan w:val="18"/>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dated September 5, 2023</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10.20</w:t>
            </w:r>
          </w:p>
        </w:tc>
        <w:tc>
          <w:tcPr>
            <w:tcW w:w="3960" w:type="dxa"/>
            <w:vAlign w:val="bottom"/>
            <w:gridSpan w:val="26"/>
          </w:tcPr>
          <w:p>
            <w:pPr>
              <w:spacing w:after="0"/>
              <w:rPr>
                <w:rFonts w:ascii="Arial" w:cs="Arial" w:eastAsia="Arial" w:hAnsi="Arial"/>
                <w:sz w:val="18"/>
                <w:szCs w:val="18"/>
                <w:color w:val="0000FF"/>
              </w:rPr>
            </w:pPr>
            <w:hyperlink r:id="rId274">
              <w:r>
                <w:rPr>
                  <w:rFonts w:ascii="Arial" w:cs="Arial" w:eastAsia="Arial" w:hAnsi="Arial"/>
                  <w:sz w:val="18"/>
                  <w:szCs w:val="18"/>
                  <w:color w:val="0000FF"/>
                </w:rPr>
                <w:t>Loan and Security Agreement by and between</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6"/>
              </w:rPr>
            </w:pPr>
            <w:hyperlink r:id="rId274">
              <w:r>
                <w:rPr>
                  <w:rFonts w:ascii="Arial" w:cs="Arial" w:eastAsia="Arial" w:hAnsi="Arial"/>
                  <w:sz w:val="18"/>
                  <w:szCs w:val="18"/>
                  <w:color w:val="0000FF"/>
                  <w:w w:val="96"/>
                </w:rPr>
                <w:t>the Registrant and Silicon Valley Bank, a division</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3"/>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of First-Citizens Bank &amp; Trust Company, dated</w:t>
              </w:r>
            </w:hyperlink>
          </w:p>
        </w:tc>
        <w:tc>
          <w:tcPr>
            <w:tcW w:w="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10.2</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9/5/2023</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0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September 5, 2023</w:t>
              </w:r>
              <w:r>
                <w:rPr>
                  <w:rFonts w:ascii="Arial" w:cs="Arial" w:eastAsia="Arial" w:hAnsi="Arial"/>
                  <w:sz w:val="18"/>
                  <w:szCs w:val="18"/>
                  <w:color w:val="000000"/>
                </w:rPr>
                <w:t>.</w:t>
              </w:r>
            </w:hyperlink>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10.21</w:t>
            </w:r>
          </w:p>
        </w:tc>
        <w:tc>
          <w:tcPr>
            <w:tcW w:w="3960" w:type="dxa"/>
            <w:vAlign w:val="bottom"/>
            <w:gridSpan w:val="26"/>
          </w:tcPr>
          <w:p>
            <w:pPr>
              <w:spacing w:after="0"/>
              <w:rPr>
                <w:rFonts w:ascii="Arial" w:cs="Arial" w:eastAsia="Arial" w:hAnsi="Arial"/>
                <w:sz w:val="18"/>
                <w:szCs w:val="18"/>
                <w:color w:val="0000FF"/>
              </w:rPr>
            </w:pPr>
            <w:hyperlink r:id="rId275">
              <w:r>
                <w:rPr>
                  <w:rFonts w:ascii="Arial" w:cs="Arial" w:eastAsia="Arial" w:hAnsi="Arial"/>
                  <w:sz w:val="18"/>
                  <w:szCs w:val="18"/>
                  <w:color w:val="0000FF"/>
                </w:rPr>
                <w:t>Amendment No. 2 to Amended and Restated</w:t>
              </w:r>
            </w:hyperlink>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4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Clinical Collaboration and Supply Agreement</w:t>
              </w:r>
            </w:hyperlink>
          </w:p>
        </w:tc>
        <w:tc>
          <w:tcPr>
            <w:tcW w:w="320" w:type="dxa"/>
            <w:vAlign w:val="bottom"/>
            <w:gridSpan w:val="12"/>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by</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6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and between the Registrant and Novartis</w:t>
              </w:r>
            </w:hyperlink>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33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Institutes for BioMedical Research, Inc.,</w:t>
              </w:r>
            </w:hyperlink>
          </w:p>
        </w:tc>
        <w:tc>
          <w:tcPr>
            <w:tcW w:w="580" w:type="dxa"/>
            <w:vAlign w:val="bottom"/>
            <w:gridSpan w:val="16"/>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dated</w:t>
              </w:r>
            </w:hyperlink>
          </w:p>
        </w:tc>
        <w:tc>
          <w:tcPr>
            <w:tcW w:w="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5/8/2024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March 22, 2024.</w:t>
              </w:r>
            </w:hyperlink>
          </w:p>
        </w:tc>
        <w:tc>
          <w:tcPr>
            <w:tcW w:w="20" w:type="dxa"/>
            <w:vAlign w:val="bottom"/>
          </w:tcPr>
          <w:p>
            <w:pPr>
              <w:spacing w:after="0"/>
              <w:rPr>
                <w:sz w:val="15"/>
                <w:szCs w:val="15"/>
                <w:color w:val="auto"/>
              </w:rPr>
            </w:pPr>
          </w:p>
        </w:tc>
        <w:tc>
          <w:tcPr>
            <w:tcW w:w="16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3"/>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10.22</w:t>
            </w:r>
          </w:p>
        </w:tc>
        <w:tc>
          <w:tcPr>
            <w:tcW w:w="3120" w:type="dxa"/>
            <w:vAlign w:val="bottom"/>
            <w:tcBorders>
              <w:bottom w:val="single" w:sz="8" w:color="0000FF"/>
            </w:tcBorders>
            <w:gridSpan w:val="7"/>
          </w:tcPr>
          <w:p>
            <w:pPr>
              <w:spacing w:after="0"/>
              <w:rPr>
                <w:rFonts w:ascii="Arial" w:cs="Arial" w:eastAsia="Arial" w:hAnsi="Arial"/>
                <w:sz w:val="18"/>
                <w:szCs w:val="18"/>
                <w:color w:val="0000FF"/>
              </w:rPr>
            </w:pPr>
            <w:hyperlink r:id="rId276">
              <w:r>
                <w:rPr>
                  <w:rFonts w:ascii="Arial" w:cs="Arial" w:eastAsia="Arial" w:hAnsi="Arial"/>
                  <w:sz w:val="18"/>
                  <w:szCs w:val="18"/>
                  <w:color w:val="0000FF"/>
                </w:rPr>
                <w:t>First Amendment to Loan and Security</w:t>
              </w:r>
            </w:hyperlink>
          </w:p>
        </w:tc>
        <w:tc>
          <w:tcPr>
            <w:tcW w:w="840" w:type="dxa"/>
            <w:vAlign w:val="bottom"/>
            <w:gridSpan w:val="19"/>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Agreement by and between the Registrant and</w:t>
              </w:r>
            </w:hyperlink>
          </w:p>
        </w:tc>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Silicon Valley Bank, a division of First-Citizens</w:t>
              </w:r>
            </w:hyperlink>
          </w:p>
        </w:tc>
        <w:tc>
          <w:tcPr>
            <w:tcW w:w="8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8/6/2024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276">
              <w:r>
                <w:rPr>
                  <w:rFonts w:ascii="Arial" w:cs="Arial" w:eastAsia="Arial" w:hAnsi="Arial"/>
                  <w:sz w:val="18"/>
                  <w:szCs w:val="18"/>
                  <w:color w:val="0000FF"/>
                  <w:w w:val="99"/>
                </w:rPr>
                <w:t>Bank &amp; Trust Company, dated June 28, 2024.</w:t>
              </w:r>
            </w:hyperlink>
          </w:p>
        </w:tc>
        <w:tc>
          <w:tcPr>
            <w:tcW w:w="80" w:type="dxa"/>
            <w:vAlign w:val="bottom"/>
            <w:tcBorders>
              <w:top w:val="single" w:sz="8" w:color="0000FF"/>
            </w:tcBorders>
            <w:gridSpan w:val="2"/>
          </w:tcPr>
          <w:p>
            <w:pPr>
              <w:spacing w:after="0"/>
              <w:rPr>
                <w:sz w:val="15"/>
                <w:szCs w:val="15"/>
                <w:color w:val="auto"/>
              </w:rPr>
            </w:pPr>
          </w:p>
        </w:tc>
        <w:tc>
          <w:tcPr>
            <w:tcW w:w="16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10.23#</w:t>
            </w:r>
          </w:p>
        </w:tc>
        <w:tc>
          <w:tcPr>
            <w:tcW w:w="3520" w:type="dxa"/>
            <w:vAlign w:val="bottom"/>
            <w:tcBorders>
              <w:bottom w:val="single" w:sz="8" w:color="0000FF"/>
            </w:tcBorders>
            <w:gridSpan w:val="12"/>
          </w:tcPr>
          <w:p>
            <w:pPr>
              <w:spacing w:after="0"/>
              <w:rPr>
                <w:rFonts w:ascii="Arial" w:cs="Arial" w:eastAsia="Arial" w:hAnsi="Arial"/>
                <w:sz w:val="18"/>
                <w:szCs w:val="18"/>
                <w:color w:val="0000FF"/>
              </w:rPr>
            </w:pPr>
            <w:hyperlink r:id="rId277">
              <w:r>
                <w:rPr>
                  <w:rFonts w:ascii="Arial" w:cs="Arial" w:eastAsia="Arial" w:hAnsi="Arial"/>
                  <w:sz w:val="18"/>
                  <w:szCs w:val="18"/>
                  <w:color w:val="0000FF"/>
                </w:rPr>
                <w:t>Olema Pharmaceuticals, Inc. Amended and</w:t>
              </w:r>
            </w:hyperlink>
          </w:p>
        </w:tc>
        <w:tc>
          <w:tcPr>
            <w:tcW w:w="44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26"/>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Restated Non-Employee Director Compensation</w:t>
              </w:r>
            </w:hyperlink>
          </w:p>
        </w:tc>
        <w:tc>
          <w:tcPr>
            <w:tcW w:w="20" w:type="dxa"/>
            <w:vAlign w:val="bottom"/>
          </w:tcPr>
          <w:p>
            <w:pPr>
              <w:spacing w:after="0"/>
              <w:rPr>
                <w:sz w:val="15"/>
                <w:szCs w:val="15"/>
                <w:color w:val="auto"/>
              </w:rPr>
            </w:pP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10.2</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9"/>
              </w:rPr>
              <w:t>8/6/2024</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Policy.</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9"/>
        </w:trPr>
        <w:tc>
          <w:tcPr>
            <w:tcW w:w="11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2"/>
          </w:tcPr>
          <w:p>
            <w:pPr>
              <w:jc w:val="right"/>
              <w:ind w:right="330"/>
              <w:spacing w:after="0"/>
              <w:rPr>
                <w:sz w:val="20"/>
                <w:szCs w:val="20"/>
                <w:color w:val="auto"/>
              </w:rPr>
            </w:pPr>
            <w:r>
              <w:rPr>
                <w:rFonts w:ascii="Arial" w:cs="Arial" w:eastAsia="Arial" w:hAnsi="Arial"/>
                <w:sz w:val="18"/>
                <w:szCs w:val="18"/>
                <w:color w:val="auto"/>
              </w:rPr>
              <w:t>184</w:t>
            </w:r>
          </w:p>
        </w:tc>
        <w:tc>
          <w:tcPr>
            <w:tcW w:w="1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3960" w:type="dxa"/>
            <w:vAlign w:val="bottom"/>
            <w:gridSpan w:val="18"/>
            <w:vMerge w:val="restart"/>
          </w:tcPr>
          <w:p>
            <w:pPr>
              <w:ind w:left="1680"/>
              <w:spacing w:after="0"/>
              <w:rPr>
                <w:sz w:val="20"/>
                <w:szCs w:val="20"/>
                <w:color w:val="auto"/>
              </w:rPr>
            </w:pPr>
            <w:r>
              <w:rPr>
                <w:rFonts w:ascii="Arial" w:cs="Arial" w:eastAsia="Arial" w:hAnsi="Arial"/>
                <w:sz w:val="18"/>
                <w:szCs w:val="18"/>
                <w:b w:val="1"/>
                <w:bCs w:val="1"/>
                <w:color w:val="auto"/>
              </w:rPr>
              <w:t>Exhibit</w:t>
            </w:r>
          </w:p>
        </w:tc>
        <w:tc>
          <w:tcPr>
            <w:tcW w:w="110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Incorporation by Reference</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3960" w:type="dxa"/>
            <w:vAlign w:val="bottom"/>
            <w:gridSpan w:val="18"/>
            <w:vMerge w:val="continue"/>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40" w:type="dxa"/>
            <w:vAlign w:val="bottom"/>
          </w:tcPr>
          <w:p>
            <w:pPr>
              <w:jc w:val="center"/>
              <w:ind w:left="30"/>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3960" w:type="dxa"/>
            <w:vAlign w:val="bottom"/>
            <w:tcBorders>
              <w:bottom w:val="single" w:sz="8" w:color="auto"/>
            </w:tcBorders>
            <w:gridSpan w:val="18"/>
          </w:tcPr>
          <w:p>
            <w:pPr>
              <w:ind w:left="1480"/>
              <w:spacing w:after="0"/>
              <w:rPr>
                <w:sz w:val="20"/>
                <w:szCs w:val="20"/>
                <w:color w:val="auto"/>
              </w:rPr>
            </w:pPr>
            <w:r>
              <w:rPr>
                <w:rFonts w:ascii="Arial" w:cs="Arial" w:eastAsia="Arial" w:hAnsi="Arial"/>
                <w:sz w:val="18"/>
                <w:szCs w:val="18"/>
                <w:b w:val="1"/>
                <w:bCs w:val="1"/>
                <w:color w:val="auto"/>
              </w:rPr>
              <w:t>Description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Exhibit</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0"/>
                <w:szCs w:val="20"/>
                <w:color w:val="auto"/>
              </w:rPr>
            </w:pPr>
            <w:r>
              <w:rPr>
                <w:rFonts w:ascii="Arial" w:cs="Arial" w:eastAsia="Arial" w:hAnsi="Arial"/>
                <w:sz w:val="18"/>
                <w:szCs w:val="18"/>
                <w:color w:val="auto"/>
              </w:rPr>
              <w:t>10.24</w:t>
            </w:r>
          </w:p>
        </w:tc>
        <w:tc>
          <w:tcPr>
            <w:tcW w:w="3960" w:type="dxa"/>
            <w:vAlign w:val="bottom"/>
            <w:gridSpan w:val="18"/>
          </w:tcPr>
          <w:p>
            <w:pPr>
              <w:spacing w:after="0"/>
              <w:rPr>
                <w:rFonts w:ascii="Arial" w:cs="Arial" w:eastAsia="Arial" w:hAnsi="Arial"/>
                <w:sz w:val="18"/>
                <w:szCs w:val="18"/>
                <w:color w:val="0000FF"/>
              </w:rPr>
            </w:pPr>
            <w:hyperlink r:id="rId280">
              <w:r>
                <w:rPr>
                  <w:rFonts w:ascii="Arial" w:cs="Arial" w:eastAsia="Arial" w:hAnsi="Arial"/>
                  <w:sz w:val="18"/>
                  <w:szCs w:val="18"/>
                  <w:color w:val="0000FF"/>
                </w:rPr>
                <w:t>Form of Securities Purchase Agreement by and</w:t>
              </w:r>
            </w:hyperlink>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280">
              <w:r>
                <w:rPr>
                  <w:rFonts w:ascii="Arial" w:cs="Arial" w:eastAsia="Arial" w:hAnsi="Arial"/>
                  <w:sz w:val="18"/>
                  <w:szCs w:val="18"/>
                  <w:color w:val="0000FF"/>
                  <w:w w:val="98"/>
                </w:rPr>
                <w:t>among the Registrant and the Purchasers named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12/2/2024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18"/>
          </w:tcPr>
          <w:p>
            <w:pPr>
              <w:spacing w:after="0" w:line="182" w:lineRule="exact"/>
              <w:rPr>
                <w:rFonts w:ascii="Arial" w:cs="Arial" w:eastAsia="Arial" w:hAnsi="Arial"/>
                <w:sz w:val="18"/>
                <w:szCs w:val="18"/>
                <w:color w:val="0000FF"/>
              </w:rPr>
            </w:pPr>
            <w:hyperlink r:id="rId280">
              <w:r>
                <w:rPr>
                  <w:rFonts w:ascii="Arial" w:cs="Arial" w:eastAsia="Arial" w:hAnsi="Arial"/>
                  <w:sz w:val="18"/>
                  <w:szCs w:val="18"/>
                  <w:color w:val="0000FF"/>
                </w:rPr>
                <w:t>therein, dated November 29, 2024.</w:t>
              </w:r>
            </w:hyperlink>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10.25¥</w:t>
            </w:r>
          </w:p>
        </w:tc>
        <w:tc>
          <w:tcPr>
            <w:tcW w:w="3100" w:type="dxa"/>
            <w:vAlign w:val="bottom"/>
            <w:tcBorders>
              <w:bottom w:val="single" w:sz="8" w:color="0000FF"/>
            </w:tcBorders>
            <w:gridSpan w:val="3"/>
          </w:tcPr>
          <w:p>
            <w:pPr>
              <w:spacing w:after="0"/>
              <w:rPr>
                <w:rFonts w:ascii="Arial" w:cs="Arial" w:eastAsia="Arial" w:hAnsi="Arial"/>
                <w:sz w:val="18"/>
                <w:szCs w:val="18"/>
                <w:color w:val="0000FF"/>
              </w:rPr>
            </w:pPr>
            <w:hyperlink r:id="rId281">
              <w:r>
                <w:rPr>
                  <w:rFonts w:ascii="Arial" w:cs="Arial" w:eastAsia="Arial" w:hAnsi="Arial"/>
                  <w:sz w:val="18"/>
                  <w:szCs w:val="18"/>
                  <w:color w:val="0000FF"/>
                </w:rPr>
                <w:t>Clinical Trial Collaboration and Supply</w:t>
              </w:r>
            </w:hyperlink>
          </w:p>
        </w:tc>
        <w:tc>
          <w:tcPr>
            <w:tcW w:w="860" w:type="dxa"/>
            <w:vAlign w:val="bottom"/>
            <w:gridSpan w:val="15"/>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18"/>
          </w:tcPr>
          <w:p>
            <w:pPr>
              <w:spacing w:after="0" w:line="182" w:lineRule="exact"/>
              <w:rPr>
                <w:rFonts w:ascii="Arial" w:cs="Arial" w:eastAsia="Arial" w:hAnsi="Arial"/>
                <w:sz w:val="18"/>
                <w:szCs w:val="18"/>
                <w:color w:val="0000FF"/>
              </w:rPr>
            </w:pPr>
            <w:hyperlink r:id="rId281">
              <w:r>
                <w:rPr>
                  <w:rFonts w:ascii="Arial" w:cs="Arial" w:eastAsia="Arial" w:hAnsi="Arial"/>
                  <w:sz w:val="18"/>
                  <w:szCs w:val="18"/>
                  <w:color w:val="0000FF"/>
                </w:rPr>
                <w:t>Agreement by and between the Registrant and</w:t>
              </w:r>
            </w:hyperlink>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10.25</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3/18/2025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6"/>
              </w:rPr>
            </w:pPr>
            <w:hyperlink r:id="rId281">
              <w:r>
                <w:rPr>
                  <w:rFonts w:ascii="Arial" w:cs="Arial" w:eastAsia="Arial" w:hAnsi="Arial"/>
                  <w:sz w:val="18"/>
                  <w:szCs w:val="18"/>
                  <w:color w:val="0000FF"/>
                  <w:w w:val="96"/>
                </w:rPr>
                <w:t>Novartis Pharma AG, dated November 29, 2024.</w:t>
              </w:r>
            </w:hyperlink>
          </w:p>
        </w:tc>
        <w:tc>
          <w:tcPr>
            <w:tcW w:w="6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10.26¥</w:t>
            </w:r>
          </w:p>
        </w:tc>
        <w:tc>
          <w:tcPr>
            <w:tcW w:w="3960" w:type="dxa"/>
            <w:vAlign w:val="bottom"/>
            <w:tcBorders>
              <w:bottom w:val="single" w:sz="8" w:color="0000FF"/>
            </w:tcBorders>
            <w:gridSpan w:val="18"/>
          </w:tcPr>
          <w:p>
            <w:pPr>
              <w:spacing w:after="0"/>
              <w:rPr>
                <w:rFonts w:ascii="Arial" w:cs="Arial" w:eastAsia="Arial" w:hAnsi="Arial"/>
                <w:sz w:val="18"/>
                <w:szCs w:val="18"/>
                <w:color w:val="0000FF"/>
              </w:rPr>
            </w:pPr>
            <w:hyperlink r:id="rId282">
              <w:r>
                <w:rPr>
                  <w:rFonts w:ascii="Arial" w:cs="Arial" w:eastAsia="Arial" w:hAnsi="Arial"/>
                  <w:sz w:val="18"/>
                  <w:szCs w:val="18"/>
                  <w:color w:val="0000FF"/>
                </w:rPr>
                <w:t>Amendment Number No. 1 to the Drug Discovery</w:t>
              </w:r>
            </w:hyperlink>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18"/>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Collaboration and License Agreement by and</w:t>
              </w:r>
            </w:hyperlink>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6"/>
              </w:rPr>
            </w:pPr>
            <w:hyperlink r:id="rId282">
              <w:r>
                <w:rPr>
                  <w:rFonts w:ascii="Arial" w:cs="Arial" w:eastAsia="Arial" w:hAnsi="Arial"/>
                  <w:sz w:val="18"/>
                  <w:szCs w:val="18"/>
                  <w:color w:val="0000FF"/>
                  <w:w w:val="96"/>
                </w:rPr>
                <w:t>between the Registrant and Aurigene Oncology</w:t>
              </w:r>
            </w:hyperlink>
          </w:p>
        </w:tc>
        <w:tc>
          <w:tcPr>
            <w:tcW w:w="4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10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10.26</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3/18/2025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60" w:type="dxa"/>
            <w:vAlign w:val="bottom"/>
            <w:gridSpan w:val="13"/>
          </w:tcPr>
          <w:p>
            <w:pPr>
              <w:spacing w:after="0" w:line="182" w:lineRule="exact"/>
              <w:rPr>
                <w:rFonts w:ascii="Arial" w:cs="Arial" w:eastAsia="Arial" w:hAnsi="Arial"/>
                <w:sz w:val="18"/>
                <w:szCs w:val="18"/>
                <w:color w:val="0000FF"/>
              </w:rPr>
            </w:pPr>
            <w:hyperlink r:id="rId282">
              <w:r>
                <w:rPr>
                  <w:rFonts w:ascii="Arial" w:cs="Arial" w:eastAsia="Arial" w:hAnsi="Arial"/>
                  <w:sz w:val="18"/>
                  <w:szCs w:val="18"/>
                  <w:color w:val="0000FF"/>
                </w:rPr>
                <w:t>Limited, dated May 2, 2024</w:t>
              </w:r>
              <w:r>
                <w:rPr>
                  <w:rFonts w:ascii="Arial" w:cs="Arial" w:eastAsia="Arial" w:hAnsi="Arial"/>
                  <w:sz w:val="18"/>
                  <w:szCs w:val="18"/>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10.27¥</w:t>
            </w:r>
          </w:p>
        </w:tc>
        <w:tc>
          <w:tcPr>
            <w:tcW w:w="3960" w:type="dxa"/>
            <w:vAlign w:val="bottom"/>
            <w:tcBorders>
              <w:bottom w:val="single" w:sz="8" w:color="0000FF"/>
            </w:tcBorders>
            <w:gridSpan w:val="18"/>
          </w:tcPr>
          <w:p>
            <w:pPr>
              <w:spacing w:after="0"/>
              <w:rPr>
                <w:rFonts w:ascii="Arial" w:cs="Arial" w:eastAsia="Arial" w:hAnsi="Arial"/>
                <w:sz w:val="18"/>
                <w:szCs w:val="18"/>
                <w:color w:val="0000FF"/>
              </w:rPr>
            </w:pPr>
            <w:hyperlink r:id="rId283">
              <w:r>
                <w:rPr>
                  <w:rFonts w:ascii="Arial" w:cs="Arial" w:eastAsia="Arial" w:hAnsi="Arial"/>
                  <w:sz w:val="18"/>
                  <w:szCs w:val="18"/>
                  <w:color w:val="0000FF"/>
                </w:rPr>
                <w:t>Amendment Number No. 2 to the Drug Discovery</w:t>
              </w:r>
            </w:hyperlink>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3960" w:type="dxa"/>
            <w:vAlign w:val="bottom"/>
            <w:gridSpan w:val="18"/>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Collaboration and License Agreement by and</w:t>
              </w:r>
            </w:hyperlink>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tcBorders>
            <w:gridSpan w:val="8"/>
          </w:tcPr>
          <w:p>
            <w:pPr>
              <w:spacing w:after="0" w:line="182" w:lineRule="exact"/>
              <w:rPr>
                <w:rFonts w:ascii="Arial" w:cs="Arial" w:eastAsia="Arial" w:hAnsi="Arial"/>
                <w:sz w:val="18"/>
                <w:szCs w:val="18"/>
                <w:color w:val="0000FF"/>
                <w:w w:val="96"/>
              </w:rPr>
            </w:pPr>
            <w:hyperlink r:id="rId283">
              <w:r>
                <w:rPr>
                  <w:rFonts w:ascii="Arial" w:cs="Arial" w:eastAsia="Arial" w:hAnsi="Arial"/>
                  <w:sz w:val="18"/>
                  <w:szCs w:val="18"/>
                  <w:color w:val="0000FF"/>
                  <w:w w:val="96"/>
                </w:rPr>
                <w:t>between the Registrant and Aurigene Oncology</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10-K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10.27</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3/18/2025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283">
              <w:r>
                <w:rPr>
                  <w:rFonts w:ascii="Arial" w:cs="Arial" w:eastAsia="Arial" w:hAnsi="Arial"/>
                  <w:sz w:val="18"/>
                  <w:szCs w:val="18"/>
                  <w:color w:val="0000FF"/>
                </w:rPr>
                <w:t>Limited, dated November 15, 2024</w:t>
              </w:r>
              <w:r>
                <w:rPr>
                  <w:rFonts w:ascii="Arial" w:cs="Arial" w:eastAsia="Arial" w:hAnsi="Arial"/>
                  <w:sz w:val="18"/>
                  <w:szCs w:val="18"/>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8"/>
                <w:szCs w:val="18"/>
                <w:color w:val="auto"/>
              </w:rPr>
              <w:t>10.28</w:t>
            </w:r>
          </w:p>
        </w:tc>
        <w:tc>
          <w:tcPr>
            <w:tcW w:w="2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160" w:type="dxa"/>
            <w:vAlign w:val="bottom"/>
            <w:vMerge w:val="continue"/>
          </w:tcPr>
          <w:p>
            <w:pPr>
              <w:spacing w:after="0"/>
              <w:rPr>
                <w:sz w:val="24"/>
                <w:szCs w:val="24"/>
                <w:color w:val="auto"/>
              </w:rPr>
            </w:pPr>
          </w:p>
        </w:tc>
        <w:tc>
          <w:tcPr>
            <w:tcW w:w="3960" w:type="dxa"/>
            <w:vAlign w:val="bottom"/>
            <w:gridSpan w:val="18"/>
            <w:vMerge w:val="restart"/>
          </w:tcPr>
          <w:p>
            <w:pPr>
              <w:spacing w:after="0"/>
              <w:rPr>
                <w:rFonts w:ascii="Arial" w:cs="Arial" w:eastAsia="Arial" w:hAnsi="Arial"/>
                <w:sz w:val="18"/>
                <w:szCs w:val="18"/>
                <w:color w:val="0000FF"/>
              </w:rPr>
            </w:pPr>
            <w:hyperlink r:id="rId284">
              <w:r>
                <w:rPr>
                  <w:rFonts w:ascii="Arial" w:cs="Arial" w:eastAsia="Arial" w:hAnsi="Arial"/>
                  <w:sz w:val="18"/>
                  <w:szCs w:val="18"/>
                  <w:color w:val="0000FF"/>
                </w:rPr>
                <w:t>Second Amendment to Loan and Security</w:t>
              </w:r>
            </w:hyperlink>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3960" w:type="dxa"/>
            <w:vAlign w:val="bottom"/>
            <w:gridSpan w:val="18"/>
            <w:vMerge w:val="continue"/>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380" w:type="dxa"/>
            <w:vAlign w:val="bottom"/>
            <w:tcBorders>
              <w:top w:val="single" w:sz="8" w:color="0000FF"/>
            </w:tcBorders>
            <w:gridSpan w:val="5"/>
          </w:tcPr>
          <w:p>
            <w:pPr>
              <w:spacing w:after="0" w:line="182" w:lineRule="exact"/>
              <w:rPr>
                <w:rFonts w:ascii="Arial" w:cs="Arial" w:eastAsia="Arial" w:hAnsi="Arial"/>
                <w:sz w:val="18"/>
                <w:szCs w:val="18"/>
                <w:color w:val="0000FF"/>
                <w:w w:val="99"/>
              </w:rPr>
            </w:pPr>
            <w:hyperlink r:id="rId284">
              <w:r>
                <w:rPr>
                  <w:rFonts w:ascii="Arial" w:cs="Arial" w:eastAsia="Arial" w:hAnsi="Arial"/>
                  <w:sz w:val="18"/>
                  <w:szCs w:val="18"/>
                  <w:color w:val="0000FF"/>
                  <w:w w:val="99"/>
                </w:rPr>
                <w:t>Agreement by and between the Registrant</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11"/>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and</w:t>
              </w:r>
            </w:hyperlink>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84">
              <w:r>
                <w:rPr>
                  <w:rFonts w:ascii="Arial" w:cs="Arial" w:eastAsia="Arial" w:hAnsi="Arial"/>
                  <w:sz w:val="18"/>
                  <w:szCs w:val="18"/>
                  <w:color w:val="0000FF"/>
                </w:rPr>
                <w:t>Silicon Valley Bank, a division of First-Citizens</w:t>
              </w:r>
            </w:hyperlink>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10-Q</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10.2</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8/11/2025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284">
              <w:r>
                <w:rPr>
                  <w:rFonts w:ascii="Arial" w:cs="Arial" w:eastAsia="Arial" w:hAnsi="Arial"/>
                  <w:sz w:val="18"/>
                  <w:szCs w:val="18"/>
                  <w:color w:val="0000FF"/>
                  <w:w w:val="99"/>
                </w:rPr>
                <w:t>Bank &amp; Trust Company, dated June 27, 2025.</w:t>
              </w:r>
            </w:hyperlink>
          </w:p>
        </w:tc>
        <w:tc>
          <w:tcPr>
            <w:tcW w:w="80" w:type="dxa"/>
            <w:vAlign w:val="bottom"/>
            <w:tcBorders>
              <w:top w:val="single" w:sz="8" w:color="0000FF"/>
            </w:tcBorders>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1160" w:type="dxa"/>
            <w:vAlign w:val="bottom"/>
          </w:tcPr>
          <w:p>
            <w:pPr>
              <w:spacing w:after="0"/>
              <w:rPr>
                <w:sz w:val="20"/>
                <w:szCs w:val="20"/>
                <w:color w:val="auto"/>
              </w:rPr>
            </w:pPr>
            <w:r>
              <w:rPr>
                <w:rFonts w:ascii="Arial" w:cs="Arial" w:eastAsia="Arial" w:hAnsi="Arial"/>
                <w:sz w:val="18"/>
                <w:szCs w:val="18"/>
                <w:color w:val="auto"/>
              </w:rPr>
              <w:t>10.29¥</w:t>
            </w:r>
          </w:p>
        </w:tc>
        <w:tc>
          <w:tcPr>
            <w:tcW w:w="3960" w:type="dxa"/>
            <w:vAlign w:val="bottom"/>
            <w:gridSpan w:val="18"/>
          </w:tcPr>
          <w:p>
            <w:pPr>
              <w:spacing w:after="0"/>
              <w:rPr>
                <w:sz w:val="20"/>
                <w:szCs w:val="20"/>
                <w:color w:val="auto"/>
              </w:rPr>
            </w:pPr>
            <w:r>
              <w:rPr>
                <w:rFonts w:ascii="Arial" w:cs="Arial" w:eastAsia="Arial" w:hAnsi="Arial"/>
                <w:sz w:val="18"/>
                <w:szCs w:val="18"/>
                <w:color w:val="0000FF"/>
              </w:rPr>
              <w:t>Third Amendment to Loan and Security</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18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3"/>
              </w:rPr>
              <w:t>Agreement by and between the Registrant</w:t>
            </w:r>
          </w:p>
        </w:tc>
        <w:tc>
          <w:tcPr>
            <w:tcW w:w="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11"/>
          </w:tcPr>
          <w:p>
            <w:pPr>
              <w:spacing w:after="0" w:line="182" w:lineRule="exact"/>
              <w:rPr>
                <w:sz w:val="20"/>
                <w:szCs w:val="20"/>
                <w:color w:val="auto"/>
              </w:rPr>
            </w:pPr>
            <w:r>
              <w:rPr>
                <w:rFonts w:ascii="Arial" w:cs="Arial" w:eastAsia="Arial" w:hAnsi="Arial"/>
                <w:sz w:val="18"/>
                <w:szCs w:val="18"/>
                <w:color w:val="0000FF"/>
              </w:rPr>
              <w:t>and</w:t>
            </w: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4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Silicon Valley Bank, a division of First-Citizens</w:t>
            </w:r>
          </w:p>
        </w:tc>
        <w:tc>
          <w:tcPr>
            <w:tcW w:w="4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vMerge w:val="restart"/>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2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9"/>
              </w:rPr>
              <w:t>Bank &amp; Trust Company, dated January 11, 2026.</w:t>
            </w:r>
          </w:p>
        </w:tc>
        <w:tc>
          <w:tcPr>
            <w:tcW w:w="4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10.30#</w:t>
            </w:r>
          </w:p>
        </w:tc>
        <w:tc>
          <w:tcPr>
            <w:tcW w:w="3960" w:type="dxa"/>
            <w:vAlign w:val="bottom"/>
            <w:gridSpan w:val="18"/>
          </w:tcPr>
          <w:p>
            <w:pPr>
              <w:spacing w:after="0"/>
              <w:rPr>
                <w:rFonts w:ascii="Arial" w:cs="Arial" w:eastAsia="Arial" w:hAnsi="Arial"/>
                <w:sz w:val="18"/>
                <w:szCs w:val="18"/>
                <w:color w:val="0000FF"/>
              </w:rPr>
            </w:pPr>
            <w:hyperlink r:id="rId285">
              <w:r>
                <w:rPr>
                  <w:rFonts w:ascii="Arial" w:cs="Arial" w:eastAsia="Arial" w:hAnsi="Arial"/>
                  <w:sz w:val="18"/>
                  <w:szCs w:val="18"/>
                  <w:color w:val="0000FF"/>
                </w:rPr>
                <w:t>Separation and Consulting Agreement by and</w:t>
              </w:r>
            </w:hyperlink>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001-39712</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6"/>
              </w:rPr>
              <w:t>10.1</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1/30/2026</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42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85">
              <w:r>
                <w:rPr>
                  <w:rFonts w:ascii="Arial" w:cs="Arial" w:eastAsia="Arial" w:hAnsi="Arial"/>
                  <w:sz w:val="18"/>
                  <w:szCs w:val="18"/>
                  <w:color w:val="0000FF"/>
                  <w:w w:val="99"/>
                </w:rPr>
                <w:t>between the Company and Shane Kovacs.</w:t>
              </w:r>
            </w:hyperlink>
          </w:p>
        </w:tc>
        <w:tc>
          <w:tcPr>
            <w:tcW w:w="20" w:type="dxa"/>
            <w:vAlign w:val="bottom"/>
            <w:tcBorders>
              <w:top w:val="single" w:sz="8" w:color="0000FF"/>
              <w:bottom w:val="single" w:sz="8" w:color="0000EE"/>
            </w:tcBorders>
          </w:tcPr>
          <w:p>
            <w:pPr>
              <w:spacing w:after="0"/>
              <w:rPr>
                <w:sz w:val="15"/>
                <w:szCs w:val="15"/>
                <w:color w:val="auto"/>
              </w:rPr>
            </w:pPr>
          </w:p>
        </w:tc>
        <w:tc>
          <w:tcPr>
            <w:tcW w:w="260" w:type="dxa"/>
            <w:vAlign w:val="bottom"/>
            <w:tcBorders>
              <w:top w:val="single" w:sz="8" w:color="0000FF"/>
            </w:tcBorders>
            <w:gridSpan w:val="2"/>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10.31</w:t>
            </w:r>
          </w:p>
        </w:tc>
        <w:tc>
          <w:tcPr>
            <w:tcW w:w="3960" w:type="dxa"/>
            <w:vAlign w:val="bottom"/>
            <w:tcBorders>
              <w:bottom w:val="single" w:sz="8" w:color="0000FF"/>
            </w:tcBorders>
            <w:gridSpan w:val="18"/>
          </w:tcPr>
          <w:p>
            <w:pPr>
              <w:spacing w:after="0"/>
              <w:rPr>
                <w:rFonts w:ascii="Arial" w:cs="Arial" w:eastAsia="Arial" w:hAnsi="Arial"/>
                <w:sz w:val="18"/>
                <w:szCs w:val="18"/>
                <w:color w:val="0000FF"/>
              </w:rPr>
            </w:pPr>
            <w:hyperlink r:id="rId286">
              <w:r>
                <w:rPr>
                  <w:rFonts w:ascii="Arial" w:cs="Arial" w:eastAsia="Arial" w:hAnsi="Arial"/>
                  <w:sz w:val="18"/>
                  <w:szCs w:val="18"/>
                  <w:color w:val="0000FF"/>
                </w:rPr>
                <w:t>Sales Agreement by and between Registrant and</w:t>
              </w:r>
            </w:hyperlink>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S-3</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333-284146</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1.2</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1/6/2025</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18"/>
          </w:tcPr>
          <w:p>
            <w:pPr>
              <w:spacing w:after="0" w:line="182" w:lineRule="exact"/>
              <w:rPr>
                <w:rFonts w:ascii="Arial" w:cs="Arial" w:eastAsia="Arial" w:hAnsi="Arial"/>
                <w:sz w:val="18"/>
                <w:szCs w:val="18"/>
                <w:color w:val="0000FF"/>
                <w:w w:val="99"/>
              </w:rPr>
            </w:pPr>
            <w:hyperlink r:id="rId286">
              <w:r>
                <w:rPr>
                  <w:rFonts w:ascii="Arial" w:cs="Arial" w:eastAsia="Arial" w:hAnsi="Arial"/>
                  <w:sz w:val="18"/>
                  <w:szCs w:val="18"/>
                  <w:color w:val="0000FF"/>
                  <w:w w:val="99"/>
                </w:rPr>
                <w:t>TD Securities (USA) LLC, dated January 6, 2025.</w:t>
              </w:r>
            </w:hyperlink>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10.32</w:t>
            </w:r>
          </w:p>
        </w:tc>
        <w:tc>
          <w:tcPr>
            <w:tcW w:w="3940" w:type="dxa"/>
            <w:vAlign w:val="bottom"/>
            <w:tcBorders>
              <w:top w:val="single" w:sz="8" w:color="0000FF"/>
            </w:tcBorders>
            <w:gridSpan w:val="17"/>
          </w:tcPr>
          <w:p>
            <w:pPr>
              <w:spacing w:after="0"/>
              <w:rPr>
                <w:rFonts w:ascii="Arial" w:cs="Arial" w:eastAsia="Arial" w:hAnsi="Arial"/>
                <w:sz w:val="18"/>
                <w:szCs w:val="18"/>
                <w:color w:val="0000FF"/>
              </w:rPr>
            </w:pPr>
            <w:hyperlink r:id="rId287">
              <w:r>
                <w:rPr>
                  <w:rFonts w:ascii="Arial" w:cs="Arial" w:eastAsia="Arial" w:hAnsi="Arial"/>
                  <w:sz w:val="18"/>
                  <w:szCs w:val="18"/>
                  <w:color w:val="0000FF"/>
                </w:rPr>
                <w:t>Amendment No. 1 to Sales Agreement between</w:t>
              </w:r>
            </w:hyperlink>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Olema Pharmaceuticals, Inc. and TD Securities</w:t>
              </w:r>
            </w:hyperlink>
          </w:p>
        </w:tc>
        <w:tc>
          <w:tcPr>
            <w:tcW w:w="60" w:type="dxa"/>
            <w:vAlign w:val="bottom"/>
            <w:gridSpan w:val="3"/>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8"/>
              </w:rPr>
              <w:t>S-3ASR</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333-292079</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rPr>
              <w:t>1.3</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12/11/2025</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(USA) LLC, dated December 11, 2025.</w:t>
              </w:r>
            </w:hyperlink>
          </w:p>
        </w:tc>
        <w:tc>
          <w:tcPr>
            <w:tcW w:w="120" w:type="dxa"/>
            <w:vAlign w:val="bottom"/>
            <w:gridSpan w:val="6"/>
          </w:tcPr>
          <w:p>
            <w:pPr>
              <w:spacing w:after="0"/>
              <w:rPr>
                <w:sz w:val="15"/>
                <w:szCs w:val="15"/>
                <w:color w:val="auto"/>
              </w:rPr>
            </w:pPr>
          </w:p>
        </w:tc>
        <w:tc>
          <w:tcPr>
            <w:tcW w:w="11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1"/>
        </w:trPr>
        <w:tc>
          <w:tcPr>
            <w:tcW w:w="1160" w:type="dxa"/>
            <w:vAlign w:val="bottom"/>
          </w:tcPr>
          <w:p>
            <w:pPr>
              <w:spacing w:after="0"/>
              <w:rPr>
                <w:sz w:val="24"/>
                <w:szCs w:val="24"/>
                <w:color w:val="auto"/>
              </w:rPr>
            </w:pPr>
          </w:p>
        </w:tc>
        <w:tc>
          <w:tcPr>
            <w:tcW w:w="2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185</w:t>
            </w: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1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17"/>
            <w:vMerge w:val="restart"/>
          </w:tcPr>
          <w:p>
            <w:pPr>
              <w:jc w:val="center"/>
              <w:ind w:right="1380"/>
              <w:spacing w:after="0"/>
              <w:rPr>
                <w:sz w:val="20"/>
                <w:szCs w:val="20"/>
                <w:color w:val="auto"/>
              </w:rPr>
            </w:pPr>
            <w:r>
              <w:rPr>
                <w:rFonts w:ascii="Arial" w:cs="Arial" w:eastAsia="Arial" w:hAnsi="Arial"/>
                <w:sz w:val="18"/>
                <w:szCs w:val="18"/>
                <w:b w:val="1"/>
                <w:bCs w:val="1"/>
                <w:color w:val="auto"/>
                <w:w w:val="99"/>
              </w:rPr>
              <w:t>Exhibit</w:t>
            </w:r>
          </w:p>
        </w:tc>
        <w:tc>
          <w:tcPr>
            <w:tcW w:w="13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Incorporation by Reference</w:t>
            </w: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11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580" w:type="dxa"/>
            <w:vAlign w:val="bottom"/>
            <w:gridSpan w:val="17"/>
            <w:vMerge w:val="continue"/>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Filing</w:t>
            </w:r>
          </w:p>
        </w:tc>
        <w:tc>
          <w:tcPr>
            <w:tcW w:w="11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221"/>
        </w:trPr>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17"/>
          </w:tcPr>
          <w:p>
            <w:pPr>
              <w:jc w:val="center"/>
              <w:ind w:right="1380"/>
              <w:spacing w:after="0"/>
              <w:rPr>
                <w:sz w:val="20"/>
                <w:szCs w:val="20"/>
                <w:color w:val="auto"/>
              </w:rPr>
            </w:pPr>
            <w:r>
              <w:rPr>
                <w:rFonts w:ascii="Arial" w:cs="Arial" w:eastAsia="Arial" w:hAnsi="Arial"/>
                <w:sz w:val="18"/>
                <w:szCs w:val="18"/>
                <w:b w:val="1"/>
                <w:bCs w:val="1"/>
                <w:color w:val="auto"/>
              </w:rPr>
              <w:t>Description</w:t>
            </w:r>
          </w:p>
        </w:tc>
        <w:tc>
          <w:tcPr>
            <w:tcW w:w="13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7"/>
              </w:rPr>
              <w:t>Form</w:t>
            </w:r>
          </w:p>
        </w:tc>
        <w:tc>
          <w:tcPr>
            <w:tcW w:w="12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rPr>
              <w:t>File No.</w:t>
            </w: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Exhibit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1160" w:type="dxa"/>
            <w:vAlign w:val="bottom"/>
          </w:tcPr>
          <w:p>
            <w:pPr>
              <w:spacing w:after="0" w:line="169" w:lineRule="exact"/>
              <w:rPr>
                <w:sz w:val="20"/>
                <w:szCs w:val="20"/>
                <w:color w:val="auto"/>
              </w:rPr>
            </w:pPr>
            <w:r>
              <w:rPr>
                <w:rFonts w:ascii="Arial" w:cs="Arial" w:eastAsia="Arial" w:hAnsi="Arial"/>
                <w:sz w:val="18"/>
                <w:szCs w:val="18"/>
                <w:color w:val="auto"/>
              </w:rPr>
              <w:t>19.1</w:t>
            </w:r>
          </w:p>
        </w:tc>
        <w:tc>
          <w:tcPr>
            <w:tcW w:w="3960" w:type="dxa"/>
            <w:vAlign w:val="bottom"/>
            <w:gridSpan w:val="20"/>
          </w:tcPr>
          <w:p>
            <w:pPr>
              <w:spacing w:after="0" w:line="169" w:lineRule="exact"/>
              <w:rPr>
                <w:rFonts w:ascii="Arial" w:cs="Arial" w:eastAsia="Arial" w:hAnsi="Arial"/>
                <w:sz w:val="18"/>
                <w:szCs w:val="18"/>
                <w:color w:val="0000FF"/>
              </w:rPr>
            </w:pPr>
            <w:hyperlink r:id="rId290">
              <w:r>
                <w:rPr>
                  <w:rFonts w:ascii="Arial" w:cs="Arial" w:eastAsia="Arial" w:hAnsi="Arial"/>
                  <w:sz w:val="18"/>
                  <w:szCs w:val="18"/>
                  <w:color w:val="0000FF"/>
                </w:rPr>
                <w:t>Olema Pharmaceuticals, Inc. Insider Trading</w:t>
              </w:r>
            </w:hyperlink>
          </w:p>
        </w:tc>
        <w:tc>
          <w:tcPr>
            <w:tcW w:w="1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9"/>
              </w:rPr>
              <w:t>10-K</w:t>
            </w:r>
          </w:p>
        </w:tc>
        <w:tc>
          <w:tcPr>
            <w:tcW w:w="1260" w:type="dxa"/>
            <w:vAlign w:val="bottom"/>
            <w:vMerge w:val="restart"/>
          </w:tcPr>
          <w:p>
            <w:pPr>
              <w:jc w:val="center"/>
              <w:ind w:right="270"/>
              <w:spacing w:after="0"/>
              <w:rPr>
                <w:sz w:val="20"/>
                <w:szCs w:val="20"/>
                <w:color w:val="auto"/>
              </w:rPr>
            </w:pPr>
            <w:r>
              <w:rPr>
                <w:rFonts w:ascii="Arial" w:cs="Arial" w:eastAsia="Arial" w:hAnsi="Arial"/>
                <w:sz w:val="18"/>
                <w:szCs w:val="18"/>
                <w:color w:val="auto"/>
                <w:w w:val="99"/>
              </w:rPr>
              <w:t>001-39712</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6"/>
              </w:rPr>
              <w:t>19.1</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99"/>
              </w:rPr>
              <w:t>3/18/2025</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6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Policy</w:t>
              </w:r>
              <w:r>
                <w:rPr>
                  <w:rFonts w:ascii="Arial" w:cs="Arial" w:eastAsia="Arial" w:hAnsi="Arial"/>
                  <w:sz w:val="18"/>
                  <w:szCs w:val="18"/>
                  <w:color w:val="000000"/>
                </w:rPr>
                <w:t>.</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21.1</w:t>
            </w:r>
          </w:p>
        </w:tc>
        <w:tc>
          <w:tcPr>
            <w:tcW w:w="3960" w:type="dxa"/>
            <w:vAlign w:val="bottom"/>
            <w:gridSpan w:val="20"/>
          </w:tcPr>
          <w:p>
            <w:pPr>
              <w:spacing w:after="0"/>
              <w:rPr>
                <w:sz w:val="20"/>
                <w:szCs w:val="20"/>
                <w:color w:val="auto"/>
              </w:rPr>
            </w:pPr>
            <w:r>
              <w:rPr>
                <w:rFonts w:ascii="Arial" w:cs="Arial" w:eastAsia="Arial" w:hAnsi="Arial"/>
                <w:sz w:val="18"/>
                <w:szCs w:val="18"/>
                <w:color w:val="0000FF"/>
              </w:rPr>
              <w:t>Subsidiaries of the Registrant.</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23.1</w:t>
            </w:r>
          </w:p>
        </w:tc>
        <w:tc>
          <w:tcPr>
            <w:tcW w:w="3960" w:type="dxa"/>
            <w:vAlign w:val="bottom"/>
            <w:gridSpan w:val="20"/>
          </w:tcPr>
          <w:p>
            <w:pPr>
              <w:spacing w:after="0"/>
              <w:rPr>
                <w:sz w:val="20"/>
                <w:szCs w:val="20"/>
                <w:color w:val="auto"/>
              </w:rPr>
            </w:pPr>
            <w:r>
              <w:rPr>
                <w:rFonts w:ascii="Arial" w:cs="Arial" w:eastAsia="Arial" w:hAnsi="Arial"/>
                <w:sz w:val="18"/>
                <w:szCs w:val="18"/>
                <w:color w:val="0000FF"/>
              </w:rPr>
              <w:t>Consent of Independent Registered Public</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136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Accounting Firm.</w:t>
            </w:r>
          </w:p>
        </w:tc>
        <w:tc>
          <w:tcPr>
            <w:tcW w:w="20" w:type="dxa"/>
            <w:vAlign w:val="bottom"/>
            <w:tcBorders>
              <w:top w:val="single" w:sz="8" w:color="0000FF"/>
              <w:bottom w:val="single" w:sz="8" w:color="0000EE"/>
            </w:tcBorders>
          </w:tcPr>
          <w:p>
            <w:pPr>
              <w:spacing w:after="0"/>
              <w:rPr>
                <w:sz w:val="15"/>
                <w:szCs w:val="15"/>
                <w:color w:val="auto"/>
              </w:rPr>
            </w:pPr>
          </w:p>
        </w:tc>
        <w:tc>
          <w:tcPr>
            <w:tcW w:w="2060" w:type="dxa"/>
            <w:vAlign w:val="bottom"/>
            <w:tcBorders>
              <w:top w:val="single" w:sz="8" w:color="0000FF"/>
            </w:tcBorders>
            <w:gridSpan w:val="5"/>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24.1</w:t>
            </w:r>
          </w:p>
        </w:tc>
        <w:tc>
          <w:tcPr>
            <w:tcW w:w="3960" w:type="dxa"/>
            <w:vAlign w:val="bottom"/>
            <w:gridSpan w:val="20"/>
          </w:tcPr>
          <w:p>
            <w:pPr>
              <w:spacing w:after="0"/>
              <w:rPr>
                <w:sz w:val="20"/>
                <w:szCs w:val="20"/>
                <w:color w:val="auto"/>
              </w:rPr>
            </w:pPr>
            <w:r>
              <w:rPr>
                <w:rFonts w:ascii="Arial" w:cs="Arial" w:eastAsia="Arial" w:hAnsi="Arial"/>
                <w:sz w:val="18"/>
                <w:szCs w:val="18"/>
                <w:color w:val="0000FF"/>
              </w:rPr>
              <w:t>Power of Attorney (included on the Signatures</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2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page of this Annual Report on Form 10</w:t>
            </w:r>
            <w:r>
              <w:rPr>
                <w:rFonts w:ascii="MS PGothic" w:cs="MS PGothic" w:eastAsia="MS PGothic" w:hAnsi="MS PGothic"/>
                <w:sz w:val="18"/>
                <w:szCs w:val="18"/>
                <w:color w:val="0000FF"/>
              </w:rPr>
              <w:t>‑</w:t>
            </w:r>
            <w:r>
              <w:rPr>
                <w:rFonts w:ascii="Arial" w:cs="Arial" w:eastAsia="Arial" w:hAnsi="Arial"/>
                <w:sz w:val="18"/>
                <w:szCs w:val="18"/>
                <w:color w:val="0000FF"/>
              </w:rPr>
              <w:t>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3960" w:type="dxa"/>
            <w:vAlign w:val="bottom"/>
            <w:gridSpan w:val="20"/>
          </w:tcPr>
          <w:p>
            <w:pPr>
              <w:spacing w:after="0"/>
              <w:rPr>
                <w:sz w:val="20"/>
                <w:szCs w:val="20"/>
                <w:color w:val="auto"/>
              </w:rPr>
            </w:pPr>
            <w:r>
              <w:rPr>
                <w:rFonts w:ascii="Arial" w:cs="Arial" w:eastAsia="Arial" w:hAnsi="Arial"/>
                <w:sz w:val="18"/>
                <w:szCs w:val="18"/>
                <w:color w:val="0000FF"/>
              </w:rPr>
              <w:t>Certification of Principal Executive Officer and</w:t>
            </w: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700" w:type="dxa"/>
            <w:vAlign w:val="bottom"/>
            <w:tcBorders>
              <w:top w:val="single" w:sz="8" w:color="0000FF"/>
            </w:tcBorders>
            <w:gridSpan w:val="14"/>
          </w:tcPr>
          <w:p>
            <w:pPr>
              <w:spacing w:after="0" w:line="182" w:lineRule="exact"/>
              <w:rPr>
                <w:sz w:val="20"/>
                <w:szCs w:val="20"/>
                <w:color w:val="auto"/>
              </w:rPr>
            </w:pPr>
            <w:r>
              <w:rPr>
                <w:rFonts w:ascii="Arial" w:cs="Arial" w:eastAsia="Arial" w:hAnsi="Arial"/>
                <w:sz w:val="18"/>
                <w:szCs w:val="18"/>
                <w:color w:val="0000FF"/>
              </w:rPr>
              <w:t>Principal Financial Officer Pursuant to Rules</w:t>
            </w:r>
          </w:p>
        </w:tc>
        <w:tc>
          <w:tcPr>
            <w:tcW w:w="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9"/>
          </w:tcPr>
          <w:p>
            <w:pPr>
              <w:spacing w:after="0" w:line="182" w:lineRule="exact"/>
              <w:rPr>
                <w:sz w:val="20"/>
                <w:szCs w:val="20"/>
                <w:color w:val="auto"/>
              </w:rPr>
            </w:pPr>
            <w:r>
              <w:rPr>
                <w:rFonts w:ascii="Arial" w:cs="Arial" w:eastAsia="Arial" w:hAnsi="Arial"/>
                <w:sz w:val="18"/>
                <w:szCs w:val="18"/>
                <w:color w:val="0000FF"/>
                <w:w w:val="98"/>
              </w:rPr>
              <w:t>13a</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and 15d</w:t>
            </w:r>
            <w:r>
              <w:rPr>
                <w:rFonts w:ascii="MS PGothic" w:cs="MS PGothic" w:eastAsia="MS PGothic" w:hAnsi="MS PGothic"/>
                <w:sz w:val="18"/>
                <w:szCs w:val="18"/>
                <w:color w:val="0000FF"/>
                <w:w w:val="98"/>
              </w:rPr>
              <w:t>‑</w:t>
            </w:r>
            <w:r>
              <w:rPr>
                <w:rFonts w:ascii="Arial" w:cs="Arial" w:eastAsia="Arial" w:hAnsi="Arial"/>
                <w:sz w:val="18"/>
                <w:szCs w:val="18"/>
                <w:color w:val="0000FF"/>
                <w:w w:val="98"/>
              </w:rPr>
              <w:t>14(a) under the Securities</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20"/>
          </w:tcPr>
          <w:p>
            <w:pPr>
              <w:spacing w:after="0" w:line="182" w:lineRule="exact"/>
              <w:rPr>
                <w:sz w:val="20"/>
                <w:szCs w:val="20"/>
                <w:color w:val="auto"/>
              </w:rPr>
            </w:pPr>
            <w:r>
              <w:rPr>
                <w:rFonts w:ascii="Arial" w:cs="Arial" w:eastAsia="Arial" w:hAnsi="Arial"/>
                <w:sz w:val="18"/>
                <w:szCs w:val="18"/>
                <w:color w:val="0000FF"/>
              </w:rPr>
              <w:t>Exchange Act of 1934, as Adopted Pursuant to</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800" w:type="dxa"/>
            <w:vAlign w:val="bottom"/>
            <w:tcBorders>
              <w:top w:val="single" w:sz="8" w:color="0000FF"/>
              <w:bottom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0" w:type="dxa"/>
            <w:vAlign w:val="bottom"/>
            <w:tcBorders>
              <w:bottom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p>
        </w:tc>
        <w:tc>
          <w:tcPr>
            <w:tcW w:w="370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rPr>
              <w:t>Certification of Principal Executive Officer and</w:t>
            </w:r>
          </w:p>
        </w:tc>
        <w:tc>
          <w:tcPr>
            <w:tcW w:w="260" w:type="dxa"/>
            <w:vAlign w:val="bottom"/>
            <w:gridSpan w:val="6"/>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60" w:type="dxa"/>
            <w:vAlign w:val="bottom"/>
            <w:gridSpan w:val="20"/>
          </w:tcPr>
          <w:p>
            <w:pPr>
              <w:spacing w:after="0" w:line="182" w:lineRule="exact"/>
              <w:rPr>
                <w:sz w:val="20"/>
                <w:szCs w:val="20"/>
                <w:color w:val="auto"/>
              </w:rPr>
            </w:pPr>
            <w:r>
              <w:rPr>
                <w:rFonts w:ascii="Arial" w:cs="Arial" w:eastAsia="Arial" w:hAnsi="Arial"/>
                <w:sz w:val="18"/>
                <w:szCs w:val="18"/>
                <w:color w:val="0000FF"/>
              </w:rPr>
              <w:t>Principal Financial Officer Pursuant to 18 U.S.C.</w:t>
            </w: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90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Section 1350, as Adopted Pursuant to Section</w:t>
            </w: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316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9"/>
              </w:rPr>
              <w:t>906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560" w:type="dxa"/>
            <w:vAlign w:val="bottom"/>
            <w:tcBorders>
              <w:top w:val="single" w:sz="8" w:color="0000FF"/>
            </w:tcBorders>
            <w:gridSpan w:val="10"/>
          </w:tcPr>
          <w:p>
            <w:pPr>
              <w:spacing w:after="0"/>
              <w:rPr>
                <w:sz w:val="15"/>
                <w:szCs w:val="15"/>
                <w:color w:val="auto"/>
              </w:rPr>
            </w:pPr>
          </w:p>
        </w:tc>
        <w:tc>
          <w:tcPr>
            <w:tcW w:w="220" w:type="dxa"/>
            <w:vAlign w:val="bottom"/>
            <w:gridSpan w:val="4"/>
          </w:tcPr>
          <w:p>
            <w:pPr>
              <w:spacing w:after="0"/>
              <w:rPr>
                <w:sz w:val="15"/>
                <w:szCs w:val="15"/>
                <w:color w:val="auto"/>
              </w:rPr>
            </w:pPr>
          </w:p>
        </w:tc>
        <w:tc>
          <w:tcPr>
            <w:tcW w:w="1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97.1</w:t>
            </w:r>
          </w:p>
        </w:tc>
        <w:tc>
          <w:tcPr>
            <w:tcW w:w="3600" w:type="dxa"/>
            <w:vAlign w:val="bottom"/>
            <w:tcBorders>
              <w:bottom w:val="single" w:sz="8" w:color="0000FF"/>
            </w:tcBorders>
            <w:gridSpan w:val="10"/>
          </w:tcPr>
          <w:p>
            <w:pPr>
              <w:spacing w:after="0"/>
              <w:rPr>
                <w:rFonts w:ascii="Arial" w:cs="Arial" w:eastAsia="Arial" w:hAnsi="Arial"/>
                <w:sz w:val="18"/>
                <w:szCs w:val="18"/>
                <w:color w:val="0000FF"/>
                <w:w w:val="99"/>
              </w:rPr>
            </w:pPr>
            <w:hyperlink r:id="rId291">
              <w:r>
                <w:rPr>
                  <w:rFonts w:ascii="Arial" w:cs="Arial" w:eastAsia="Arial" w:hAnsi="Arial"/>
                  <w:sz w:val="18"/>
                  <w:szCs w:val="18"/>
                  <w:color w:val="0000FF"/>
                  <w:w w:val="99"/>
                </w:rPr>
                <w:t>Incentive Compensation Recoupment Policy.</w:t>
              </w:r>
            </w:hyperlink>
          </w:p>
        </w:tc>
        <w:tc>
          <w:tcPr>
            <w:tcW w:w="20" w:type="dxa"/>
            <w:vAlign w:val="bottom"/>
            <w:tcBorders>
              <w:bottom w:val="single" w:sz="8" w:color="0000EE"/>
            </w:tcBorders>
          </w:tcPr>
          <w:p>
            <w:pPr>
              <w:spacing w:after="0"/>
              <w:rPr>
                <w:sz w:val="24"/>
                <w:szCs w:val="24"/>
                <w:color w:val="auto"/>
              </w:rPr>
            </w:pPr>
          </w:p>
        </w:tc>
        <w:tc>
          <w:tcPr>
            <w:tcW w:w="340" w:type="dxa"/>
            <w:vAlign w:val="bottom"/>
            <w:gridSpan w:val="9"/>
          </w:tcPr>
          <w:p>
            <w:pPr>
              <w:spacing w:after="0"/>
              <w:rPr>
                <w:sz w:val="24"/>
                <w:szCs w:val="24"/>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ind w:right="270"/>
              <w:spacing w:after="0"/>
              <w:rPr>
                <w:sz w:val="20"/>
                <w:szCs w:val="20"/>
                <w:color w:val="auto"/>
              </w:rPr>
            </w:pPr>
            <w:r>
              <w:rPr>
                <w:rFonts w:ascii="Arial" w:cs="Arial" w:eastAsia="Arial" w:hAnsi="Arial"/>
                <w:sz w:val="18"/>
                <w:szCs w:val="18"/>
                <w:color w:val="auto"/>
                <w:w w:val="99"/>
              </w:rPr>
              <w:t>001-39712</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6"/>
              </w:rPr>
              <w:t>97.1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3/11/2024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980" w:type="dxa"/>
            <w:vAlign w:val="bottom"/>
            <w:gridSpan w:val="24"/>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5320" w:type="dxa"/>
            <w:vAlign w:val="bottom"/>
            <w:gridSpan w:val="21"/>
          </w:tcPr>
          <w:p>
            <w:pPr>
              <w:spacing w:after="0"/>
              <w:rPr>
                <w:sz w:val="20"/>
                <w:szCs w:val="20"/>
                <w:color w:val="auto"/>
              </w:rPr>
            </w:pPr>
            <w:r>
              <w:rPr>
                <w:rFonts w:ascii="Arial" w:cs="Arial" w:eastAsia="Arial" w:hAnsi="Arial"/>
                <w:sz w:val="18"/>
                <w:szCs w:val="18"/>
                <w:color w:val="auto"/>
              </w:rPr>
              <w:t>its XBRL tags are embedded within the Inline XBRL Document</w:t>
            </w: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658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5320" w:type="dxa"/>
            <w:vAlign w:val="bottom"/>
            <w:gridSpan w:val="21"/>
          </w:tcPr>
          <w:p>
            <w:pPr>
              <w:spacing w:after="0"/>
              <w:rPr>
                <w:sz w:val="20"/>
                <w:szCs w:val="20"/>
                <w:color w:val="auto"/>
              </w:rPr>
            </w:pPr>
            <w:r>
              <w:rPr>
                <w:rFonts w:ascii="Arial" w:cs="Arial" w:eastAsia="Arial" w:hAnsi="Arial"/>
                <w:sz w:val="18"/>
                <w:szCs w:val="18"/>
                <w:color w:val="auto"/>
                <w:w w:val="99"/>
              </w:rPr>
              <w:t>Cover Page formatted as Inline XBRL and contained in Exhibit 101</w:t>
            </w: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3742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4" w:lineRule="exact"/>
        <w:rPr>
          <w:sz w:val="20"/>
          <w:szCs w:val="20"/>
          <w:color w:val="auto"/>
        </w:rPr>
      </w:pPr>
    </w:p>
    <w:p>
      <w:pPr>
        <w:ind w:left="360" w:hanging="352"/>
        <w:spacing w:after="0"/>
        <w:tabs>
          <w:tab w:leader="none" w:pos="3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12" w:lineRule="exact"/>
        <w:rPr>
          <w:sz w:val="20"/>
          <w:szCs w:val="20"/>
          <w:color w:val="auto"/>
        </w:rPr>
      </w:pPr>
    </w:p>
    <w:p>
      <w:pPr>
        <w:jc w:val="both"/>
        <w:ind w:left="380" w:hanging="372"/>
        <w:spacing w:after="0" w:line="247" w:lineRule="auto"/>
        <w:tabs>
          <w:tab w:leader="none" w:pos="40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accompany this Annual Report on Form 10-K is not deemed filed with the Securities and Exchange Commission and is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174" w:lineRule="exact"/>
        <w:rPr>
          <w:sz w:val="20"/>
          <w:szCs w:val="20"/>
          <w:color w:val="auto"/>
        </w:rPr>
      </w:pPr>
    </w:p>
    <w:p>
      <w:pPr>
        <w:ind w:left="380" w:hanging="372"/>
        <w:spacing w:after="0" w:line="271" w:lineRule="auto"/>
        <w:tabs>
          <w:tab w:leader="none" w:pos="453"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the type that the Registrant customarily and actually treats as private or confidential and is not material.</w:t>
      </w:r>
    </w:p>
    <w:p>
      <w:pPr>
        <w:spacing w:after="0" w:line="11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Item 16. Form 10</w:t>
      </w:r>
      <w:r>
        <w:rPr>
          <w:rFonts w:ascii="MS PGothic" w:cs="MS PGothic" w:eastAsia="MS PGothic" w:hAnsi="MS PGothic"/>
          <w:sz w:val="18"/>
          <w:szCs w:val="18"/>
          <w:color w:val="auto"/>
          <w:strike w:val="1"/>
        </w:rPr>
        <w:t>‑</w:t>
      </w:r>
      <w:r>
        <w:rPr>
          <w:rFonts w:ascii="Arial" w:cs="Arial" w:eastAsia="Arial" w:hAnsi="Arial"/>
          <w:sz w:val="18"/>
          <w:szCs w:val="18"/>
          <w:b w:val="1"/>
          <w:bCs w:val="1"/>
          <w:color w:val="auto"/>
        </w:rPr>
        <w:t>K Summary.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Olema Pharmaceuticals, Inc.</w:t>
      </w:r>
    </w:p>
    <w:p>
      <w:pPr>
        <w:spacing w:after="0" w:line="200" w:lineRule="exact"/>
        <w:rPr>
          <w:sz w:val="20"/>
          <w:szCs w:val="20"/>
          <w:color w:val="auto"/>
        </w:rPr>
      </w:pPr>
    </w:p>
    <w:p>
      <w:pPr>
        <w:spacing w:after="0" w:line="201"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March 16,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Sean Bohen,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8890</wp:posOffset>
            </wp:positionV>
            <wp:extent cx="32746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Sean Bohen, M.D., Ph.D.</w:t>
      </w: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12" w:lineRule="exact"/>
        <w:rPr>
          <w:sz w:val="20"/>
          <w:szCs w:val="20"/>
          <w:color w:val="auto"/>
        </w:rPr>
      </w:pPr>
    </w:p>
    <w:p>
      <w:pPr>
        <w:jc w:val="both"/>
        <w:spacing w:after="0" w:line="207" w:lineRule="exact"/>
        <w:rPr>
          <w:sz w:val="20"/>
          <w:szCs w:val="20"/>
          <w:color w:val="auto"/>
        </w:rPr>
      </w:pPr>
      <w:r>
        <w:rPr>
          <w:rFonts w:ascii="Arial" w:cs="Arial" w:eastAsia="Arial" w:hAnsi="Arial"/>
          <w:sz w:val="18"/>
          <w:szCs w:val="18"/>
          <w:color w:val="auto"/>
        </w:rPr>
        <w:t>KNOW ALL PERSONS BY THESE PRESENTS, that each person whose signature appears below constitutes and appoints Sean Bohen, M.D., Ph.D. and Shawnte Mitchell,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to file the same, with exhibits thereto and other documents in connection therewith, with the U.S.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either of them, his or her substitute or substitutes, may lawfully do or cause to be done by virtue hereof.</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Name</w:t>
            </w:r>
          </w:p>
        </w:tc>
        <w:tc>
          <w:tcPr>
            <w:tcW w:w="260" w:type="dxa"/>
            <w:vAlign w:val="bottom"/>
          </w:tcPr>
          <w:p>
            <w:pPr>
              <w:spacing w:after="0"/>
              <w:rPr>
                <w:sz w:val="14"/>
                <w:szCs w:val="14"/>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Title</w:t>
            </w:r>
          </w:p>
        </w:tc>
        <w:tc>
          <w:tcPr>
            <w:tcW w:w="260" w:type="dxa"/>
            <w:vAlign w:val="bottom"/>
          </w:tcPr>
          <w:p>
            <w:pPr>
              <w:spacing w:after="0"/>
              <w:rPr>
                <w:sz w:val="14"/>
                <w:szCs w:val="1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r>
      <w:tr>
        <w:trPr>
          <w:trHeight w:val="39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Sean Bohen, M.D.,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President, Chief Executive Officer and 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170"/>
        </w:trPr>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40" w:type="dxa"/>
            <w:vAlign w:val="bottom"/>
          </w:tcPr>
          <w:p>
            <w:pPr>
              <w:jc w:val="center"/>
              <w:spacing w:after="0" w:line="170" w:lineRule="exact"/>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 and Principal Financial</w:t>
            </w:r>
          </w:p>
        </w:tc>
        <w:tc>
          <w:tcPr>
            <w:tcW w:w="2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5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Sean Bohen, M.D., Ph.D.</w:t>
            </w:r>
          </w:p>
        </w:tc>
        <w:tc>
          <w:tcPr>
            <w:tcW w:w="260" w:type="dxa"/>
            <w:vAlign w:val="bottom"/>
          </w:tcPr>
          <w:p>
            <w:pPr>
              <w:spacing w:after="0"/>
              <w:rPr>
                <w:sz w:val="21"/>
                <w:szCs w:val="21"/>
                <w:color w:val="auto"/>
              </w:rPr>
            </w:pPr>
          </w:p>
        </w:tc>
        <w:tc>
          <w:tcPr>
            <w:tcW w:w="4640" w:type="dxa"/>
            <w:vAlign w:val="bottom"/>
          </w:tcPr>
          <w:p>
            <w:pPr>
              <w:jc w:val="center"/>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26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37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Sasha Austin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9"/>
              </w:rPr>
              <w:t>Vice President, Finance and Controller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Sasha Austin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Ian Clark</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Ian Clark</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Cynthia Butitta</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Cynthia Butitta</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Cyrus L. Harmon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Cyrus L. Harmon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Sandra J. Horning, M.D.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Sandra J. Horning, M.D.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Gorjan Hrustanovic,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rPr>
              <w:t>Gorjan Hrustanovic, Ph.D.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Yi Larson</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Yi Larson</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Rappaport</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Andrew Rappaport</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Graham Walmsley, M.D., Ph.D.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Graham Walmsley, M.D., Ph.D.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69"/>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Scott Garland</w:t>
            </w:r>
          </w:p>
        </w:tc>
        <w:tc>
          <w:tcPr>
            <w:tcW w:w="260" w:type="dxa"/>
            <w:vAlign w:val="bottom"/>
          </w:tcPr>
          <w:p>
            <w:pPr>
              <w:spacing w:after="0"/>
              <w:rPr>
                <w:sz w:val="24"/>
                <w:szCs w:val="24"/>
                <w:color w:val="auto"/>
              </w:rPr>
            </w:pPr>
          </w:p>
        </w:tc>
        <w:tc>
          <w:tcPr>
            <w:tcW w:w="464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6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rPr>
              <w:t>March 16, 2026</w:t>
            </w:r>
          </w:p>
        </w:tc>
      </w:tr>
      <w:tr>
        <w:trPr>
          <w:trHeight w:val="232"/>
        </w:trPr>
        <w:tc>
          <w:tcPr>
            <w:tcW w:w="3700" w:type="dxa"/>
            <w:vAlign w:val="bottom"/>
          </w:tcPr>
          <w:p>
            <w:pPr>
              <w:jc w:val="center"/>
              <w:spacing w:after="0"/>
              <w:rPr>
                <w:sz w:val="20"/>
                <w:szCs w:val="20"/>
                <w:color w:val="auto"/>
              </w:rPr>
            </w:pPr>
            <w:r>
              <w:rPr>
                <w:rFonts w:ascii="Arial" w:cs="Arial" w:eastAsia="Arial" w:hAnsi="Arial"/>
                <w:sz w:val="18"/>
                <w:szCs w:val="18"/>
                <w:color w:val="auto"/>
                <w:w w:val="99"/>
              </w:rPr>
              <w:t>Scott Garland</w:t>
            </w:r>
          </w:p>
        </w:tc>
        <w:tc>
          <w:tcPr>
            <w:tcW w:w="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832"/>
        </w:trPr>
        <w:tc>
          <w:tcPr>
            <w:tcW w:w="3700" w:type="dxa"/>
            <w:vAlign w:val="bottom"/>
          </w:tcPr>
          <w:p>
            <w:pPr>
              <w:spacing w:after="0"/>
              <w:rPr>
                <w:sz w:val="24"/>
                <w:szCs w:val="24"/>
                <w:color w:val="auto"/>
              </w:rPr>
            </w:pPr>
          </w:p>
        </w:tc>
        <w:tc>
          <w:tcPr>
            <w:tcW w:w="4900" w:type="dxa"/>
            <w:vAlign w:val="bottom"/>
            <w:gridSpan w:val="2"/>
          </w:tcPr>
          <w:p>
            <w:pPr>
              <w:jc w:val="right"/>
              <w:ind w:right="2731"/>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746"/>
        </w:trPr>
        <w:tc>
          <w:tcPr>
            <w:tcW w:w="3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89" w:name="page190"/>
    <w:bookmarkEnd w:id="189"/>
    <w:p>
      <w:pPr>
        <w:ind w:right="400" w:firstLine="8"/>
        <w:spacing w:after="0" w:line="298" w:lineRule="auto"/>
        <w:tabs>
          <w:tab w:leader="none" w:pos="9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10.29</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THIRD AMENDMENT</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TO</w:t>
      </w:r>
    </w:p>
    <w:p>
      <w:pPr>
        <w:jc w:val="center"/>
        <w:spacing w:after="0"/>
        <w:rPr>
          <w:sz w:val="20"/>
          <w:szCs w:val="20"/>
          <w:color w:val="auto"/>
        </w:rPr>
      </w:pPr>
      <w:r>
        <w:rPr>
          <w:rFonts w:ascii="Times New Roman" w:cs="Times New Roman" w:eastAsia="Times New Roman" w:hAnsi="Times New Roman"/>
          <w:sz w:val="20"/>
          <w:szCs w:val="20"/>
          <w:b w:val="1"/>
          <w:bCs w:val="1"/>
          <w:color w:val="auto"/>
        </w:rPr>
        <w:t>LOAN AND SECURITY AGREEMENT</w:t>
      </w:r>
    </w:p>
    <w:p>
      <w:pPr>
        <w:spacing w:after="0" w:line="219"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0"/>
          <w:szCs w:val="20"/>
          <w:color w:val="auto"/>
        </w:rPr>
        <w:t>This Third Amendment to Loan and Security Agreement (this “Amendment”) is entered into this 11</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January, 2026, by and between </w:t>
      </w:r>
      <w:r>
        <w:rPr>
          <w:rFonts w:ascii="Times New Roman" w:cs="Times New Roman" w:eastAsia="Times New Roman" w:hAnsi="Times New Roman"/>
          <w:sz w:val="20"/>
          <w:szCs w:val="20"/>
          <w:b w:val="1"/>
          <w:bCs w:val="1"/>
          <w:color w:val="auto"/>
        </w:rPr>
        <w:t>SILICON VALLEY BANK, A DIVISION OF FIRST-CITIZENS BANK &amp; TRUST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OLEMA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PHARMACEUTICALS, INC.</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w:t>
      </w:r>
      <w:r>
        <w:rPr>
          <w:rFonts w:ascii="Times New Roman" w:cs="Times New Roman" w:eastAsia="Times New Roman" w:hAnsi="Times New Roman"/>
          <w:sz w:val="13"/>
          <w:szCs w:val="13"/>
          <w:b w:val="1"/>
          <w:bCs w:val="1"/>
          <w:color w:val="auto"/>
        </w:rPr>
        <w:t>ecitals</w:t>
      </w:r>
    </w:p>
    <w:p>
      <w:pPr>
        <w:spacing w:after="0" w:line="220" w:lineRule="exact"/>
        <w:rPr>
          <w:sz w:val="20"/>
          <w:szCs w:val="20"/>
          <w:color w:val="auto"/>
        </w:rPr>
      </w:pPr>
    </w:p>
    <w:p>
      <w:pPr>
        <w:jc w:val="both"/>
        <w:ind w:firstLine="757"/>
        <w:spacing w:after="0" w:line="249" w:lineRule="auto"/>
        <w:tabs>
          <w:tab w:leader="none" w:pos="1145"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Bank and Borrower have entered into that certain Loan and Security Agreement dated as of September 5, 2023, as further amended by that certain First Amendment to Loan and Security Agreement dated as of June 28, 2024, and as further amended by that certain Second Amendment to Loan and Security Agreement dated as of June 27, 2025 (as the same may from time to time be further amended, modified, supplemented or restated, the “Loan Agreement”).</w:t>
      </w:r>
    </w:p>
    <w:p>
      <w:pPr>
        <w:spacing w:after="0" w:line="179" w:lineRule="exact"/>
        <w:rPr>
          <w:rFonts w:ascii="Times New Roman" w:cs="Times New Roman" w:eastAsia="Times New Roman" w:hAnsi="Times New Roman"/>
          <w:sz w:val="20"/>
          <w:szCs w:val="20"/>
          <w:b w:val="1"/>
          <w:bCs w:val="1"/>
          <w:color w:val="auto"/>
        </w:rPr>
      </w:pPr>
    </w:p>
    <w:p>
      <w:pPr>
        <w:ind w:left="1160" w:hanging="403"/>
        <w:spacing w:after="0"/>
        <w:tabs>
          <w:tab w:leader="none" w:pos="116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Bank has extended credit to Borrower for the purposes permitted in the Loan Agreement.</w:t>
      </w:r>
    </w:p>
    <w:p>
      <w:pPr>
        <w:spacing w:after="0" w:line="215"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145"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Borrower has requested that Bank amend the Loan Agreement to make certain revisions to the Loan Agreement as more fully set forth herein.</w:t>
      </w:r>
    </w:p>
    <w:p>
      <w:pPr>
        <w:spacing w:after="0" w:line="159" w:lineRule="exact"/>
        <w:rPr>
          <w:rFonts w:ascii="Times New Roman" w:cs="Times New Roman" w:eastAsia="Times New Roman" w:hAnsi="Times New Roman"/>
          <w:sz w:val="20"/>
          <w:szCs w:val="20"/>
          <w:b w:val="1"/>
          <w:bCs w:val="1"/>
          <w:color w:val="auto"/>
        </w:rPr>
      </w:pPr>
    </w:p>
    <w:p>
      <w:pPr>
        <w:ind w:right="20" w:firstLine="757"/>
        <w:spacing w:after="0" w:line="269" w:lineRule="auto"/>
        <w:tabs>
          <w:tab w:leader="none" w:pos="1145"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greement</w:t>
      </w:r>
    </w:p>
    <w:p>
      <w:pPr>
        <w:spacing w:after="0" w:line="216" w:lineRule="exact"/>
        <w:rPr>
          <w:sz w:val="20"/>
          <w:szCs w:val="20"/>
          <w:color w:val="auto"/>
        </w:rPr>
      </w:pPr>
    </w:p>
    <w:p>
      <w:pPr>
        <w:ind w:right="20" w:firstLine="396"/>
        <w:spacing w:after="0" w:line="273" w:lineRule="auto"/>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ow</w:t>
      </w:r>
      <w:r>
        <w:rPr>
          <w:rFonts w:ascii="Times New Roman" w:cs="Times New Roman" w:eastAsia="Times New Roman" w:hAnsi="Times New Roman"/>
          <w:sz w:val="20"/>
          <w:szCs w:val="20"/>
          <w:b w:val="1"/>
          <w:bCs w:val="1"/>
          <w:color w:val="auto"/>
        </w:rPr>
        <w:t>, T</w:t>
      </w:r>
      <w:r>
        <w:rPr>
          <w:rFonts w:ascii="Times New Roman" w:cs="Times New Roman" w:eastAsia="Times New Roman" w:hAnsi="Times New Roman"/>
          <w:sz w:val="13"/>
          <w:szCs w:val="13"/>
          <w:b w:val="1"/>
          <w:bCs w:val="1"/>
          <w:color w:val="auto"/>
        </w:rPr>
        <w:t>herefore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consideration of the foregoing recitals and other good and valuable consideration, the receipt and adequacy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is hereby acknowledged, and intending to be legally bound, the parties hereto agree as follows:</w:t>
      </w:r>
    </w:p>
    <w:p>
      <w:pPr>
        <w:spacing w:after="0" w:line="165" w:lineRule="exact"/>
        <w:rPr>
          <w:sz w:val="20"/>
          <w:szCs w:val="20"/>
          <w:color w:val="auto"/>
        </w:rPr>
      </w:pPr>
    </w:p>
    <w:p>
      <w:pPr>
        <w:ind w:left="760" w:hanging="3"/>
        <w:spacing w:after="0" w:line="249" w:lineRule="auto"/>
        <w:tabs>
          <w:tab w:leader="none" w:pos="1029"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Definitions. </w:t>
      </w:r>
      <w:r>
        <w:rPr>
          <w:rFonts w:ascii="Times New Roman" w:cs="Times New Roman" w:eastAsia="Times New Roman" w:hAnsi="Times New Roman"/>
          <w:sz w:val="20"/>
          <w:szCs w:val="20"/>
          <w:color w:val="auto"/>
        </w:rPr>
        <w:t>Capitalized terms used but not defined in this Amendment shall have the meanings given to them in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87"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Amendments to Loan Agreement.</w:t>
      </w:r>
    </w:p>
    <w:p>
      <w:pPr>
        <w:spacing w:after="0" w:line="8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19"/>
          <w:szCs w:val="19"/>
          <w:b w:val="1"/>
          <w:bCs w:val="1"/>
          <w:color w:val="auto"/>
        </w:rPr>
        <w:t>Section 5.7(a) (Accounts)</w:t>
      </w:r>
      <w:r>
        <w:rPr>
          <w:rFonts w:ascii="Times New Roman" w:cs="Times New Roman" w:eastAsia="Times New Roman" w:hAnsi="Times New Roman"/>
          <w:sz w:val="19"/>
          <w:szCs w:val="19"/>
          <w:color w:val="auto"/>
        </w:rPr>
        <w:t>. Section 5.7(a) is amended in its entirety and replaced with the following:</w:t>
      </w:r>
    </w:p>
    <w:p>
      <w:pPr>
        <w:spacing w:after="0" w:line="21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 (a) Maintain (i) at least one (1) operating account at Bank and (ii) aggregate account balances in the name of Borrower and any Guarantor at Bank and Bank’s Affiliates which represent at least 65.0% (excluding the account balance maintained in the Permitted JPM Operating Account) of the Dollar Equivalent value of Borrower’s, its Subsidiaries, and any Guarantor’s cash, wherever located (the “</w:t>
      </w:r>
      <w:r>
        <w:rPr>
          <w:rFonts w:ascii="Times New Roman" w:cs="Times New Roman" w:eastAsia="Times New Roman" w:hAnsi="Times New Roman"/>
          <w:sz w:val="20"/>
          <w:szCs w:val="20"/>
          <w:b w:val="1"/>
          <w:bCs w:val="1"/>
          <w:color w:val="auto"/>
        </w:rPr>
        <w:t>Account Threshold</w:t>
      </w:r>
      <w:r>
        <w:rPr>
          <w:rFonts w:ascii="Times New Roman" w:cs="Times New Roman" w:eastAsia="Times New Roman" w:hAnsi="Times New Roman"/>
          <w:sz w:val="20"/>
          <w:szCs w:val="20"/>
          <w:color w:val="auto"/>
        </w:rPr>
        <w:t>”). So long as Borrower is in compliance with the Account Threshold, (x) Borrower shall be permitted to maintain accounts with financial institutions other than Bank (individually, a “</w:t>
      </w:r>
      <w:r>
        <w:rPr>
          <w:rFonts w:ascii="Times New Roman" w:cs="Times New Roman" w:eastAsia="Times New Roman" w:hAnsi="Times New Roman"/>
          <w:sz w:val="20"/>
          <w:szCs w:val="20"/>
          <w:b w:val="1"/>
          <w:bCs w:val="1"/>
          <w:color w:val="auto"/>
        </w:rPr>
        <w:t>Permitted Account</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color w:val="auto"/>
        </w:rPr>
        <w:t>Permitted Accounts</w:t>
      </w:r>
      <w:r>
        <w:rPr>
          <w:rFonts w:ascii="Times New Roman" w:cs="Times New Roman" w:eastAsia="Times New Roman" w:hAnsi="Times New Roman"/>
          <w:sz w:val="20"/>
          <w:szCs w:val="20"/>
          <w:color w:val="auto"/>
        </w:rPr>
        <w:t>”), provided that each Permitted Account shall be subject to a Control Agreement in favor of Bank pursuant to the terms of</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0" w:name="page191"/>
    <w:bookmarkEnd w:id="190"/>
    <w:p>
      <w:pPr>
        <w:ind w:right="400" w:firstLine="8"/>
        <w:spacing w:after="0" w:line="298" w:lineRule="auto"/>
        <w:tabs>
          <w:tab w:leader="none" w:pos="9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p>
      <w:pPr>
        <w:jc w:val="both"/>
        <w:ind w:left="1500"/>
        <w:spacing w:after="0" w:line="243" w:lineRule="auto"/>
        <w:rPr>
          <w:sz w:val="20"/>
          <w:szCs w:val="20"/>
          <w:color w:val="auto"/>
        </w:rPr>
      </w:pPr>
      <w:r>
        <w:rPr>
          <w:rFonts w:ascii="Times New Roman" w:cs="Times New Roman" w:eastAsia="Times New Roman" w:hAnsi="Times New Roman"/>
          <w:sz w:val="20"/>
          <w:szCs w:val="20"/>
          <w:color w:val="auto"/>
        </w:rPr>
        <w:t>Section 5.7(c), (y) Borrower shall be permitted to maintain accounts in the name of Australian Subsidiary in an amount not to exceed $5,000,000.00 in the aggregate at any time, and (z) Borrower shall be permitted to maintain accounts in the name of Irish Subsidiary, provided, however, during the Irish Subsidiary Transition Period, the balance in such accounts shall not exceed $5,000,000.00 in the aggregate at any time. In addition to the foregoing, Borrower shall at all times have unrestricted and unencumbered (other than Liens in favor of Bank under this Agreement) cash in accounts maintained in the name of Borrower or a Guarantor with Bank and Bank’s Affiliates, in an aggregate amount equal to the lesser of (i) one hundred percent (100.0%) of the Dollar value of all account balances of Borrower, its Subsidiaries, and any Guarantor, wherever located, and (ii) one hundred ten percent (110.0%) of the outstanding Obligations of Borrower to Bank (the “</w:t>
      </w:r>
      <w:r>
        <w:rPr>
          <w:rFonts w:ascii="Times New Roman" w:cs="Times New Roman" w:eastAsia="Times New Roman" w:hAnsi="Times New Roman"/>
          <w:sz w:val="20"/>
          <w:szCs w:val="20"/>
          <w:b w:val="1"/>
          <w:bCs w:val="1"/>
          <w:color w:val="auto"/>
        </w:rPr>
        <w:t>Account Threshold</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19"/>
          <w:szCs w:val="19"/>
          <w:b w:val="1"/>
          <w:bCs w:val="1"/>
          <w:color w:val="auto"/>
        </w:rPr>
        <w:t>Section 12.2 (Definitions – Permitted Investments).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Clause (c) of the definition of Permitted Investments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amended in its entirety and replaced with the following:</w:t>
      </w:r>
    </w:p>
    <w:p>
      <w:pPr>
        <w:spacing w:after="0" w:line="143" w:lineRule="exact"/>
        <w:rPr>
          <w:sz w:val="20"/>
          <w:szCs w:val="20"/>
          <w:color w:val="auto"/>
        </w:rPr>
      </w:pPr>
    </w:p>
    <w:p>
      <w:pPr>
        <w:ind w:left="1500" w:right="320"/>
        <w:spacing w:after="0" w:line="249" w:lineRule="auto"/>
        <w:rPr>
          <w:sz w:val="20"/>
          <w:szCs w:val="20"/>
          <w:color w:val="auto"/>
        </w:rPr>
      </w:pPr>
      <w:r>
        <w:rPr>
          <w:rFonts w:ascii="Times New Roman" w:cs="Times New Roman" w:eastAsia="Times New Roman" w:hAnsi="Times New Roman"/>
          <w:sz w:val="20"/>
          <w:szCs w:val="20"/>
          <w:color w:val="auto"/>
        </w:rPr>
        <w:t>“ (c) Investments by Borrower in Australian Subsidiary for ordinary, necessary and current operating expenses; provided that, (i) an Event of Default does not exist at the time of any such Investment and would not exist after giving effect to any such Investment and (ii) Borrower and its Subsidiaries are at all times in compliance with the terms of Section 5.7(a) of this Agreement.”</w:t>
      </w:r>
    </w:p>
    <w:p>
      <w:pPr>
        <w:spacing w:after="0" w:line="184" w:lineRule="exact"/>
        <w:rPr>
          <w:sz w:val="20"/>
          <w:szCs w:val="20"/>
          <w:color w:val="auto"/>
        </w:rPr>
      </w:pPr>
    </w:p>
    <w:p>
      <w:pPr>
        <w:ind w:firstLine="149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19"/>
          <w:szCs w:val="19"/>
          <w:b w:val="1"/>
          <w:bCs w:val="1"/>
          <w:color w:val="auto"/>
        </w:rPr>
        <w:t>Section 12.2 (Definitions)</w:t>
      </w:r>
      <w:r>
        <w:rPr>
          <w:rFonts w:ascii="Times New Roman" w:cs="Times New Roman" w:eastAsia="Times New Roman" w:hAnsi="Times New Roman"/>
          <w:sz w:val="19"/>
          <w:szCs w:val="19"/>
          <w:color w:val="auto"/>
        </w:rPr>
        <w:t>. The following new terms and their respective definitions are hereby inserted to appear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alphabetically in Section 12.2 thereof:</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Interest-Only Extension Event</w:t>
      </w:r>
      <w:r>
        <w:rPr>
          <w:rFonts w:ascii="Times New Roman" w:cs="Times New Roman" w:eastAsia="Times New Roman" w:hAnsi="Times New Roman"/>
          <w:sz w:val="20"/>
          <w:szCs w:val="20"/>
          <w:color w:val="auto"/>
        </w:rPr>
        <w:t>” is defined on Schedule I.”</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Irish Subsidiary</w:t>
      </w:r>
      <w:r>
        <w:rPr>
          <w:rFonts w:ascii="Times New Roman" w:cs="Times New Roman" w:eastAsia="Times New Roman" w:hAnsi="Times New Roman"/>
          <w:sz w:val="20"/>
          <w:szCs w:val="20"/>
          <w:color w:val="auto"/>
        </w:rPr>
        <w:t>” means Olema Oncology International Limited, an entity organized under the laws of Ireland.”</w:t>
      </w:r>
    </w:p>
    <w:p>
      <w:pPr>
        <w:spacing w:after="0" w:line="229" w:lineRule="exact"/>
        <w:rPr>
          <w:sz w:val="20"/>
          <w:szCs w:val="20"/>
          <w:color w:val="auto"/>
        </w:rPr>
      </w:pPr>
    </w:p>
    <w:p>
      <w:pPr>
        <w:ind w:left="1500"/>
        <w:spacing w:after="0" w:line="273" w:lineRule="auto"/>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Irish Subsidiary Transition Period</w:t>
      </w:r>
      <w:r>
        <w:rPr>
          <w:rFonts w:ascii="Times New Roman" w:cs="Times New Roman" w:eastAsia="Times New Roman" w:hAnsi="Times New Roman"/>
          <w:sz w:val="20"/>
          <w:szCs w:val="20"/>
          <w:color w:val="auto"/>
        </w:rPr>
        <w:t>” means the period of time commencing on the Third Amendment Effective Date, and continuing until the date on which Irish Subsidiary becomes a secured Guarantor under this Agreement.”</w:t>
      </w:r>
    </w:p>
    <w:p>
      <w:pPr>
        <w:spacing w:after="0" w:line="1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Repayment Schedule</w:t>
      </w:r>
      <w:r>
        <w:rPr>
          <w:rFonts w:ascii="Times New Roman" w:cs="Times New Roman" w:eastAsia="Times New Roman" w:hAnsi="Times New Roman"/>
          <w:sz w:val="20"/>
          <w:szCs w:val="20"/>
          <w:color w:val="auto"/>
        </w:rPr>
        <w:t>” is defined on Schedule I.”</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Term Loan Amortization Date</w:t>
      </w:r>
      <w:r>
        <w:rPr>
          <w:rFonts w:ascii="Times New Roman" w:cs="Times New Roman" w:eastAsia="Times New Roman" w:hAnsi="Times New Roman"/>
          <w:sz w:val="20"/>
          <w:szCs w:val="20"/>
          <w:color w:val="auto"/>
        </w:rPr>
        <w:t>” is defined on Schedule I.”</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means January 11, 2026</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ind w:firstLine="1497"/>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19"/>
          <w:szCs w:val="19"/>
          <w:b w:val="1"/>
          <w:bCs w:val="1"/>
          <w:color w:val="auto"/>
        </w:rPr>
        <w:t>Schedule I (Loan Terms)</w:t>
      </w:r>
      <w:r>
        <w:rPr>
          <w:rFonts w:ascii="Times New Roman" w:cs="Times New Roman" w:eastAsia="Times New Roman" w:hAnsi="Times New Roman"/>
          <w:sz w:val="19"/>
          <w:szCs w:val="19"/>
          <w:color w:val="auto"/>
        </w:rPr>
        <w:t>. The following rows appearing on Schedule I to the Loan Agreement are amended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their entirety and replaced with the following:</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60" w:type="dxa"/>
            <w:vAlign w:val="bottom"/>
            <w:tcBorders>
              <w:top w:val="single" w:sz="8" w:color="auto"/>
              <w:left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0"/>
                <w:szCs w:val="20"/>
                <w:color w:val="auto"/>
              </w:rPr>
              <w:t>1.1(b) – Term Loan – Repayment</w:t>
            </w:r>
          </w:p>
        </w:tc>
        <w:tc>
          <w:tcPr>
            <w:tcW w:w="7360" w:type="dxa"/>
            <w:vAlign w:val="bottom"/>
            <w:tcBorders>
              <w:top w:val="single" w:sz="8" w:color="auto"/>
              <w:right w:val="single" w:sz="8" w:color="auto"/>
            </w:tcBorders>
          </w:tcPr>
          <w:p>
            <w:pPr>
              <w:ind w:left="80"/>
              <w:spacing w:after="0" w:line="224" w:lineRule="exact"/>
              <w:rPr>
                <w:sz w:val="20"/>
                <w:szCs w:val="20"/>
                <w:color w:val="auto"/>
              </w:rPr>
            </w:pPr>
            <w:r>
              <w:rPr>
                <w:rFonts w:ascii="Times New Roman" w:cs="Times New Roman" w:eastAsia="Times New Roman" w:hAnsi="Times New Roman"/>
                <w:sz w:val="20"/>
                <w:szCs w:val="20"/>
                <w:color w:val="auto"/>
              </w:rPr>
              <w:t>Commencing on the Term Loan Amortization Date and continuing on each Payment Date</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Borders>
              <w:left w:val="single" w:sz="8" w:color="auto"/>
              <w:right w:val="single" w:sz="8" w:color="auto"/>
            </w:tcBorders>
          </w:tcPr>
          <w:p>
            <w:pPr>
              <w:spacing w:after="0"/>
              <w:rPr>
                <w:sz w:val="19"/>
                <w:szCs w:val="19"/>
                <w:color w:val="auto"/>
              </w:rPr>
            </w:pPr>
          </w:p>
        </w:tc>
        <w:tc>
          <w:tcPr>
            <w:tcW w:w="7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thereafter, Borrower shall repay each Term Loan Advance in (i) consecutive equal</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left w:val="single" w:sz="8" w:color="auto"/>
              <w:right w:val="single" w:sz="8" w:color="auto"/>
            </w:tcBorders>
          </w:tcPr>
          <w:p>
            <w:pPr>
              <w:spacing w:after="0"/>
              <w:rPr>
                <w:sz w:val="19"/>
                <w:szCs w:val="19"/>
                <w:color w:val="auto"/>
              </w:rPr>
            </w:pPr>
          </w:p>
        </w:tc>
        <w:tc>
          <w:tcPr>
            <w:tcW w:w="7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monthly installments of principal according to the Repayment Schedule, plus (ii) monthly</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3760" w:type="dxa"/>
            <w:vAlign w:val="bottom"/>
            <w:tcBorders>
              <w:left w:val="single" w:sz="8" w:color="auto"/>
              <w:right w:val="single" w:sz="8" w:color="auto"/>
            </w:tcBorders>
          </w:tcPr>
          <w:p>
            <w:pPr>
              <w:spacing w:after="0"/>
              <w:rPr>
                <w:sz w:val="22"/>
                <w:szCs w:val="22"/>
                <w:color w:val="auto"/>
              </w:rPr>
            </w:pPr>
          </w:p>
        </w:tc>
        <w:tc>
          <w:tcPr>
            <w:tcW w:w="7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payments of accrued interest at the rate set forth in Section 1.2(b)(i).</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7360" w:type="dxa"/>
            <w:vAlign w:val="bottom"/>
            <w:tcBorders>
              <w:bottom w:val="single" w:sz="8" w:color="auto"/>
              <w:right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tcBorders>
              <w:left w:val="single" w:sz="8" w:color="auto"/>
              <w:right w:val="single" w:sz="8" w:color="auto"/>
            </w:tcBorders>
          </w:tcPr>
          <w:p>
            <w:pPr>
              <w:ind w:left="120"/>
              <w:spacing w:after="0" w:line="163" w:lineRule="exact"/>
              <w:rPr>
                <w:sz w:val="20"/>
                <w:szCs w:val="20"/>
                <w:color w:val="auto"/>
              </w:rPr>
            </w:pPr>
            <w:r>
              <w:rPr>
                <w:rFonts w:ascii="Times New Roman" w:cs="Times New Roman" w:eastAsia="Times New Roman" w:hAnsi="Times New Roman"/>
                <w:sz w:val="18"/>
                <w:szCs w:val="18"/>
                <w:color w:val="auto"/>
              </w:rPr>
              <w:t>12.2 – “Draw Period A”</w:t>
            </w:r>
          </w:p>
        </w:tc>
        <w:tc>
          <w:tcPr>
            <w:tcW w:w="7360" w:type="dxa"/>
            <w:vAlign w:val="bottom"/>
            <w:tcBorders>
              <w:right w:val="single" w:sz="8" w:color="auto"/>
            </w:tcBorders>
          </w:tcPr>
          <w:p>
            <w:pPr>
              <w:ind w:left="80"/>
              <w:spacing w:after="0" w:line="16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A</w:t>
            </w:r>
            <w:r>
              <w:rPr>
                <w:rFonts w:ascii="Times New Roman" w:cs="Times New Roman" w:eastAsia="Times New Roman" w:hAnsi="Times New Roman"/>
                <w:sz w:val="18"/>
                <w:szCs w:val="18"/>
                <w:color w:val="auto"/>
              </w:rPr>
              <w:t>” is the period commencing as of the Effective Date and ending on</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760" w:type="dxa"/>
            <w:vAlign w:val="bottom"/>
            <w:tcBorders>
              <w:left w:val="single" w:sz="8" w:color="auto"/>
              <w:right w:val="single" w:sz="8" w:color="auto"/>
            </w:tcBorders>
          </w:tcPr>
          <w:p>
            <w:pPr>
              <w:spacing w:after="0"/>
              <w:rPr>
                <w:sz w:val="22"/>
                <w:szCs w:val="22"/>
                <w:color w:val="auto"/>
              </w:rPr>
            </w:pPr>
          </w:p>
        </w:tc>
        <w:tc>
          <w:tcPr>
            <w:tcW w:w="73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January 31, 2027.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3760" w:type="dxa"/>
            <w:vAlign w:val="bottom"/>
            <w:tcBorders>
              <w:left w:val="single" w:sz="8" w:color="auto"/>
              <w:bottom w:val="single" w:sz="8" w:color="auto"/>
              <w:right w:val="single" w:sz="8" w:color="auto"/>
            </w:tcBorders>
          </w:tcPr>
          <w:p>
            <w:pPr>
              <w:spacing w:after="0"/>
              <w:rPr>
                <w:sz w:val="8"/>
                <w:szCs w:val="8"/>
                <w:color w:val="auto"/>
              </w:rPr>
            </w:pPr>
          </w:p>
        </w:tc>
        <w:tc>
          <w:tcPr>
            <w:tcW w:w="7360" w:type="dxa"/>
            <w:vAlign w:val="bottom"/>
            <w:tcBorders>
              <w:bottom w:val="single" w:sz="8" w:color="auto"/>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0"/>
        </w:trPr>
        <w:tc>
          <w:tcPr>
            <w:tcW w:w="3760" w:type="dxa"/>
            <w:vAlign w:val="bottom"/>
          </w:tcPr>
          <w:p>
            <w:pPr>
              <w:spacing w:after="0"/>
              <w:rPr>
                <w:sz w:val="24"/>
                <w:szCs w:val="24"/>
                <w:color w:val="auto"/>
              </w:rPr>
            </w:pPr>
          </w:p>
        </w:tc>
        <w:tc>
          <w:tcPr>
            <w:tcW w:w="7360" w:type="dxa"/>
            <w:vAlign w:val="bottom"/>
          </w:tcPr>
          <w:p>
            <w:pPr>
              <w:ind w:left="1820"/>
              <w:spacing w:after="0"/>
              <w:rPr>
                <w:sz w:val="20"/>
                <w:szCs w:val="20"/>
                <w:color w:val="auto"/>
              </w:rPr>
            </w:pPr>
            <w:r>
              <w:rPr>
                <w:rFonts w:ascii="Times New Roman" w:cs="Times New Roman" w:eastAsia="Times New Roman" w:hAnsi="Times New Roman"/>
                <w:sz w:val="22"/>
                <w:szCs w:val="22"/>
                <w:color w:val="auto"/>
              </w:rPr>
              <w:t>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4"/>
        </w:trPr>
        <w:tc>
          <w:tcPr>
            <w:tcW w:w="3760" w:type="dxa"/>
            <w:vAlign w:val="bottom"/>
            <w:tcBorders>
              <w:bottom w:val="single" w:sz="8" w:color="9A9A9A"/>
            </w:tcBorders>
          </w:tcPr>
          <w:p>
            <w:pPr>
              <w:spacing w:after="0"/>
              <w:rPr>
                <w:sz w:val="24"/>
                <w:szCs w:val="24"/>
                <w:color w:val="auto"/>
              </w:rPr>
            </w:pPr>
          </w:p>
        </w:tc>
        <w:tc>
          <w:tcPr>
            <w:tcW w:w="7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1" w:name="page192"/>
    <w:bookmarkEnd w:id="191"/>
    <w:p>
      <w:pPr>
        <w:ind w:right="280" w:firstLine="8"/>
        <w:spacing w:after="0" w:line="298" w:lineRule="auto"/>
        <w:tabs>
          <w:tab w:leader="none" w:pos="94"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3780" w:type="dxa"/>
            <w:vAlign w:val="bottom"/>
            <w:tcBorders>
              <w:top w:val="single" w:sz="8" w:color="auto"/>
              <w:left w:val="single" w:sz="8" w:color="auto"/>
              <w:right w:val="single" w:sz="8" w:color="auto"/>
            </w:tcBorders>
          </w:tcPr>
          <w:p>
            <w:pPr>
              <w:ind w:left="120"/>
              <w:spacing w:after="0" w:line="224" w:lineRule="exact"/>
              <w:rPr>
                <w:sz w:val="20"/>
                <w:szCs w:val="20"/>
                <w:color w:val="auto"/>
              </w:rPr>
            </w:pPr>
            <w:r>
              <w:rPr>
                <w:rFonts w:ascii="Times New Roman" w:cs="Times New Roman" w:eastAsia="Times New Roman" w:hAnsi="Times New Roman"/>
                <w:sz w:val="20"/>
                <w:szCs w:val="20"/>
                <w:color w:val="auto"/>
              </w:rPr>
              <w:t>12.2 – “Draw Period B”</w:t>
            </w:r>
          </w:p>
        </w:tc>
        <w:tc>
          <w:tcPr>
            <w:tcW w:w="7340" w:type="dxa"/>
            <w:vAlign w:val="bottom"/>
            <w:tcBorders>
              <w:top w:val="single" w:sz="8" w:color="auto"/>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Draw Period B</w:t>
            </w:r>
            <w:r>
              <w:rPr>
                <w:rFonts w:ascii="Times New Roman" w:cs="Times New Roman" w:eastAsia="Times New Roman" w:hAnsi="Times New Roman"/>
                <w:sz w:val="20"/>
                <w:szCs w:val="20"/>
                <w:color w:val="auto"/>
              </w:rPr>
              <w:t>” is the period commencing as of the Effective Date and ending on</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January 31, 2027, which shall be extended to July 31, 2027 upon the occurrence of the</w:t>
            </w:r>
          </w:p>
        </w:tc>
      </w:tr>
      <w:tr>
        <w:trPr>
          <w:trHeight w:val="258"/>
        </w:trPr>
        <w:tc>
          <w:tcPr>
            <w:tcW w:w="3780" w:type="dxa"/>
            <w:vAlign w:val="bottom"/>
            <w:tcBorders>
              <w:left w:val="single" w:sz="8" w:color="auto"/>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Interest-Only Extension Event.</w:t>
            </w:r>
          </w:p>
        </w:tc>
      </w:tr>
      <w:tr>
        <w:trPr>
          <w:trHeight w:val="139"/>
        </w:trPr>
        <w:tc>
          <w:tcPr>
            <w:tcW w:w="3780" w:type="dxa"/>
            <w:vAlign w:val="bottom"/>
            <w:tcBorders>
              <w:left w:val="single" w:sz="8" w:color="auto"/>
              <w:bottom w:val="single" w:sz="8" w:color="auto"/>
              <w:right w:val="single" w:sz="8" w:color="auto"/>
            </w:tcBorders>
          </w:tcPr>
          <w:p>
            <w:pPr>
              <w:spacing w:after="0"/>
              <w:rPr>
                <w:sz w:val="12"/>
                <w:szCs w:val="12"/>
                <w:color w:val="auto"/>
              </w:rPr>
            </w:pPr>
          </w:p>
        </w:tc>
        <w:tc>
          <w:tcPr>
            <w:tcW w:w="7340" w:type="dxa"/>
            <w:vAlign w:val="bottom"/>
            <w:tcBorders>
              <w:bottom w:val="single" w:sz="8" w:color="auto"/>
              <w:right w:val="single" w:sz="8" w:color="auto"/>
            </w:tcBorders>
          </w:tcPr>
          <w:p>
            <w:pPr>
              <w:spacing w:after="0"/>
              <w:rPr>
                <w:sz w:val="12"/>
                <w:szCs w:val="12"/>
                <w:color w:val="auto"/>
              </w:rPr>
            </w:pPr>
          </w:p>
        </w:tc>
      </w:tr>
      <w:tr>
        <w:trPr>
          <w:trHeight w:val="163"/>
        </w:trPr>
        <w:tc>
          <w:tcPr>
            <w:tcW w:w="3780" w:type="dxa"/>
            <w:vAlign w:val="bottom"/>
            <w:tcBorders>
              <w:left w:val="single" w:sz="8" w:color="auto"/>
              <w:right w:val="single" w:sz="8" w:color="auto"/>
            </w:tcBorders>
          </w:tcPr>
          <w:p>
            <w:pPr>
              <w:ind w:left="120"/>
              <w:spacing w:after="0" w:line="164" w:lineRule="exact"/>
              <w:rPr>
                <w:sz w:val="20"/>
                <w:szCs w:val="20"/>
                <w:color w:val="auto"/>
              </w:rPr>
            </w:pPr>
            <w:r>
              <w:rPr>
                <w:rFonts w:ascii="Times New Roman" w:cs="Times New Roman" w:eastAsia="Times New Roman" w:hAnsi="Times New Roman"/>
                <w:sz w:val="18"/>
                <w:szCs w:val="18"/>
                <w:color w:val="auto"/>
              </w:rPr>
              <w:t>12.2 – “Draw Period C”</w:t>
            </w:r>
          </w:p>
        </w:tc>
        <w:tc>
          <w:tcPr>
            <w:tcW w:w="7340" w:type="dxa"/>
            <w:vAlign w:val="bottom"/>
            <w:tcBorders>
              <w:right w:val="single" w:sz="8" w:color="auto"/>
            </w:tcBorders>
          </w:tcPr>
          <w:p>
            <w:pPr>
              <w:ind w:left="60"/>
              <w:spacing w:after="0" w:line="16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Draw Period C</w:t>
            </w:r>
            <w:r>
              <w:rPr>
                <w:rFonts w:ascii="Times New Roman" w:cs="Times New Roman" w:eastAsia="Times New Roman" w:hAnsi="Times New Roman"/>
                <w:sz w:val="18"/>
                <w:szCs w:val="18"/>
                <w:color w:val="auto"/>
              </w:rPr>
              <w:t>” is the period commencing upon the occurrence of the Term C</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Milestone Event and ending on January 31, 2027, which shall be extended to July 31,</w:t>
            </w:r>
          </w:p>
        </w:tc>
      </w:tr>
      <w:tr>
        <w:trPr>
          <w:trHeight w:val="258"/>
        </w:trPr>
        <w:tc>
          <w:tcPr>
            <w:tcW w:w="3780" w:type="dxa"/>
            <w:vAlign w:val="bottom"/>
            <w:tcBorders>
              <w:left w:val="single" w:sz="8" w:color="auto"/>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2027 upon the occurrence of the Interest-Only Extension Event.</w:t>
            </w:r>
          </w:p>
        </w:tc>
      </w:tr>
      <w:tr>
        <w:trPr>
          <w:trHeight w:val="102"/>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7340" w:type="dxa"/>
            <w:vAlign w:val="bottom"/>
            <w:tcBorders>
              <w:bottom w:val="single" w:sz="8" w:color="auto"/>
              <w:right w:val="single" w:sz="8" w:color="auto"/>
            </w:tcBorders>
          </w:tcPr>
          <w:p>
            <w:pPr>
              <w:spacing w:after="0"/>
              <w:rPr>
                <w:sz w:val="8"/>
                <w:szCs w:val="8"/>
                <w:color w:val="auto"/>
              </w:rPr>
            </w:pPr>
          </w:p>
        </w:tc>
      </w:tr>
      <w:tr>
        <w:trPr>
          <w:trHeight w:val="200"/>
        </w:trPr>
        <w:tc>
          <w:tcPr>
            <w:tcW w:w="37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12.2 – “Term C Milestone Event”</w:t>
            </w:r>
          </w:p>
        </w:tc>
        <w:tc>
          <w:tcPr>
            <w:tcW w:w="73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C Milestone Event</w:t>
            </w:r>
            <w:r>
              <w:rPr>
                <w:rFonts w:ascii="Times New Roman" w:cs="Times New Roman" w:eastAsia="Times New Roman" w:hAnsi="Times New Roman"/>
                <w:sz w:val="20"/>
                <w:szCs w:val="20"/>
                <w:color w:val="auto"/>
              </w:rPr>
              <w:t>” occurs if and when (if ever), at any time prior to January 31,</w:t>
            </w: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2027, which shall be extended to July 31, 2027 upon the occurrence of the Interest-Only</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Extension Event, each of the following has occurred: (a) Borrower has requested and</w:t>
            </w: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Bank has made all available Term A Loan Advances and Term B Loan Advances, (b)</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Bank has received all necessary internal and credit approvals to make the Term C Loan</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Advances in an amount not to exceed the Term C Availability Amount, (c) no Event of</w:t>
            </w: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Default exists at the time the initial Term C Loan Advance is requested or would exist as</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 result of the initial Term C Loan Advance, and (d) Bank has provided written approval</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in its sole discretion that the initial Term C Loan Advance shall occur. For clarity, upon</w:t>
            </w:r>
          </w:p>
        </w:tc>
      </w:tr>
      <w:tr>
        <w:trPr>
          <w:trHeight w:val="230"/>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satisfaction of each of the conditions in (a) through (d), the determination of whether to</w:t>
            </w:r>
          </w:p>
        </w:tc>
      </w:tr>
      <w:tr>
        <w:trPr>
          <w:trHeight w:val="229"/>
        </w:trPr>
        <w:tc>
          <w:tcPr>
            <w:tcW w:w="3780" w:type="dxa"/>
            <w:vAlign w:val="bottom"/>
            <w:tcBorders>
              <w:left w:val="single" w:sz="8" w:color="auto"/>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provide the initial Term C Loan Advance shall be in Bank’s sole discretion and shall in no</w:t>
            </w:r>
          </w:p>
        </w:tc>
      </w:tr>
      <w:tr>
        <w:trPr>
          <w:trHeight w:val="258"/>
        </w:trPr>
        <w:tc>
          <w:tcPr>
            <w:tcW w:w="3780" w:type="dxa"/>
            <w:vAlign w:val="bottom"/>
            <w:tcBorders>
              <w:left w:val="single" w:sz="8" w:color="auto"/>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event occur automatically.</w:t>
            </w:r>
          </w:p>
        </w:tc>
      </w:tr>
      <w:tr>
        <w:trPr>
          <w:trHeight w:val="102"/>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7340" w:type="dxa"/>
            <w:vAlign w:val="bottom"/>
            <w:tcBorders>
              <w:bottom w:val="single" w:sz="8" w:color="auto"/>
              <w:right w:val="single" w:sz="8" w:color="auto"/>
            </w:tcBorders>
          </w:tcPr>
          <w:p>
            <w:pPr>
              <w:spacing w:after="0"/>
              <w:rPr>
                <w:sz w:val="8"/>
                <w:szCs w:val="8"/>
                <w:color w:val="auto"/>
              </w:rPr>
            </w:pPr>
          </w:p>
        </w:tc>
      </w:tr>
      <w:tr>
        <w:trPr>
          <w:trHeight w:val="200"/>
        </w:trPr>
        <w:tc>
          <w:tcPr>
            <w:tcW w:w="3780" w:type="dxa"/>
            <w:vAlign w:val="bottom"/>
            <w:tcBorders>
              <w:left w:val="single" w:sz="8" w:color="auto"/>
              <w:right w:val="single" w:sz="8" w:color="auto"/>
            </w:tcBorders>
          </w:tcPr>
          <w:p>
            <w:pPr>
              <w:ind w:left="120"/>
              <w:spacing w:after="0" w:line="200" w:lineRule="exact"/>
              <w:rPr>
                <w:sz w:val="20"/>
                <w:szCs w:val="20"/>
                <w:color w:val="auto"/>
              </w:rPr>
            </w:pPr>
            <w:r>
              <w:rPr>
                <w:rFonts w:ascii="Times New Roman" w:cs="Times New Roman" w:eastAsia="Times New Roman" w:hAnsi="Times New Roman"/>
                <w:sz w:val="20"/>
                <w:szCs w:val="20"/>
                <w:color w:val="auto"/>
              </w:rPr>
              <w:t>12.2 – “Term Loan Maturity Date”</w:t>
            </w:r>
          </w:p>
        </w:tc>
        <w:tc>
          <w:tcPr>
            <w:tcW w:w="73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Maturity Date</w:t>
            </w:r>
            <w:r>
              <w:rPr>
                <w:rFonts w:ascii="Times New Roman" w:cs="Times New Roman" w:eastAsia="Times New Roman" w:hAnsi="Times New Roman"/>
                <w:sz w:val="20"/>
                <w:szCs w:val="20"/>
                <w:color w:val="auto"/>
              </w:rPr>
              <w:t>” is January 1, 2029, which shall be extended to July 1, 2029</w:t>
            </w:r>
          </w:p>
        </w:tc>
      </w:tr>
      <w:tr>
        <w:trPr>
          <w:trHeight w:val="258"/>
        </w:trPr>
        <w:tc>
          <w:tcPr>
            <w:tcW w:w="3780" w:type="dxa"/>
            <w:vAlign w:val="bottom"/>
            <w:tcBorders>
              <w:left w:val="single" w:sz="8" w:color="auto"/>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upon the occurrence of the Interest-Only Extension Event.</w:t>
            </w:r>
          </w:p>
        </w:tc>
      </w:tr>
      <w:tr>
        <w:trPr>
          <w:trHeight w:val="102"/>
        </w:trPr>
        <w:tc>
          <w:tcPr>
            <w:tcW w:w="3780" w:type="dxa"/>
            <w:vAlign w:val="bottom"/>
            <w:tcBorders>
              <w:left w:val="single" w:sz="8" w:color="auto"/>
              <w:bottom w:val="single" w:sz="8" w:color="auto"/>
              <w:right w:val="single" w:sz="8" w:color="auto"/>
            </w:tcBorders>
          </w:tcPr>
          <w:p>
            <w:pPr>
              <w:spacing w:after="0"/>
              <w:rPr>
                <w:sz w:val="8"/>
                <w:szCs w:val="8"/>
                <w:color w:val="auto"/>
              </w:rPr>
            </w:pPr>
          </w:p>
        </w:tc>
        <w:tc>
          <w:tcPr>
            <w:tcW w:w="734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14"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19"/>
          <w:szCs w:val="19"/>
          <w:b w:val="1"/>
          <w:bCs w:val="1"/>
          <w:color w:val="auto"/>
        </w:rPr>
        <w:t>Schedule I (Loan Terms)</w:t>
      </w:r>
      <w:r>
        <w:rPr>
          <w:rFonts w:ascii="Times New Roman" w:cs="Times New Roman" w:eastAsia="Times New Roman" w:hAnsi="Times New Roman"/>
          <w:sz w:val="19"/>
          <w:szCs w:val="19"/>
          <w:color w:val="auto"/>
        </w:rPr>
        <w:t>. The following news rows are inserted to appear alphabetically on Schedule I thereof:</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480" w:type="dxa"/>
            <w:vAlign w:val="bottom"/>
            <w:tcBorders>
              <w:top w:val="single" w:sz="8" w:color="auto"/>
              <w:left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12.2</w:t>
            </w:r>
          </w:p>
        </w:tc>
        <w:tc>
          <w:tcPr>
            <w:tcW w:w="3300" w:type="dxa"/>
            <w:vAlign w:val="bottom"/>
            <w:tcBorders>
              <w:top w:val="single" w:sz="8" w:color="auto"/>
              <w:right w:val="single" w:sz="8" w:color="auto"/>
            </w:tcBorders>
          </w:tcPr>
          <w:p>
            <w:pPr>
              <w:ind w:left="40"/>
              <w:spacing w:after="0" w:line="224" w:lineRule="exact"/>
              <w:rPr>
                <w:sz w:val="20"/>
                <w:szCs w:val="20"/>
                <w:color w:val="auto"/>
              </w:rPr>
            </w:pPr>
            <w:r>
              <w:rPr>
                <w:rFonts w:ascii="Times New Roman" w:cs="Times New Roman" w:eastAsia="Times New Roman" w:hAnsi="Times New Roman"/>
                <w:sz w:val="20"/>
                <w:szCs w:val="20"/>
                <w:color w:val="auto"/>
              </w:rPr>
              <w:t>– “Interest-Only Extension Event”</w:t>
            </w:r>
          </w:p>
        </w:tc>
        <w:tc>
          <w:tcPr>
            <w:tcW w:w="7340" w:type="dxa"/>
            <w:vAlign w:val="bottom"/>
            <w:tcBorders>
              <w:top w:val="single" w:sz="8" w:color="auto"/>
              <w:right w:val="single" w:sz="8" w:color="auto"/>
            </w:tcBorders>
          </w:tcPr>
          <w:p>
            <w:pPr>
              <w:ind w:left="60"/>
              <w:spacing w:after="0" w:line="224"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Interest-Only Extension Event</w:t>
            </w:r>
            <w:r>
              <w:rPr>
                <w:rFonts w:ascii="Times New Roman" w:cs="Times New Roman" w:eastAsia="Times New Roman" w:hAnsi="Times New Roman"/>
                <w:sz w:val="20"/>
                <w:szCs w:val="20"/>
                <w:color w:val="auto"/>
              </w:rPr>
              <w:t>” means Borrower has delivered to Bank, on or prior to</w:t>
            </w:r>
          </w:p>
        </w:tc>
      </w:tr>
      <w:tr>
        <w:trPr>
          <w:trHeight w:val="229"/>
        </w:trPr>
        <w:tc>
          <w:tcPr>
            <w:tcW w:w="480" w:type="dxa"/>
            <w:vAlign w:val="bottom"/>
            <w:tcBorders>
              <w:lef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January 31, 2027, evidence satisfactory to Bank in its sole and absolute discretion, that</w:t>
            </w:r>
          </w:p>
        </w:tc>
      </w:tr>
      <w:tr>
        <w:trPr>
          <w:trHeight w:val="230"/>
        </w:trPr>
        <w:tc>
          <w:tcPr>
            <w:tcW w:w="480" w:type="dxa"/>
            <w:vAlign w:val="bottom"/>
            <w:tcBorders>
              <w:lef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Borrower has (i) reported, after the Third Amendment Effective Date, but on or prior to</w:t>
            </w:r>
          </w:p>
        </w:tc>
      </w:tr>
      <w:tr>
        <w:trPr>
          <w:trHeight w:val="230"/>
        </w:trPr>
        <w:tc>
          <w:tcPr>
            <w:tcW w:w="480" w:type="dxa"/>
            <w:vAlign w:val="bottom"/>
            <w:tcBorders>
              <w:left w:val="single" w:sz="8" w:color="auto"/>
            </w:tcBorders>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January 31, 2027, that its Phase 3 OPERA-1 clinical study [ * ], but on or prior to January</w:t>
            </w:r>
          </w:p>
        </w:tc>
      </w:tr>
      <w:tr>
        <w:trPr>
          <w:trHeight w:val="258"/>
        </w:trPr>
        <w:tc>
          <w:tcPr>
            <w:tcW w:w="480" w:type="dxa"/>
            <w:vAlign w:val="bottom"/>
            <w:tcBorders>
              <w:left w:val="single" w:sz="8" w:color="auto"/>
            </w:tcBorders>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31, 2027, net new upfront and non-refundable capital [ * ].</w:t>
            </w:r>
          </w:p>
        </w:tc>
      </w:tr>
      <w:tr>
        <w:trPr>
          <w:trHeight w:val="139"/>
        </w:trPr>
        <w:tc>
          <w:tcPr>
            <w:tcW w:w="480" w:type="dxa"/>
            <w:vAlign w:val="bottom"/>
            <w:tcBorders>
              <w:left w:val="single" w:sz="8" w:color="auto"/>
              <w:bottom w:val="single" w:sz="8" w:color="auto"/>
            </w:tcBorders>
          </w:tcPr>
          <w:p>
            <w:pPr>
              <w:spacing w:after="0"/>
              <w:rPr>
                <w:sz w:val="12"/>
                <w:szCs w:val="12"/>
                <w:color w:val="auto"/>
              </w:rPr>
            </w:pPr>
          </w:p>
        </w:tc>
        <w:tc>
          <w:tcPr>
            <w:tcW w:w="3300" w:type="dxa"/>
            <w:vAlign w:val="bottom"/>
            <w:tcBorders>
              <w:bottom w:val="single" w:sz="8" w:color="auto"/>
              <w:right w:val="single" w:sz="8" w:color="auto"/>
            </w:tcBorders>
          </w:tcPr>
          <w:p>
            <w:pPr>
              <w:spacing w:after="0"/>
              <w:rPr>
                <w:sz w:val="12"/>
                <w:szCs w:val="12"/>
                <w:color w:val="auto"/>
              </w:rPr>
            </w:pPr>
          </w:p>
        </w:tc>
        <w:tc>
          <w:tcPr>
            <w:tcW w:w="7340" w:type="dxa"/>
            <w:vAlign w:val="bottom"/>
            <w:tcBorders>
              <w:bottom w:val="single" w:sz="8" w:color="auto"/>
              <w:right w:val="single" w:sz="8" w:color="auto"/>
            </w:tcBorders>
          </w:tcPr>
          <w:p>
            <w:pPr>
              <w:spacing w:after="0"/>
              <w:rPr>
                <w:sz w:val="12"/>
                <w:szCs w:val="12"/>
                <w:color w:val="auto"/>
              </w:rPr>
            </w:pPr>
          </w:p>
        </w:tc>
      </w:tr>
      <w:tr>
        <w:trPr>
          <w:trHeight w:val="163"/>
        </w:trPr>
        <w:tc>
          <w:tcPr>
            <w:tcW w:w="4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12.2</w:t>
            </w:r>
          </w:p>
        </w:tc>
        <w:tc>
          <w:tcPr>
            <w:tcW w:w="3300" w:type="dxa"/>
            <w:vAlign w:val="bottom"/>
            <w:tcBorders>
              <w:right w:val="single" w:sz="8" w:color="auto"/>
            </w:tcBorders>
          </w:tcPr>
          <w:p>
            <w:pPr>
              <w:ind w:left="40"/>
              <w:spacing w:after="0" w:line="163" w:lineRule="exact"/>
              <w:rPr>
                <w:sz w:val="20"/>
                <w:szCs w:val="20"/>
                <w:color w:val="auto"/>
              </w:rPr>
            </w:pPr>
            <w:r>
              <w:rPr>
                <w:rFonts w:ascii="Times New Roman" w:cs="Times New Roman" w:eastAsia="Times New Roman" w:hAnsi="Times New Roman"/>
                <w:sz w:val="18"/>
                <w:szCs w:val="18"/>
                <w:color w:val="auto"/>
              </w:rPr>
              <w:t>– “Repayment Schedule”</w:t>
            </w:r>
          </w:p>
        </w:tc>
        <w:tc>
          <w:tcPr>
            <w:tcW w:w="7340" w:type="dxa"/>
            <w:vAlign w:val="bottom"/>
            <w:tcBorders>
              <w:right w:val="single" w:sz="8" w:color="auto"/>
            </w:tcBorders>
          </w:tcPr>
          <w:p>
            <w:pPr>
              <w:ind w:left="60"/>
              <w:spacing w:after="0" w:line="163"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Repayment Schedule</w:t>
            </w:r>
            <w:r>
              <w:rPr>
                <w:rFonts w:ascii="Times New Roman" w:cs="Times New Roman" w:eastAsia="Times New Roman" w:hAnsi="Times New Roman"/>
                <w:sz w:val="18"/>
                <w:szCs w:val="18"/>
                <w:color w:val="auto"/>
              </w:rPr>
              <w:t>” means the period of time equal to 24 consecutive calendar</w:t>
            </w:r>
          </w:p>
        </w:tc>
      </w:tr>
      <w:tr>
        <w:trPr>
          <w:trHeight w:val="230"/>
        </w:trPr>
        <w:tc>
          <w:tcPr>
            <w:tcW w:w="48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months, which shall be reduced to 18 consecutive calendar months upon the occurrence of</w:t>
            </w:r>
          </w:p>
        </w:tc>
      </w:tr>
      <w:tr>
        <w:trPr>
          <w:trHeight w:val="258"/>
        </w:trPr>
        <w:tc>
          <w:tcPr>
            <w:tcW w:w="48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the Interest-Only Extension Event.”</w:t>
            </w:r>
          </w:p>
        </w:tc>
      </w:tr>
      <w:tr>
        <w:trPr>
          <w:trHeight w:val="102"/>
        </w:trPr>
        <w:tc>
          <w:tcPr>
            <w:tcW w:w="480" w:type="dxa"/>
            <w:vAlign w:val="bottom"/>
            <w:tcBorders>
              <w:bottom w:val="single" w:sz="8" w:color="auto"/>
            </w:tcBorders>
          </w:tcPr>
          <w:p>
            <w:pPr>
              <w:spacing w:after="0"/>
              <w:rPr>
                <w:sz w:val="8"/>
                <w:szCs w:val="8"/>
                <w:color w:val="auto"/>
              </w:rPr>
            </w:pPr>
          </w:p>
        </w:tc>
        <w:tc>
          <w:tcPr>
            <w:tcW w:w="3300" w:type="dxa"/>
            <w:vAlign w:val="bottom"/>
            <w:tcBorders>
              <w:bottom w:val="single" w:sz="8" w:color="auto"/>
              <w:right w:val="single" w:sz="8" w:color="auto"/>
            </w:tcBorders>
          </w:tcPr>
          <w:p>
            <w:pPr>
              <w:spacing w:after="0"/>
              <w:rPr>
                <w:sz w:val="8"/>
                <w:szCs w:val="8"/>
                <w:color w:val="auto"/>
              </w:rPr>
            </w:pPr>
          </w:p>
        </w:tc>
        <w:tc>
          <w:tcPr>
            <w:tcW w:w="7340" w:type="dxa"/>
            <w:vAlign w:val="bottom"/>
            <w:tcBorders>
              <w:bottom w:val="single" w:sz="8" w:color="auto"/>
              <w:right w:val="single" w:sz="8" w:color="auto"/>
            </w:tcBorders>
          </w:tcPr>
          <w:p>
            <w:pPr>
              <w:spacing w:after="0"/>
              <w:rPr>
                <w:sz w:val="8"/>
                <w:szCs w:val="8"/>
                <w:color w:val="auto"/>
              </w:rPr>
            </w:pPr>
          </w:p>
        </w:tc>
      </w:tr>
      <w:tr>
        <w:trPr>
          <w:trHeight w:val="200"/>
        </w:trPr>
        <w:tc>
          <w:tcPr>
            <w:tcW w:w="4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12.2</w:t>
            </w:r>
          </w:p>
        </w:tc>
        <w:tc>
          <w:tcPr>
            <w:tcW w:w="3300" w:type="dxa"/>
            <w:vAlign w:val="bottom"/>
            <w:tcBorders>
              <w:right w:val="single" w:sz="8" w:color="auto"/>
            </w:tcBorders>
          </w:tcPr>
          <w:p>
            <w:pPr>
              <w:ind w:left="40"/>
              <w:spacing w:after="0" w:line="200" w:lineRule="exact"/>
              <w:rPr>
                <w:sz w:val="20"/>
                <w:szCs w:val="20"/>
                <w:color w:val="auto"/>
              </w:rPr>
            </w:pPr>
            <w:r>
              <w:rPr>
                <w:rFonts w:ascii="Times New Roman" w:cs="Times New Roman" w:eastAsia="Times New Roman" w:hAnsi="Times New Roman"/>
                <w:sz w:val="20"/>
                <w:szCs w:val="20"/>
                <w:color w:val="auto"/>
              </w:rPr>
              <w:t>– “Term Loan Amortization Date”</w:t>
            </w:r>
          </w:p>
        </w:tc>
        <w:tc>
          <w:tcPr>
            <w:tcW w:w="7340" w:type="dxa"/>
            <w:vAlign w:val="bottom"/>
            <w:tcBorders>
              <w:right w:val="single" w:sz="8" w:color="auto"/>
            </w:tcBorders>
          </w:tcPr>
          <w:p>
            <w:pPr>
              <w:ind w:left="60"/>
              <w:spacing w:after="0" w:line="20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Amortization Date</w:t>
            </w:r>
            <w:r>
              <w:rPr>
                <w:rFonts w:ascii="Times New Roman" w:cs="Times New Roman" w:eastAsia="Times New Roman" w:hAnsi="Times New Roman"/>
                <w:sz w:val="20"/>
                <w:szCs w:val="20"/>
                <w:color w:val="auto"/>
              </w:rPr>
              <w:t>” is, for each Term Loan Advance, February 1, 2027,</w:t>
            </w:r>
          </w:p>
        </w:tc>
      </w:tr>
      <w:tr>
        <w:trPr>
          <w:trHeight w:val="230"/>
        </w:trPr>
        <w:tc>
          <w:tcPr>
            <w:tcW w:w="480" w:type="dxa"/>
            <w:vAlign w:val="bottom"/>
          </w:tcPr>
          <w:p>
            <w:pPr>
              <w:spacing w:after="0"/>
              <w:rPr>
                <w:sz w:val="19"/>
                <w:szCs w:val="19"/>
                <w:color w:val="auto"/>
              </w:rPr>
            </w:pPr>
          </w:p>
        </w:tc>
        <w:tc>
          <w:tcPr>
            <w:tcW w:w="3300" w:type="dxa"/>
            <w:vAlign w:val="bottom"/>
            <w:tcBorders>
              <w:right w:val="single" w:sz="8" w:color="auto"/>
            </w:tcBorders>
          </w:tcPr>
          <w:p>
            <w:pPr>
              <w:spacing w:after="0"/>
              <w:rPr>
                <w:sz w:val="19"/>
                <w:szCs w:val="19"/>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which shall be extended to February 1, 2028 upon the occurrence of the Interest-Only</w:t>
            </w:r>
          </w:p>
        </w:tc>
      </w:tr>
      <w:tr>
        <w:trPr>
          <w:trHeight w:val="258"/>
        </w:trPr>
        <w:tc>
          <w:tcPr>
            <w:tcW w:w="480" w:type="dxa"/>
            <w:vAlign w:val="bottom"/>
          </w:tcPr>
          <w:p>
            <w:pPr>
              <w:spacing w:after="0"/>
              <w:rPr>
                <w:sz w:val="22"/>
                <w:szCs w:val="22"/>
                <w:color w:val="auto"/>
              </w:rPr>
            </w:pPr>
          </w:p>
        </w:tc>
        <w:tc>
          <w:tcPr>
            <w:tcW w:w="3300" w:type="dxa"/>
            <w:vAlign w:val="bottom"/>
            <w:tcBorders>
              <w:right w:val="single" w:sz="8" w:color="auto"/>
            </w:tcBorders>
          </w:tcPr>
          <w:p>
            <w:pPr>
              <w:spacing w:after="0"/>
              <w:rPr>
                <w:sz w:val="22"/>
                <w:szCs w:val="22"/>
                <w:color w:val="auto"/>
              </w:rPr>
            </w:pPr>
          </w:p>
        </w:tc>
        <w:tc>
          <w:tcPr>
            <w:tcW w:w="734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Extension Event.”</w:t>
            </w:r>
          </w:p>
        </w:tc>
      </w:tr>
      <w:tr>
        <w:trPr>
          <w:trHeight w:val="102"/>
        </w:trPr>
        <w:tc>
          <w:tcPr>
            <w:tcW w:w="480" w:type="dxa"/>
            <w:vAlign w:val="bottom"/>
            <w:tcBorders>
              <w:bottom w:val="single" w:sz="8" w:color="auto"/>
            </w:tcBorders>
          </w:tcPr>
          <w:p>
            <w:pPr>
              <w:spacing w:after="0"/>
              <w:rPr>
                <w:sz w:val="8"/>
                <w:szCs w:val="8"/>
                <w:color w:val="auto"/>
              </w:rPr>
            </w:pPr>
          </w:p>
        </w:tc>
        <w:tc>
          <w:tcPr>
            <w:tcW w:w="3300" w:type="dxa"/>
            <w:vAlign w:val="bottom"/>
            <w:tcBorders>
              <w:bottom w:val="single" w:sz="8" w:color="auto"/>
              <w:right w:val="single" w:sz="8" w:color="auto"/>
            </w:tcBorders>
          </w:tcPr>
          <w:p>
            <w:pPr>
              <w:spacing w:after="0"/>
              <w:rPr>
                <w:sz w:val="8"/>
                <w:szCs w:val="8"/>
                <w:color w:val="auto"/>
              </w:rPr>
            </w:pPr>
          </w:p>
        </w:tc>
        <w:tc>
          <w:tcPr>
            <w:tcW w:w="7340" w:type="dxa"/>
            <w:vAlign w:val="bottom"/>
            <w:tcBorders>
              <w:bottom w:val="single" w:sz="8" w:color="auto"/>
              <w:right w:val="single" w:sz="8" w:color="auto"/>
            </w:tcBorders>
          </w:tcPr>
          <w:p>
            <w:pPr>
              <w:spacing w:after="0"/>
              <w:rPr>
                <w:sz w:val="8"/>
                <w:szCs w:val="8"/>
                <w:color w:val="auto"/>
              </w:rPr>
            </w:pPr>
          </w:p>
        </w:tc>
      </w:tr>
    </w:tbl>
    <w:p>
      <w:pPr>
        <w:spacing w:after="0" w:line="198"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19"/>
          <w:szCs w:val="19"/>
          <w:b w:val="1"/>
          <w:bCs w:val="1"/>
          <w:color w:val="auto"/>
        </w:rPr>
        <w:t>Exhibit A (Compliance Statement)</w:t>
      </w:r>
      <w:r>
        <w:rPr>
          <w:rFonts w:ascii="Times New Roman" w:cs="Times New Roman" w:eastAsia="Times New Roman" w:hAnsi="Times New Roman"/>
          <w:sz w:val="19"/>
          <w:szCs w:val="19"/>
          <w:color w:val="auto"/>
        </w:rPr>
        <w:t>. The Compliance Statement appearing on</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4" w:right="459" w:bottom="1440" w:gutter="0" w:footer="0" w:header="0"/>
        </w:sectPr>
      </w:pPr>
    </w:p>
    <w:bookmarkStart w:id="192" w:name="page193"/>
    <w:bookmarkEnd w:id="192"/>
    <w:p>
      <w:pPr>
        <w:ind w:right="400" w:firstLine="8"/>
        <w:spacing w:after="0" w:line="298" w:lineRule="auto"/>
        <w:tabs>
          <w:tab w:leader="none" w:pos="94"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1 hereto is hereby inserted to appear as Exhibit A to the Loan Agreement.</w:t>
      </w:r>
    </w:p>
    <w:p>
      <w:pPr>
        <w:spacing w:after="0" w:line="225" w:lineRule="exact"/>
        <w:rPr>
          <w:sz w:val="20"/>
          <w:szCs w:val="20"/>
          <w:color w:val="auto"/>
        </w:rPr>
      </w:pPr>
    </w:p>
    <w:p>
      <w:pPr>
        <w:ind w:left="1020" w:hanging="263"/>
        <w:spacing w:after="0"/>
        <w:tabs>
          <w:tab w:leader="none" w:pos="102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Limitation of Amendments.</w:t>
      </w:r>
    </w:p>
    <w:p>
      <w:pPr>
        <w:spacing w:after="0" w:line="188"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19"/>
          <w:szCs w:val="19"/>
          <w:color w:val="auto"/>
        </w:rPr>
        <w:t>The amendments set forth in Section 2 above are effective for the purposes set forth herein and shall be limited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spacing w:after="0" w:line="160"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19"/>
          <w:szCs w:val="19"/>
          <w:color w:val="auto"/>
        </w:rPr>
        <w:t>This Amendment shall be construed in connection with and as part of the Loan Documents and all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conditions, representations, warranties, covenants and agreements set forth in the Loan Documents, except as herein amended, are hereby ratified and confirmed and shall remain in full force and effect.</w:t>
      </w:r>
    </w:p>
    <w:p>
      <w:pPr>
        <w:spacing w:after="0" w:line="174" w:lineRule="exact"/>
        <w:rPr>
          <w:sz w:val="20"/>
          <w:szCs w:val="20"/>
          <w:color w:val="auto"/>
        </w:rPr>
      </w:pPr>
    </w:p>
    <w:p>
      <w:pPr>
        <w:ind w:right="20" w:firstLine="757"/>
        <w:spacing w:after="0" w:line="249" w:lineRule="auto"/>
        <w:tabs>
          <w:tab w:leader="none" w:pos="101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Representations and Warranties. </w:t>
      </w:r>
      <w:r>
        <w:rPr>
          <w:rFonts w:ascii="Times New Roman" w:cs="Times New Roman" w:eastAsia="Times New Roman" w:hAnsi="Times New Roman"/>
          <w:sz w:val="20"/>
          <w:szCs w:val="20"/>
          <w:color w:val="auto"/>
        </w:rPr>
        <w:t>To induce Bank to enter into this Amendment, Borrower hereby represents and warrants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as follows:</w:t>
      </w:r>
    </w:p>
    <w:p>
      <w:pPr>
        <w:spacing w:after="0" w:line="16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19"/>
          <w:szCs w:val="19"/>
          <w:color w:val="auto"/>
        </w:rPr>
        <w:t>Immediately after giving effect to this Amendment (a) the representations and warranties contained in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200" w:lineRule="exact"/>
        <w:rPr>
          <w:sz w:val="20"/>
          <w:szCs w:val="20"/>
          <w:color w:val="auto"/>
        </w:rPr>
      </w:pPr>
    </w:p>
    <w:p>
      <w:pPr>
        <w:spacing w:after="0" w:line="206"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19"/>
          <w:szCs w:val="19"/>
          <w:color w:val="auto"/>
        </w:rPr>
        <w:t>Borrower has the power and authority to execute and deliver this Amendment and to perform its obligations under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the Loan Agreement, as amended by this Amendment;</w:t>
      </w:r>
    </w:p>
    <w:p>
      <w:pPr>
        <w:spacing w:after="0" w:line="135"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19"/>
          <w:szCs w:val="19"/>
          <w:color w:val="auto"/>
        </w:rPr>
        <w:t>The organizational documents of Borrower delivered to Bank on the Effective Date remain true, accurate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complete and have not been amended, supplemented or restated and are and continue to be in full force and effect;</w:t>
      </w:r>
    </w:p>
    <w:p>
      <w:pPr>
        <w:spacing w:after="0" w:line="135" w:lineRule="exact"/>
        <w:rPr>
          <w:sz w:val="20"/>
          <w:szCs w:val="20"/>
          <w:color w:val="auto"/>
        </w:rPr>
      </w:pPr>
    </w:p>
    <w:p>
      <w:pPr>
        <w:jc w:val="both"/>
        <w:ind w:right="20" w:firstLine="1497"/>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19"/>
          <w:szCs w:val="19"/>
          <w:color w:val="auto"/>
        </w:rPr>
        <w:t>The execution and delivery by Borrower of this Amendment and the performance by Borrower of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under the Loan Agreement, as amended by this Amendment, have been duly authorized;</w:t>
      </w:r>
    </w:p>
    <w:p>
      <w:pPr>
        <w:spacing w:after="0" w:line="135"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19"/>
          <w:szCs w:val="19"/>
          <w:color w:val="auto"/>
        </w:rPr>
        <w:t>The execution and delivery by Borrower of this Amendment and the performance by Borrower of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60"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19"/>
          <w:szCs w:val="19"/>
          <w:color w:val="auto"/>
        </w:rPr>
        <w:t>The execution and delivery by Borrower of this Amendment and the performance by Borrower of its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0"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19"/>
          <w:szCs w:val="19"/>
          <w:color w:val="auto"/>
        </w:rPr>
        <w:t>This Amendment has been duly executed and delivered by Borrower and is the binding obligation of Borrower,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enforceable against Borrower in accordance with its terms, except as such enforceability may be limited by bankruptcy, insolvency, reorganization, liquidation, moratorium or other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3" w:name="page194"/>
    <w:bookmarkEnd w:id="193"/>
    <w:p>
      <w:pPr>
        <w:ind w:right="400" w:firstLine="8"/>
        <w:spacing w:after="0" w:line="298" w:lineRule="auto"/>
        <w:tabs>
          <w:tab w:leader="none" w:pos="94"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similar laws of general application and equitable principles relating to or affecting creditors’ rights.</w:t>
      </w:r>
    </w:p>
    <w:p>
      <w:pPr>
        <w:spacing w:after="0" w:line="225" w:lineRule="exact"/>
        <w:rPr>
          <w:sz w:val="20"/>
          <w:szCs w:val="20"/>
          <w:color w:val="auto"/>
        </w:rPr>
      </w:pPr>
    </w:p>
    <w:p>
      <w:pPr>
        <w:jc w:val="both"/>
        <w:ind w:firstLine="757"/>
        <w:spacing w:after="0" w:line="242" w:lineRule="auto"/>
        <w:tabs>
          <w:tab w:leader="none" w:pos="101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Ratification of Perfection Certificate</w:t>
      </w:r>
      <w:r>
        <w:rPr>
          <w:rFonts w:ascii="Times New Roman" w:cs="Times New Roman" w:eastAsia="Times New Roman" w:hAnsi="Times New Roman"/>
          <w:sz w:val="20"/>
          <w:szCs w:val="20"/>
          <w:color w:val="auto"/>
        </w:rPr>
        <w:t>. Borrower hereby ratifies, confirms and reaffirms, all and singular,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disclosures contained in a certain Perfection Certificate dated as of June 28, 2024 between Borrower and Bank and acknowledges, confirms and agrees that the disclosures and information provided to Bank in such Perfection Certificate have not changed in any material respect, as of the date hereof, except as set forth on Schedule 2 attached hereto.</w:t>
      </w:r>
    </w:p>
    <w:p>
      <w:pPr>
        <w:spacing w:after="0" w:line="196" w:lineRule="exact"/>
        <w:rPr>
          <w:rFonts w:ascii="Times New Roman" w:cs="Times New Roman" w:eastAsia="Times New Roman" w:hAnsi="Times New Roman"/>
          <w:sz w:val="22"/>
          <w:szCs w:val="22"/>
          <w:b w:val="1"/>
          <w:bCs w:val="1"/>
          <w:color w:val="auto"/>
        </w:rPr>
      </w:pPr>
    </w:p>
    <w:p>
      <w:pPr>
        <w:jc w:val="both"/>
        <w:ind w:firstLine="757"/>
        <w:spacing w:after="0"/>
        <w:tabs>
          <w:tab w:leader="none" w:pos="1018"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Post-Closing Condition</w:t>
      </w:r>
      <w:r>
        <w:rPr>
          <w:rFonts w:ascii="Times New Roman" w:cs="Times New Roman" w:eastAsia="Times New Roman" w:hAnsi="Times New Roman"/>
          <w:sz w:val="20"/>
          <w:szCs w:val="20"/>
          <w:color w:val="auto"/>
        </w:rPr>
        <w:t>. Within 75 days after the date of this Amendment (or such later date as Bank may agree to in writing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its sole and absolute discretion), Borrower shall cause Irish Subsidiary to (a) become a secured Guarantor under the Loan Agreement, together with such appropriate financing statements and/or Control Agreements, all in form and substance reasonably satisfactory to Bank (including being sufficient to grant Bank a first priority perfected security interest in the Collateral), (b) provide security documents, in form and substance satisfactory to Bank, together with documentation, all in form and substance satisfactory to Bank (including being sufficient to grant Bank a first priority Lien (subject to Permitted Liens) in and to the assets of Irish Subsidiary), (c) provide Bank with appropriate certificates and powers and financing statements, pledging all of the direct or beneficial ownership interest in Irish Subsidiary, in form and substance reasonably satisfactory to Bank; and (d) provide to Bank all other documentation in form and substance reasonably satisfactory to Bank, including, at Bank’s election, one or more opinions of counsel satisfactory to Bank, which in its opinion is appropriate with respect to the execution and delivery of the applicable documentation referred to above. Any document, agreement, or instrument executed or issued pursuant to this section and Section 5.13 of the Loan Agreement shall be a Loan Document. Failure to comply with the terms of this Section 7 shall constitute an immediate Event of Default with no grace or cure period.</w:t>
      </w:r>
    </w:p>
    <w:p>
      <w:pPr>
        <w:spacing w:after="0" w:line="200" w:lineRule="exact"/>
        <w:rPr>
          <w:rFonts w:ascii="Times New Roman" w:cs="Times New Roman" w:eastAsia="Times New Roman" w:hAnsi="Times New Roman"/>
          <w:sz w:val="22"/>
          <w:szCs w:val="22"/>
          <w:b w:val="1"/>
          <w:bCs w:val="1"/>
          <w:color w:val="auto"/>
        </w:rPr>
      </w:pPr>
    </w:p>
    <w:p>
      <w:pPr>
        <w:ind w:left="1020" w:hanging="263"/>
        <w:spacing w:after="0"/>
        <w:tabs>
          <w:tab w:leader="none" w:pos="1020" w:val="left"/>
        </w:tabs>
        <w:numPr>
          <w:ilvl w:val="0"/>
          <w:numId w:val="8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Release by Borrower.</w:t>
      </w:r>
    </w:p>
    <w:p>
      <w:pPr>
        <w:spacing w:after="0" w:line="188" w:lineRule="exact"/>
        <w:rPr>
          <w:sz w:val="20"/>
          <w:szCs w:val="20"/>
          <w:color w:val="auto"/>
        </w:rPr>
      </w:pPr>
    </w:p>
    <w:p>
      <w:pPr>
        <w:jc w:val="both"/>
        <w:ind w:firstLine="1497"/>
        <w:spacing w:after="0" w:line="255"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19"/>
          <w:szCs w:val="19"/>
          <w:color w:val="auto"/>
        </w:rPr>
        <w:t>FOR GOOD AND VALUABLE CONSIDERATION, Borrower hereby forever relieves, releases, and discharges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Bank and its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 controversies or claims existing or arising from the beginning of time through and including the date of execution of this Amendment (collectively “</w:t>
      </w:r>
      <w:r>
        <w:rPr>
          <w:rFonts w:ascii="Times New Roman" w:cs="Times New Roman" w:eastAsia="Times New Roman" w:hAnsi="Times New Roman"/>
          <w:sz w:val="19"/>
          <w:szCs w:val="19"/>
          <w:b w:val="1"/>
          <w:bCs w:val="1"/>
          <w:color w:val="auto"/>
        </w:rPr>
        <w:t>Released Claims</w:t>
      </w:r>
      <w:r>
        <w:rPr>
          <w:rFonts w:ascii="Times New Roman" w:cs="Times New Roman" w:eastAsia="Times New Roman" w:hAnsi="Times New Roman"/>
          <w:sz w:val="19"/>
          <w:szCs w:val="19"/>
          <w:color w:val="auto"/>
        </w:rPr>
        <w:t>”). Without limiting the foregoing, the Released Claims shall include any and all liabilities or claims arising out of or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w:t>
      </w:r>
    </w:p>
    <w:p>
      <w:pPr>
        <w:spacing w:after="0" w:line="169"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19"/>
          <w:szCs w:val="19"/>
          <w:color w:val="auto"/>
        </w:rPr>
        <w:t>In furtherance of this release, Borrower expressly acknowledges and waives any and all rights under Section 1542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of the California Civil Code, which provides as follows:</w:t>
      </w:r>
    </w:p>
    <w:p>
      <w:pPr>
        <w:spacing w:after="0" w:line="139" w:lineRule="exact"/>
        <w:rPr>
          <w:sz w:val="20"/>
          <w:szCs w:val="20"/>
          <w:color w:val="auto"/>
        </w:rPr>
      </w:pPr>
    </w:p>
    <w:p>
      <w:pPr>
        <w:jc w:val="both"/>
        <w:ind w:left="1500" w:right="760"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 general release</w:t>
      </w:r>
      <w:r>
        <w:rPr>
          <w:rFonts w:ascii="Times New Roman" w:cs="Times New Roman" w:eastAsia="Times New Roman" w:hAnsi="Times New Roman"/>
          <w:sz w:val="20"/>
          <w:szCs w:val="20"/>
          <w:color w:val="auto"/>
        </w:rPr>
        <w:t xml:space="preserve"> does not extend to claims that the creditor or releasing party does not know or suspect to exist in his or her favor at the time of executing the release and that, if known by him or her, would have materially affected his or her settlement with the debtor or released party.” (Emphasis added.)</w:t>
      </w:r>
    </w:p>
    <w:p>
      <w:pPr>
        <w:spacing w:after="0" w:line="164" w:lineRule="exact"/>
        <w:rPr>
          <w:sz w:val="20"/>
          <w:szCs w:val="20"/>
          <w:color w:val="auto"/>
        </w:rPr>
      </w:pPr>
    </w:p>
    <w:p>
      <w:pPr>
        <w:jc w:val="both"/>
        <w:ind w:firstLine="1497"/>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19"/>
          <w:szCs w:val="19"/>
          <w:color w:val="auto"/>
        </w:rPr>
        <w:t>By entering into this release, Borrower recognizes that no facts or representations are ever absolutely certain and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may hereafter discover facts in addition to or different from those which it presently knows or believes to be true, but that it is the intention of Borrower hereby to fully, finally and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4" w:name="page195"/>
    <w:bookmarkEnd w:id="194"/>
    <w:p>
      <w:pPr>
        <w:ind w:right="400" w:firstLine="8"/>
        <w:spacing w:after="0" w:line="298" w:lineRule="auto"/>
        <w:tabs>
          <w:tab w:leader="none" w:pos="94"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forever settle and release all matters, disputes and differences, known or unknown, suspected or unsuspected;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Bank with respect to the facts underlying this release or with regard to any of such party’s rights or asserted rights.</w:t>
      </w:r>
    </w:p>
    <w:p>
      <w:pPr>
        <w:spacing w:after="0" w:line="176"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19"/>
          <w:szCs w:val="19"/>
          <w:color w:val="auto"/>
        </w:rPr>
        <w:t>This release may be pleaded as a full and complete defense and/or as a cross-complaint or counterclaim against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action, suit, or other proceeding that may be instituted, prosecuted or attempted in breach of this release. Borrower acknowledges that the release contained herein constitutes a material inducement to Bank to enter into this Amendment, and that Bank would not have done so but for Bank’s expectation that such release is valid and enforceable in all events.</w:t>
      </w:r>
    </w:p>
    <w:p>
      <w:pPr>
        <w:spacing w:after="0" w:line="16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b w:val="1"/>
          <w:bCs w:val="1"/>
          <w:color w:val="auto"/>
        </w:rPr>
        <w:t>7.5</w:t>
      </w:r>
      <w:r>
        <w:rPr>
          <w:sz w:val="20"/>
          <w:szCs w:val="20"/>
          <w:color w:val="auto"/>
        </w:rPr>
        <w:tab/>
      </w:r>
      <w:r>
        <w:rPr>
          <w:rFonts w:ascii="Times New Roman" w:cs="Times New Roman" w:eastAsia="Times New Roman" w:hAnsi="Times New Roman"/>
          <w:sz w:val="19"/>
          <w:szCs w:val="19"/>
          <w:color w:val="auto"/>
        </w:rPr>
        <w:t>Borrower hereby represents and warrants to Bank, and Bank is relying thereon, as follows:</w:t>
      </w:r>
    </w:p>
    <w:p>
      <w:pPr>
        <w:spacing w:after="0" w:line="228" w:lineRule="exact"/>
        <w:rPr>
          <w:sz w:val="20"/>
          <w:szCs w:val="20"/>
          <w:color w:val="auto"/>
        </w:rPr>
      </w:pPr>
    </w:p>
    <w:p>
      <w:pPr>
        <w:ind w:firstLine="2254"/>
        <w:spacing w:after="0" w:line="245" w:lineRule="auto"/>
        <w:tabs>
          <w:tab w:leader="none" w:pos="2546"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Except as expressly stated in this Amendment, neither Bank nor any agent, employee or representative of Bank has made any statement or representation to Borrower regarding any fact relied upon by Borrower in entering into this Amendment.</w:t>
      </w:r>
    </w:p>
    <w:p>
      <w:pPr>
        <w:spacing w:after="0" w:line="195" w:lineRule="exact"/>
        <w:rPr>
          <w:rFonts w:ascii="Times New Roman" w:cs="Times New Roman" w:eastAsia="Times New Roman" w:hAnsi="Times New Roman"/>
          <w:sz w:val="22"/>
          <w:szCs w:val="22"/>
          <w:b w:val="1"/>
          <w:bCs w:val="1"/>
          <w:color w:val="auto"/>
        </w:rPr>
      </w:pPr>
    </w:p>
    <w:p>
      <w:pPr>
        <w:ind w:firstLine="2254"/>
        <w:spacing w:after="0" w:line="245" w:lineRule="auto"/>
        <w:tabs>
          <w:tab w:leader="none" w:pos="2546"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Borrower has made such investigation of the facts pertaining to this Amendment and all of the matters appertaining thereto, as it deems necessary.</w:t>
      </w:r>
    </w:p>
    <w:p>
      <w:pPr>
        <w:spacing w:after="0" w:line="195" w:lineRule="exact"/>
        <w:rPr>
          <w:rFonts w:ascii="Times New Roman" w:cs="Times New Roman" w:eastAsia="Times New Roman" w:hAnsi="Times New Roman"/>
          <w:sz w:val="22"/>
          <w:szCs w:val="22"/>
          <w:b w:val="1"/>
          <w:bCs w:val="1"/>
          <w:color w:val="auto"/>
        </w:rPr>
      </w:pPr>
    </w:p>
    <w:p>
      <w:pPr>
        <w:ind w:left="2560" w:hanging="306"/>
        <w:spacing w:after="0"/>
        <w:tabs>
          <w:tab w:leader="none" w:pos="2560"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The terms of this Amendment are contractual and not a mere recital.</w:t>
      </w:r>
    </w:p>
    <w:p>
      <w:pPr>
        <w:spacing w:after="0" w:line="206" w:lineRule="exact"/>
        <w:rPr>
          <w:rFonts w:ascii="Times New Roman" w:cs="Times New Roman" w:eastAsia="Times New Roman" w:hAnsi="Times New Roman"/>
          <w:sz w:val="22"/>
          <w:szCs w:val="22"/>
          <w:b w:val="1"/>
          <w:bCs w:val="1"/>
          <w:color w:val="auto"/>
        </w:rPr>
      </w:pPr>
    </w:p>
    <w:p>
      <w:pPr>
        <w:ind w:firstLine="2254"/>
        <w:spacing w:after="0" w:line="245" w:lineRule="auto"/>
        <w:tabs>
          <w:tab w:leader="none" w:pos="2546"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This Amendment has been carefully read by Borrower, the contents hereof are known and understood by Borrower, and this Amendment is signed freely, and without duress, by Borrower.</w:t>
      </w:r>
    </w:p>
    <w:p>
      <w:pPr>
        <w:spacing w:after="0" w:line="195" w:lineRule="exact"/>
        <w:rPr>
          <w:rFonts w:ascii="Times New Roman" w:cs="Times New Roman" w:eastAsia="Times New Roman" w:hAnsi="Times New Roman"/>
          <w:sz w:val="22"/>
          <w:szCs w:val="22"/>
          <w:b w:val="1"/>
          <w:bCs w:val="1"/>
          <w:color w:val="auto"/>
        </w:rPr>
      </w:pPr>
    </w:p>
    <w:p>
      <w:pPr>
        <w:jc w:val="both"/>
        <w:ind w:firstLine="2254"/>
        <w:spacing w:after="0"/>
        <w:tabs>
          <w:tab w:leader="none" w:pos="2546" w:val="left"/>
        </w:tabs>
        <w:numPr>
          <w:ilvl w:val="1"/>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color w:val="auto"/>
        </w:rPr>
        <w:t>Borrower represents and warrants that it is the sole and lawful owner of all right, title and interest in and to every claim and every other matter which it releases herein, and that it has not heretofore assigned or transferred, or purported to assign or transfer, to any person, firm or entity any claims or other matters herein released. Borrower shall indemnify Bank, defend and hold it harmless from and against all claims based upon or arising in connection with prior assignments or purported assignments or transfers of any claims or matters released herein.</w:t>
      </w:r>
    </w:p>
    <w:p>
      <w:pPr>
        <w:spacing w:after="0" w:line="200" w:lineRule="exact"/>
        <w:rPr>
          <w:rFonts w:ascii="Times New Roman" w:cs="Times New Roman" w:eastAsia="Times New Roman" w:hAnsi="Times New Roman"/>
          <w:sz w:val="22"/>
          <w:szCs w:val="22"/>
          <w:b w:val="1"/>
          <w:bCs w:val="1"/>
          <w:color w:val="auto"/>
        </w:rPr>
      </w:pPr>
    </w:p>
    <w:p>
      <w:pPr>
        <w:ind w:right="20" w:firstLine="757"/>
        <w:spacing w:after="0" w:line="249" w:lineRule="auto"/>
        <w:tabs>
          <w:tab w:leader="none" w:pos="1018"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Fees and Expenses. </w:t>
      </w:r>
      <w:r>
        <w:rPr>
          <w:rFonts w:ascii="Times New Roman" w:cs="Times New Roman" w:eastAsia="Times New Roman" w:hAnsi="Times New Roman"/>
          <w:sz w:val="20"/>
          <w:szCs w:val="20"/>
          <w:color w:val="auto"/>
        </w:rPr>
        <w:t>Borrower shall reimburse Bank for all unreimbursed Bank Expenses, including without limitation, all legal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fees and expenses incurred in connection with this Amendment.</w:t>
      </w:r>
    </w:p>
    <w:p>
      <w:pPr>
        <w:spacing w:after="0" w:line="187" w:lineRule="exact"/>
        <w:rPr>
          <w:rFonts w:ascii="Times New Roman" w:cs="Times New Roman" w:eastAsia="Times New Roman" w:hAnsi="Times New Roman"/>
          <w:sz w:val="22"/>
          <w:szCs w:val="22"/>
          <w:b w:val="1"/>
          <w:bCs w:val="1"/>
          <w:color w:val="auto"/>
        </w:rPr>
      </w:pPr>
    </w:p>
    <w:p>
      <w:pPr>
        <w:ind w:firstLine="757"/>
        <w:spacing w:after="0" w:line="249" w:lineRule="auto"/>
        <w:tabs>
          <w:tab w:leader="none" w:pos="1018"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shall be governed and construed in accordance with the laws of the State of California,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without giving effect to conflicts of laws principles.</w:t>
      </w:r>
    </w:p>
    <w:p>
      <w:pPr>
        <w:spacing w:after="0" w:line="169" w:lineRule="exact"/>
        <w:rPr>
          <w:sz w:val="20"/>
          <w:szCs w:val="20"/>
          <w:color w:val="auto"/>
        </w:rPr>
      </w:pPr>
    </w:p>
    <w:p>
      <w:pPr>
        <w:jc w:val="both"/>
        <w:ind w:firstLine="749"/>
        <w:spacing w:after="0" w:line="265" w:lineRule="auto"/>
        <w:rPr>
          <w:sz w:val="20"/>
          <w:szCs w:val="20"/>
          <w:color w:val="auto"/>
        </w:rPr>
      </w:pPr>
      <w:r>
        <w:rPr>
          <w:rFonts w:ascii="Times New Roman" w:cs="Times New Roman" w:eastAsia="Times New Roman" w:hAnsi="Times New Roman"/>
          <w:sz w:val="22"/>
          <w:szCs w:val="22"/>
          <w:b w:val="1"/>
          <w:bCs w:val="1"/>
          <w:color w:val="auto"/>
        </w:rPr>
        <w:t>10.</w:t>
      </w:r>
      <w:r>
        <w:rPr>
          <w:rFonts w:ascii="Times New Roman" w:cs="Times New Roman" w:eastAsia="Times New Roman" w:hAnsi="Times New Roman"/>
          <w:sz w:val="19"/>
          <w:szCs w:val="19"/>
          <w:b w:val="1"/>
          <w:bCs w:val="1"/>
          <w:color w:val="auto"/>
        </w:rPr>
        <w:t>Integration</w:t>
      </w:r>
      <w:r>
        <w:rPr>
          <w:rFonts w:ascii="Times New Roman" w:cs="Times New Roman" w:eastAsia="Times New Roman" w:hAnsi="Times New Roman"/>
          <w:sz w:val="19"/>
          <w:szCs w:val="19"/>
          <w:color w:val="auto"/>
        </w:rPr>
        <w:t>. This Amendment and the Loan Documents represent the entire agreement about this subject matter and supersede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5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11.</w:t>
      </w:r>
      <w:r>
        <w:rPr>
          <w:rFonts w:ascii="Times New Roman" w:cs="Times New Roman" w:eastAsia="Times New Roman" w:hAnsi="Times New Roman"/>
          <w:sz w:val="19"/>
          <w:szCs w:val="19"/>
          <w:b w:val="1"/>
          <w:bCs w:val="1"/>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This Amendment may be executed in any number of counterparts and all of such counterparts taken together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shall be deemed to constitute one and the same instrument. Each party</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5" w:name="page196"/>
    <w:bookmarkEnd w:id="195"/>
    <w:p>
      <w:pPr>
        <w:ind w:right="400" w:firstLine="8"/>
        <w:spacing w:after="0" w:line="298" w:lineRule="auto"/>
        <w:tabs>
          <w:tab w:leader="none" w:pos="94"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hereto may execute this Amendment by electronic means and recognizes and accepts the use of electronic signatures and records by any other party hereto in connection with the execution and storage hereof.</w:t>
      </w:r>
    </w:p>
    <w:p>
      <w:pPr>
        <w:spacing w:after="0" w:line="15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22"/>
          <w:szCs w:val="22"/>
          <w:b w:val="1"/>
          <w:bCs w:val="1"/>
          <w:color w:val="auto"/>
        </w:rPr>
        <w:t>12.</w:t>
      </w:r>
      <w:r>
        <w:rPr>
          <w:rFonts w:ascii="Times New Roman" w:cs="Times New Roman" w:eastAsia="Times New Roman" w:hAnsi="Times New Roman"/>
          <w:sz w:val="19"/>
          <w:szCs w:val="19"/>
          <w:b w:val="1"/>
          <w:bCs w:val="1"/>
          <w:color w:val="auto"/>
        </w:rPr>
        <w:t>Effectiveness</w:t>
      </w:r>
      <w:r>
        <w:rPr>
          <w:rFonts w:ascii="Times New Roman" w:cs="Times New Roman" w:eastAsia="Times New Roman" w:hAnsi="Times New Roman"/>
          <w:sz w:val="19"/>
          <w:szCs w:val="19"/>
          <w:color w:val="auto"/>
        </w:rPr>
        <w:t>. This Amendment shall be deemed effective upon the due execution and delivery to Bank of this Amendment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9"/>
          <w:szCs w:val="19"/>
          <w:color w:val="auto"/>
        </w:rPr>
        <w:t>each party hereto.</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96" w:name="page197"/>
    <w:bookmarkEnd w:id="196"/>
    <w:p>
      <w:pPr>
        <w:ind w:left="-8" w:firstLine="8"/>
        <w:spacing w:after="0" w:line="298" w:lineRule="auto"/>
        <w:tabs>
          <w:tab w:leader="none" w:pos="86"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have caused this Amendment to be executed as of the date first written above.</w:t>
      </w:r>
    </w:p>
    <w:p>
      <w:pPr>
        <w:spacing w:after="0" w:line="200" w:lineRule="exact"/>
        <w:rPr>
          <w:sz w:val="20"/>
          <w:szCs w:val="20"/>
          <w:color w:val="auto"/>
        </w:rPr>
      </w:pPr>
    </w:p>
    <w:p>
      <w:pPr>
        <w:spacing w:after="0" w:line="259" w:lineRule="exact"/>
        <w:rPr>
          <w:sz w:val="20"/>
          <w:szCs w:val="20"/>
          <w:color w:val="auto"/>
        </w:rPr>
      </w:pPr>
    </w:p>
    <w:tbl>
      <w:tblPr>
        <w:tblLayout w:type="fixed"/>
        <w:tblInd w:w="92" w:type="dxa"/>
        <w:tblCellMar>
          <w:top w:w="0" w:type="dxa"/>
          <w:left w:w="0" w:type="dxa"/>
          <w:bottom w:w="0" w:type="dxa"/>
          <w:right w:w="0" w:type="dxa"/>
        </w:tblCellMar>
      </w:tblPr>
      <w:tr>
        <w:trPr>
          <w:trHeight w:val="262"/>
        </w:trPr>
        <w:tc>
          <w:tcPr>
            <w:tcW w:w="46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BANK</w:t>
            </w:r>
          </w:p>
        </w:tc>
        <w:tc>
          <w:tcPr>
            <w:tcW w:w="4340" w:type="dxa"/>
            <w:vAlign w:val="bottom"/>
            <w:gridSpan w:val="3"/>
          </w:tcPr>
          <w:p>
            <w:pPr>
              <w:ind w:left="660"/>
              <w:spacing w:after="0"/>
              <w:rPr>
                <w:sz w:val="20"/>
                <w:szCs w:val="20"/>
                <w:color w:val="auto"/>
              </w:rPr>
            </w:pPr>
            <w:r>
              <w:rPr>
                <w:rFonts w:ascii="Times New Roman" w:cs="Times New Roman" w:eastAsia="Times New Roman" w:hAnsi="Times New Roman"/>
                <w:sz w:val="20"/>
                <w:szCs w:val="20"/>
                <w:b w:val="1"/>
                <w:bCs w:val="1"/>
                <w:color w:val="auto"/>
              </w:rPr>
              <w:t>BORROWER</w:t>
            </w:r>
          </w:p>
        </w:tc>
      </w:tr>
      <w:tr>
        <w:trPr>
          <w:trHeight w:val="459"/>
        </w:trPr>
        <w:tc>
          <w:tcPr>
            <w:tcW w:w="4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FIRST-CITIZENS BANK &amp; TRUST COMPANY</w:t>
            </w:r>
          </w:p>
        </w:tc>
        <w:tc>
          <w:tcPr>
            <w:tcW w:w="43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OLEMA PHARMACEUTICALS, INC.</w:t>
            </w:r>
          </w:p>
        </w:tc>
      </w:tr>
      <w:tr>
        <w:trPr>
          <w:trHeight w:val="750"/>
        </w:trPr>
        <w:tc>
          <w:tcPr>
            <w:tcW w:w="4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By: /s/ Tom Seminara______________</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18"/>
        </w:trPr>
        <w:tc>
          <w:tcPr>
            <w:tcW w:w="4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Tom Seminara</w:t>
            </w:r>
          </w:p>
        </w:tc>
        <w:tc>
          <w:tcPr>
            <w:tcW w:w="43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w w:val="98"/>
              </w:rPr>
              <w:t>By: /s/ Shane Kovacs____________________</w:t>
            </w:r>
          </w:p>
        </w:tc>
      </w:tr>
      <w:tr>
        <w:trPr>
          <w:trHeight w:val="20"/>
        </w:trPr>
        <w:tc>
          <w:tcPr>
            <w:tcW w:w="46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64"/>
        </w:trPr>
        <w:tc>
          <w:tcPr>
            <w:tcW w:w="4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Title: Vice President</w:t>
            </w:r>
          </w:p>
        </w:tc>
        <w:tc>
          <w:tcPr>
            <w:tcW w:w="43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Name: Shane Kovacs</w:t>
            </w:r>
          </w:p>
        </w:tc>
      </w:tr>
      <w:tr>
        <w:trPr>
          <w:trHeight w:val="338"/>
        </w:trPr>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34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Title: Chief Operating and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795655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2"/>
          </w:cols>
          <w:pgMar w:left="328" w:top="1422" w:right="739" w:bottom="1440" w:gutter="0" w:footer="0" w:header="0"/>
        </w:sectPr>
      </w:pPr>
    </w:p>
    <w:bookmarkStart w:id="197" w:name="page198"/>
    <w:bookmarkEnd w:id="197"/>
    <w:p>
      <w:pPr>
        <w:ind w:right="400" w:firstLine="8"/>
        <w:spacing w:after="0" w:line="298" w:lineRule="auto"/>
        <w:tabs>
          <w:tab w:leader="none" w:pos="94"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Schedule 1</w:t>
            </w:r>
          </w:p>
        </w:tc>
        <w:tc>
          <w:tcPr>
            <w:tcW w:w="1080" w:type="dxa"/>
            <w:vAlign w:val="bottom"/>
            <w:gridSpan w:val="3"/>
          </w:tcPr>
          <w:p>
            <w:pPr>
              <w:spacing w:after="0"/>
              <w:rPr>
                <w:sz w:val="19"/>
                <w:szCs w:val="19"/>
                <w:color w:val="auto"/>
              </w:rPr>
            </w:pPr>
          </w:p>
        </w:tc>
      </w:tr>
      <w:tr>
        <w:trPr>
          <w:trHeight w:val="668"/>
        </w:trPr>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60" w:type="dxa"/>
            <w:vAlign w:val="bottom"/>
            <w:gridSpan w:val="5"/>
          </w:tcPr>
          <w:p>
            <w:pPr>
              <w:jc w:val="center"/>
              <w:ind w:right="1020"/>
              <w:spacing w:after="0"/>
              <w:rPr>
                <w:sz w:val="20"/>
                <w:szCs w:val="20"/>
                <w:color w:val="auto"/>
              </w:rPr>
            </w:pPr>
            <w:r>
              <w:rPr>
                <w:rFonts w:ascii="Times New Roman" w:cs="Times New Roman" w:eastAsia="Times New Roman" w:hAnsi="Times New Roman"/>
                <w:sz w:val="20"/>
                <w:szCs w:val="20"/>
                <w:b w:val="1"/>
                <w:bCs w:val="1"/>
                <w:color w:val="auto"/>
                <w:w w:val="98"/>
              </w:rPr>
              <w:t>EXHIBIT A</w:t>
            </w:r>
          </w:p>
        </w:tc>
      </w:tr>
      <w:tr>
        <w:trPr>
          <w:trHeight w:val="20"/>
        </w:trPr>
        <w:tc>
          <w:tcPr>
            <w:tcW w:w="5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520" w:type="dxa"/>
            <w:vAlign w:val="bottom"/>
            <w:tcBorders>
              <w:bottom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COMPLIANCE STATEMENT</w:t>
            </w:r>
          </w:p>
        </w:tc>
        <w:tc>
          <w:tcPr>
            <w:tcW w:w="280" w:type="dxa"/>
            <w:vAlign w:val="bottom"/>
          </w:tcPr>
          <w:p>
            <w:pPr>
              <w:spacing w:after="0"/>
              <w:rPr>
                <w:sz w:val="18"/>
                <w:szCs w:val="18"/>
                <w:color w:val="auto"/>
              </w:rPr>
            </w:pPr>
          </w:p>
        </w:tc>
      </w:tr>
      <w:tr>
        <w:trPr>
          <w:trHeight w:val="47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TO:</w:t>
            </w:r>
          </w:p>
        </w:tc>
        <w:tc>
          <w:tcPr>
            <w:tcW w:w="6600" w:type="dxa"/>
            <w:vAlign w:val="bottom"/>
            <w:gridSpan w:val="7"/>
          </w:tcPr>
          <w:p>
            <w:pPr>
              <w:ind w:left="240"/>
              <w:spacing w:after="0"/>
              <w:rPr>
                <w:sz w:val="20"/>
                <w:szCs w:val="20"/>
                <w:color w:val="auto"/>
              </w:rPr>
            </w:pPr>
            <w:r>
              <w:rPr>
                <w:rFonts w:ascii="Times New Roman" w:cs="Times New Roman" w:eastAsia="Times New Roman" w:hAnsi="Times New Roman"/>
                <w:sz w:val="20"/>
                <w:szCs w:val="20"/>
                <w:color w:val="auto"/>
                <w:w w:val="99"/>
              </w:rPr>
              <w:t>Silicon Valley Bank, a division of First-Citizens Bank &amp; Trust Company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4612005</wp:posOffset>
            </wp:positionH>
            <wp:positionV relativeFrom="paragraph">
              <wp:posOffset>-24765</wp:posOffset>
            </wp:positionV>
            <wp:extent cx="4191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419100" cy="8255"/>
                    </a:xfrm>
                    <a:prstGeom prst="rect">
                      <a:avLst/>
                    </a:prstGeom>
                    <a:noFill/>
                  </pic:spPr>
                </pic:pic>
              </a:graphicData>
            </a:graphic>
          </wp:anchor>
        </w:drawing>
      </w: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FROM:</w:t>
      </w:r>
      <w:r>
        <w:rPr>
          <w:sz w:val="20"/>
          <w:szCs w:val="20"/>
          <w:color w:val="auto"/>
        </w:rPr>
        <w:tab/>
      </w:r>
      <w:r>
        <w:rPr>
          <w:rFonts w:ascii="Times New Roman" w:cs="Times New Roman" w:eastAsia="Times New Roman" w:hAnsi="Times New Roman"/>
          <w:sz w:val="19"/>
          <w:szCs w:val="19"/>
          <w:color w:val="auto"/>
        </w:rPr>
        <w:t>OLEMA PHARMACEUTICALS, INC.</w:t>
      </w:r>
    </w:p>
    <w:p>
      <w:pPr>
        <w:spacing w:after="0" w:line="315"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20"/>
          <w:szCs w:val="20"/>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Borrower is in complete compliance for the period ending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 with all required covenants except as noted below.  Attached are the required documents evidencing such compliance,</w:t>
      </w:r>
    </w:p>
    <w:p>
      <w:pPr>
        <w:jc w:val="both"/>
        <w:spacing w:after="0" w:line="242" w:lineRule="auto"/>
        <w:rPr>
          <w:sz w:val="20"/>
          <w:szCs w:val="20"/>
          <w:color w:val="auto"/>
        </w:rPr>
      </w:pPr>
      <w:r>
        <w:rPr>
          <w:rFonts w:ascii="Times New Roman" w:cs="Times New Roman" w:eastAsia="Times New Roman" w:hAnsi="Times New Roman"/>
          <w:sz w:val="20"/>
          <w:szCs w:val="20"/>
          <w:color w:val="auto"/>
        </w:rPr>
        <w:t>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Please indicate compliance status by circling Yes/No under “Complies” column.</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5500" w:type="dxa"/>
            <w:vAlign w:val="bottom"/>
            <w:tcBorders>
              <w:top w:val="single" w:sz="8" w:color="auto"/>
              <w:left w:val="single" w:sz="8" w:color="auto"/>
              <w:right w:val="single" w:sz="8" w:color="auto"/>
            </w:tcBorders>
            <w:gridSpan w:val="4"/>
          </w:tcPr>
          <w:p>
            <w:pPr>
              <w:ind w:left="1860"/>
              <w:spacing w:after="0" w:line="203" w:lineRule="exact"/>
              <w:rPr>
                <w:sz w:val="20"/>
                <w:szCs w:val="20"/>
                <w:color w:val="auto"/>
              </w:rPr>
            </w:pPr>
            <w:r>
              <w:rPr>
                <w:rFonts w:ascii="Times New Roman" w:cs="Times New Roman" w:eastAsia="Times New Roman" w:hAnsi="Times New Roman"/>
                <w:sz w:val="20"/>
                <w:szCs w:val="20"/>
                <w:b w:val="1"/>
                <w:bCs w:val="1"/>
                <w:color w:val="auto"/>
              </w:rPr>
              <w:t>Reporting Covenants</w:t>
            </w:r>
          </w:p>
        </w:tc>
        <w:tc>
          <w:tcPr>
            <w:tcW w:w="1460" w:type="dxa"/>
            <w:vAlign w:val="bottom"/>
            <w:tcBorders>
              <w:top w:val="single" w:sz="8" w:color="auto"/>
            </w:tcBorders>
          </w:tcPr>
          <w:p>
            <w:pPr>
              <w:spacing w:after="0"/>
              <w:rPr>
                <w:sz w:val="17"/>
                <w:szCs w:val="17"/>
                <w:color w:val="auto"/>
              </w:rPr>
            </w:pPr>
          </w:p>
        </w:tc>
        <w:tc>
          <w:tcPr>
            <w:tcW w:w="228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Required</w:t>
            </w:r>
          </w:p>
        </w:tc>
        <w:tc>
          <w:tcPr>
            <w:tcW w:w="600" w:type="dxa"/>
            <w:vAlign w:val="bottom"/>
            <w:tcBorders>
              <w:top w:val="single" w:sz="8" w:color="auto"/>
            </w:tcBorders>
          </w:tcPr>
          <w:p>
            <w:pPr>
              <w:spacing w:after="0"/>
              <w:rPr>
                <w:sz w:val="17"/>
                <w:szCs w:val="17"/>
                <w:color w:val="auto"/>
              </w:rPr>
            </w:pPr>
          </w:p>
        </w:tc>
        <w:tc>
          <w:tcPr>
            <w:tcW w:w="1400" w:type="dxa"/>
            <w:vAlign w:val="bottom"/>
            <w:tcBorders>
              <w:top w:val="single" w:sz="8" w:color="auto"/>
              <w:right w:val="single" w:sz="8" w:color="auto"/>
            </w:tcBorders>
            <w:gridSpan w:val="3"/>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Complies</w:t>
            </w:r>
          </w:p>
        </w:tc>
      </w:tr>
      <w:tr>
        <w:trPr>
          <w:trHeight w:val="20"/>
        </w:trPr>
        <w:tc>
          <w:tcPr>
            <w:tcW w:w="1860" w:type="dxa"/>
            <w:vAlign w:val="bottom"/>
            <w:tcBorders>
              <w:left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bottom w:val="single" w:sz="8" w:color="auto"/>
              <w:right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860" w:type="dxa"/>
            <w:vAlign w:val="bottom"/>
            <w:tcBorders>
              <w:left w:val="single" w:sz="8" w:color="auto"/>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200"/>
        </w:trPr>
        <w:tc>
          <w:tcPr>
            <w:tcW w:w="5500" w:type="dxa"/>
            <w:vAlign w:val="bottom"/>
            <w:tcBorders>
              <w:left w:val="single" w:sz="8" w:color="auto"/>
              <w:right w:val="single" w:sz="8" w:color="auto"/>
            </w:tcBorders>
            <w:gridSpan w:val="4"/>
          </w:tcPr>
          <w:p>
            <w:pPr>
              <w:ind w:left="120"/>
              <w:spacing w:after="0" w:line="200" w:lineRule="exact"/>
              <w:rPr>
                <w:sz w:val="20"/>
                <w:szCs w:val="20"/>
                <w:color w:val="auto"/>
              </w:rPr>
            </w:pPr>
            <w:r>
              <w:rPr>
                <w:rFonts w:ascii="Times New Roman" w:cs="Times New Roman" w:eastAsia="Times New Roman" w:hAnsi="Times New Roman"/>
                <w:sz w:val="20"/>
                <w:szCs w:val="20"/>
                <w:color w:val="auto"/>
              </w:rPr>
              <w:t>Compliance Statement</w:t>
            </w:r>
          </w:p>
        </w:tc>
        <w:tc>
          <w:tcPr>
            <w:tcW w:w="3740" w:type="dxa"/>
            <w:vAlign w:val="bottom"/>
            <w:tcBorders>
              <w:right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Monthly within 30 days (except for the</w:t>
            </w:r>
          </w:p>
        </w:tc>
        <w:tc>
          <w:tcPr>
            <w:tcW w:w="600" w:type="dxa"/>
            <w:vAlign w:val="bottom"/>
          </w:tcPr>
          <w:p>
            <w:pPr>
              <w:spacing w:after="0"/>
              <w:rPr>
                <w:sz w:val="17"/>
                <w:szCs w:val="17"/>
                <w:color w:val="auto"/>
              </w:rPr>
            </w:pPr>
          </w:p>
        </w:tc>
        <w:tc>
          <w:tcPr>
            <w:tcW w:w="4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Yes</w:t>
            </w:r>
          </w:p>
        </w:tc>
        <w:tc>
          <w:tcPr>
            <w:tcW w:w="1000" w:type="dxa"/>
            <w:vAlign w:val="bottom"/>
            <w:tcBorders>
              <w:right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No</w:t>
            </w:r>
          </w:p>
        </w:tc>
      </w:tr>
      <w:tr>
        <w:trPr>
          <w:trHeight w:val="230"/>
        </w:trPr>
        <w:tc>
          <w:tcPr>
            <w:tcW w:w="1860" w:type="dxa"/>
            <w:vAlign w:val="bottom"/>
            <w:tcBorders>
              <w:lef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40" w:type="dxa"/>
            <w:vAlign w:val="bottom"/>
            <w:tcBorders>
              <w:right w:val="single" w:sz="8" w:color="auto"/>
            </w:tcBorders>
          </w:tcPr>
          <w:p>
            <w:pPr>
              <w:spacing w:after="0"/>
              <w:rPr>
                <w:sz w:val="19"/>
                <w:szCs w:val="19"/>
                <w:color w:val="auto"/>
              </w:rPr>
            </w:pPr>
          </w:p>
        </w:tc>
        <w:tc>
          <w:tcPr>
            <w:tcW w:w="374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months ending March 31, June 30,</w:t>
            </w: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r>
      <w:tr>
        <w:trPr>
          <w:trHeight w:val="252"/>
        </w:trPr>
        <w:tc>
          <w:tcPr>
            <w:tcW w:w="1860" w:type="dxa"/>
            <w:vAlign w:val="bottom"/>
            <w:tcBorders>
              <w:left w:val="single" w:sz="8" w:color="auto"/>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September 30, and December 31)</w:t>
            </w: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r>
      <w:tr>
        <w:trPr>
          <w:trHeight w:val="223"/>
        </w:trPr>
        <w:tc>
          <w:tcPr>
            <w:tcW w:w="5500" w:type="dxa"/>
            <w:vAlign w:val="bottom"/>
            <w:tcBorders>
              <w:left w:val="single" w:sz="8" w:color="auto"/>
              <w:bottom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0"/>
                <w:szCs w:val="20"/>
                <w:color w:val="auto"/>
              </w:rPr>
              <w:t>Quarterly Compliance Statement</w:t>
            </w:r>
          </w:p>
        </w:tc>
        <w:tc>
          <w:tcPr>
            <w:tcW w:w="3740" w:type="dxa"/>
            <w:vAlign w:val="bottom"/>
            <w:tcBorders>
              <w:bottom w:val="single" w:sz="8" w:color="auto"/>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Q1, Q2, and Q3 within 45 days</w:t>
            </w:r>
          </w:p>
        </w:tc>
        <w:tc>
          <w:tcPr>
            <w:tcW w:w="1000" w:type="dxa"/>
            <w:vAlign w:val="bottom"/>
            <w:tcBorders>
              <w:bottom w:val="single" w:sz="8" w:color="auto"/>
            </w:tcBorders>
            <w:gridSpan w:val="2"/>
          </w:tcPr>
          <w:p>
            <w:pPr>
              <w:ind w:left="600"/>
              <w:spacing w:after="0" w:line="223" w:lineRule="exact"/>
              <w:rPr>
                <w:sz w:val="20"/>
                <w:szCs w:val="20"/>
                <w:color w:val="auto"/>
              </w:rPr>
            </w:pPr>
            <w:r>
              <w:rPr>
                <w:rFonts w:ascii="Times New Roman" w:cs="Times New Roman" w:eastAsia="Times New Roman" w:hAnsi="Times New Roman"/>
                <w:sz w:val="20"/>
                <w:szCs w:val="20"/>
                <w:color w:val="auto"/>
              </w:rPr>
              <w:t>Yes</w:t>
            </w:r>
          </w:p>
        </w:tc>
        <w:tc>
          <w:tcPr>
            <w:tcW w:w="1000" w:type="dxa"/>
            <w:vAlign w:val="bottom"/>
            <w:tcBorders>
              <w:bottom w:val="single" w:sz="8" w:color="auto"/>
              <w:right w:val="single" w:sz="8" w:color="auto"/>
            </w:tcBorders>
            <w:gridSpan w:val="2"/>
          </w:tcPr>
          <w:p>
            <w:pPr>
              <w:ind w:left="60"/>
              <w:spacing w:after="0" w:line="223" w:lineRule="exact"/>
              <w:rPr>
                <w:sz w:val="20"/>
                <w:szCs w:val="20"/>
                <w:color w:val="auto"/>
              </w:rPr>
            </w:pPr>
            <w:r>
              <w:rPr>
                <w:rFonts w:ascii="Times New Roman" w:cs="Times New Roman" w:eastAsia="Times New Roman" w:hAnsi="Times New Roman"/>
                <w:sz w:val="20"/>
                <w:szCs w:val="20"/>
                <w:color w:val="auto"/>
              </w:rPr>
              <w:t>No</w:t>
            </w:r>
          </w:p>
        </w:tc>
      </w:tr>
      <w:tr>
        <w:trPr>
          <w:trHeight w:val="223"/>
        </w:trPr>
        <w:tc>
          <w:tcPr>
            <w:tcW w:w="5500" w:type="dxa"/>
            <w:vAlign w:val="bottom"/>
            <w:tcBorders>
              <w:left w:val="single" w:sz="8" w:color="auto"/>
              <w:bottom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0"/>
                <w:szCs w:val="20"/>
                <w:color w:val="auto"/>
              </w:rPr>
              <w:t>10-Q Report</w:t>
            </w:r>
          </w:p>
        </w:tc>
        <w:tc>
          <w:tcPr>
            <w:tcW w:w="3740" w:type="dxa"/>
            <w:vAlign w:val="bottom"/>
            <w:tcBorders>
              <w:bottom w:val="single" w:sz="8" w:color="auto"/>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Within 45 days of Q1, Q2, and Q3</w:t>
            </w: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rPr>
              <w:t>Yes</w:t>
            </w:r>
          </w:p>
        </w:tc>
        <w:tc>
          <w:tcPr>
            <w:tcW w:w="1000" w:type="dxa"/>
            <w:vAlign w:val="bottom"/>
            <w:tcBorders>
              <w:bottom w:val="single" w:sz="8" w:color="auto"/>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No</w:t>
            </w:r>
          </w:p>
        </w:tc>
      </w:tr>
      <w:tr>
        <w:trPr>
          <w:trHeight w:val="223"/>
        </w:trPr>
        <w:tc>
          <w:tcPr>
            <w:tcW w:w="5500" w:type="dxa"/>
            <w:vAlign w:val="bottom"/>
            <w:tcBorders>
              <w:left w:val="single" w:sz="8" w:color="auto"/>
              <w:bottom w:val="single" w:sz="8" w:color="auto"/>
              <w:right w:val="single" w:sz="8" w:color="auto"/>
            </w:tcBorders>
            <w:gridSpan w:val="4"/>
          </w:tcPr>
          <w:p>
            <w:pPr>
              <w:ind w:left="120"/>
              <w:spacing w:after="0" w:line="223" w:lineRule="exact"/>
              <w:rPr>
                <w:sz w:val="20"/>
                <w:szCs w:val="20"/>
                <w:color w:val="auto"/>
              </w:rPr>
            </w:pPr>
            <w:r>
              <w:rPr>
                <w:rFonts w:ascii="Times New Roman" w:cs="Times New Roman" w:eastAsia="Times New Roman" w:hAnsi="Times New Roman"/>
                <w:sz w:val="20"/>
                <w:szCs w:val="20"/>
                <w:color w:val="auto"/>
              </w:rPr>
              <w:t>10-K Report and Annual financial statements (CPA Audited)</w:t>
            </w:r>
          </w:p>
        </w:tc>
        <w:tc>
          <w:tcPr>
            <w:tcW w:w="3740" w:type="dxa"/>
            <w:vAlign w:val="bottom"/>
            <w:tcBorders>
              <w:bottom w:val="single" w:sz="8" w:color="auto"/>
              <w:right w:val="single" w:sz="8" w:color="auto"/>
            </w:tcBorders>
            <w:gridSpan w:val="3"/>
          </w:tcPr>
          <w:p>
            <w:pPr>
              <w:ind w:left="100"/>
              <w:spacing w:after="0" w:line="223" w:lineRule="exact"/>
              <w:rPr>
                <w:sz w:val="20"/>
                <w:szCs w:val="20"/>
                <w:color w:val="auto"/>
              </w:rPr>
            </w:pPr>
            <w:r>
              <w:rPr>
                <w:rFonts w:ascii="Times New Roman" w:cs="Times New Roman" w:eastAsia="Times New Roman" w:hAnsi="Times New Roman"/>
                <w:sz w:val="20"/>
                <w:szCs w:val="20"/>
                <w:color w:val="auto"/>
              </w:rPr>
              <w:t>FYE within 90 days</w:t>
            </w: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40"/>
              <w:spacing w:after="0" w:line="223" w:lineRule="exact"/>
              <w:rPr>
                <w:sz w:val="20"/>
                <w:szCs w:val="20"/>
                <w:color w:val="auto"/>
              </w:rPr>
            </w:pPr>
            <w:r>
              <w:rPr>
                <w:rFonts w:ascii="Times New Roman" w:cs="Times New Roman" w:eastAsia="Times New Roman" w:hAnsi="Times New Roman"/>
                <w:sz w:val="20"/>
                <w:szCs w:val="20"/>
                <w:color w:val="auto"/>
              </w:rPr>
              <w:t>Yes</w:t>
            </w:r>
          </w:p>
        </w:tc>
        <w:tc>
          <w:tcPr>
            <w:tcW w:w="1000" w:type="dxa"/>
            <w:vAlign w:val="bottom"/>
            <w:tcBorders>
              <w:bottom w:val="single" w:sz="8" w:color="auto"/>
              <w:right w:val="single" w:sz="8" w:color="auto"/>
            </w:tcBorders>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No</w:t>
            </w:r>
          </w:p>
        </w:tc>
      </w:tr>
      <w:tr>
        <w:trPr>
          <w:trHeight w:val="200"/>
        </w:trPr>
        <w:tc>
          <w:tcPr>
            <w:tcW w:w="5500" w:type="dxa"/>
            <w:vAlign w:val="bottom"/>
            <w:tcBorders>
              <w:left w:val="single" w:sz="8" w:color="auto"/>
              <w:right w:val="single" w:sz="8" w:color="auto"/>
            </w:tcBorders>
            <w:gridSpan w:val="4"/>
          </w:tcPr>
          <w:p>
            <w:pPr>
              <w:ind w:left="120"/>
              <w:spacing w:after="0" w:line="200" w:lineRule="exact"/>
              <w:rPr>
                <w:sz w:val="20"/>
                <w:szCs w:val="20"/>
                <w:color w:val="auto"/>
              </w:rPr>
            </w:pPr>
            <w:r>
              <w:rPr>
                <w:rFonts w:ascii="Times New Roman" w:cs="Times New Roman" w:eastAsia="Times New Roman" w:hAnsi="Times New Roman"/>
                <w:sz w:val="20"/>
                <w:szCs w:val="20"/>
                <w:color w:val="auto"/>
              </w:rPr>
              <w:t>Board approved projections</w:t>
            </w:r>
          </w:p>
        </w:tc>
        <w:tc>
          <w:tcPr>
            <w:tcW w:w="3740" w:type="dxa"/>
            <w:vAlign w:val="bottom"/>
            <w:tcBorders>
              <w:right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FYE within 30 days and as</w:t>
            </w:r>
          </w:p>
        </w:tc>
        <w:tc>
          <w:tcPr>
            <w:tcW w:w="600" w:type="dxa"/>
            <w:vAlign w:val="bottom"/>
          </w:tcPr>
          <w:p>
            <w:pPr>
              <w:spacing w:after="0"/>
              <w:rPr>
                <w:sz w:val="17"/>
                <w:szCs w:val="17"/>
                <w:color w:val="auto"/>
              </w:rPr>
            </w:pPr>
          </w:p>
        </w:tc>
        <w:tc>
          <w:tcPr>
            <w:tcW w:w="4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Yes</w:t>
            </w:r>
          </w:p>
        </w:tc>
        <w:tc>
          <w:tcPr>
            <w:tcW w:w="1000" w:type="dxa"/>
            <w:vAlign w:val="bottom"/>
            <w:tcBorders>
              <w:right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No</w:t>
            </w:r>
          </w:p>
        </w:tc>
      </w:tr>
      <w:tr>
        <w:trPr>
          <w:trHeight w:val="252"/>
        </w:trPr>
        <w:tc>
          <w:tcPr>
            <w:tcW w:w="1860" w:type="dxa"/>
            <w:vAlign w:val="bottom"/>
            <w:tcBorders>
              <w:left w:val="single" w:sz="8" w:color="auto"/>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amended/updated</w:t>
            </w: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r>
      <w:tr>
        <w:trPr>
          <w:trHeight w:val="200"/>
        </w:trPr>
        <w:tc>
          <w:tcPr>
            <w:tcW w:w="5500" w:type="dxa"/>
            <w:vAlign w:val="bottom"/>
            <w:tcBorders>
              <w:left w:val="single" w:sz="8" w:color="auto"/>
              <w:right w:val="single" w:sz="8" w:color="auto"/>
            </w:tcBorders>
            <w:gridSpan w:val="4"/>
          </w:tcPr>
          <w:p>
            <w:pPr>
              <w:ind w:left="120"/>
              <w:spacing w:after="0" w:line="200" w:lineRule="exact"/>
              <w:rPr>
                <w:sz w:val="20"/>
                <w:szCs w:val="20"/>
                <w:color w:val="auto"/>
              </w:rPr>
            </w:pPr>
            <w:r>
              <w:rPr>
                <w:rFonts w:ascii="Times New Roman" w:cs="Times New Roman" w:eastAsia="Times New Roman" w:hAnsi="Times New Roman"/>
                <w:sz w:val="20"/>
                <w:szCs w:val="20"/>
                <w:color w:val="auto"/>
              </w:rPr>
              <w:t>Filed 10-Q, 10-K and 8-K</w:t>
            </w:r>
          </w:p>
        </w:tc>
        <w:tc>
          <w:tcPr>
            <w:tcW w:w="3740" w:type="dxa"/>
            <w:vAlign w:val="bottom"/>
            <w:tcBorders>
              <w:right w:val="single" w:sz="8" w:color="auto"/>
            </w:tcBorders>
            <w:gridSpan w:val="3"/>
          </w:tcPr>
          <w:p>
            <w:pPr>
              <w:ind w:left="100"/>
              <w:spacing w:after="0" w:line="200" w:lineRule="exact"/>
              <w:rPr>
                <w:sz w:val="20"/>
                <w:szCs w:val="20"/>
                <w:color w:val="auto"/>
              </w:rPr>
            </w:pPr>
            <w:r>
              <w:rPr>
                <w:rFonts w:ascii="Times New Roman" w:cs="Times New Roman" w:eastAsia="Times New Roman" w:hAnsi="Times New Roman"/>
                <w:sz w:val="20"/>
                <w:szCs w:val="20"/>
                <w:color w:val="auto"/>
              </w:rPr>
              <w:t>Within 10 days after filing with</w:t>
            </w:r>
          </w:p>
        </w:tc>
        <w:tc>
          <w:tcPr>
            <w:tcW w:w="600" w:type="dxa"/>
            <w:vAlign w:val="bottom"/>
          </w:tcPr>
          <w:p>
            <w:pPr>
              <w:spacing w:after="0"/>
              <w:rPr>
                <w:sz w:val="17"/>
                <w:szCs w:val="17"/>
                <w:color w:val="auto"/>
              </w:rPr>
            </w:pPr>
          </w:p>
        </w:tc>
        <w:tc>
          <w:tcPr>
            <w:tcW w:w="400" w:type="dxa"/>
            <w:vAlign w:val="bottom"/>
          </w:tcPr>
          <w:p>
            <w:pPr>
              <w:ind w:left="40"/>
              <w:spacing w:after="0" w:line="200" w:lineRule="exact"/>
              <w:rPr>
                <w:sz w:val="20"/>
                <w:szCs w:val="20"/>
                <w:color w:val="auto"/>
              </w:rPr>
            </w:pPr>
            <w:r>
              <w:rPr>
                <w:rFonts w:ascii="Times New Roman" w:cs="Times New Roman" w:eastAsia="Times New Roman" w:hAnsi="Times New Roman"/>
                <w:sz w:val="20"/>
                <w:szCs w:val="20"/>
                <w:color w:val="auto"/>
              </w:rPr>
              <w:t>Yes</w:t>
            </w:r>
          </w:p>
        </w:tc>
        <w:tc>
          <w:tcPr>
            <w:tcW w:w="1000" w:type="dxa"/>
            <w:vAlign w:val="bottom"/>
            <w:tcBorders>
              <w:right w:val="single" w:sz="8" w:color="auto"/>
            </w:tcBorders>
            <w:gridSpan w:val="2"/>
          </w:tcPr>
          <w:p>
            <w:pPr>
              <w:ind w:left="100"/>
              <w:spacing w:after="0" w:line="200" w:lineRule="exact"/>
              <w:rPr>
                <w:sz w:val="20"/>
                <w:szCs w:val="20"/>
                <w:color w:val="auto"/>
              </w:rPr>
            </w:pPr>
            <w:r>
              <w:rPr>
                <w:rFonts w:ascii="Times New Roman" w:cs="Times New Roman" w:eastAsia="Times New Roman" w:hAnsi="Times New Roman"/>
                <w:sz w:val="20"/>
                <w:szCs w:val="20"/>
                <w:color w:val="auto"/>
              </w:rPr>
              <w:t>No</w:t>
            </w:r>
          </w:p>
        </w:tc>
      </w:tr>
      <w:tr>
        <w:trPr>
          <w:trHeight w:val="252"/>
        </w:trPr>
        <w:tc>
          <w:tcPr>
            <w:tcW w:w="1860" w:type="dxa"/>
            <w:vAlign w:val="bottom"/>
            <w:tcBorders>
              <w:left w:val="single" w:sz="8" w:color="auto"/>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right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SEC</w:t>
            </w:r>
          </w:p>
        </w:tc>
        <w:tc>
          <w:tcPr>
            <w:tcW w:w="6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r>
      <w:tr>
        <w:trPr>
          <w:trHeight w:val="223"/>
        </w:trPr>
        <w:tc>
          <w:tcPr>
            <w:tcW w:w="1860" w:type="dxa"/>
            <w:vAlign w:val="bottom"/>
            <w:tcBorders>
              <w:left w:val="single" w:sz="8" w:color="auto"/>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r>
      <w:tr>
        <w:trPr>
          <w:trHeight w:val="412"/>
        </w:trPr>
        <w:tc>
          <w:tcPr>
            <w:tcW w:w="3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Section 5.7(a) (Operating Accounts):</w:t>
            </w:r>
          </w:p>
        </w:tc>
        <w:tc>
          <w:tcPr>
            <w:tcW w:w="2400" w:type="dxa"/>
            <w:vAlign w:val="bottom"/>
            <w:gridSpan w:val="2"/>
          </w:tcPr>
          <w:p>
            <w:pPr>
              <w:spacing w:after="0"/>
              <w:rPr>
                <w:sz w:val="24"/>
                <w:szCs w:val="24"/>
                <w:color w:val="auto"/>
              </w:rPr>
            </w:pPr>
          </w:p>
        </w:tc>
        <w:tc>
          <w:tcPr>
            <w:tcW w:w="1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234" w:lineRule="exact"/>
        <w:rPr>
          <w:sz w:val="20"/>
          <w:szCs w:val="20"/>
          <w:color w:val="auto"/>
        </w:rPr>
      </w:pPr>
    </w:p>
    <w:p>
      <w:pPr>
        <w:ind w:left="760" w:hanging="378"/>
        <w:spacing w:after="0"/>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 balances in the name of Borrower and Guarantor at Bank and Bank’s Affiliates: $__________</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Dollar Equivalent value of Borrower’s, its Subsidiaries’ and any Guarantor’s cash, wherever located: $__________</w:t>
      </w:r>
    </w:p>
    <w:p>
      <w:pPr>
        <w:ind w:left="760" w:hanging="378"/>
        <w:spacing w:after="0"/>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 Obligations under the Agreement: $_________</w:t>
      </w:r>
    </w:p>
    <w:p>
      <w:pPr>
        <w:ind w:left="760" w:hanging="378"/>
        <w:spacing w:after="0"/>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Line A at least 110% of Line C:</w:t>
      </w:r>
    </w:p>
    <w:p>
      <w:pPr>
        <w:ind w:left="1500" w:hanging="369"/>
        <w:spacing w:after="0"/>
        <w:tabs>
          <w:tab w:leader="none" w:pos="15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in compliance: ________</w:t>
      </w:r>
    </w:p>
    <w:p>
      <w:pPr>
        <w:ind w:left="1500" w:hanging="369"/>
        <w:spacing w:after="0"/>
        <w:tabs>
          <w:tab w:leader="none" w:pos="150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 in compliance: _________</w:t>
      </w:r>
    </w:p>
    <w:p>
      <w:pPr>
        <w:ind w:left="380"/>
        <w:spacing w:after="0" w:line="23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If not in compliance with Line D: is Line A equal to Line B?</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98" w:name="page199"/>
    <w:bookmarkEnd w:id="198"/>
    <w:p>
      <w:pPr>
        <w:ind w:right="400" w:firstLine="8"/>
        <w:spacing w:after="0" w:line="298" w:lineRule="auto"/>
        <w:tabs>
          <w:tab w:leader="none" w:pos="94"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82" w:lineRule="exact"/>
        <w:rPr>
          <w:sz w:val="20"/>
          <w:szCs w:val="20"/>
          <w:color w:val="auto"/>
        </w:rPr>
      </w:pP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in compliance: ________</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 in compliance: _________</w:t>
      </w:r>
    </w:p>
    <w:p>
      <w:pPr>
        <w:ind w:left="760" w:hanging="378"/>
        <w:spacing w:after="0" w:line="239" w:lineRule="auto"/>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compliance with Line D, is Line A greater than or equal to 65% (excluding the account balance maintained in the Permitted JPM Operating Account) of Line B</w:t>
      </w: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in compliance: _______</w:t>
      </w: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 in compliance: ________</w:t>
      </w:r>
    </w:p>
    <w:p>
      <w:pPr>
        <w:ind w:left="760" w:hanging="378"/>
        <w:spacing w:after="0"/>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Balance of accounts in the name of Australian Subsidiary: $____________</w:t>
      </w: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in compliance: _______</w:t>
      </w: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 in compliance: ________</w:t>
      </w:r>
    </w:p>
    <w:p>
      <w:pPr>
        <w:ind w:left="760" w:hanging="378"/>
        <w:spacing w:after="0"/>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Balance of accounts in the name of Irish Subsidiary during Irish Subsidiary Transition Period: $____________</w:t>
      </w: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in compliance: _______</w:t>
      </w:r>
    </w:p>
    <w:p>
      <w:pPr>
        <w:ind w:left="1500" w:hanging="369"/>
        <w:spacing w:after="0"/>
        <w:tabs>
          <w:tab w:leader="none" w:pos="150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 in compliance: 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5.15 Cash Collateralization:</w:t>
      </w:r>
    </w:p>
    <w:p>
      <w:pPr>
        <w:spacing w:after="0" w:line="233" w:lineRule="exact"/>
        <w:rPr>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Outstandings: Obligations with respect to the Term Loan Advances equals: $__________ (if greater than $25,000,000, proceed to</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 and (C) below)</w:t>
      </w:r>
    </w:p>
    <w:p>
      <w:pPr>
        <w:jc w:val="both"/>
        <w:ind w:left="760" w:hanging="378"/>
        <w:spacing w:after="0" w:line="239" w:lineRule="auto"/>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Unrestricted and unencumbered (other than Liens in favor of Bank arising under the Loan Documents) cash and Cash Equivalents in accounts in the name of Borrower maintained with Bank or Bank’s Affiliates or maintained with financial institutions other than Bank which are subject to a Control Agreement in favor of Bank: $__________</w:t>
      </w:r>
    </w:p>
    <w:p>
      <w:pPr>
        <w:spacing w:after="0" w:line="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Collateralization: Is Line B less than $100,000,000.00:</w:t>
      </w:r>
    </w:p>
    <w:p>
      <w:pPr>
        <w:ind w:left="1500" w:hanging="369"/>
        <w:spacing w:after="0"/>
        <w:tabs>
          <w:tab w:leader="none" w:pos="15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 Trigger Event or Cash Collateralization requirement: _______</w:t>
      </w:r>
    </w:p>
    <w:p>
      <w:pPr>
        <w:ind w:left="1500" w:hanging="369"/>
        <w:spacing w:after="0"/>
        <w:tabs>
          <w:tab w:leader="none" w:pos="15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Yes, Trigger Event has occurred, and Cash Collateralization is required: ________</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The following are the exceptions with respect to the statements above: (If no exceptions exist, state “No exceptions to note.”)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right="380" w:firstLine="396"/>
        <w:spacing w:after="0" w:line="269" w:lineRule="auto"/>
        <w:rPr>
          <w:sz w:val="20"/>
          <w:szCs w:val="20"/>
          <w:color w:val="auto"/>
        </w:rPr>
      </w:pPr>
      <w:r>
        <w:rPr>
          <w:rFonts w:ascii="Times New Roman" w:cs="Times New Roman" w:eastAsia="Times New Roman" w:hAnsi="Times New Roman"/>
          <w:sz w:val="20"/>
          <w:szCs w:val="20"/>
          <w:color w:val="auto"/>
        </w:rPr>
        <w:t>The following bank account information set forth on Schedule 1 attached hereto is true and correct as of the date of this Compliance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199" w:name="page200"/>
    <w:bookmarkEnd w:id="199"/>
    <w:p>
      <w:pPr>
        <w:ind w:right="400" w:firstLine="8"/>
        <w:spacing w:after="0" w:line="298" w:lineRule="auto"/>
        <w:tabs>
          <w:tab w:leader="none" w:pos="9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BANK ACCOUNT REPORT</w:t>
      </w:r>
    </w:p>
    <w:p>
      <w:pPr>
        <w:spacing w:after="0" w:line="23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Under the terms and conditions of the Loan and Security Agreement between Borrower and Bank (as amended, modified, supplemented and/or restated from time to time,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Borrower confirms that the below disclosed accounts represent all depository accounts and securities accounts presently open in the name of each Borrower, Subsidiary, or Guarantor, as applicable.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new account that has been opened since delivery of the previous Compliance Certificate is designated below with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50488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extLst>
                        <a:ext uri="{28A0092B-C50C-407E-A947-70E740481C1C}"/>
                      </a:extLst>
                    </a:blip>
                    <a:srcRect/>
                    <a:stretch>
                      <a:fillRect/>
                    </a:stretch>
                  </pic:blipFill>
                  <pic:spPr bwMode="auto">
                    <a:xfrm>
                      <a:off x="0" y="0"/>
                      <a:ext cx="7132320" cy="504888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Last Month</w:t>
            </w:r>
          </w:p>
        </w:tc>
        <w:tc>
          <w:tcPr>
            <w:tcW w:w="1540" w:type="dxa"/>
            <w:vAlign w:val="bottom"/>
            <w:tcBorders>
              <w:top w:val="single" w:sz="8" w:color="auto"/>
            </w:tcBorders>
          </w:tcPr>
          <w:p>
            <w:pPr>
              <w:spacing w:after="0"/>
              <w:rPr>
                <w:sz w:val="18"/>
                <w:szCs w:val="18"/>
                <w:color w:val="auto"/>
              </w:rPr>
            </w:pPr>
          </w:p>
        </w:tc>
      </w:tr>
      <w:tr>
        <w:trPr>
          <w:trHeight w:val="230"/>
        </w:trPr>
        <w:tc>
          <w:tcPr>
            <w:tcW w:w="4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Account Type</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Ending</w:t>
            </w:r>
          </w:p>
        </w:tc>
        <w:tc>
          <w:tcPr>
            <w:tcW w:w="1540" w:type="dxa"/>
            <w:vAlign w:val="bottom"/>
          </w:tcPr>
          <w:p>
            <w:pPr>
              <w:spacing w:after="0"/>
              <w:rPr>
                <w:sz w:val="19"/>
                <w:szCs w:val="19"/>
                <w:color w:val="auto"/>
              </w:rPr>
            </w:pPr>
          </w:p>
        </w:tc>
      </w:tr>
      <w:tr>
        <w:trPr>
          <w:trHeight w:val="229"/>
        </w:trPr>
        <w:tc>
          <w:tcPr>
            <w:tcW w:w="4900" w:type="dxa"/>
            <w:vAlign w:val="bottom"/>
          </w:tcPr>
          <w:p>
            <w:pPr>
              <w:spacing w:after="0"/>
              <w:rPr>
                <w:sz w:val="19"/>
                <w:szCs w:val="19"/>
                <w:color w:val="auto"/>
              </w:rPr>
            </w:pPr>
          </w:p>
        </w:tc>
        <w:tc>
          <w:tcPr>
            <w:tcW w:w="148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Financial</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(Depository /</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Account</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Purpose of</w:t>
            </w:r>
          </w:p>
        </w:tc>
      </w:tr>
      <w:tr>
        <w:trPr>
          <w:trHeight w:val="262"/>
        </w:trPr>
        <w:tc>
          <w:tcPr>
            <w:tcW w:w="4900" w:type="dxa"/>
            <w:vAlign w:val="bottom"/>
          </w:tcPr>
          <w:p>
            <w:pPr>
              <w:ind w:left="3240"/>
              <w:spacing w:after="0"/>
              <w:rPr>
                <w:sz w:val="20"/>
                <w:szCs w:val="20"/>
                <w:color w:val="auto"/>
              </w:rPr>
            </w:pPr>
            <w:r>
              <w:rPr>
                <w:rFonts w:ascii="Times New Roman" w:cs="Times New Roman" w:eastAsia="Times New Roman" w:hAnsi="Times New Roman"/>
                <w:sz w:val="20"/>
                <w:szCs w:val="20"/>
                <w:b w:val="1"/>
                <w:bCs w:val="1"/>
                <w:color w:val="auto"/>
              </w:rPr>
              <w:t>Depository AC #</w:t>
            </w:r>
          </w:p>
        </w:tc>
        <w:tc>
          <w:tcPr>
            <w:tcW w:w="14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Institution</w:t>
            </w:r>
          </w:p>
        </w:tc>
        <w:tc>
          <w:tcPr>
            <w:tcW w:w="1780" w:type="dxa"/>
            <w:vAlign w:val="bottom"/>
          </w:tcPr>
          <w:p>
            <w:pPr>
              <w:jc w:val="center"/>
              <w:ind w:left="1"/>
              <w:spacing w:after="0"/>
              <w:rPr>
                <w:sz w:val="20"/>
                <w:szCs w:val="20"/>
                <w:color w:val="auto"/>
              </w:rPr>
            </w:pPr>
            <w:r>
              <w:rPr>
                <w:rFonts w:ascii="Times New Roman" w:cs="Times New Roman" w:eastAsia="Times New Roman" w:hAnsi="Times New Roman"/>
                <w:sz w:val="20"/>
                <w:szCs w:val="20"/>
                <w:b w:val="1"/>
                <w:bCs w:val="1"/>
                <w:color w:val="auto"/>
                <w:w w:val="97"/>
              </w:rPr>
              <w:t>Securities)</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Balance</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Account</w:t>
            </w:r>
          </w:p>
        </w:tc>
      </w:tr>
    </w:tbl>
    <w:p>
      <w:pPr>
        <w:ind w:left="120"/>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Name/Address:</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SUBSIDIARY</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Name/Address</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GUARANTOR</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Name/Address</w:t>
      </w:r>
    </w:p>
    <w:p>
      <w:pPr>
        <w:spacing w:after="0" w:line="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1</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2</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3</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4</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5</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6</w:t>
      </w:r>
    </w:p>
    <w:p>
      <w:pPr>
        <w:spacing w:after="0" w:line="1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0"/>
          <w:szCs w:val="20"/>
          <w:b w:val="1"/>
          <w:bCs w:val="1"/>
          <w:color w:val="auto"/>
        </w:rPr>
        <w:t>7</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2" w:right="339" w:bottom="1440" w:gutter="0" w:footer="0" w:header="0"/>
        </w:sectPr>
      </w:pPr>
    </w:p>
    <w:bookmarkStart w:id="200" w:name="page201"/>
    <w:bookmarkEnd w:id="200"/>
    <w:p>
      <w:pPr>
        <w:ind w:left="-8" w:firstLine="8"/>
        <w:spacing w:after="0" w:line="298" w:lineRule="auto"/>
        <w:tabs>
          <w:tab w:leader="none" w:pos="86"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 = CERTAIN CONFIDENTIAL INFORMATION CONTAINED IN THIS DOCUMENT, MARKED BY BRACKETS, HAS BEEN OMITTED BECAUSE IT IS BOTH (I) NOT MATERIAL AND (II) IS THE TYPE THAT THE REGISTRANT TREATS AS PRIVATE OR CONFIDENTIAL.</w:t>
      </w:r>
    </w:p>
    <w:p>
      <w:pPr>
        <w:spacing w:after="0" w:line="178"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20"/>
          <w:szCs w:val="20"/>
          <w:b w:val="1"/>
          <w:bCs w:val="1"/>
          <w:color w:val="auto"/>
        </w:rPr>
        <w:t>Schedule 2</w:t>
      </w:r>
    </w:p>
    <w:p>
      <w:pPr>
        <w:spacing w:after="0" w:line="229"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20"/>
          <w:szCs w:val="20"/>
          <w:b w:val="1"/>
          <w:bCs w:val="1"/>
          <w:color w:val="auto"/>
        </w:rPr>
        <w:t>Perfection Certificate Updates</w:t>
      </w:r>
    </w:p>
    <w:p>
      <w:pPr>
        <w:spacing w:after="0" w:line="23" w:lineRule="exact"/>
        <w:rPr>
          <w:sz w:val="20"/>
          <w:szCs w:val="20"/>
          <w:color w:val="auto"/>
        </w:rPr>
      </w:pPr>
    </w:p>
    <w:p>
      <w:pPr>
        <w:jc w:val="center"/>
        <w:ind w:right="-391"/>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780415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2"/>
          </w:cols>
          <w:pgMar w:left="328" w:top="1422" w:right="7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7580" w:type="dxa"/>
            <w:vAlign w:val="bottom"/>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9"/>
              </w:rPr>
              <w:t>Olema Pharmaceuticals, Inc.</w:t>
            </w:r>
          </w:p>
        </w:tc>
      </w:tr>
      <w:tr>
        <w:trPr>
          <w:trHeight w:val="238"/>
        </w:trPr>
        <w:tc>
          <w:tcPr>
            <w:tcW w:w="3660" w:type="dxa"/>
            <w:vAlign w:val="bottom"/>
          </w:tcPr>
          <w:p>
            <w:pPr>
              <w:spacing w:after="0"/>
              <w:rPr>
                <w:sz w:val="20"/>
                <w:szCs w:val="20"/>
                <w:color w:val="auto"/>
              </w:rPr>
            </w:pPr>
          </w:p>
        </w:tc>
        <w:tc>
          <w:tcPr>
            <w:tcW w:w="7580" w:type="dxa"/>
            <w:vAlign w:val="bottom"/>
          </w:tcPr>
          <w:p>
            <w:pPr>
              <w:jc w:val="center"/>
              <w:ind w:right="355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5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Olema Oncology Australia PTY LTD</w:t>
            </w:r>
          </w:p>
        </w:tc>
        <w:tc>
          <w:tcPr>
            <w:tcW w:w="75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Australia</w:t>
            </w:r>
          </w:p>
        </w:tc>
      </w:tr>
      <w:tr>
        <w:trPr>
          <w:trHeight w:val="32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Olema Oncology International Limited</w:t>
            </w:r>
          </w:p>
        </w:tc>
        <w:tc>
          <w:tcPr>
            <w:tcW w:w="758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Ireland</w:t>
            </w:r>
          </w:p>
        </w:tc>
      </w:tr>
      <w:tr>
        <w:trPr>
          <w:trHeight w:val="979"/>
        </w:trPr>
        <w:tc>
          <w:tcPr>
            <w:tcW w:w="36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85" w:lineRule="exact"/>
        <w:rPr>
          <w:sz w:val="20"/>
          <w:szCs w:val="20"/>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S-3 (Nos.333-276787, 333-284131, and 333-284146) of Olema Pharmaceuticals, Inc.;</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S-3ASR (No.333-292079) of Olema Pharmaceuticals, Inc.; and</w:t>
      </w:r>
    </w:p>
    <w:p>
      <w:pPr>
        <w:spacing w:after="0" w:line="184"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on Form S-8 (Nos. 333-250209, 333-254403, 333-263114, 333-270413, 333-277820 and 333-285882) pertaining to the 2014 Stock Plan, 2020 Equity Incentive Plan, 2020 Employee Stock Purchase Plan, and the 2022 Inducement Plan of Olema Pharmaceuticals, Inc.’</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of our report dated March 16, 2026, with respect to the consolidated financial statements of Olema Pharmaceuticals, Inc. included in this Annual Report (Form 10-K) of Olema Pharmaceuticals, Inc. for the year ended December 31, 2025.</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8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Sean Bohen, M.D., Ph.D., certify that:</w:t>
      </w:r>
    </w:p>
    <w:p>
      <w:pPr>
        <w:spacing w:after="0" w:line="225" w:lineRule="exact"/>
        <w:rPr>
          <w:sz w:val="20"/>
          <w:szCs w:val="20"/>
          <w:color w:val="auto"/>
        </w:rPr>
      </w:pPr>
    </w:p>
    <w:p>
      <w:pPr>
        <w:ind w:left="380" w:hanging="372"/>
        <w:spacing w:after="0"/>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Olema Pharmaceuticals, Inc.;</w:t>
      </w:r>
    </w:p>
    <w:p>
      <w:pPr>
        <w:spacing w:after="0" w:line="225"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760" w:right="300" w:hanging="378"/>
        <w:spacing w:after="0" w:line="266" w:lineRule="auto"/>
        <w:tabs>
          <w:tab w:leader="none" w:pos="7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right="100" w:hanging="372"/>
        <w:spacing w:after="0" w:line="282" w:lineRule="auto"/>
        <w:tabs>
          <w:tab w:leader="none" w:pos="3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tc>
      </w:tr>
      <w:tr>
        <w:trPr>
          <w:trHeight w:val="979"/>
        </w:trPr>
        <w:tc>
          <w:tcPr>
            <w:tcW w:w="366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Olema Pharmaceuticals, Inc. (the “Company”) on Form 10-K for the period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980" w:hanging="373"/>
        <w:spacing w:after="0"/>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80" w:right="600" w:hanging="373"/>
        <w:spacing w:after="0" w:line="282" w:lineRule="auto"/>
        <w:tabs>
          <w:tab w:leader="none" w:pos="9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16,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Sean Bohen, M.D., Ph.D.</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Sean Bohen, M.D., Ph.D.</w:t>
            </w:r>
          </w:p>
        </w:tc>
      </w:tr>
      <w:tr>
        <w:trPr>
          <w:trHeight w:val="214"/>
        </w:trPr>
        <w:tc>
          <w:tcPr>
            <w:tcW w:w="36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 Principal Financial Officer)</w:t>
            </w:r>
          </w:p>
        </w:tc>
      </w:tr>
      <w:tr>
        <w:trPr>
          <w:trHeight w:val="979"/>
        </w:trPr>
        <w:tc>
          <w:tcPr>
            <w:tcW w:w="3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5" w:name="page206"/>
    <w:bookmarkEnd w:id="20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1."/>
      <w:numFmt w:val="decimal"/>
      <w:start w:val="2"/>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1)"/>
      <w:numFmt w:val="lowerRoman"/>
      <w:start w:val="3"/>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1)"/>
      <w:numFmt w:val="lowerRoman"/>
      <w:start w:val="2"/>
    </w:lvl>
  </w:abstractNum>
  <w:abstractNum w:abstractNumId="52">
    <w:nsid w:val="42963E5A"/>
    <w:multiLevelType w:val="hybridMultilevel"/>
    <w:lvl w:ilvl="0">
      <w:lvlJc w:val="left"/>
      <w:lvlText w:val="(%1)"/>
      <w:numFmt w:val="lowerRoman"/>
      <w:start w:val="4"/>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²"/>
      <w:numFmt w:val="bullet"/>
      <w:start w:val="1"/>
    </w:lvl>
  </w:abstractNum>
  <w:abstractNum w:abstractNumId="56">
    <w:nsid w:val="3B0FD379"/>
    <w:multiLevelType w:val="hybridMultilevel"/>
    <w:lvl w:ilvl="0">
      <w:lvlJc w:val="left"/>
      <w:lvlText w:val="\emdash "/>
      <w:numFmt w:val="bullet"/>
      <w:start w:val="1"/>
    </w:lvl>
  </w:abstractNum>
  <w:abstractNum w:abstractNumId="57">
    <w:nsid w:val="68EB2F63"/>
    <w:multiLevelType w:val="hybridMultilevel"/>
    <w:lvl w:ilvl="0">
      <w:lvlJc w:val="left"/>
      <w:lvlText w:val="%1."/>
      <w:numFmt w:val="decimal"/>
      <w:start w:val="1"/>
    </w:lvl>
  </w:abstractNum>
  <w:abstractNum w:abstractNumId="58">
    <w:nsid w:val="4962813B"/>
    <w:multiLevelType w:val="hybridMultilevel"/>
    <w:lvl w:ilvl="0">
      <w:lvlJc w:val="left"/>
      <w:lvlText w:val="%1."/>
      <w:numFmt w:val="decimal"/>
      <w:start w:val="2"/>
    </w:lvl>
  </w:abstractNum>
  <w:abstractNum w:abstractNumId="59">
    <w:nsid w:val="60B6DF70"/>
    <w:multiLevelType w:val="hybridMultilevel"/>
    <w:lvl w:ilvl="0">
      <w:lvlJc w:val="left"/>
      <w:lvlText w:val="%1."/>
      <w:numFmt w:val="decimal"/>
      <w:start w:val="3"/>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¹"/>
      <w:numFmt w:val="bullet"/>
      <w:start w:val="1"/>
    </w:lvl>
  </w:abstractNum>
  <w:abstractNum w:abstractNumId="62">
    <w:nsid w:val="7FFFCA11"/>
    <w:multiLevelType w:val="hybridMultilevel"/>
    <w:lvl w:ilvl="0">
      <w:lvlJc w:val="left"/>
      <w:lvlText w:val="(%1)"/>
      <w:numFmt w:val="decimal"/>
      <w:start w:val="1"/>
    </w:lvl>
  </w:abstractNum>
  <w:abstractNum w:abstractNumId="63">
    <w:nsid w:val="1A27709E"/>
    <w:multiLevelType w:val="hybridMultilevel"/>
    <w:lvl w:ilvl="0">
      <w:lvlJc w:val="left"/>
      <w:lvlText w:val="%1."/>
      <w:numFmt w:val="decimal"/>
      <w:start w:val="9"/>
    </w:lvl>
  </w:abstractNum>
  <w:abstractNum w:abstractNumId="64">
    <w:nsid w:val="71EA1109"/>
    <w:multiLevelType w:val="hybridMultilevel"/>
    <w:lvl w:ilvl="0">
      <w:lvlJc w:val="left"/>
      <w:lvlText w:val="(%1)"/>
      <w:numFmt w:val="lowerLetter"/>
      <w:start w:val="1"/>
    </w:lvl>
  </w:abstractNum>
  <w:abstractNum w:abstractNumId="65">
    <w:nsid w:val="100F59DC"/>
    <w:multiLevelType w:val="hybridMultilevel"/>
    <w:lvl w:ilvl="0">
      <w:lvlJc w:val="left"/>
      <w:lvlText w:val="¹"/>
      <w:numFmt w:val="bullet"/>
      <w:start w:val="1"/>
    </w:lvl>
  </w:abstractNum>
  <w:abstractNum w:abstractNumId="66">
    <w:nsid w:val="7FB7E0AA"/>
    <w:multiLevelType w:val="hybridMultilevel"/>
    <w:lvl w:ilvl="0">
      <w:lvlJc w:val="left"/>
      <w:lvlText w:val="(%1)"/>
      <w:numFmt w:val="lowerLetter"/>
      <w:start w:val="2"/>
    </w:lvl>
  </w:abstractNum>
  <w:abstractNum w:abstractNumId="67">
    <w:nsid w:val="6EB5BD4"/>
    <w:multiLevelType w:val="hybridMultilevel"/>
    <w:lvl w:ilvl="0">
      <w:lvlJc w:val="left"/>
      <w:lvlText w:val="(%1)"/>
      <w:numFmt w:val="lowerRoman"/>
      <w:start w:val="2"/>
    </w:lvl>
  </w:abstractNum>
  <w:abstractNum w:abstractNumId="68">
    <w:nsid w:val="6F6DD9AC"/>
    <w:multiLevelType w:val="hybridMultilevel"/>
    <w:lvl w:ilvl="0">
      <w:lvlJc w:val="left"/>
      <w:lvlText w:val="(%1)"/>
      <w:numFmt w:val="lowerLetter"/>
      <w:start w:val="1"/>
    </w:lvl>
    <w:lvl w:ilvl="1">
      <w:lvlJc w:val="left"/>
      <w:lvlText w:val="%2."/>
      <w:numFmt w:val="decimal"/>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1."/>
      <w:numFmt w:val="upperLetter"/>
      <w:start w:val="1"/>
    </w:lvl>
  </w:abstractNum>
  <w:abstractNum w:abstractNumId="74">
    <w:nsid w:val="14E17E33"/>
    <w:multiLevelType w:val="hybridMultilevel"/>
    <w:lvl w:ilvl="0">
      <w:lvlJc w:val="left"/>
      <w:lvlText w:val="%1."/>
      <w:numFmt w:val="decimal"/>
      <w:start w:val="1"/>
    </w:lvl>
  </w:abstractNum>
  <w:abstractNum w:abstractNumId="75">
    <w:nsid w:val="3222E7CD"/>
    <w:multiLevelType w:val="hybridMultilevel"/>
    <w:lvl w:ilvl="0">
      <w:lvlJc w:val="left"/>
      <w:lvlText w:val="\ldblquote"/>
      <w:numFmt w:val="bullet"/>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ldblquote"/>
      <w:numFmt w:val="bullet"/>
      <w:start w:val="1"/>
    </w:lvl>
  </w:abstractNum>
  <w:abstractNum w:abstractNumId="78">
    <w:nsid w:val="2DF6D648"/>
    <w:multiLevelType w:val="hybridMultilevel"/>
    <w:lvl w:ilvl="0">
      <w:lvlJc w:val="left"/>
      <w:lvlText w:val="\ldblquote"/>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1."/>
      <w:numFmt w:val="decimal"/>
      <w:start w:val="3"/>
    </w:lvl>
  </w:abstractNum>
  <w:abstractNum w:abstractNumId="82">
    <w:nsid w:val="57FC4FBB"/>
    <w:multiLevelType w:val="hybridMultilevel"/>
    <w:lvl w:ilvl="0">
      <w:lvlJc w:val="left"/>
      <w:lvlText w:val="%1."/>
      <w:numFmt w:val="decimal"/>
      <w:start w:val="4"/>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1."/>
      <w:numFmt w:val="decimal"/>
      <w:start w:val="5"/>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1"/>
      <w:numFmt w:val="decimal"/>
      <w:start w:val="1"/>
    </w:lvl>
    <w:lvl w:ilvl="1">
      <w:lvlJc w:val="left"/>
      <w:lvlText w:val="(%2)"/>
      <w:numFmt w:val="lowerLetter"/>
      <w:start w:val="1"/>
    </w:lvl>
  </w:abstractNum>
  <w:abstractNum w:abstractNumId="87">
    <w:nsid w:val="7F01579B"/>
    <w:multiLevelType w:val="hybridMultilevel"/>
    <w:lvl w:ilvl="0">
      <w:lvlJc w:val="left"/>
      <w:lvlText w:val="%1."/>
      <w:numFmt w:val="decimal"/>
      <w:start w:val="8"/>
    </w:lvl>
    <w:lvl w:ilvl="1">
      <w:lvlJc w:val="left"/>
      <w:lvlText w:val="%2"/>
      <w:numFmt w:val="lowerLetter"/>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1."/>
      <w:numFmt w:val="upperLetter"/>
      <w:start w:val="1"/>
    </w:lvl>
  </w:abstractNum>
  <w:abstractNum w:abstractNumId="92">
    <w:nsid w:val="488AC1A"/>
    <w:multiLevelType w:val="hybridMultilevel"/>
    <w:lvl w:ilvl="0">
      <w:lvlJc w:val="left"/>
      <w:lvlText w:val="%1"/>
      <w:numFmt w:val="upperLetter"/>
      <w:start w:val="1"/>
    </w:lvl>
    <w:lvl w:ilvl="1">
      <w:lvlJc w:val="left"/>
      <w:lvlText w:val="o"/>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1."/>
      <w:numFmt w:val="upperLetter"/>
      <w:start w:val="5"/>
    </w:lvl>
    <w:lvl w:ilvl="1">
      <w:lvlJc w:val="left"/>
      <w:lvlText w:val="o"/>
      <w:numFmt w:val="bullet"/>
      <w:start w:val="1"/>
    </w:lvl>
  </w:abstractNum>
  <w:abstractNum w:abstractNumId="95">
    <w:nsid w:val="7672BD23"/>
    <w:multiLevelType w:val="hybridMultilevel"/>
    <w:lvl w:ilvl="0">
      <w:lvlJc w:val="left"/>
      <w:lvlText w:val="%1."/>
      <w:numFmt w:val="upperLetter"/>
      <w:start w:val="1"/>
    </w:lvl>
  </w:abstractNum>
  <w:abstractNum w:abstractNumId="96">
    <w:nsid w:val="6FC75AF8"/>
    <w:multiLevelType w:val="hybridMultilevel"/>
    <w:lvl w:ilvl="0">
      <w:lvlJc w:val="left"/>
      <w:lvlText w:val="o"/>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1"/>
    </w:lvl>
    <w:lvl w:ilvl="1">
      <w:lvlJc w:val="left"/>
      <w:lvlText w:val="(%2)"/>
      <w:numFmt w:val="lowerLetter"/>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295" Type="http://schemas.openxmlformats.org/officeDocument/2006/relationships/image" Target="media/image249.png"/><Relationship Id="rId296" Type="http://schemas.openxmlformats.org/officeDocument/2006/relationships/image" Target="media/image250.png"/><Relationship Id="rId297" Type="http://schemas.openxmlformats.org/officeDocument/2006/relationships/image" Target="media/image251.png"/><Relationship Id="rId298" Type="http://schemas.openxmlformats.org/officeDocument/2006/relationships/image" Target="media/image252.png"/><Relationship Id="rId299" Type="http://schemas.openxmlformats.org/officeDocument/2006/relationships/image" Target="media/image253.pn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png"/><Relationship Id="rId305" Type="http://schemas.openxmlformats.org/officeDocument/2006/relationships/image" Target="media/image259.png"/><Relationship Id="rId306" Type="http://schemas.openxmlformats.org/officeDocument/2006/relationships/image" Target="media/image260.pn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png"/><Relationship Id="rId310" Type="http://schemas.openxmlformats.org/officeDocument/2006/relationships/image" Target="media/image264.png"/><Relationship Id="rId311" Type="http://schemas.openxmlformats.org/officeDocument/2006/relationships/image" Target="media/image265.png"/><Relationship Id="rId312" Type="http://schemas.openxmlformats.org/officeDocument/2006/relationships/image" Target="media/image266.png"/><Relationship Id="rId313" Type="http://schemas.openxmlformats.org/officeDocument/2006/relationships/image" Target="media/image267.png"/><Relationship Id="rId314" Type="http://schemas.openxmlformats.org/officeDocument/2006/relationships/image" Target="media/image268.pn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245" Type="http://schemas.openxmlformats.org/officeDocument/2006/relationships/hyperlink" Target="https://www.sec.gov/Archives/edgar/data/1750284/000110465920128482/tm2027048d18_ex3-1.htm" TargetMode="External"/><Relationship Id="rId246" Type="http://schemas.openxmlformats.org/officeDocument/2006/relationships/hyperlink" Target="https://www.sec.gov/Archives/edgar/data/1750284/000155837022018762/olma-20221215xex3d1.htm" TargetMode="External"/><Relationship Id="rId247" Type="http://schemas.openxmlformats.org/officeDocument/2006/relationships/hyperlink" Target="https://www.sec.gov/Archives/edgar/data/1750284/000110465920125281/tm2027048d10_ex4-1.htm" TargetMode="External"/><Relationship Id="rId248" Type="http://schemas.openxmlformats.org/officeDocument/2006/relationships/hyperlink" Target="https://www.sec.gov/Archives/edgar/data/1750284/000155837021003141/tmb-20201231xex4d3.htm" TargetMode="External"/><Relationship Id="rId249" Type="http://schemas.openxmlformats.org/officeDocument/2006/relationships/hyperlink" Target="https://www.sec.gov/Archives/edgar/data/1750284/000095017024131965/olma-ex4_1.htm" TargetMode="External"/><Relationship Id="rId250" Type="http://schemas.openxmlformats.org/officeDocument/2006/relationships/hyperlink" Target="https://www.sec.gov/Archives/edgar/data/1750284/000119312525004427/d915597dex41.htm" TargetMode="External"/><Relationship Id="rId251" Type="http://schemas.openxmlformats.org/officeDocument/2006/relationships/hyperlink" Target="https://www.sec.gov/Archives/edgar/data/1750284/000110465920119971/tm2027048d8_ex10-1.htm" TargetMode="External"/><Relationship Id="rId252" Type="http://schemas.openxmlformats.org/officeDocument/2006/relationships/hyperlink" Target="https://www.sec.gov/Archives/edgar/data/1750284/000110465920119971/tm2027048d8_ex10-2.htm" TargetMode="External"/><Relationship Id="rId253" Type="http://schemas.openxmlformats.org/officeDocument/2006/relationships/hyperlink" Target="https://www.sec.gov/Archives/edgar/data/1750284/000110465920125281/tm2027048d10_ex10-3.htm" TargetMode="External"/><Relationship Id="rId254" Type="http://schemas.openxmlformats.org/officeDocument/2006/relationships/hyperlink" Target="https://www.sec.gov/Archives/edgar/data/1750284/000110465920119971/tm2027048d8_ex10-4.htm" TargetMode="External"/><Relationship Id="rId257" Type="http://schemas.openxmlformats.org/officeDocument/2006/relationships/hyperlink" Target="https://www.sec.gov/Archives/edgar/data/1750284/000110465920119971/tm2027048d8_ex10-5.htm" TargetMode="External"/><Relationship Id="rId258" Type="http://schemas.openxmlformats.org/officeDocument/2006/relationships/hyperlink" Target="https://www.sec.gov/Archives/edgar/data/1750284/000110465920125281/tm2027048d10_ex10-6.htm" TargetMode="External"/><Relationship Id="rId259" Type="http://schemas.openxmlformats.org/officeDocument/2006/relationships/hyperlink" Target="https://www.sec.gov/Archives/edgar/data/1750284/000110465920125281/tm2027048d10_ex10-7.htm" TargetMode="External"/><Relationship Id="rId260" Type="http://schemas.openxmlformats.org/officeDocument/2006/relationships/hyperlink" Target="https://www.sec.gov/Archives/edgar/data/1750284/000110465920119971/tm2027048d8_ex10-8.htm" TargetMode="External"/><Relationship Id="rId261" Type="http://schemas.openxmlformats.org/officeDocument/2006/relationships/hyperlink" Target="https://www.sec.gov/Archives/edgar/data/1750284/000110465920125281/tm2027048d10_ex10-9.htm" TargetMode="External"/><Relationship Id="rId262" Type="http://schemas.openxmlformats.org/officeDocument/2006/relationships/hyperlink" Target="https://www.sec.gov/Archives/edgar/data/1750284/000110465920125281/tm2027048d10_ex10-12.htm" TargetMode="External"/><Relationship Id="rId263" Type="http://schemas.openxmlformats.org/officeDocument/2006/relationships/hyperlink" Target="https://www.sec.gov/Archives/edgar/data/1750284/000110465920125281/tm2027048d10_ex10-14.htm" TargetMode="External"/><Relationship Id="rId264" Type="http://schemas.openxmlformats.org/officeDocument/2006/relationships/hyperlink" Target="https://www.sec.gov/Archives/edgar/data/1750284/000155837023008815/olma-20230331xex10d1.htm" TargetMode="External"/><Relationship Id="rId265" Type="http://schemas.openxmlformats.org/officeDocument/2006/relationships/hyperlink" Target="https://www.sec.gov/Archives/edgar/data/1750284/000155837023016301/olma-20231009xex10d1.htm" TargetMode="External"/><Relationship Id="rId266" Type="http://schemas.openxmlformats.org/officeDocument/2006/relationships/hyperlink" Target="https://www.sec.gov/Archives/edgar/data/1750284/000095017025041204/olma-ex10_14.htm" TargetMode="External"/><Relationship Id="rId269" Type="http://schemas.openxmlformats.org/officeDocument/2006/relationships/hyperlink" Target="https://www.sec.gov/Archives/edgar/data/1750284/000155837022002388/olma-20211231xex10d18.htm" TargetMode="External"/><Relationship Id="rId270" Type="http://schemas.openxmlformats.org/officeDocument/2006/relationships/hyperlink" Target="https://www.sec.gov/Archives/edgar/data/1750284/000155837022002388/olma-20211231xex10d19.htm" TargetMode="External"/><Relationship Id="rId271" Type="http://schemas.openxmlformats.org/officeDocument/2006/relationships/hyperlink" Target="https://www.sec.gov/Archives/edgar/data/1750284/000155837022012930/olma-20220630xex10d1.htm" TargetMode="External"/><Relationship Id="rId272" Type="http://schemas.openxmlformats.org/officeDocument/2006/relationships/hyperlink" Target="https://www.sec.gov/Archives/edgar/data/1750284/000095017025041204/olma-ex10_18.htm" TargetMode="External"/><Relationship Id="rId273" Type="http://schemas.openxmlformats.org/officeDocument/2006/relationships/hyperlink" Target="https://www.sec.gov/Archives/edgar/data/1750284/000155837023015422/olma-20230905xex10d1.htm" TargetMode="External"/><Relationship Id="rId274" Type="http://schemas.openxmlformats.org/officeDocument/2006/relationships/hyperlink" Target="https://www.sec.gov/Archives/edgar/data/1750284/000155837023015422/olma-20230905xex10d2.htm" TargetMode="External"/><Relationship Id="rId275" Type="http://schemas.openxmlformats.org/officeDocument/2006/relationships/hyperlink" Target="https://www.sec.gov/Archives/edgar/data/1750284/000095017024055686/olma-ex10_1.htm" TargetMode="External"/><Relationship Id="rId276" Type="http://schemas.openxmlformats.org/officeDocument/2006/relationships/hyperlink" Target="https://www.sec.gov/Archives/edgar/data/1750284/000095017024091836/olma-ex10_1.htm" TargetMode="External"/><Relationship Id="rId277" Type="http://schemas.openxmlformats.org/officeDocument/2006/relationships/hyperlink" Target="https://www.sec.gov/Archives/edgar/data/1750284/000095017024091836/olma-ex10_2.htm" TargetMode="External"/><Relationship Id="rId280" Type="http://schemas.openxmlformats.org/officeDocument/2006/relationships/hyperlink" Target="https://www.sec.gov/Archives/edgar/data/1750284/000095017024131965/olma-ex10_1.htm" TargetMode="External"/><Relationship Id="rId281" Type="http://schemas.openxmlformats.org/officeDocument/2006/relationships/hyperlink" Target="https://www.sec.gov/Archives/edgar/data/1750284/000095017025041204/olma-ex10_25.htm" TargetMode="External"/><Relationship Id="rId282" Type="http://schemas.openxmlformats.org/officeDocument/2006/relationships/hyperlink" Target="https://www.sec.gov/Archives/edgar/data/1750284/000095017025041204/olma-ex10_26.htm" TargetMode="External"/><Relationship Id="rId283" Type="http://schemas.openxmlformats.org/officeDocument/2006/relationships/hyperlink" Target="https://www.sec.gov/Archives/edgar/data/1750284/000095017025041204/olma-ex10_27.htm" TargetMode="External"/><Relationship Id="rId284" Type="http://schemas.openxmlformats.org/officeDocument/2006/relationships/hyperlink" Target="https://www.sec.gov/Archives/edgar/data/1750284/000095017025106565/olma-ex10_2.htm" TargetMode="External"/><Relationship Id="rId285" Type="http://schemas.openxmlformats.org/officeDocument/2006/relationships/hyperlink" Target="https://www.sec.gov/Archives/edgar/data/1750284/000119312526031792/d126625dex101.htm" TargetMode="External"/><Relationship Id="rId286" Type="http://schemas.openxmlformats.org/officeDocument/2006/relationships/hyperlink" Target="https://www.sec.gov/Archives/edgar/data/1750284/000119312525002157/d901834dex12.htm" TargetMode="External"/><Relationship Id="rId287" Type="http://schemas.openxmlformats.org/officeDocument/2006/relationships/hyperlink" Target="https://www.sec.gov/Archives/edgar/data/1750284/000119312525316125/d848104dex13.htm" TargetMode="External"/><Relationship Id="rId290" Type="http://schemas.openxmlformats.org/officeDocument/2006/relationships/hyperlink" Target="https://www.sec.gov/Archives/edgar/data/1750284/000095017025041204/olma-ex19_1.htm" TargetMode="External"/><Relationship Id="rId291" Type="http://schemas.openxmlformats.org/officeDocument/2006/relationships/hyperlink" Target="https://www.sec.gov/Archives/edgar/data/1750284/000095017024029281/olma-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2026-03-16T06:16:17Z</dcterms:created>
  <dcterms:modified xsi:type="dcterms:W3CDTF">2026-03-16T06:16:17Z</dcterms:modified>
</cp:coreProperties>
</file>