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2981"/>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001-39712</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OLEMA PHARMACEUTICALS,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5" w:lineRule="exact"/>
        <w:rPr>
          <w:sz w:val="24"/>
          <w:szCs w:val="24"/>
          <w:color w:val="auto"/>
        </w:rPr>
      </w:pPr>
    </w:p>
    <w:tbl>
      <w:tblPr>
        <w:tblLayout w:type="fixed"/>
        <w:tblInd w:w="1381" w:type="dxa"/>
        <w:tblCellMar>
          <w:top w:w="0" w:type="dxa"/>
          <w:left w:w="0" w:type="dxa"/>
          <w:bottom w:w="0" w:type="dxa"/>
          <w:right w:w="0" w:type="dxa"/>
        </w:tblCellMar>
      </w:tblPr>
      <w:tr>
        <w:trPr>
          <w:trHeight w:val="207"/>
        </w:trPr>
        <w:tc>
          <w:tcPr>
            <w:tcW w:w="4040" w:type="dxa"/>
            <w:vAlign w:val="bottom"/>
          </w:tcPr>
          <w:p>
            <w:pPr>
              <w:jc w:val="center"/>
              <w:ind w:right="1625"/>
              <w:spacing w:after="0"/>
              <w:rPr>
                <w:sz w:val="20"/>
                <w:szCs w:val="20"/>
                <w:color w:val="auto"/>
              </w:rPr>
            </w:pPr>
            <w:r>
              <w:rPr>
                <w:rFonts w:ascii="Arial" w:cs="Arial" w:eastAsia="Arial" w:hAnsi="Arial"/>
                <w:sz w:val="18"/>
                <w:szCs w:val="18"/>
                <w:b w:val="1"/>
                <w:bCs w:val="1"/>
                <w:color w:val="auto"/>
                <w:w w:val="98"/>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30-0409740</w:t>
            </w:r>
          </w:p>
        </w:tc>
      </w:tr>
      <w:tr>
        <w:trPr>
          <w:trHeight w:val="135"/>
        </w:trPr>
        <w:tc>
          <w:tcPr>
            <w:tcW w:w="4040" w:type="dxa"/>
            <w:vAlign w:val="bottom"/>
          </w:tcPr>
          <w:p>
            <w:pPr>
              <w:jc w:val="center"/>
              <w:ind w:right="1625"/>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2760" w:type="dxa"/>
            <w:vAlign w:val="bottom"/>
          </w:tcPr>
          <w:p>
            <w:pPr>
              <w:jc w:val="center"/>
              <w:ind w:left="164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30"/>
        </w:trPr>
        <w:tc>
          <w:tcPr>
            <w:tcW w:w="4040" w:type="dxa"/>
            <w:vAlign w:val="bottom"/>
          </w:tcPr>
          <w:p>
            <w:pPr>
              <w:jc w:val="center"/>
              <w:ind w:right="1645"/>
              <w:spacing w:after="0" w:line="130" w:lineRule="exact"/>
              <w:rPr>
                <w:sz w:val="20"/>
                <w:szCs w:val="20"/>
                <w:color w:val="auto"/>
              </w:rPr>
            </w:pPr>
            <w:r>
              <w:rPr>
                <w:rFonts w:ascii="Arial" w:cs="Arial" w:eastAsia="Arial" w:hAnsi="Arial"/>
                <w:sz w:val="13"/>
                <w:szCs w:val="13"/>
                <w:b w:val="1"/>
                <w:bCs w:val="1"/>
                <w:color w:val="auto"/>
                <w:w w:val="96"/>
              </w:rPr>
              <w:t>incorporation or organization)</w:t>
            </w:r>
          </w:p>
        </w:tc>
        <w:tc>
          <w:tcPr>
            <w:tcW w:w="2760" w:type="dxa"/>
            <w:vAlign w:val="bottom"/>
          </w:tcPr>
          <w:p>
            <w:pPr>
              <w:jc w:val="center"/>
              <w:ind w:left="1626"/>
              <w:spacing w:after="0" w:line="130" w:lineRule="exact"/>
              <w:rPr>
                <w:sz w:val="20"/>
                <w:szCs w:val="20"/>
                <w:color w:val="auto"/>
              </w:rPr>
            </w:pPr>
            <w:r>
              <w:rPr>
                <w:rFonts w:ascii="Arial" w:cs="Arial" w:eastAsia="Arial" w:hAnsi="Arial"/>
                <w:sz w:val="13"/>
                <w:szCs w:val="13"/>
                <w:b w:val="1"/>
                <w:bCs w:val="1"/>
                <w:color w:val="auto"/>
                <w:w w:val="96"/>
              </w:rPr>
              <w:t>Identification No.)</w:t>
            </w:r>
          </w:p>
        </w:tc>
      </w:tr>
      <w:tr>
        <w:trPr>
          <w:trHeight w:val="207"/>
        </w:trPr>
        <w:tc>
          <w:tcPr>
            <w:tcW w:w="4040" w:type="dxa"/>
            <w:vAlign w:val="bottom"/>
          </w:tcPr>
          <w:p>
            <w:pPr>
              <w:jc w:val="center"/>
              <w:ind w:right="1645"/>
              <w:spacing w:after="0" w:line="207" w:lineRule="exact"/>
              <w:rPr>
                <w:sz w:val="20"/>
                <w:szCs w:val="20"/>
                <w:color w:val="auto"/>
              </w:rPr>
            </w:pPr>
            <w:r>
              <w:rPr>
                <w:rFonts w:ascii="Arial" w:cs="Arial" w:eastAsia="Arial" w:hAnsi="Arial"/>
                <w:sz w:val="16"/>
                <w:szCs w:val="16"/>
                <w:b w:val="1"/>
                <w:bCs w:val="1"/>
                <w:color w:val="auto"/>
              </w:rPr>
              <w:t>512 2</w:t>
            </w:r>
            <w:r>
              <w:rPr>
                <w:rFonts w:ascii="Arial" w:cs="Arial" w:eastAsia="Arial" w:hAnsi="Arial"/>
                <w:sz w:val="23"/>
                <w:szCs w:val="23"/>
                <w:b w:val="1"/>
                <w:bCs w:val="1"/>
                <w:color w:val="auto"/>
                <w:vertAlign w:val="superscript"/>
              </w:rPr>
              <w:t>nd</w:t>
            </w:r>
            <w:r>
              <w:rPr>
                <w:rFonts w:ascii="Arial" w:cs="Arial" w:eastAsia="Arial" w:hAnsi="Arial"/>
                <w:sz w:val="16"/>
                <w:szCs w:val="16"/>
                <w:b w:val="1"/>
                <w:bCs w:val="1"/>
                <w:color w:val="auto"/>
              </w:rPr>
              <w:t xml:space="preserve"> Street, 4</w:t>
            </w:r>
            <w:r>
              <w:rPr>
                <w:rFonts w:ascii="Arial" w:cs="Arial" w:eastAsia="Arial" w:hAnsi="Arial"/>
                <w:sz w:val="23"/>
                <w:szCs w:val="23"/>
                <w:b w:val="1"/>
                <w:bCs w:val="1"/>
                <w:color w:val="auto"/>
                <w:vertAlign w:val="superscript"/>
              </w:rPr>
              <w:t>th</w:t>
            </w:r>
            <w:r>
              <w:rPr>
                <w:rFonts w:ascii="Arial" w:cs="Arial" w:eastAsia="Arial" w:hAnsi="Arial"/>
                <w:sz w:val="16"/>
                <w:szCs w:val="16"/>
                <w:b w:val="1"/>
                <w:bCs w:val="1"/>
                <w:color w:val="auto"/>
              </w:rPr>
              <w:t xml:space="preserve"> Floor</w:t>
            </w:r>
          </w:p>
        </w:tc>
        <w:tc>
          <w:tcPr>
            <w:tcW w:w="2760" w:type="dxa"/>
            <w:vAlign w:val="bottom"/>
          </w:tcPr>
          <w:p>
            <w:pPr>
              <w:spacing w:after="0"/>
              <w:rPr>
                <w:sz w:val="17"/>
                <w:szCs w:val="17"/>
                <w:color w:val="auto"/>
              </w:rPr>
            </w:pPr>
          </w:p>
        </w:tc>
      </w:tr>
      <w:tr>
        <w:trPr>
          <w:trHeight w:val="203"/>
        </w:trPr>
        <w:tc>
          <w:tcPr>
            <w:tcW w:w="4040" w:type="dxa"/>
            <w:vAlign w:val="bottom"/>
          </w:tcPr>
          <w:p>
            <w:pPr>
              <w:jc w:val="center"/>
              <w:ind w:right="1625"/>
              <w:spacing w:after="0" w:line="203" w:lineRule="exact"/>
              <w:rPr>
                <w:sz w:val="20"/>
                <w:szCs w:val="20"/>
                <w:color w:val="auto"/>
              </w:rPr>
            </w:pPr>
            <w:r>
              <w:rPr>
                <w:rFonts w:ascii="Arial" w:cs="Arial" w:eastAsia="Arial" w:hAnsi="Arial"/>
                <w:sz w:val="18"/>
                <w:szCs w:val="18"/>
                <w:b w:val="1"/>
                <w:bCs w:val="1"/>
                <w:color w:val="auto"/>
                <w:w w:val="99"/>
              </w:rPr>
              <w:t>San Francisco, CA</w:t>
            </w:r>
          </w:p>
        </w:tc>
        <w:tc>
          <w:tcPr>
            <w:tcW w:w="27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94107</w:t>
            </w:r>
          </w:p>
        </w:tc>
      </w:tr>
      <w:tr>
        <w:trPr>
          <w:trHeight w:val="168"/>
        </w:trPr>
        <w:tc>
          <w:tcPr>
            <w:tcW w:w="4040" w:type="dxa"/>
            <w:vAlign w:val="bottom"/>
          </w:tcPr>
          <w:p>
            <w:pPr>
              <w:jc w:val="center"/>
              <w:ind w:right="162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60" w:type="dxa"/>
            <w:vAlign w:val="bottom"/>
          </w:tcPr>
          <w:p>
            <w:pPr>
              <w:jc w:val="center"/>
              <w:ind w:left="1626"/>
              <w:spacing w:after="0"/>
              <w:rPr>
                <w:sz w:val="20"/>
                <w:szCs w:val="20"/>
                <w:color w:val="auto"/>
              </w:rPr>
            </w:pPr>
            <w:r>
              <w:rPr>
                <w:rFonts w:ascii="Arial" w:cs="Arial" w:eastAsia="Arial" w:hAnsi="Arial"/>
                <w:sz w:val="13"/>
                <w:szCs w:val="13"/>
                <w:b w:val="1"/>
                <w:bCs w:val="1"/>
                <w:color w:val="auto"/>
                <w:w w:val="96"/>
              </w:rPr>
              <w:t>(Zip Code)</w:t>
            </w:r>
          </w:p>
        </w:tc>
      </w:tr>
    </w:tbl>
    <w:p>
      <w:pPr>
        <w:spacing w:after="0" w:line="169" w:lineRule="exact"/>
        <w:rPr>
          <w:sz w:val="24"/>
          <w:szCs w:val="24"/>
          <w:color w:val="auto"/>
        </w:rPr>
      </w:pPr>
    </w:p>
    <w:p>
      <w:pPr>
        <w:ind w:left="2221"/>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55"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8" w:lineRule="exact"/>
        <w:rPr>
          <w:sz w:val="24"/>
          <w:szCs w:val="24"/>
          <w:color w:val="auto"/>
        </w:rPr>
      </w:pPr>
    </w:p>
    <w:tbl>
      <w:tblPr>
        <w:tblLayout w:type="fixed"/>
        <w:tblInd w:w="11" w:type="dxa"/>
        <w:tblCellMar>
          <w:top w:w="0" w:type="dxa"/>
          <w:left w:w="0" w:type="dxa"/>
          <w:bottom w:w="0" w:type="dxa"/>
          <w:right w:w="0" w:type="dxa"/>
        </w:tblCellMar>
      </w:tblPr>
      <w:tr>
        <w:trPr>
          <w:trHeight w:val="20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5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83"/>
        </w:trPr>
        <w:tc>
          <w:tcPr>
            <w:tcW w:w="374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par value $0.0001 per share</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OLMA</w:t>
            </w:r>
          </w:p>
        </w:tc>
        <w:tc>
          <w:tcPr>
            <w:tcW w:w="5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The Nasdaq Global Select Market</w:t>
            </w:r>
          </w:p>
        </w:tc>
      </w:tr>
    </w:tbl>
    <w:p>
      <w:pPr>
        <w:spacing w:after="0" w:line="204" w:lineRule="exact"/>
        <w:rPr>
          <w:sz w:val="24"/>
          <w:szCs w:val="24"/>
          <w:color w:val="auto"/>
        </w:rPr>
      </w:pPr>
    </w:p>
    <w:p>
      <w:pPr>
        <w:jc w:val="both"/>
        <w:ind w:left="1"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ind w:left="1" w:right="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left="1"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 w:type="dxa"/>
        <w:tblCellMar>
          <w:top w:w="0" w:type="dxa"/>
          <w:left w:w="0" w:type="dxa"/>
          <w:bottom w:w="0" w:type="dxa"/>
          <w:right w:w="0" w:type="dxa"/>
        </w:tblCellMar>
      </w:tblPr>
      <w:tr>
        <w:trPr>
          <w:trHeight w:val="20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92" w:lineRule="exact"/>
        <w:rPr>
          <w:sz w:val="24"/>
          <w:szCs w:val="24"/>
          <w:color w:val="auto"/>
        </w:rPr>
      </w:pPr>
    </w:p>
    <w:p>
      <w:pPr>
        <w:ind w:left="1"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ind w:left="1" w:right="120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4, 2022, the registrant had 40,352,801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466725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1"/>
          </w:cols>
          <w:pgMar w:left="839"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2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11"/>
          </w:tcPr>
          <w:p>
            <w:pPr>
              <w:jc w:val="center"/>
              <w:ind w:right="2360"/>
              <w:spacing w:after="0"/>
              <w:rPr>
                <w:sz w:val="20"/>
                <w:szCs w:val="20"/>
                <w:color w:val="auto"/>
              </w:rPr>
            </w:pPr>
            <w:r>
              <w:rPr>
                <w:rFonts w:ascii="Arial" w:cs="Arial" w:eastAsia="Arial" w:hAnsi="Arial"/>
                <w:sz w:val="18"/>
                <w:szCs w:val="18"/>
                <w:b w:val="1"/>
                <w:bCs w:val="1"/>
                <w:color w:val="auto"/>
                <w:w w:val="99"/>
              </w:rPr>
              <w:t>PART I-FINANCIAL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4"/>
        </w:trPr>
        <w:tc>
          <w:tcPr>
            <w:tcW w:w="826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60" w:type="dxa"/>
            <w:vAlign w:val="bottom"/>
            <w:gridSpan w:val="19"/>
            <w:vMerge w:val="continue"/>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5000" w:type="dxa"/>
            <w:vAlign w:val="bottom"/>
            <w:gridSpan w:val="9"/>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Loss</w:t>
              </w:r>
            </w:hyperlink>
          </w:p>
        </w:tc>
        <w:tc>
          <w:tcPr>
            <w:tcW w:w="2040" w:type="dxa"/>
            <w:vAlign w:val="bottom"/>
            <w:gridSpan w:val="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Stockholders’ Equity</w:t>
              </w:r>
            </w:hyperlink>
          </w:p>
        </w:tc>
        <w:tc>
          <w:tcPr>
            <w:tcW w:w="3380" w:type="dxa"/>
            <w:vAlign w:val="bottom"/>
            <w:gridSpan w:val="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Unaudited Condensed Consolidated Financial Statements</w:t>
              </w:r>
            </w:hyperlink>
          </w:p>
        </w:tc>
        <w:tc>
          <w:tcPr>
            <w:tcW w:w="2900" w:type="dxa"/>
            <w:vAlign w:val="bottom"/>
            <w:gridSpan w:val="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53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Item 3. Quantitative and Qualitative Disclosures About Market Risk</w:t>
              </w:r>
            </w:hyperlink>
          </w:p>
        </w:tc>
        <w:tc>
          <w:tcPr>
            <w:tcW w:w="2360" w:type="dxa"/>
            <w:vAlign w:val="bottom"/>
            <w:tcBorders>
              <w:top w:val="single" w:sz="8" w:color="0000EE"/>
            </w:tcBorders>
            <w:gridSpan w:val="4"/>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Item 4. Controls and Procedures</w:t>
              </w:r>
            </w:hyperlink>
          </w:p>
        </w:tc>
        <w:tc>
          <w:tcPr>
            <w:tcW w:w="5660" w:type="dxa"/>
            <w:vAlign w:val="bottom"/>
            <w:gridSpan w:val="1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6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5620" w:type="dxa"/>
            <w:vAlign w:val="bottom"/>
            <w:gridSpan w:val="1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1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6160" w:type="dxa"/>
            <w:vAlign w:val="bottom"/>
            <w:gridSpan w:val="15"/>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Item 2. Unregistered Sales of Equity Securities and Use of Proceeds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31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Item 3. Defaults Upon Senior Securities</w:t>
              </w:r>
            </w:hyperlink>
          </w:p>
        </w:tc>
        <w:tc>
          <w:tcPr>
            <w:tcW w:w="2300" w:type="dxa"/>
            <w:vAlign w:val="bottom"/>
            <w:tcBorders>
              <w:top w:val="single" w:sz="8" w:color="0000EE"/>
            </w:tcBorders>
            <w:gridSpan w:val="7"/>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Item 4. Mine Safety Disclosures</w:t>
              </w:r>
            </w:hyperlink>
          </w:p>
        </w:tc>
        <w:tc>
          <w:tcPr>
            <w:tcW w:w="5720" w:type="dxa"/>
            <w:vAlign w:val="bottom"/>
            <w:gridSpan w:val="1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Item 5. Other Information</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12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100">
              <w:r>
                <w:rPr>
                  <w:rFonts w:ascii="Arial" w:cs="Arial" w:eastAsia="Arial" w:hAnsi="Arial"/>
                  <w:sz w:val="18"/>
                  <w:szCs w:val="18"/>
                  <w:color w:val="0000EE"/>
                  <w:w w:val="99"/>
                </w:rPr>
                <w:t>Item 6. Exhibits</w:t>
              </w:r>
            </w:hyperlink>
          </w:p>
        </w:tc>
        <w:tc>
          <w:tcPr>
            <w:tcW w:w="760" w:type="dxa"/>
            <w:vAlign w:val="bottom"/>
            <w:tcBorders>
              <w:top w:val="single" w:sz="8" w:color="0000EE"/>
            </w:tcBorders>
            <w:gridSpan w:val="2"/>
          </w:tcPr>
          <w:p>
            <w:pPr>
              <w:spacing w:after="0"/>
              <w:rPr>
                <w:sz w:val="15"/>
                <w:szCs w:val="15"/>
                <w:color w:val="auto"/>
              </w:rPr>
            </w:pPr>
          </w:p>
        </w:tc>
        <w:tc>
          <w:tcPr>
            <w:tcW w:w="6260" w:type="dxa"/>
            <w:vAlign w:val="bottom"/>
            <w:gridSpan w:val="1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680" w:type="dxa"/>
            <w:vAlign w:val="bottom"/>
            <w:tcBorders>
              <w:top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231F20"/>
              </w:rPr>
              <w:t>March 31,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December 31,</w:t>
            </w:r>
          </w:p>
        </w:tc>
      </w:tr>
      <w:tr>
        <w:trPr>
          <w:trHeight w:val="168"/>
        </w:trPr>
        <w:tc>
          <w:tcPr>
            <w:tcW w:w="6680" w:type="dxa"/>
            <w:vAlign w:val="bottom"/>
          </w:tcPr>
          <w:p>
            <w:pPr>
              <w:spacing w:after="0"/>
              <w:rPr>
                <w:sz w:val="14"/>
                <w:szCs w:val="14"/>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ind w:left="60"/>
        <w:spacing w:after="0" w:line="234" w:lineRule="auto"/>
        <w:rPr>
          <w:sz w:val="20"/>
          <w:szCs w:val="20"/>
          <w:color w:val="auto"/>
        </w:rPr>
      </w:pPr>
      <w:r>
        <w:rPr>
          <w:rFonts w:ascii="Arial" w:cs="Arial" w:eastAsia="Arial" w:hAnsi="Arial"/>
          <w:sz w:val="18"/>
          <w:szCs w:val="18"/>
          <w:color w:val="auto"/>
        </w:rPr>
        <w:t>Assets</w:t>
      </w:r>
    </w:p>
    <w:p>
      <w:pPr>
        <w:ind w:left="60"/>
        <w:spacing w:after="0" w:line="235" w:lineRule="auto"/>
        <w:rPr>
          <w:sz w:val="20"/>
          <w:szCs w:val="20"/>
          <w:color w:val="auto"/>
        </w:rPr>
      </w:pPr>
      <w:r>
        <w:rPr>
          <w:rFonts w:ascii="Arial" w:cs="Arial" w:eastAsia="Arial" w:hAnsi="Arial"/>
          <w:sz w:val="18"/>
          <w:szCs w:val="18"/>
          <w:color w:val="auto"/>
        </w:rPr>
        <w:t>Current assets:</w:t>
      </w:r>
    </w:p>
    <w:p>
      <w:pPr>
        <w:ind w:left="160"/>
        <w:spacing w:after="0" w:line="235"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5" w:lineRule="auto"/>
        <w:rPr>
          <w:sz w:val="20"/>
          <w:szCs w:val="20"/>
          <w:color w:val="auto"/>
        </w:rPr>
      </w:pPr>
      <w:r>
        <w:rPr>
          <w:rFonts w:ascii="Arial" w:cs="Arial" w:eastAsia="Arial" w:hAnsi="Arial"/>
          <w:sz w:val="18"/>
          <w:szCs w:val="18"/>
          <w:color w:val="auto"/>
        </w:rPr>
        <w:t>Marketable securities</w:t>
      </w:r>
    </w:p>
    <w:p>
      <w:pPr>
        <w:ind w:left="16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current assets</w:t>
      </w:r>
    </w:p>
    <w:p>
      <w:pPr>
        <w:ind w:left="6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line="235" w:lineRule="auto"/>
        <w:rPr>
          <w:sz w:val="20"/>
          <w:szCs w:val="20"/>
          <w:color w:val="auto"/>
        </w:rPr>
      </w:pPr>
      <w:r>
        <w:rPr>
          <w:rFonts w:ascii="Arial" w:cs="Arial" w:eastAsia="Arial" w:hAnsi="Arial"/>
          <w:sz w:val="18"/>
          <w:szCs w:val="18"/>
          <w:color w:val="auto"/>
        </w:rPr>
        <w:t>Operating lease right-of-use assets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Liabilities and stockholders’ equity</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Accounts payable</w:t>
      </w:r>
    </w:p>
    <w:p>
      <w:pPr>
        <w:ind w:left="160"/>
        <w:spacing w:after="0" w:line="235" w:lineRule="auto"/>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280" w:val="left"/>
          <w:tab w:leader="none" w:pos="1100" w:val="left"/>
          <w:tab w:leader="none" w:pos="1580" w:val="left"/>
        </w:tabs>
        <w:rPr>
          <w:sz w:val="20"/>
          <w:szCs w:val="20"/>
          <w:color w:val="auto"/>
        </w:rPr>
      </w:pPr>
      <w:r>
        <w:rPr>
          <w:rFonts w:ascii="Arial" w:cs="Arial" w:eastAsia="Arial" w:hAnsi="Arial"/>
          <w:sz w:val="18"/>
          <w:szCs w:val="18"/>
          <w:color w:val="auto"/>
        </w:rPr>
        <w:t>$</w:t>
        <w:tab/>
        <w:t>21,509</w:t>
        <w:tab/>
        <w:t>$</w:t>
      </w:r>
      <w:r>
        <w:rPr>
          <w:sz w:val="20"/>
          <w:szCs w:val="20"/>
          <w:color w:val="auto"/>
        </w:rPr>
        <w:tab/>
      </w:r>
      <w:r>
        <w:rPr>
          <w:rFonts w:ascii="Arial" w:cs="Arial" w:eastAsia="Arial" w:hAnsi="Arial"/>
          <w:sz w:val="17"/>
          <w:szCs w:val="17"/>
          <w:color w:val="auto"/>
        </w:rPr>
        <w:t>13,812</w:t>
      </w:r>
    </w:p>
    <w:p>
      <w:pPr>
        <w:ind w:left="200"/>
        <w:spacing w:after="0"/>
        <w:tabs>
          <w:tab w:leader="none" w:pos="1480" w:val="left"/>
        </w:tabs>
        <w:rPr>
          <w:sz w:val="20"/>
          <w:szCs w:val="20"/>
          <w:color w:val="auto"/>
        </w:rPr>
      </w:pPr>
      <w:r>
        <w:rPr>
          <w:rFonts w:ascii="Arial" w:cs="Arial" w:eastAsia="Arial" w:hAnsi="Arial"/>
          <w:sz w:val="17"/>
          <w:szCs w:val="17"/>
          <w:color w:val="auto"/>
        </w:rPr>
        <w:t>246,358</w:t>
      </w:r>
      <w:r>
        <w:rPr>
          <w:sz w:val="20"/>
          <w:szCs w:val="20"/>
          <w:color w:val="auto"/>
        </w:rPr>
        <w:tab/>
      </w:r>
      <w:r>
        <w:rPr>
          <w:rFonts w:ascii="Arial" w:cs="Arial" w:eastAsia="Arial" w:hAnsi="Arial"/>
          <w:sz w:val="17"/>
          <w:szCs w:val="17"/>
          <w:color w:val="auto"/>
        </w:rPr>
        <w:t>273,438</w:t>
      </w:r>
    </w:p>
    <w:p>
      <w:pPr>
        <w:spacing w:after="0" w:line="7" w:lineRule="exact"/>
        <w:rPr>
          <w:sz w:val="20"/>
          <w:szCs w:val="20"/>
          <w:color w:val="auto"/>
        </w:rPr>
      </w:pPr>
    </w:p>
    <w:p>
      <w:pPr>
        <w:jc w:val="both"/>
        <w:ind w:left="400"/>
        <w:spacing w:after="0"/>
        <w:tabs>
          <w:tab w:leader="none" w:pos="1680" w:val="left"/>
        </w:tabs>
        <w:rPr>
          <w:sz w:val="20"/>
          <w:szCs w:val="20"/>
          <w:color w:val="auto"/>
        </w:rPr>
      </w:pPr>
      <w:r>
        <w:rPr>
          <w:rFonts w:ascii="Arial" w:cs="Arial" w:eastAsia="Arial" w:hAnsi="Arial"/>
          <w:sz w:val="18"/>
          <w:szCs w:val="18"/>
          <w:color w:val="auto"/>
        </w:rPr>
        <w:t>2,347</w:t>
      </w:r>
      <w:r>
        <w:rPr>
          <w:sz w:val="20"/>
          <w:szCs w:val="20"/>
          <w:color w:val="auto"/>
        </w:rPr>
        <w:tab/>
      </w:r>
      <w:r>
        <w:rPr>
          <w:rFonts w:ascii="Arial" w:cs="Arial" w:eastAsia="Arial" w:hAnsi="Arial"/>
          <w:sz w:val="18"/>
          <w:szCs w:val="18"/>
          <w:color w:val="auto"/>
        </w:rPr>
        <w:t>3,435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14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200"/>
        <w:spacing w:after="0"/>
        <w:tabs>
          <w:tab w:leader="none" w:pos="1480" w:val="left"/>
        </w:tabs>
        <w:rPr>
          <w:sz w:val="20"/>
          <w:szCs w:val="20"/>
          <w:color w:val="auto"/>
        </w:rPr>
      </w:pPr>
      <w:r>
        <w:rPr>
          <w:rFonts w:ascii="Arial" w:cs="Arial" w:eastAsia="Arial" w:hAnsi="Arial"/>
          <w:sz w:val="17"/>
          <w:szCs w:val="17"/>
          <w:color w:val="auto"/>
        </w:rPr>
        <w:t>270,214</w:t>
      </w:r>
      <w:r>
        <w:rPr>
          <w:sz w:val="20"/>
          <w:szCs w:val="20"/>
          <w:color w:val="auto"/>
        </w:rPr>
        <w:tab/>
      </w:r>
      <w:r>
        <w:rPr>
          <w:rFonts w:ascii="Arial" w:cs="Arial" w:eastAsia="Arial" w:hAnsi="Arial"/>
          <w:sz w:val="17"/>
          <w:szCs w:val="17"/>
          <w:color w:val="auto"/>
        </w:rPr>
        <w:t>290,685</w:t>
      </w:r>
    </w:p>
    <w:p>
      <w:pPr>
        <w:spacing w:after="0" w:line="3" w:lineRule="exact"/>
        <w:rPr>
          <w:sz w:val="20"/>
          <w:szCs w:val="20"/>
          <w:color w:val="auto"/>
        </w:rPr>
      </w:pPr>
    </w:p>
    <w:p>
      <w:pPr>
        <w:jc w:val="both"/>
        <w:ind w:left="400"/>
        <w:spacing w:after="0"/>
        <w:tabs>
          <w:tab w:leader="none" w:pos="1680" w:val="left"/>
        </w:tabs>
        <w:rPr>
          <w:sz w:val="20"/>
          <w:szCs w:val="20"/>
          <w:color w:val="auto"/>
        </w:rPr>
      </w:pPr>
      <w:r>
        <w:rPr>
          <w:rFonts w:ascii="Arial" w:cs="Arial" w:eastAsia="Arial" w:hAnsi="Arial"/>
          <w:sz w:val="18"/>
          <w:szCs w:val="18"/>
          <w:color w:val="auto"/>
        </w:rPr>
        <w:t>1,420</w:t>
      </w:r>
      <w:r>
        <w:rPr>
          <w:sz w:val="20"/>
          <w:szCs w:val="20"/>
          <w:color w:val="auto"/>
        </w:rPr>
        <w:tab/>
      </w:r>
      <w:r>
        <w:rPr>
          <w:rFonts w:ascii="Arial" w:cs="Arial" w:eastAsia="Arial" w:hAnsi="Arial"/>
          <w:sz w:val="18"/>
          <w:szCs w:val="18"/>
          <w:color w:val="auto"/>
        </w:rPr>
        <w:t>1,474</w:t>
      </w:r>
    </w:p>
    <w:p>
      <w:pPr>
        <w:jc w:val="both"/>
        <w:ind w:left="400"/>
        <w:spacing w:after="0" w:line="234" w:lineRule="auto"/>
        <w:tabs>
          <w:tab w:leader="none" w:pos="1680" w:val="left"/>
        </w:tabs>
        <w:rPr>
          <w:sz w:val="20"/>
          <w:szCs w:val="20"/>
          <w:color w:val="auto"/>
        </w:rPr>
      </w:pPr>
      <w:r>
        <w:rPr>
          <w:rFonts w:ascii="Arial" w:cs="Arial" w:eastAsia="Arial" w:hAnsi="Arial"/>
          <w:sz w:val="18"/>
          <w:szCs w:val="18"/>
          <w:color w:val="auto"/>
        </w:rPr>
        <w:t>2,990</w:t>
      </w:r>
      <w:r>
        <w:rPr>
          <w:sz w:val="20"/>
          <w:szCs w:val="20"/>
          <w:color w:val="auto"/>
        </w:rPr>
        <w:tab/>
      </w:r>
      <w:r>
        <w:rPr>
          <w:rFonts w:ascii="Arial" w:cs="Arial" w:eastAsia="Arial" w:hAnsi="Arial"/>
          <w:sz w:val="18"/>
          <w:szCs w:val="18"/>
          <w:color w:val="auto"/>
        </w:rPr>
        <w:t>3,246</w:t>
      </w:r>
    </w:p>
    <w:p>
      <w:pPr>
        <w:spacing w:after="0" w:line="1" w:lineRule="exact"/>
        <w:rPr>
          <w:sz w:val="20"/>
          <w:szCs w:val="20"/>
          <w:color w:val="auto"/>
        </w:rPr>
      </w:pPr>
    </w:p>
    <w:p>
      <w:pPr>
        <w:jc w:val="both"/>
        <w:ind w:left="400"/>
        <w:spacing w:after="0"/>
        <w:tabs>
          <w:tab w:leader="none" w:pos="1820" w:val="left"/>
        </w:tabs>
        <w:rPr>
          <w:sz w:val="20"/>
          <w:szCs w:val="20"/>
          <w:color w:val="auto"/>
        </w:rPr>
      </w:pPr>
      <w:r>
        <w:rPr>
          <w:rFonts w:ascii="Arial" w:cs="Arial" w:eastAsia="Arial" w:hAnsi="Arial"/>
          <w:sz w:val="18"/>
          <w:szCs w:val="18"/>
          <w:color w:val="auto"/>
        </w:rPr>
        <w:t>2,794</w:t>
      </w:r>
      <w:r>
        <w:rPr>
          <w:sz w:val="20"/>
          <w:szCs w:val="20"/>
          <w:color w:val="auto"/>
        </w:rPr>
        <w:tab/>
      </w:r>
      <w:r>
        <w:rPr>
          <w:rFonts w:ascii="Arial" w:cs="Arial" w:eastAsia="Arial" w:hAnsi="Arial"/>
          <w:sz w:val="18"/>
          <w:szCs w:val="18"/>
          <w:color w:val="auto"/>
        </w:rPr>
        <w:t>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14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tabs>
          <w:tab w:leader="none" w:pos="1100" w:val="left"/>
          <w:tab w:leader="none" w:pos="1480" w:val="left"/>
        </w:tabs>
        <w:rPr>
          <w:sz w:val="20"/>
          <w:szCs w:val="20"/>
          <w:color w:val="auto"/>
        </w:rPr>
      </w:pPr>
      <w:r>
        <w:rPr>
          <w:rFonts w:ascii="Arial" w:cs="Arial" w:eastAsia="Arial" w:hAnsi="Arial"/>
          <w:sz w:val="18"/>
          <w:szCs w:val="18"/>
          <w:u w:val="single" w:color="auto"/>
          <w:color w:val="auto"/>
        </w:rPr>
        <w:t>$ 277,418</w:t>
        <w:tab/>
        <w:t>$</w:t>
      </w:r>
      <w:r>
        <w:rPr>
          <w:sz w:val="20"/>
          <w:szCs w:val="20"/>
          <w:color w:val="auto"/>
        </w:rPr>
        <w:tab/>
      </w:r>
      <w:r>
        <w:rPr>
          <w:rFonts w:ascii="Arial" w:cs="Arial" w:eastAsia="Arial" w:hAnsi="Arial"/>
          <w:sz w:val="17"/>
          <w:szCs w:val="17"/>
          <w:u w:val="single" w:color="auto"/>
          <w:color w:val="auto"/>
        </w:rPr>
        <w:t>295,945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40" w:val="left"/>
          <w:tab w:leader="none" w:pos="1100" w:val="left"/>
          <w:tab w:leader="none" w:pos="1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268</w:t>
        <w:tab/>
        <w:t>$</w:t>
      </w:r>
      <w:r>
        <w:rPr>
          <w:sz w:val="20"/>
          <w:szCs w:val="20"/>
          <w:color w:val="auto"/>
        </w:rPr>
        <w:tab/>
      </w:r>
      <w:r>
        <w:rPr>
          <w:rFonts w:ascii="Arial" w:cs="Arial" w:eastAsia="Arial" w:hAnsi="Arial"/>
          <w:sz w:val="17"/>
          <w:szCs w:val="17"/>
          <w:color w:val="auto"/>
        </w:rPr>
        <w:t>23</w:t>
      </w:r>
    </w:p>
    <w:p>
      <w:pPr>
        <w:ind w:left="1840" w:hanging="1289"/>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931</w:t>
      </w:r>
    </w:p>
    <w:p>
      <w:pPr>
        <w:spacing w:after="0" w:line="7"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8"/>
          <w:szCs w:val="18"/>
          <w:color w:val="auto"/>
        </w:rPr>
        <w:t>9,019</w:t>
      </w:r>
      <w:r>
        <w:rPr>
          <w:rFonts w:ascii="Arial" w:cs="Arial" w:eastAsia="Arial" w:hAnsi="Arial"/>
          <w:sz w:val="17"/>
          <w:szCs w:val="17"/>
          <w:color w:val="auto"/>
        </w:rPr>
        <w:t>8,065</w:t>
      </w:r>
    </w:p>
    <w:p>
      <w:pPr>
        <w:spacing w:after="0" w:line="1" w:lineRule="exact"/>
        <w:rPr>
          <w:sz w:val="20"/>
          <w:szCs w:val="20"/>
          <w:color w:val="auto"/>
        </w:rPr>
      </w:pPr>
    </w:p>
    <w:p>
      <w:pPr>
        <w:sectPr>
          <w:pgSz w:w="11900" w:h="16838" w:orient="portrait"/>
          <w:cols w:equalWidth="0" w:num="2">
            <w:col w:w="6020" w:space="720"/>
            <w:col w:w="227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198"/>
        </w:trPr>
        <w:tc>
          <w:tcPr>
            <w:tcW w:w="6680" w:type="dxa"/>
            <w:vAlign w:val="bottom"/>
            <w:tcBorders>
              <w:top w:val="single" w:sz="8" w:color="CCEEFF"/>
            </w:tcBorders>
            <w:shd w:val="clear" w:color="auto" w:fill="CCEEFF"/>
          </w:tcPr>
          <w:p>
            <w:pPr>
              <w:ind w:left="220"/>
              <w:spacing w:after="0" w:line="198" w:lineRule="exact"/>
              <w:rPr>
                <w:sz w:val="20"/>
                <w:szCs w:val="20"/>
                <w:color w:val="auto"/>
              </w:rPr>
            </w:pPr>
            <w:r>
              <w:rPr>
                <w:rFonts w:ascii="Arial" w:cs="Arial" w:eastAsia="Arial" w:hAnsi="Arial"/>
                <w:sz w:val="18"/>
                <w:szCs w:val="18"/>
                <w:color w:val="auto"/>
              </w:rPr>
              <w:t>Total current liabilities</w:t>
            </w:r>
          </w:p>
        </w:tc>
        <w:tc>
          <w:tcPr>
            <w:tcW w:w="1020" w:type="dxa"/>
            <w:vAlign w:val="bottom"/>
            <w:tcBorders>
              <w:top w:val="single" w:sz="8" w:color="auto"/>
            </w:tcBorders>
            <w:shd w:val="clear" w:color="auto" w:fill="CCEEFF"/>
          </w:tcPr>
          <w:p>
            <w:pPr>
              <w:jc w:val="right"/>
              <w:ind w:right="70"/>
              <w:spacing w:after="0" w:line="198" w:lineRule="exact"/>
              <w:rPr>
                <w:sz w:val="20"/>
                <w:szCs w:val="20"/>
                <w:color w:val="auto"/>
              </w:rPr>
            </w:pPr>
            <w:r>
              <w:rPr>
                <w:rFonts w:ascii="Arial" w:cs="Arial" w:eastAsia="Arial" w:hAnsi="Arial"/>
                <w:sz w:val="18"/>
                <w:szCs w:val="18"/>
                <w:color w:val="auto"/>
              </w:rPr>
              <w:t>10,168</w:t>
            </w:r>
          </w:p>
        </w:tc>
        <w:tc>
          <w:tcPr>
            <w:tcW w:w="12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9,019</w:t>
            </w:r>
          </w:p>
        </w:tc>
      </w:tr>
      <w:tr>
        <w:trPr>
          <w:trHeight w:val="203"/>
        </w:trPr>
        <w:tc>
          <w:tcPr>
            <w:tcW w:w="66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0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2,160</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2,358</w:t>
            </w:r>
          </w:p>
        </w:tc>
      </w:tr>
      <w:tr>
        <w:trPr>
          <w:trHeight w:val="196"/>
        </w:trPr>
        <w:tc>
          <w:tcPr>
            <w:tcW w:w="6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12,328</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11,377</w:t>
            </w:r>
          </w:p>
        </w:tc>
      </w:tr>
      <w:tr>
        <w:trPr>
          <w:trHeight w:val="196"/>
        </w:trPr>
        <w:tc>
          <w:tcPr>
            <w:tcW w:w="668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231F20"/>
              </w:rPr>
              <w:t>Stockholders’ equity:</w:t>
            </w: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231F20"/>
              </w:rPr>
              <w:t>Preferred stock, $0.0001 par value; 10,000,000 shares authorized as of March</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231F20"/>
              </w:rPr>
              <w:t>31, 2022 and December 31, 2021; no shares issued and outstanding as of March</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680" w:type="dxa"/>
            <w:vAlign w:val="bottom"/>
          </w:tcPr>
          <w:p>
            <w:pPr>
              <w:spacing w:after="0" w:line="203" w:lineRule="exact"/>
              <w:rPr>
                <w:sz w:val="20"/>
                <w:szCs w:val="20"/>
                <w:color w:val="auto"/>
              </w:rPr>
            </w:pPr>
            <w:r>
              <w:rPr>
                <w:rFonts w:ascii="Arial" w:cs="Arial" w:eastAsia="Arial" w:hAnsi="Arial"/>
                <w:sz w:val="18"/>
                <w:szCs w:val="18"/>
                <w:color w:val="231F20"/>
              </w:rPr>
              <w:t>31, 2022 and December 31, 2021.</w:t>
            </w:r>
          </w:p>
        </w:tc>
        <w:tc>
          <w:tcPr>
            <w:tcW w:w="10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rPr>
              <w:t>Common stock, $0.0001 par value; 490,000,000 shares authorized as of March</w:t>
            </w: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31, 2022 and December 31, 2021; 40,352,801 and 40,337,046 shares issued as</w:t>
            </w: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of March 31, 2022 and December 31, 2021, respectively; 39,869,325 and</w:t>
            </w: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39,797,263 shares outstanding as of March 31, 2022 and December 31, 2021,</w:t>
            </w: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3" w:lineRule="exact"/>
              <w:rPr>
                <w:sz w:val="20"/>
                <w:szCs w:val="20"/>
                <w:color w:val="auto"/>
              </w:rPr>
            </w:pPr>
            <w:r>
              <w:rPr>
                <w:rFonts w:ascii="Arial" w:cs="Arial" w:eastAsia="Arial" w:hAnsi="Arial"/>
                <w:sz w:val="18"/>
                <w:szCs w:val="18"/>
                <w:color w:val="231F20"/>
              </w:rPr>
              <w:t>respectively.</w:t>
            </w:r>
          </w:p>
        </w:tc>
        <w:tc>
          <w:tcPr>
            <w:tcW w:w="102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3</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231F20"/>
              </w:rPr>
              <w:t>Additional paid-in capital</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393,933</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388,904</w:t>
            </w: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231F20"/>
              </w:rPr>
              <w:t>Accumulated other comprehensive loss</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(1,626)</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03"/>
        </w:trPr>
        <w:tc>
          <w:tcPr>
            <w:tcW w:w="6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231F20"/>
              </w:rPr>
              <w:t>Accumulated deficit</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(127,220)</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(104,190)</w:t>
            </w:r>
          </w:p>
        </w:tc>
      </w:tr>
      <w:tr>
        <w:trPr>
          <w:trHeight w:val="196"/>
        </w:trPr>
        <w:tc>
          <w:tcPr>
            <w:tcW w:w="6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231F20"/>
              </w:rPr>
              <w:t>Total stockholders’ equity</w:t>
            </w:r>
          </w:p>
        </w:tc>
        <w:tc>
          <w:tcPr>
            <w:tcW w:w="10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231F20"/>
              </w:rPr>
              <w:t>265,090</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284,568</w:t>
            </w:r>
          </w:p>
        </w:tc>
      </w:tr>
      <w:tr>
        <w:trPr>
          <w:trHeight w:val="196"/>
        </w:trPr>
        <w:tc>
          <w:tcPr>
            <w:tcW w:w="668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231F20"/>
              </w:rPr>
              <w:t>Total liabilities and stockholders’ equity</w:t>
            </w: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277,418</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295,945</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(Amounts in thousands, except per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7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960" w:type="dxa"/>
            <w:vAlign w:val="bottom"/>
            <w:tcBorders>
              <w:top w:val="single" w:sz="8" w:color="auto"/>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7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16,009</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10,692</w:t>
            </w:r>
          </w:p>
        </w:tc>
        <w:tc>
          <w:tcPr>
            <w:tcW w:w="0" w:type="dxa"/>
            <w:vAlign w:val="bottom"/>
          </w:tcPr>
          <w:p>
            <w:pPr>
              <w:spacing w:after="0"/>
              <w:rPr>
                <w:sz w:val="1"/>
                <w:szCs w:val="1"/>
                <w:color w:val="auto"/>
              </w:rPr>
            </w:pPr>
          </w:p>
        </w:tc>
      </w:tr>
      <w:tr>
        <w:trPr>
          <w:trHeight w:val="162"/>
        </w:trPr>
        <w:tc>
          <w:tcPr>
            <w:tcW w:w="5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7,245</w:t>
            </w: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4,758</w:t>
            </w:r>
          </w:p>
        </w:tc>
        <w:tc>
          <w:tcPr>
            <w:tcW w:w="0" w:type="dxa"/>
            <w:vAlign w:val="bottom"/>
          </w:tcPr>
          <w:p>
            <w:pPr>
              <w:spacing w:after="0"/>
              <w:rPr>
                <w:sz w:val="1"/>
                <w:szCs w:val="1"/>
                <w:color w:val="auto"/>
              </w:rPr>
            </w:pPr>
          </w:p>
        </w:tc>
      </w:tr>
      <w:tr>
        <w:trPr>
          <w:trHeight w:val="156"/>
        </w:trPr>
        <w:tc>
          <w:tcPr>
            <w:tcW w:w="57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23,254</w:t>
            </w: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15,450</w:t>
            </w:r>
          </w:p>
        </w:tc>
        <w:tc>
          <w:tcPr>
            <w:tcW w:w="0" w:type="dxa"/>
            <w:vAlign w:val="bottom"/>
          </w:tcPr>
          <w:p>
            <w:pPr>
              <w:spacing w:after="0"/>
              <w:rPr>
                <w:sz w:val="1"/>
                <w:szCs w:val="1"/>
                <w:color w:val="auto"/>
              </w:rPr>
            </w:pP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(23,254)</w:t>
            </w: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(15,450)</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218</w:t>
            </w: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2"/>
        </w:trPr>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7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other income</w:t>
            </w:r>
          </w:p>
        </w:tc>
        <w:tc>
          <w:tcPr>
            <w:tcW w:w="1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224</w:t>
            </w:r>
          </w:p>
        </w:tc>
        <w:tc>
          <w:tcPr>
            <w:tcW w:w="5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loss attributable to common stockholders</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(23,030)</w:t>
            </w:r>
          </w:p>
        </w:tc>
        <w:tc>
          <w:tcPr>
            <w:tcW w:w="5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(15,339)</w:t>
            </w:r>
          </w:p>
        </w:tc>
        <w:tc>
          <w:tcPr>
            <w:tcW w:w="0" w:type="dxa"/>
            <w:vAlign w:val="bottom"/>
          </w:tcPr>
          <w:p>
            <w:pPr>
              <w:spacing w:after="0"/>
              <w:rPr>
                <w:sz w:val="1"/>
                <w:szCs w:val="1"/>
                <w:color w:val="auto"/>
              </w:rPr>
            </w:pPr>
          </w:p>
        </w:tc>
      </w:tr>
      <w:tr>
        <w:trPr>
          <w:trHeight w:val="143"/>
        </w:trPr>
        <w:tc>
          <w:tcPr>
            <w:tcW w:w="57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231F20"/>
              </w:rPr>
              <w:t>Net loss per share attributable to common stockholders, basic and diluted</w:t>
            </w:r>
          </w:p>
        </w:tc>
        <w:tc>
          <w:tcPr>
            <w:tcW w:w="1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line="143" w:lineRule="exact"/>
              <w:rPr>
                <w:sz w:val="20"/>
                <w:szCs w:val="20"/>
                <w:color w:val="auto"/>
              </w:rPr>
            </w:pPr>
            <w:r>
              <w:rPr>
                <w:rFonts w:ascii="Arial" w:cs="Arial" w:eastAsia="Arial" w:hAnsi="Arial"/>
                <w:sz w:val="14"/>
                <w:szCs w:val="14"/>
                <w:color w:val="231F20"/>
              </w:rPr>
              <w:t>(0.58)</w:t>
            </w:r>
          </w:p>
        </w:tc>
        <w:tc>
          <w:tcPr>
            <w:tcW w:w="50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color w:val="231F20"/>
              </w:rPr>
              <w:t>$</w:t>
            </w:r>
          </w:p>
        </w:tc>
        <w:tc>
          <w:tcPr>
            <w:tcW w:w="10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(0.39)</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color w:val="231F20"/>
              </w:rPr>
              <w:t>Weighted average shares used to compute net loss per share attributable to common</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7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restart"/>
          </w:tcPr>
          <w:p>
            <w:pPr>
              <w:jc w:val="right"/>
              <w:ind w:right="148"/>
              <w:spacing w:after="0"/>
              <w:rPr>
                <w:sz w:val="20"/>
                <w:szCs w:val="20"/>
                <w:color w:val="auto"/>
              </w:rPr>
            </w:pPr>
            <w:r>
              <w:rPr>
                <w:rFonts w:ascii="Arial" w:cs="Arial" w:eastAsia="Arial" w:hAnsi="Arial"/>
                <w:sz w:val="14"/>
                <w:szCs w:val="14"/>
                <w:color w:val="auto"/>
              </w:rPr>
              <w:t>39,834,619</w:t>
            </w:r>
          </w:p>
        </w:tc>
        <w:tc>
          <w:tcPr>
            <w:tcW w:w="5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39,325,793</w:t>
            </w:r>
          </w:p>
        </w:tc>
        <w:tc>
          <w:tcPr>
            <w:tcW w:w="0" w:type="dxa"/>
            <w:vAlign w:val="bottom"/>
          </w:tcPr>
          <w:p>
            <w:pPr>
              <w:spacing w:after="0"/>
              <w:rPr>
                <w:sz w:val="1"/>
                <w:szCs w:val="1"/>
                <w:color w:val="auto"/>
              </w:rPr>
            </w:pPr>
          </w:p>
        </w:tc>
      </w:tr>
      <w:tr>
        <w:trPr>
          <w:trHeight w:val="144"/>
        </w:trPr>
        <w:tc>
          <w:tcPr>
            <w:tcW w:w="5760" w:type="dxa"/>
            <w:vAlign w:val="bottom"/>
          </w:tcPr>
          <w:p>
            <w:pPr>
              <w:spacing w:after="0" w:line="144" w:lineRule="exact"/>
              <w:rPr>
                <w:sz w:val="20"/>
                <w:szCs w:val="20"/>
                <w:color w:val="auto"/>
              </w:rPr>
            </w:pPr>
            <w:r>
              <w:rPr>
                <w:rFonts w:ascii="Arial" w:cs="Arial" w:eastAsia="Arial" w:hAnsi="Arial"/>
                <w:sz w:val="14"/>
                <w:szCs w:val="14"/>
                <w:color w:val="231F20"/>
              </w:rPr>
              <w:t>stockholders, basic and diluted</w:t>
            </w: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7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800" w:type="dxa"/>
            <w:vAlign w:val="bottom"/>
            <w:tcBorders>
              <w:top w:val="single" w:sz="8" w:color="auto"/>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7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r>
      <w:tr>
        <w:trPr>
          <w:trHeight w:val="156"/>
        </w:trPr>
        <w:tc>
          <w:tcPr>
            <w:tcW w:w="57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231F20"/>
              </w:rPr>
              <w:t>Net loss</w:t>
            </w:r>
          </w:p>
        </w:tc>
        <w:tc>
          <w:tcPr>
            <w:tcW w:w="3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(23,030)</w:t>
            </w:r>
          </w:p>
        </w:tc>
        <w:tc>
          <w:tcPr>
            <w:tcW w:w="500" w:type="dxa"/>
            <w:vAlign w:val="bottom"/>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(15,339)</w:t>
            </w:r>
          </w:p>
        </w:tc>
      </w:tr>
      <w:tr>
        <w:trPr>
          <w:trHeight w:val="162"/>
        </w:trPr>
        <w:tc>
          <w:tcPr>
            <w:tcW w:w="5780" w:type="dxa"/>
            <w:vAlign w:val="bottom"/>
          </w:tcPr>
          <w:p>
            <w:pPr>
              <w:ind w:left="20"/>
              <w:spacing w:after="0"/>
              <w:rPr>
                <w:sz w:val="20"/>
                <w:szCs w:val="20"/>
                <w:color w:val="auto"/>
              </w:rPr>
            </w:pPr>
            <w:r>
              <w:rPr>
                <w:rFonts w:ascii="Arial" w:cs="Arial" w:eastAsia="Arial" w:hAnsi="Arial"/>
                <w:sz w:val="14"/>
                <w:szCs w:val="14"/>
                <w:color w:val="231F20"/>
              </w:rPr>
              <w:t>Other comprehensive loss:</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loss on marketable securities</w:t>
            </w:r>
          </w:p>
        </w:tc>
        <w:tc>
          <w:tcPr>
            <w:tcW w:w="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(1,477)</w:t>
            </w:r>
          </w:p>
        </w:tc>
        <w:tc>
          <w:tcPr>
            <w:tcW w:w="5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55"/>
        </w:trPr>
        <w:tc>
          <w:tcPr>
            <w:tcW w:w="57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231F20"/>
              </w:rPr>
              <w:t>Total comprehensive loss</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(24,507)</w:t>
            </w:r>
          </w:p>
        </w:tc>
        <w:tc>
          <w:tcPr>
            <w:tcW w:w="5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(15,352)</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8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20"/>
        <w:spacing w:after="0" w:line="253" w:lineRule="auto"/>
        <w:rPr>
          <w:sz w:val="20"/>
          <w:szCs w:val="20"/>
          <w:color w:val="auto"/>
        </w:rPr>
      </w:pPr>
      <w:r>
        <w:rPr>
          <w:rFonts w:ascii="Arial" w:cs="Arial" w:eastAsia="Arial" w:hAnsi="Arial"/>
          <w:sz w:val="10"/>
          <w:szCs w:val="10"/>
          <w:color w:val="231F20"/>
        </w:rPr>
        <w:t xml:space="preserve">Balances at December 31, 2021 </w:t>
      </w:r>
      <w:r>
        <w:rPr>
          <w:rFonts w:ascii="Arial" w:cs="Arial" w:eastAsia="Arial" w:hAnsi="Arial"/>
          <w:sz w:val="10"/>
          <w:szCs w:val="10"/>
          <w:color w:val="000000"/>
        </w:rPr>
        <w:t xml:space="preserve">Vesting of early exercised stock options Vesting of restricted stock awards Exercise of stock options Stock-based compensation expense </w:t>
      </w:r>
      <w:r>
        <w:rPr>
          <w:rFonts w:ascii="Arial" w:cs="Arial" w:eastAsia="Arial" w:hAnsi="Arial"/>
          <w:sz w:val="10"/>
          <w:szCs w:val="10"/>
          <w:color w:val="231F20"/>
        </w:rPr>
        <w:t>Employee stock purchase plan expense</w:t>
      </w:r>
    </w:p>
    <w:p>
      <w:pPr>
        <w:spacing w:after="0" w:line="2" w:lineRule="exact"/>
        <w:rPr>
          <w:sz w:val="20"/>
          <w:szCs w:val="20"/>
          <w:color w:val="auto"/>
        </w:rPr>
      </w:pPr>
    </w:p>
    <w:p>
      <w:pPr>
        <w:ind w:left="60"/>
        <w:spacing w:after="0" w:line="238" w:lineRule="auto"/>
        <w:rPr>
          <w:sz w:val="20"/>
          <w:szCs w:val="20"/>
          <w:color w:val="auto"/>
        </w:rPr>
      </w:pPr>
      <w:r>
        <w:rPr>
          <w:rFonts w:ascii="Arial" w:cs="Arial" w:eastAsia="Arial" w:hAnsi="Arial"/>
          <w:sz w:val="11"/>
          <w:szCs w:val="11"/>
          <w:color w:val="231F20"/>
        </w:rPr>
        <w:t>Net unrealized loss on marketable securities Net loss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1"/>
          <w:szCs w:val="11"/>
          <w:color w:val="231F20"/>
        </w:rPr>
        <w:t>Balances at March 31, 2022</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86"/>
              <w:spacing w:after="0"/>
              <w:rPr>
                <w:sz w:val="20"/>
                <w:szCs w:val="20"/>
                <w:color w:val="auto"/>
              </w:rPr>
            </w:pPr>
            <w:r>
              <w:rPr>
                <w:rFonts w:ascii="Arial" w:cs="Arial" w:eastAsia="Arial" w:hAnsi="Arial"/>
                <w:sz w:val="11"/>
                <w:szCs w:val="11"/>
                <w:b w:val="1"/>
                <w:bCs w:val="1"/>
                <w:color w:val="auto"/>
                <w:w w:val="98"/>
              </w:rPr>
              <w:t>Accumulated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5"/>
        </w:trPr>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266"/>
              <w:spacing w:after="0"/>
              <w:rPr>
                <w:sz w:val="20"/>
                <w:szCs w:val="20"/>
                <w:color w:val="auto"/>
              </w:rPr>
            </w:pPr>
            <w:r>
              <w:rPr>
                <w:rFonts w:ascii="Arial" w:cs="Arial" w:eastAsia="Arial" w:hAnsi="Arial"/>
                <w:sz w:val="11"/>
                <w:szCs w:val="11"/>
                <w:b w:val="1"/>
                <w:bCs w:val="1"/>
                <w:color w:val="auto"/>
              </w:rPr>
              <w:t>Additional</w:t>
            </w:r>
          </w:p>
        </w:tc>
        <w:tc>
          <w:tcPr>
            <w:tcW w:w="200" w:type="dxa"/>
            <w:vAlign w:val="bottom"/>
          </w:tcPr>
          <w:p>
            <w:pPr>
              <w:spacing w:after="0"/>
              <w:rPr>
                <w:sz w:val="13"/>
                <w:szCs w:val="13"/>
                <w:color w:val="auto"/>
              </w:rPr>
            </w:pPr>
          </w:p>
        </w:tc>
        <w:tc>
          <w:tcPr>
            <w:tcW w:w="980" w:type="dxa"/>
            <w:vAlign w:val="bottom"/>
          </w:tcPr>
          <w:p>
            <w:pPr>
              <w:jc w:val="center"/>
              <w:ind w:right="86"/>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ind w:right="166"/>
              <w:spacing w:after="0"/>
              <w:rPr>
                <w:sz w:val="20"/>
                <w:szCs w:val="20"/>
                <w:color w:val="auto"/>
              </w:rPr>
            </w:pPr>
            <w:r>
              <w:rPr>
                <w:rFonts w:ascii="Arial" w:cs="Arial" w:eastAsia="Arial" w:hAnsi="Arial"/>
                <w:sz w:val="11"/>
                <w:szCs w:val="11"/>
                <w:b w:val="1"/>
                <w:bCs w:val="1"/>
                <w:color w:val="auto"/>
                <w:w w:val="91"/>
              </w:rPr>
              <w:t>Total</w:t>
            </w:r>
          </w:p>
        </w:tc>
      </w:tr>
      <w:tr>
        <w:trPr>
          <w:trHeight w:val="130"/>
        </w:trPr>
        <w:tc>
          <w:tcPr>
            <w:tcW w:w="1740" w:type="dxa"/>
            <w:vAlign w:val="bottom"/>
            <w:tcBorders>
              <w:bottom w:val="single" w:sz="8" w:color="auto"/>
            </w:tcBorders>
            <w:gridSpan w:val="2"/>
          </w:tcPr>
          <w:p>
            <w:pPr>
              <w:jc w:val="right"/>
              <w:ind w:right="32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Paid-in</w:t>
            </w:r>
          </w:p>
        </w:tc>
        <w:tc>
          <w:tcPr>
            <w:tcW w:w="200" w:type="dxa"/>
            <w:vAlign w:val="bottom"/>
          </w:tcPr>
          <w:p>
            <w:pPr>
              <w:spacing w:after="0"/>
              <w:rPr>
                <w:sz w:val="11"/>
                <w:szCs w:val="11"/>
                <w:color w:val="auto"/>
              </w:rPr>
            </w:pPr>
          </w:p>
        </w:tc>
        <w:tc>
          <w:tcPr>
            <w:tcW w:w="9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200" w:type="dxa"/>
            <w:vAlign w:val="bottom"/>
          </w:tcPr>
          <w:p>
            <w:pPr>
              <w:spacing w:after="0"/>
              <w:rPr>
                <w:sz w:val="11"/>
                <w:szCs w:val="11"/>
                <w:color w:val="auto"/>
              </w:rPr>
            </w:pP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w w:val="95"/>
              </w:rPr>
              <w:t>Accumulated</w:t>
            </w:r>
          </w:p>
        </w:tc>
        <w:tc>
          <w:tcPr>
            <w:tcW w:w="102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9"/>
              </w:rPr>
              <w:t>Stockholders'</w:t>
            </w:r>
          </w:p>
        </w:tc>
      </w:tr>
      <w:tr>
        <w:trPr>
          <w:trHeight w:val="122"/>
        </w:trPr>
        <w:tc>
          <w:tcPr>
            <w:tcW w:w="920" w:type="dxa"/>
            <w:vAlign w:val="bottom"/>
            <w:tcBorders>
              <w:bottom w:val="single" w:sz="8" w:color="auto"/>
            </w:tcBorders>
          </w:tcPr>
          <w:p>
            <w:pPr>
              <w:jc w:val="right"/>
              <w:ind w:right="306"/>
              <w:spacing w:after="0" w:line="122" w:lineRule="exact"/>
              <w:rPr>
                <w:sz w:val="20"/>
                <w:szCs w:val="20"/>
                <w:color w:val="auto"/>
              </w:rPr>
            </w:pPr>
            <w:r>
              <w:rPr>
                <w:rFonts w:ascii="Arial" w:cs="Arial" w:eastAsia="Arial" w:hAnsi="Arial"/>
                <w:sz w:val="11"/>
                <w:szCs w:val="11"/>
                <w:b w:val="1"/>
                <w:bCs w:val="1"/>
                <w:color w:val="231F20"/>
              </w:rPr>
              <w:t>Shares</w:t>
            </w:r>
          </w:p>
        </w:tc>
        <w:tc>
          <w:tcPr>
            <w:tcW w:w="82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b w:val="1"/>
                <w:bCs w:val="1"/>
                <w:color w:val="231F20"/>
              </w:rPr>
              <w:t>Amount</w:t>
            </w: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6"/>
              <w:spacing w:after="0" w:line="122" w:lineRule="exact"/>
              <w:rPr>
                <w:sz w:val="20"/>
                <w:szCs w:val="20"/>
                <w:color w:val="auto"/>
              </w:rPr>
            </w:pPr>
            <w:r>
              <w:rPr>
                <w:rFonts w:ascii="Arial" w:cs="Arial" w:eastAsia="Arial" w:hAnsi="Arial"/>
                <w:sz w:val="11"/>
                <w:szCs w:val="11"/>
                <w:b w:val="1"/>
                <w:bCs w:val="1"/>
                <w:color w:val="231F20"/>
              </w:rPr>
              <w:t>Capital</w:t>
            </w: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86"/>
              <w:spacing w:after="0" w:line="113" w:lineRule="exact"/>
              <w:rPr>
                <w:sz w:val="20"/>
                <w:szCs w:val="20"/>
                <w:color w:val="auto"/>
              </w:rPr>
            </w:pPr>
            <w:r>
              <w:rPr>
                <w:rFonts w:ascii="Arial" w:cs="Arial" w:eastAsia="Arial" w:hAnsi="Arial"/>
                <w:sz w:val="11"/>
                <w:szCs w:val="11"/>
                <w:b w:val="1"/>
                <w:bCs w:val="1"/>
                <w:color w:val="231F20"/>
                <w:w w:val="93"/>
              </w:rPr>
              <w:t>Loss</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86"/>
              <w:spacing w:after="0" w:line="122" w:lineRule="exact"/>
              <w:rPr>
                <w:sz w:val="20"/>
                <w:szCs w:val="20"/>
                <w:color w:val="auto"/>
              </w:rPr>
            </w:pPr>
            <w:r>
              <w:rPr>
                <w:rFonts w:ascii="Arial" w:cs="Arial" w:eastAsia="Arial" w:hAnsi="Arial"/>
                <w:sz w:val="11"/>
                <w:szCs w:val="11"/>
                <w:b w:val="1"/>
                <w:bCs w:val="1"/>
                <w:color w:val="231F20"/>
              </w:rPr>
              <w:t>Deficit</w:t>
            </w: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66"/>
              <w:spacing w:after="0" w:line="122" w:lineRule="exact"/>
              <w:rPr>
                <w:sz w:val="20"/>
                <w:szCs w:val="20"/>
                <w:color w:val="auto"/>
              </w:rPr>
            </w:pPr>
            <w:r>
              <w:rPr>
                <w:rFonts w:ascii="Arial" w:cs="Arial" w:eastAsia="Arial" w:hAnsi="Arial"/>
                <w:sz w:val="11"/>
                <w:szCs w:val="11"/>
                <w:b w:val="1"/>
                <w:bCs w:val="1"/>
                <w:color w:val="231F20"/>
                <w:w w:val="95"/>
              </w:rPr>
              <w:t>Equity</w:t>
            </w:r>
          </w:p>
        </w:tc>
      </w:tr>
      <w:tr>
        <w:trPr>
          <w:trHeight w:val="112"/>
        </w:trPr>
        <w:tc>
          <w:tcPr>
            <w:tcW w:w="920" w:type="dxa"/>
            <w:vAlign w:val="bottom"/>
          </w:tcPr>
          <w:p>
            <w:pPr>
              <w:jc w:val="right"/>
              <w:ind w:right="126"/>
              <w:spacing w:after="0" w:line="112" w:lineRule="exact"/>
              <w:rPr>
                <w:sz w:val="20"/>
                <w:szCs w:val="20"/>
                <w:color w:val="auto"/>
              </w:rPr>
            </w:pPr>
            <w:r>
              <w:rPr>
                <w:rFonts w:ascii="Arial" w:cs="Arial" w:eastAsia="Arial" w:hAnsi="Arial"/>
                <w:sz w:val="11"/>
                <w:szCs w:val="11"/>
                <w:color w:val="231F20"/>
              </w:rPr>
              <w:t>39,797,263</w:t>
            </w:r>
          </w:p>
        </w:tc>
        <w:tc>
          <w:tcPr>
            <w:tcW w:w="820" w:type="dxa"/>
            <w:vAlign w:val="bottom"/>
          </w:tcPr>
          <w:p>
            <w:pPr>
              <w:jc w:val="right"/>
              <w:ind w:right="546"/>
              <w:spacing w:after="0" w:line="112" w:lineRule="exact"/>
              <w:rPr>
                <w:sz w:val="20"/>
                <w:szCs w:val="20"/>
                <w:color w:val="auto"/>
              </w:rPr>
            </w:pPr>
            <w:r>
              <w:rPr>
                <w:rFonts w:ascii="Arial" w:cs="Arial" w:eastAsia="Arial" w:hAnsi="Arial"/>
                <w:sz w:val="11"/>
                <w:szCs w:val="11"/>
                <w:color w:val="231F20"/>
              </w:rPr>
              <w:t>$</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3</w:t>
            </w:r>
          </w:p>
        </w:tc>
        <w:tc>
          <w:tcPr>
            <w:tcW w:w="38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8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388,904</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98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(149)</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94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(104,190)</w:t>
            </w:r>
          </w:p>
        </w:tc>
        <w:tc>
          <w:tcPr>
            <w:tcW w:w="280" w:type="dxa"/>
            <w:vAlign w:val="bottom"/>
          </w:tcPr>
          <w:p>
            <w:pPr>
              <w:jc w:val="right"/>
              <w:ind w:right="26"/>
              <w:spacing w:after="0" w:line="112" w:lineRule="exact"/>
              <w:rPr>
                <w:sz w:val="20"/>
                <w:szCs w:val="20"/>
                <w:color w:val="auto"/>
              </w:rPr>
            </w:pPr>
            <w:r>
              <w:rPr>
                <w:rFonts w:ascii="Arial" w:cs="Arial" w:eastAsia="Arial" w:hAnsi="Arial"/>
                <w:sz w:val="11"/>
                <w:szCs w:val="11"/>
                <w:color w:val="231F20"/>
              </w:rPr>
              <w:t>$</w:t>
            </w: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231F20"/>
              </w:rPr>
              <w:t>284,568</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6,989</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31</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31</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49,318</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15,755</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33</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33</w:t>
            </w:r>
          </w:p>
        </w:tc>
      </w:tr>
      <w:tr>
        <w:trPr>
          <w:trHeight w:val="121"/>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4,874</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4,874</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91</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91</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(1,477)</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(1,477)</w:t>
            </w:r>
          </w:p>
        </w:tc>
      </w:tr>
      <w:tr>
        <w:trPr>
          <w:trHeight w:val="125"/>
        </w:trPr>
        <w:tc>
          <w:tcPr>
            <w:tcW w:w="920" w:type="dxa"/>
            <w:vAlign w:val="bottom"/>
            <w:tcBorders>
              <w:bottom w:val="single" w:sz="8" w:color="auto"/>
            </w:tcBorders>
          </w:tcPr>
          <w:p>
            <w:pPr>
              <w:jc w:val="right"/>
              <w:ind w:right="126"/>
              <w:spacing w:after="0" w:line="125" w:lineRule="exact"/>
              <w:rPr>
                <w:sz w:val="20"/>
                <w:szCs w:val="20"/>
                <w:color w:val="auto"/>
              </w:rPr>
            </w:pPr>
            <w:r>
              <w:rPr>
                <w:rFonts w:ascii="Arial" w:cs="Arial" w:eastAsia="Arial" w:hAnsi="Arial"/>
                <w:sz w:val="11"/>
                <w:szCs w:val="11"/>
                <w:color w:val="231F20"/>
              </w:rPr>
              <w:t>—</w:t>
            </w: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w:t>
            </w: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86"/>
              <w:spacing w:after="0" w:line="12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26"/>
              <w:spacing w:after="0" w:line="12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86"/>
              <w:spacing w:after="0" w:line="125" w:lineRule="exact"/>
              <w:rPr>
                <w:sz w:val="20"/>
                <w:szCs w:val="20"/>
                <w:color w:val="auto"/>
              </w:rPr>
            </w:pPr>
            <w:r>
              <w:rPr>
                <w:rFonts w:ascii="Arial" w:cs="Arial" w:eastAsia="Arial" w:hAnsi="Arial"/>
                <w:sz w:val="11"/>
                <w:szCs w:val="11"/>
                <w:color w:val="231F20"/>
              </w:rPr>
              <w:t>(23,030)</w:t>
            </w: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(23,030)</w:t>
            </w:r>
          </w:p>
        </w:tc>
      </w:tr>
      <w:tr>
        <w:trPr>
          <w:trHeight w:val="115"/>
        </w:trPr>
        <w:tc>
          <w:tcPr>
            <w:tcW w:w="92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1"/>
                <w:szCs w:val="11"/>
                <w:color w:val="231F20"/>
              </w:rPr>
              <w:t>39,869,325</w:t>
            </w:r>
          </w:p>
        </w:tc>
        <w:tc>
          <w:tcPr>
            <w:tcW w:w="820" w:type="dxa"/>
            <w:vAlign w:val="bottom"/>
            <w:tcBorders>
              <w:bottom w:val="single" w:sz="8" w:color="auto"/>
            </w:tcBorders>
          </w:tcPr>
          <w:p>
            <w:pPr>
              <w:jc w:val="right"/>
              <w:ind w:right="546"/>
              <w:spacing w:after="0" w:line="11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393,933</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9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(1,626)</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94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(127,220)</w:t>
            </w:r>
          </w:p>
        </w:tc>
        <w:tc>
          <w:tcPr>
            <w:tcW w:w="28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rPr>
              <w:t>$</w:t>
            </w: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265,090</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-736600</wp:posOffset>
            </wp:positionV>
            <wp:extent cx="564896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-574040</wp:posOffset>
            </wp:positionV>
            <wp:extent cx="5648960" cy="77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-419735</wp:posOffset>
            </wp:positionV>
            <wp:extent cx="5648960" cy="77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-265430</wp:posOffset>
            </wp:positionV>
            <wp:extent cx="5648960" cy="77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-111125</wp:posOffset>
            </wp:positionV>
            <wp:extent cx="564896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154305</wp:posOffset>
            </wp:positionV>
            <wp:extent cx="56489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240"/>
            <w:col w:w="6599"/>
          </w:cols>
          <w:pgMar w:left="1440" w:top="517" w:right="1440" w:bottom="1440" w:gutter="0" w:footer="0" w:header="0"/>
          <w:type w:val="continuous"/>
        </w:sectPr>
      </w:pPr>
    </w:p>
    <w:p>
      <w:pPr>
        <w:spacing w:after="0" w:line="95" w:lineRule="exact"/>
        <w:rPr>
          <w:sz w:val="20"/>
          <w:szCs w:val="20"/>
          <w:color w:val="auto"/>
        </w:rPr>
      </w:pPr>
    </w:p>
    <w:p>
      <w:pPr>
        <w:ind w:left="5900"/>
        <w:spacing w:after="0"/>
        <w:rPr>
          <w:sz w:val="20"/>
          <w:szCs w:val="20"/>
          <w:color w:val="auto"/>
        </w:rPr>
      </w:pPr>
      <w:r>
        <w:rPr>
          <w:rFonts w:ascii="Arial" w:cs="Arial" w:eastAsia="Arial" w:hAnsi="Arial"/>
          <w:sz w:val="10"/>
          <w:szCs w:val="10"/>
          <w:b w:val="1"/>
          <w:bCs w:val="1"/>
          <w:color w:val="auto"/>
        </w:rPr>
        <w:t>Accumulated</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1"/>
          <w:szCs w:val="11"/>
          <w:color w:val="231F20"/>
        </w:rPr>
        <w:t xml:space="preserve">Balances at December 31, 2020 </w:t>
      </w:r>
      <w:r>
        <w:rPr>
          <w:rFonts w:ascii="Arial" w:cs="Arial" w:eastAsia="Arial" w:hAnsi="Arial"/>
          <w:sz w:val="11"/>
          <w:szCs w:val="11"/>
          <w:color w:val="000000"/>
        </w:rPr>
        <w:t xml:space="preserve">Vesting of early exercised stock options Vesting of restricted stock awards Stock-based compensation expense </w:t>
      </w:r>
      <w:r>
        <w:rPr>
          <w:rFonts w:ascii="Arial" w:cs="Arial" w:eastAsia="Arial" w:hAnsi="Arial"/>
          <w:sz w:val="11"/>
          <w:szCs w:val="11"/>
          <w:color w:val="231F20"/>
        </w:rPr>
        <w:t>Employee stock purchase plan expense Net unrealized loss on marketable securities Net loss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1"/>
          <w:szCs w:val="11"/>
          <w:color w:val="231F20"/>
        </w:rPr>
        <w:t>Balances at March 31, 2021</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ind w:right="266"/>
              <w:spacing w:after="0"/>
              <w:rPr>
                <w:sz w:val="20"/>
                <w:szCs w:val="20"/>
                <w:color w:val="auto"/>
              </w:rPr>
            </w:pPr>
            <w:r>
              <w:rPr>
                <w:rFonts w:ascii="Arial" w:cs="Arial" w:eastAsia="Arial" w:hAnsi="Arial"/>
                <w:sz w:val="11"/>
                <w:szCs w:val="11"/>
                <w:b w:val="1"/>
                <w:bCs w:val="1"/>
                <w:color w:val="auto"/>
              </w:rPr>
              <w:t>Additional</w:t>
            </w:r>
          </w:p>
        </w:tc>
        <w:tc>
          <w:tcPr>
            <w:tcW w:w="200" w:type="dxa"/>
            <w:vAlign w:val="bottom"/>
          </w:tcPr>
          <w:p>
            <w:pPr>
              <w:spacing w:after="0"/>
              <w:rPr>
                <w:sz w:val="10"/>
                <w:szCs w:val="10"/>
                <w:color w:val="auto"/>
              </w:rPr>
            </w:pPr>
          </w:p>
        </w:tc>
        <w:tc>
          <w:tcPr>
            <w:tcW w:w="980" w:type="dxa"/>
            <w:vAlign w:val="bottom"/>
          </w:tcPr>
          <w:p>
            <w:pPr>
              <w:jc w:val="center"/>
              <w:ind w:right="86"/>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ind w:right="166"/>
              <w:spacing w:after="0"/>
              <w:rPr>
                <w:sz w:val="20"/>
                <w:szCs w:val="20"/>
                <w:color w:val="auto"/>
              </w:rPr>
            </w:pPr>
            <w:r>
              <w:rPr>
                <w:rFonts w:ascii="Arial" w:cs="Arial" w:eastAsia="Arial" w:hAnsi="Arial"/>
                <w:sz w:val="11"/>
                <w:szCs w:val="11"/>
                <w:b w:val="1"/>
                <w:bCs w:val="1"/>
                <w:color w:val="auto"/>
                <w:w w:val="91"/>
              </w:rPr>
              <w:t>Total</w:t>
            </w:r>
          </w:p>
        </w:tc>
      </w:tr>
      <w:tr>
        <w:trPr>
          <w:trHeight w:val="130"/>
        </w:trPr>
        <w:tc>
          <w:tcPr>
            <w:tcW w:w="1740" w:type="dxa"/>
            <w:vAlign w:val="bottom"/>
            <w:tcBorders>
              <w:bottom w:val="single" w:sz="8" w:color="auto"/>
            </w:tcBorders>
            <w:gridSpan w:val="2"/>
          </w:tcPr>
          <w:p>
            <w:pPr>
              <w:jc w:val="right"/>
              <w:ind w:right="32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Paid-in</w:t>
            </w:r>
          </w:p>
        </w:tc>
        <w:tc>
          <w:tcPr>
            <w:tcW w:w="200" w:type="dxa"/>
            <w:vAlign w:val="bottom"/>
          </w:tcPr>
          <w:p>
            <w:pPr>
              <w:spacing w:after="0"/>
              <w:rPr>
                <w:sz w:val="11"/>
                <w:szCs w:val="11"/>
                <w:color w:val="auto"/>
              </w:rPr>
            </w:pPr>
          </w:p>
        </w:tc>
        <w:tc>
          <w:tcPr>
            <w:tcW w:w="9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200" w:type="dxa"/>
            <w:vAlign w:val="bottom"/>
          </w:tcPr>
          <w:p>
            <w:pPr>
              <w:spacing w:after="0"/>
              <w:rPr>
                <w:sz w:val="11"/>
                <w:szCs w:val="11"/>
                <w:color w:val="auto"/>
              </w:rPr>
            </w:pPr>
          </w:p>
        </w:tc>
        <w:tc>
          <w:tcPr>
            <w:tcW w:w="94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w w:val="95"/>
              </w:rPr>
              <w:t>Accumulated</w:t>
            </w:r>
          </w:p>
        </w:tc>
        <w:tc>
          <w:tcPr>
            <w:tcW w:w="102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9"/>
              </w:rPr>
              <w:t>Stockholders'</w:t>
            </w:r>
          </w:p>
        </w:tc>
      </w:tr>
      <w:tr>
        <w:trPr>
          <w:trHeight w:val="121"/>
        </w:trPr>
        <w:tc>
          <w:tcPr>
            <w:tcW w:w="920" w:type="dxa"/>
            <w:vAlign w:val="bottom"/>
            <w:tcBorders>
              <w:bottom w:val="single" w:sz="8" w:color="auto"/>
            </w:tcBorders>
          </w:tcPr>
          <w:p>
            <w:pPr>
              <w:jc w:val="right"/>
              <w:ind w:right="306"/>
              <w:spacing w:after="0" w:line="122" w:lineRule="exact"/>
              <w:rPr>
                <w:sz w:val="20"/>
                <w:szCs w:val="20"/>
                <w:color w:val="auto"/>
              </w:rPr>
            </w:pPr>
            <w:r>
              <w:rPr>
                <w:rFonts w:ascii="Arial" w:cs="Arial" w:eastAsia="Arial" w:hAnsi="Arial"/>
                <w:sz w:val="11"/>
                <w:szCs w:val="11"/>
                <w:b w:val="1"/>
                <w:bCs w:val="1"/>
                <w:color w:val="231F20"/>
              </w:rPr>
              <w:t>Shares</w:t>
            </w:r>
          </w:p>
        </w:tc>
        <w:tc>
          <w:tcPr>
            <w:tcW w:w="82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b w:val="1"/>
                <w:bCs w:val="1"/>
                <w:color w:val="231F20"/>
              </w:rPr>
              <w:t>Amount</w:t>
            </w: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6"/>
              <w:spacing w:after="0" w:line="122" w:lineRule="exact"/>
              <w:rPr>
                <w:sz w:val="20"/>
                <w:szCs w:val="20"/>
                <w:color w:val="auto"/>
              </w:rPr>
            </w:pPr>
            <w:r>
              <w:rPr>
                <w:rFonts w:ascii="Arial" w:cs="Arial" w:eastAsia="Arial" w:hAnsi="Arial"/>
                <w:sz w:val="11"/>
                <w:szCs w:val="11"/>
                <w:b w:val="1"/>
                <w:bCs w:val="1"/>
                <w:color w:val="231F20"/>
              </w:rPr>
              <w:t>Capital</w:t>
            </w: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86"/>
              <w:spacing w:after="0" w:line="113" w:lineRule="exact"/>
              <w:rPr>
                <w:sz w:val="20"/>
                <w:szCs w:val="20"/>
                <w:color w:val="auto"/>
              </w:rPr>
            </w:pPr>
            <w:r>
              <w:rPr>
                <w:rFonts w:ascii="Arial" w:cs="Arial" w:eastAsia="Arial" w:hAnsi="Arial"/>
                <w:sz w:val="11"/>
                <w:szCs w:val="11"/>
                <w:b w:val="1"/>
                <w:bCs w:val="1"/>
                <w:color w:val="231F20"/>
                <w:w w:val="93"/>
              </w:rPr>
              <w:t>Loss</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86"/>
              <w:spacing w:after="0" w:line="122" w:lineRule="exact"/>
              <w:rPr>
                <w:sz w:val="20"/>
                <w:szCs w:val="20"/>
                <w:color w:val="auto"/>
              </w:rPr>
            </w:pPr>
            <w:r>
              <w:rPr>
                <w:rFonts w:ascii="Arial" w:cs="Arial" w:eastAsia="Arial" w:hAnsi="Arial"/>
                <w:sz w:val="11"/>
                <w:szCs w:val="11"/>
                <w:b w:val="1"/>
                <w:bCs w:val="1"/>
                <w:color w:val="231F20"/>
              </w:rPr>
              <w:t>Deficit</w:t>
            </w: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66"/>
              <w:spacing w:after="0" w:line="122" w:lineRule="exact"/>
              <w:rPr>
                <w:sz w:val="20"/>
                <w:szCs w:val="20"/>
                <w:color w:val="auto"/>
              </w:rPr>
            </w:pPr>
            <w:r>
              <w:rPr>
                <w:rFonts w:ascii="Arial" w:cs="Arial" w:eastAsia="Arial" w:hAnsi="Arial"/>
                <w:sz w:val="11"/>
                <w:szCs w:val="11"/>
                <w:b w:val="1"/>
                <w:bCs w:val="1"/>
                <w:color w:val="231F20"/>
                <w:w w:val="95"/>
              </w:rPr>
              <w:t>Equity</w:t>
            </w:r>
          </w:p>
        </w:tc>
      </w:tr>
      <w:tr>
        <w:trPr>
          <w:trHeight w:val="112"/>
        </w:trPr>
        <w:tc>
          <w:tcPr>
            <w:tcW w:w="920" w:type="dxa"/>
            <w:vAlign w:val="bottom"/>
          </w:tcPr>
          <w:p>
            <w:pPr>
              <w:jc w:val="right"/>
              <w:ind w:right="126"/>
              <w:spacing w:after="0" w:line="112" w:lineRule="exact"/>
              <w:rPr>
                <w:sz w:val="20"/>
                <w:szCs w:val="20"/>
                <w:color w:val="auto"/>
              </w:rPr>
            </w:pPr>
            <w:r>
              <w:rPr>
                <w:rFonts w:ascii="Arial" w:cs="Arial" w:eastAsia="Arial" w:hAnsi="Arial"/>
                <w:sz w:val="11"/>
                <w:szCs w:val="11"/>
                <w:color w:val="231F20"/>
              </w:rPr>
              <w:t>39,308,238</w:t>
            </w:r>
          </w:p>
        </w:tc>
        <w:tc>
          <w:tcPr>
            <w:tcW w:w="820" w:type="dxa"/>
            <w:vAlign w:val="bottom"/>
          </w:tcPr>
          <w:p>
            <w:pPr>
              <w:jc w:val="right"/>
              <w:ind w:right="546"/>
              <w:spacing w:after="0" w:line="112" w:lineRule="exact"/>
              <w:rPr>
                <w:sz w:val="20"/>
                <w:szCs w:val="20"/>
                <w:color w:val="auto"/>
              </w:rPr>
            </w:pPr>
            <w:r>
              <w:rPr>
                <w:rFonts w:ascii="Arial" w:cs="Arial" w:eastAsia="Arial" w:hAnsi="Arial"/>
                <w:sz w:val="11"/>
                <w:szCs w:val="11"/>
                <w:color w:val="231F20"/>
              </w:rPr>
              <w:t>$</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3</w:t>
            </w:r>
          </w:p>
        </w:tc>
        <w:tc>
          <w:tcPr>
            <w:tcW w:w="38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8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371,228</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980" w:type="dxa"/>
            <w:vAlign w:val="bottom"/>
          </w:tcPr>
          <w:p>
            <w:pPr>
              <w:jc w:val="right"/>
              <w:ind w:right="126"/>
              <w:spacing w:after="0" w:line="112" w:lineRule="exact"/>
              <w:rPr>
                <w:sz w:val="20"/>
                <w:szCs w:val="20"/>
                <w:color w:val="auto"/>
              </w:rPr>
            </w:pPr>
            <w:r>
              <w:rPr>
                <w:rFonts w:ascii="Arial" w:cs="Arial" w:eastAsia="Arial" w:hAnsi="Arial"/>
                <w:sz w:val="11"/>
                <w:szCs w:val="11"/>
                <w:color w:val="231F20"/>
              </w:rPr>
              <w:t>—</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94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(33,094)</w:t>
            </w:r>
          </w:p>
        </w:tc>
        <w:tc>
          <w:tcPr>
            <w:tcW w:w="280" w:type="dxa"/>
            <w:vAlign w:val="bottom"/>
          </w:tcPr>
          <w:p>
            <w:pPr>
              <w:jc w:val="right"/>
              <w:ind w:right="26"/>
              <w:spacing w:after="0" w:line="112" w:lineRule="exact"/>
              <w:rPr>
                <w:sz w:val="20"/>
                <w:szCs w:val="20"/>
                <w:color w:val="auto"/>
              </w:rPr>
            </w:pPr>
            <w:r>
              <w:rPr>
                <w:rFonts w:ascii="Arial" w:cs="Arial" w:eastAsia="Arial" w:hAnsi="Arial"/>
                <w:sz w:val="11"/>
                <w:szCs w:val="11"/>
                <w:color w:val="231F20"/>
              </w:rPr>
              <w:t>$</w:t>
            </w: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231F20"/>
              </w:rPr>
              <w:t>338,137</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31</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31</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6,990</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1"/>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26,901</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3,144</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3,144</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64</w:t>
            </w:r>
          </w:p>
        </w:tc>
        <w:tc>
          <w:tcPr>
            <w:tcW w:w="200" w:type="dxa"/>
            <w:vAlign w:val="bottom"/>
          </w:tcPr>
          <w:p>
            <w:pPr>
              <w:spacing w:after="0"/>
              <w:rPr>
                <w:sz w:val="10"/>
                <w:szCs w:val="10"/>
                <w:color w:val="auto"/>
              </w:rPr>
            </w:pPr>
          </w:p>
        </w:tc>
        <w:tc>
          <w:tcPr>
            <w:tcW w:w="98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64</w:t>
            </w:r>
          </w:p>
        </w:tc>
      </w:tr>
      <w:tr>
        <w:trPr>
          <w:trHeight w:val="122"/>
        </w:trPr>
        <w:tc>
          <w:tcPr>
            <w:tcW w:w="92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8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(13)</w:t>
            </w:r>
          </w:p>
        </w:tc>
        <w:tc>
          <w:tcPr>
            <w:tcW w:w="200" w:type="dxa"/>
            <w:vAlign w:val="bottom"/>
          </w:tcPr>
          <w:p>
            <w:pPr>
              <w:spacing w:after="0"/>
              <w:rPr>
                <w:sz w:val="10"/>
                <w:szCs w:val="10"/>
                <w:color w:val="auto"/>
              </w:rPr>
            </w:pPr>
          </w:p>
        </w:tc>
        <w:tc>
          <w:tcPr>
            <w:tcW w:w="94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231F20"/>
              </w:rPr>
              <w:t>(13)</w:t>
            </w:r>
          </w:p>
        </w:tc>
      </w:tr>
      <w:tr>
        <w:trPr>
          <w:trHeight w:val="125"/>
        </w:trPr>
        <w:tc>
          <w:tcPr>
            <w:tcW w:w="920" w:type="dxa"/>
            <w:vAlign w:val="bottom"/>
            <w:tcBorders>
              <w:bottom w:val="single" w:sz="8" w:color="auto"/>
            </w:tcBorders>
          </w:tcPr>
          <w:p>
            <w:pPr>
              <w:jc w:val="right"/>
              <w:ind w:right="126"/>
              <w:spacing w:after="0" w:line="125" w:lineRule="exact"/>
              <w:rPr>
                <w:sz w:val="20"/>
                <w:szCs w:val="20"/>
                <w:color w:val="auto"/>
              </w:rPr>
            </w:pPr>
            <w:r>
              <w:rPr>
                <w:rFonts w:ascii="Arial" w:cs="Arial" w:eastAsia="Arial" w:hAnsi="Arial"/>
                <w:sz w:val="11"/>
                <w:szCs w:val="11"/>
                <w:color w:val="231F20"/>
              </w:rPr>
              <w:t>—</w:t>
            </w: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w:t>
            </w: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86"/>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26"/>
              <w:spacing w:after="0" w:line="12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86"/>
              <w:spacing w:after="0" w:line="125" w:lineRule="exact"/>
              <w:rPr>
                <w:sz w:val="20"/>
                <w:szCs w:val="20"/>
                <w:color w:val="auto"/>
              </w:rPr>
            </w:pPr>
            <w:r>
              <w:rPr>
                <w:rFonts w:ascii="Arial" w:cs="Arial" w:eastAsia="Arial" w:hAnsi="Arial"/>
                <w:sz w:val="11"/>
                <w:szCs w:val="11"/>
                <w:color w:val="231F20"/>
              </w:rPr>
              <w:t>(15,339)</w:t>
            </w: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(15,339)</w:t>
            </w:r>
          </w:p>
        </w:tc>
      </w:tr>
      <w:tr>
        <w:trPr>
          <w:trHeight w:val="115"/>
        </w:trPr>
        <w:tc>
          <w:tcPr>
            <w:tcW w:w="92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1"/>
                <w:szCs w:val="11"/>
                <w:color w:val="231F20"/>
              </w:rPr>
              <w:t>39,342,129</w:t>
            </w:r>
          </w:p>
        </w:tc>
        <w:tc>
          <w:tcPr>
            <w:tcW w:w="820" w:type="dxa"/>
            <w:vAlign w:val="bottom"/>
            <w:tcBorders>
              <w:bottom w:val="single" w:sz="8" w:color="auto"/>
            </w:tcBorders>
          </w:tcPr>
          <w:p>
            <w:pPr>
              <w:jc w:val="right"/>
              <w:ind w:right="546"/>
              <w:spacing w:after="0" w:line="11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374,467</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9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(13)</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94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(48,433)</w:t>
            </w:r>
          </w:p>
        </w:tc>
        <w:tc>
          <w:tcPr>
            <w:tcW w:w="28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rPr>
              <w:t>$</w:t>
            </w: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326,024</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-659765</wp:posOffset>
            </wp:positionV>
            <wp:extent cx="564896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-496570</wp:posOffset>
            </wp:positionV>
            <wp:extent cx="5648960" cy="77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-342265</wp:posOffset>
            </wp:positionV>
            <wp:extent cx="5648960" cy="76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-187960</wp:posOffset>
            </wp:positionV>
            <wp:extent cx="5648960" cy="77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7747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180" w:space="240"/>
            <w:col w:w="6599"/>
          </w:cols>
          <w:pgMar w:left="1440" w:top="517"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7"/>
        </w:trPr>
        <w:tc>
          <w:tcPr>
            <w:tcW w:w="6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(23,030)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w w:val="97"/>
              </w:rPr>
              <w:t>(15,339)</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84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323</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Premium amortization and discount accretion on marketable securities, net</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 including employee stock purchase plan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4,965</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0" w:type="dxa"/>
            <w:vAlign w:val="bottom"/>
          </w:tcPr>
          <w:p>
            <w:pPr>
              <w:spacing w:after="0"/>
              <w:rPr>
                <w:sz w:val="1"/>
                <w:szCs w:val="1"/>
                <w:color w:val="auto"/>
              </w:rPr>
            </w:pP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172</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189"/>
        </w:trPr>
        <w:tc>
          <w:tcPr>
            <w:tcW w:w="676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245</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89"/>
        </w:trPr>
        <w:tc>
          <w:tcPr>
            <w:tcW w:w="6760" w:type="dxa"/>
            <w:vAlign w:val="bottom"/>
          </w:tcPr>
          <w:p>
            <w:pPr>
              <w:ind w:left="3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(113)</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(315)</w:t>
            </w:r>
          </w:p>
        </w:tc>
        <w:tc>
          <w:tcPr>
            <w:tcW w:w="3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(17,903)</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(11,084)</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Purchase of equipment</w:t>
            </w: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148,750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6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Purchases of marketable 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(123,153)</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(280,164)</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25,567</w:t>
            </w: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(279,584)</w:t>
            </w:r>
          </w:p>
        </w:tc>
        <w:tc>
          <w:tcPr>
            <w:tcW w:w="0" w:type="dxa"/>
            <w:vAlign w:val="bottom"/>
          </w:tcPr>
          <w:p>
            <w:pPr>
              <w:spacing w:after="0"/>
              <w:rPr>
                <w:sz w:val="1"/>
                <w:szCs w:val="1"/>
                <w:color w:val="auto"/>
              </w:rPr>
            </w:pPr>
          </w:p>
        </w:tc>
      </w:tr>
      <w:tr>
        <w:trPr>
          <w:trHeight w:val="183"/>
        </w:trPr>
        <w:tc>
          <w:tcPr>
            <w:tcW w:w="67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w:t>
            </w:r>
          </w:p>
        </w:tc>
        <w:tc>
          <w:tcPr>
            <w:tcW w:w="3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676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33</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7,697</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(290,668)</w:t>
            </w:r>
          </w:p>
        </w:tc>
        <w:tc>
          <w:tcPr>
            <w:tcW w:w="0" w:type="dxa"/>
            <w:vAlign w:val="bottom"/>
          </w:tcPr>
          <w:p>
            <w:pPr>
              <w:spacing w:after="0"/>
              <w:rPr>
                <w:sz w:val="1"/>
                <w:szCs w:val="1"/>
                <w:color w:val="auto"/>
              </w:rPr>
            </w:pPr>
          </w:p>
        </w:tc>
      </w:tr>
      <w:tr>
        <w:trPr>
          <w:trHeight w:val="189"/>
        </w:trPr>
        <w:tc>
          <w:tcPr>
            <w:tcW w:w="6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13,812</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338,549</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21,509</w:t>
            </w:r>
          </w:p>
        </w:tc>
        <w:tc>
          <w:tcPr>
            <w:tcW w:w="3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47,881</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6"/>
                <w:szCs w:val="16"/>
                <w:b w:val="1"/>
                <w:bCs w:val="1"/>
                <w:color w:val="231F20"/>
              </w:rPr>
              <w:t>Supplemental disclosure of non-cash investing and financing activities: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231F20"/>
              </w:rPr>
              <w:t>Reclassification of prepaid expenses and other current liabilities into other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2,014</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231F20"/>
              </w:rPr>
              <w:t>Vesting of early exercised stock options</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231F20"/>
              </w:rPr>
              <w:t>Purchases of property and equipment included in accounts payable and accrued liabilities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Nature of the Business and Basis of Presentation</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 owned, lead product candidate, OP-1250, is a novel oral therapy with combined activity as both a complete estrogen receptor (“ER”) antagonist (“CERAN”) and a selective ER degrader (“SERD”). It is currently being evaluated as a single agent in an ongoing Phase 1/2 clinical trial, and in Phase 1b combination with palbociclib, in patients with recurrent, locally advanced or metastatic estrogen receptor-positive (“ER+”), human epidermal growth factor receptor 2-negative (“HER2-“) breast cancer.</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COVID-19,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had $267.9 million of cash, cash equivalents and marketable securities at March 31, 2022, which management believes is sufficient to fund its operating expenses and capital expenditure requirements into 2024.</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extent of the impact of the COVID-19 pandemic on the Company’s business, operations and development timelines and plans remains uncertain, and will depend on certain developments, including the duration of the outbreak and its impact on the Company’s development activities, planned clinical trial enrollment, future trial sites, clinical research organizations (“CROs”), third-party manufacturers, and other third parties with whom the Company does business, as well as its impact on regulatory authorities and the Company’s key scientific and management personnel. During 2021, although the Company modified its operations and practices due to the COVID-19 pandemic and to comply with federal, state and local requirements, its business, operations and development timelines were not material adversely affected. In October 2021, the Company re-opened its offices to administrative employees, however due to the resurgence of cases relating to the spread of the Delta and Omicron variants, the Company continued to limit access to its offices. In March 2022, the Company fully re-opened its offices to all employees and continues to comply with protocols implemented by respective health authorities. The Company continues to monitor developments related to COVID-19 and may close its offices again in the future as the COVID-19 pandemic continues to evolve. The extent to which the COVID-19 pandemic may affect the Company’s business, operations and development timelines and plans in the future, including the resulting impact on its expenditures and capital needs, remains uncertain.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States (“US GAAP”) and applicable rules and regulations of the Securities and Exchange Commission (the “SEC”) regarding interim financial reporting, and the instructions to Form 10-Q and Article 10 of Regulation S-X. Accordingly, they do not include all of the information and footnotes required by US GAAP for complete financial statements. These condensed consolidated financial statements include the accounts of Olema Pharmaceuticals, Inc. and its wholly-owned subsidiary, Olema Oncology Australia Pty Ltd incorporated on January 6, 2021. All intercompany balances and transactions have been eliminated upon consolidation.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interim condensed consolidated balance sheet as of March 31, 2022, and the statements of operations, comprehensive loss, and cash flows for the three months ended March 31, 2022 and 2021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three-month periods are also unaudited. The results of operations for the three months ended March 31, 2022 are not necessarily indicative of the results to be expected for the year ending December 31, 2022 or for any other future annual or interim period. The condensed consolidated balance sheet as of December 31, 2021 included herein was derived from the audited financial statements as of that date. These interim condensed consolidated financial statements should be read in conjunction with the Company’s audited financial statements included in the Company’s Form 10-K as filed with the SEC on February 28,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condensed consolidated financial statements are prepared in accordance with accounting principles generally accepted in the United States of America (“US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share-based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less at the date of purchase. Cash deposits are all in reputable financial institutions in the United States and as of March 31, 2022 and December 31, 2021, cash and cash equivalents consisted of cash on deposit with U.S. banks, including the Company’s bank account for its Australia subsidiary, denominated in U.S. dollars and Australian dollars and investments in interest bearing money market funds.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Marketable Securities</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appropriate classification of its investments at the time of purchase and reevaluates such designation as of each balance sheet date. Unrealized gains and losses are excluded from earnings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 xml:space="preserve">In February 2016, the Financial Accounting Standards Board (“FASB”) issued new lease accounting guidance in Accounting Standard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issued ASU 2018-10, </w:t>
      </w:r>
      <w:r>
        <w:rPr>
          <w:rFonts w:ascii="Arial" w:cs="Arial" w:eastAsia="Arial" w:hAnsi="Arial"/>
          <w:sz w:val="18"/>
          <w:szCs w:val="18"/>
          <w:i w:val="1"/>
          <w:iCs w:val="1"/>
          <w:color w:val="auto"/>
        </w:rPr>
        <w:t>Codification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Improvements to Topic 842, Leases</w:t>
      </w:r>
      <w:r>
        <w:rPr>
          <w:rFonts w:ascii="Arial" w:cs="Arial" w:eastAsia="Arial" w:hAnsi="Arial"/>
          <w:sz w:val="18"/>
          <w:szCs w:val="18"/>
          <w:color w:val="auto"/>
        </w:rPr>
        <w:t>, and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ASUs collectively referred to as “Topic 842”). Under the new guidance,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consolidated statements of operations and comprehensive loss.</w:t>
      </w:r>
    </w:p>
    <w:p>
      <w:pPr>
        <w:spacing w:after="0" w:line="20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w:t>
      </w:r>
    </w:p>
    <w:p>
      <w:pPr>
        <w:spacing w:after="0" w:line="3" w:lineRule="exact"/>
        <w:rPr>
          <w:sz w:val="20"/>
          <w:szCs w:val="20"/>
          <w:color w:val="auto"/>
        </w:rPr>
      </w:pPr>
    </w:p>
    <w:p>
      <w:pPr>
        <w:jc w:val="both"/>
        <w:ind w:left="60" w:right="59" w:hanging="10"/>
        <w:spacing w:after="0" w:line="237" w:lineRule="auto"/>
        <w:tabs>
          <w:tab w:leader="none" w:pos="363"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spacing w:after="0" w:line="202"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Additional information and disclosures required by Topic 842 are contained in Note 13 “Lease” in the Company’s Form 10-K as filed with the SEC on February 28,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clinical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assets. Such amounts are recognized as an expense as the goods are delivered or the related services are performed.</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Costs incurred in obtaining technology licenses are charged immediately to research and development expense if the technology licensed has not reached technological feasibility and has no alternative future uses.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and contingently issuable common stock related to the 2020 Employee Stock Purchase Plan (the “ESPP”) are considered potential dilutive common shares. Since the Company was in a loss position for both periods presented, basic net loss per share is the same as diluted net loss per share for both periods as the inclusion of all potential common shares outstanding would have been anti-dilutive.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lost its status as an emerging growth company on December 31, 2021, when it qualified as a large accelerated filer based on its market capitalization as of June 30, 2021, according to Rule 12b-2 of the Securities Exchange Act of 1934, as amended. As a result, the Company adopted all accounting pronouncements formerly deferred under the extended transition period available for emerging growth companies according to public company standards at December 31, 2021.</w:t>
      </w:r>
    </w:p>
    <w:p>
      <w:pPr>
        <w:spacing w:after="0" w:line="200" w:lineRule="exact"/>
        <w:rPr>
          <w:sz w:val="20"/>
          <w:szCs w:val="20"/>
          <w:color w:val="auto"/>
        </w:rPr>
      </w:pPr>
    </w:p>
    <w:p>
      <w:pPr>
        <w:spacing w:after="0" w:line="232"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19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The Company assesses the fair value of financial instruments based on the provisions of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ASC 820 defines fair value as the exchange price that would be received for an asset or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9" w:lineRule="exact"/>
        <w:rPr>
          <w:sz w:val="20"/>
          <w:szCs w:val="20"/>
          <w:color w:val="auto"/>
        </w:rPr>
      </w:pPr>
    </w:p>
    <w:p>
      <w:pPr>
        <w:ind w:left="380" w:right="79" w:hanging="330"/>
        <w:spacing w:after="0" w:line="277"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29" w:lineRule="exact"/>
        <w:rPr>
          <w:rFonts w:ascii="Arial" w:cs="Arial" w:eastAsia="Arial" w:hAnsi="Arial"/>
          <w:sz w:val="18"/>
          <w:szCs w:val="18"/>
          <w:color w:val="231F20"/>
        </w:rPr>
      </w:pPr>
    </w:p>
    <w:p>
      <w:pPr>
        <w:jc w:val="both"/>
        <w:ind w:left="380" w:right="79" w:hanging="330"/>
        <w:spacing w:after="0" w:line="249"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80" w:right="79" w:hanging="330"/>
        <w:spacing w:after="0"/>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120650</wp:posOffset>
            </wp:positionV>
            <wp:extent cx="5648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4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Cash</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11,485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11,485</w:t>
            </w:r>
          </w:p>
        </w:tc>
      </w:tr>
      <w:tr>
        <w:trPr>
          <w:trHeight w:val="203"/>
        </w:trPr>
        <w:tc>
          <w:tcPr>
            <w:tcW w:w="4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10,024</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10,024</w:t>
            </w: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Commercial paper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68,463</w:t>
            </w:r>
          </w:p>
        </w:tc>
        <w:tc>
          <w:tcPr>
            <w:tcW w:w="24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68,463</w:t>
            </w:r>
          </w:p>
        </w:tc>
      </w:tr>
      <w:tr>
        <w:trPr>
          <w:trHeight w:val="203"/>
        </w:trPr>
        <w:tc>
          <w:tcPr>
            <w:tcW w:w="4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U.S. government treasury bills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122,385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122,385</w:t>
            </w:r>
          </w:p>
        </w:tc>
      </w:tr>
      <w:tr>
        <w:trPr>
          <w:trHeight w:val="203"/>
        </w:trPr>
        <w:tc>
          <w:tcPr>
            <w:tcW w:w="48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55,510</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55,510</w:t>
            </w:r>
          </w:p>
        </w:tc>
      </w:tr>
      <w:tr>
        <w:trPr>
          <w:trHeight w:val="196"/>
        </w:trPr>
        <w:tc>
          <w:tcPr>
            <w:tcW w:w="488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w w:val="97"/>
              </w:rPr>
              <w:t>$ 143,894</w:t>
            </w:r>
          </w:p>
        </w:tc>
        <w:tc>
          <w:tcPr>
            <w:tcW w:w="1020" w:type="dxa"/>
            <w:vAlign w:val="bottom"/>
            <w:tcBorders>
              <w:bottom w:val="single" w:sz="8" w:color="auto"/>
            </w:tcBorders>
            <w:gridSpan w:val="2"/>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$ 123,973</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267,867</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4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8"/>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7"/>
                <w:szCs w:val="17"/>
                <w:color w:val="auto"/>
              </w:rPr>
            </w:pPr>
          </w:p>
        </w:tc>
        <w:tc>
          <w:tcPr>
            <w:tcW w:w="820" w:type="dxa"/>
            <w:vAlign w:val="bottom"/>
          </w:tcPr>
          <w:p>
            <w:pPr>
              <w:jc w:val="center"/>
              <w:ind w:right="154"/>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7"/>
                <w:szCs w:val="17"/>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4880" w:type="dxa"/>
            <w:vAlign w:val="bottom"/>
          </w:tcPr>
          <w:p>
            <w:pPr>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880" w:type="dxa"/>
            <w:vAlign w:val="bottom"/>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21,509</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21,509</w:t>
            </w:r>
          </w:p>
        </w:tc>
      </w:tr>
      <w:tr>
        <w:trPr>
          <w:trHeight w:val="202"/>
        </w:trPr>
        <w:tc>
          <w:tcPr>
            <w:tcW w:w="4880" w:type="dxa"/>
            <w:vAlign w:val="bottom"/>
          </w:tcPr>
          <w:p>
            <w:pPr>
              <w:ind w:left="100"/>
              <w:spacing w:after="0" w:line="201" w:lineRule="exact"/>
              <w:rPr>
                <w:sz w:val="20"/>
                <w:szCs w:val="20"/>
                <w:color w:val="auto"/>
              </w:rPr>
            </w:pPr>
            <w:r>
              <w:rPr>
                <w:rFonts w:ascii="Arial" w:cs="Arial" w:eastAsia="Arial" w:hAnsi="Arial"/>
                <w:sz w:val="18"/>
                <w:szCs w:val="18"/>
                <w:color w:val="auto"/>
              </w:rPr>
              <w:t>Short-term marketable securities (&lt;12 months to</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maturity)</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4"/>
              <w:spacing w:after="0" w:line="203" w:lineRule="exact"/>
              <w:rPr>
                <w:sz w:val="20"/>
                <w:szCs w:val="20"/>
                <w:color w:val="auto"/>
              </w:rPr>
            </w:pPr>
            <w:r>
              <w:rPr>
                <w:rFonts w:ascii="Arial" w:cs="Arial" w:eastAsia="Arial" w:hAnsi="Arial"/>
                <w:sz w:val="18"/>
                <w:szCs w:val="18"/>
                <w:color w:val="auto"/>
                <w:w w:val="98"/>
              </w:rPr>
              <w:t>183,482</w:t>
            </w:r>
          </w:p>
        </w:tc>
        <w:tc>
          <w:tcPr>
            <w:tcW w:w="260" w:type="dxa"/>
            <w:vAlign w:val="bottom"/>
          </w:tcPr>
          <w:p>
            <w:pPr>
              <w:spacing w:after="0"/>
              <w:rPr>
                <w:sz w:val="17"/>
                <w:szCs w:val="17"/>
                <w:color w:val="auto"/>
              </w:rPr>
            </w:pPr>
          </w:p>
        </w:tc>
        <w:tc>
          <w:tcPr>
            <w:tcW w:w="760" w:type="dxa"/>
            <w:vAlign w:val="bottom"/>
          </w:tcPr>
          <w:p>
            <w:pPr>
              <w:jc w:val="right"/>
              <w:ind w:right="56"/>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(747)</w:t>
            </w: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182,735</w:t>
            </w:r>
          </w:p>
        </w:tc>
      </w:tr>
      <w:tr>
        <w:trPr>
          <w:trHeight w:val="202"/>
        </w:trPr>
        <w:tc>
          <w:tcPr>
            <w:tcW w:w="48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Long-term marketable securities (&gt;12 months to</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88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maturity)</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64,502</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6"/>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(879)</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63,623</w:t>
            </w:r>
          </w:p>
        </w:tc>
      </w:tr>
      <w:tr>
        <w:trPr>
          <w:trHeight w:val="196"/>
        </w:trPr>
        <w:tc>
          <w:tcPr>
            <w:tcW w:w="48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3"/>
          </w:tcPr>
          <w:p>
            <w:pPr>
              <w:jc w:val="right"/>
              <w:ind w:right="54"/>
              <w:spacing w:after="0" w:line="196" w:lineRule="exact"/>
              <w:rPr>
                <w:sz w:val="20"/>
                <w:szCs w:val="20"/>
                <w:color w:val="auto"/>
              </w:rPr>
            </w:pPr>
            <w:r>
              <w:rPr>
                <w:rFonts w:ascii="Arial" w:cs="Arial" w:eastAsia="Arial" w:hAnsi="Arial"/>
                <w:sz w:val="18"/>
                <w:szCs w:val="18"/>
                <w:color w:val="auto"/>
                <w:w w:val="97"/>
              </w:rPr>
              <w:t>$ 269,493</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(1,626)</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267,867</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does not believe that the unrealized losses are credit related but are rather a reflection of current market yields and/or current marketplace bid/ask spreads. The Company has not recognized an allowance for credit losses as of March 31, 2022. In addition, no marketable securities had been in a consecutive loss position for more than 12 months as of March 31, 2022.</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2022, all of the Company’s cash and cash equivalents consisted of cash on deposit with U.S.</w:t>
      </w:r>
    </w:p>
    <w:p>
      <w:pPr>
        <w:ind w:left="60"/>
        <w:spacing w:after="0"/>
        <w:rPr>
          <w:sz w:val="20"/>
          <w:szCs w:val="20"/>
          <w:color w:val="auto"/>
        </w:rPr>
      </w:pPr>
      <w:r>
        <w:rPr>
          <w:rFonts w:ascii="Arial" w:cs="Arial" w:eastAsia="Arial" w:hAnsi="Arial"/>
          <w:sz w:val="18"/>
          <w:szCs w:val="18"/>
          <w:color w:val="auto"/>
        </w:rPr>
        <w:t>banks denominated in U. S. dollars and Australian dollars.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4. 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48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r>
      <w:tr>
        <w:trPr>
          <w:trHeight w:val="155"/>
        </w:trPr>
        <w:tc>
          <w:tcPr>
            <w:tcW w:w="3480" w:type="dxa"/>
            <w:vAlign w:val="bottom"/>
            <w:tcBorders>
              <w:bottom w:val="single" w:sz="8" w:color="CCEEFF"/>
            </w:tcBorders>
          </w:tcPr>
          <w:p>
            <w:pPr>
              <w:spacing w:after="0"/>
              <w:rPr>
                <w:sz w:val="13"/>
                <w:szCs w:val="13"/>
                <w:color w:val="auto"/>
              </w:rPr>
            </w:pPr>
          </w:p>
        </w:tc>
        <w:tc>
          <w:tcPr>
            <w:tcW w:w="3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231F20"/>
              </w:rPr>
              <w:t>2022</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3"/>
                <w:szCs w:val="13"/>
                <w:color w:val="auto"/>
              </w:rPr>
            </w:pPr>
          </w:p>
        </w:tc>
      </w:tr>
      <w:tr>
        <w:trPr>
          <w:trHeight w:val="196"/>
        </w:trPr>
        <w:tc>
          <w:tcPr>
            <w:tcW w:w="3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Lab equipment</w:t>
            </w:r>
          </w:p>
        </w:tc>
        <w:tc>
          <w:tcPr>
            <w:tcW w:w="33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w w:val="99"/>
              </w:rPr>
              <w:t>$</w:t>
            </w:r>
          </w:p>
        </w:tc>
        <w:tc>
          <w:tcPr>
            <w:tcW w:w="82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1,669</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1,639</w:t>
            </w:r>
          </w:p>
        </w:tc>
        <w:tc>
          <w:tcPr>
            <w:tcW w:w="20" w:type="dxa"/>
            <w:vAlign w:val="bottom"/>
          </w:tcPr>
          <w:p>
            <w:pPr>
              <w:spacing w:after="0"/>
              <w:rPr>
                <w:sz w:val="17"/>
                <w:szCs w:val="17"/>
                <w:color w:val="auto"/>
              </w:rPr>
            </w:pPr>
          </w:p>
        </w:tc>
      </w:tr>
      <w:tr>
        <w:trPr>
          <w:trHeight w:val="203"/>
        </w:trPr>
        <w:tc>
          <w:tcPr>
            <w:tcW w:w="3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Computer equipment</w:t>
            </w:r>
          </w:p>
        </w:tc>
        <w:tc>
          <w:tcPr>
            <w:tcW w:w="3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231F20"/>
              </w:rPr>
              <w:t>59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59</w:t>
            </w:r>
          </w:p>
        </w:tc>
        <w:tc>
          <w:tcPr>
            <w:tcW w:w="20" w:type="dxa"/>
            <w:vAlign w:val="bottom"/>
          </w:tcPr>
          <w:p>
            <w:pPr>
              <w:spacing w:after="0"/>
              <w:rPr>
                <w:sz w:val="17"/>
                <w:szCs w:val="17"/>
                <w:color w:val="auto"/>
              </w:rPr>
            </w:pPr>
          </w:p>
        </w:tc>
      </w:tr>
      <w:tr>
        <w:trPr>
          <w:trHeight w:val="196"/>
        </w:trPr>
        <w:tc>
          <w:tcPr>
            <w:tcW w:w="34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Property and equipment, gross</w:t>
            </w:r>
          </w:p>
        </w:tc>
        <w:tc>
          <w:tcPr>
            <w:tcW w:w="3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1,728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1,698</w:t>
            </w:r>
          </w:p>
        </w:tc>
        <w:tc>
          <w:tcPr>
            <w:tcW w:w="20" w:type="dxa"/>
            <w:vAlign w:val="bottom"/>
          </w:tcPr>
          <w:p>
            <w:pPr>
              <w:spacing w:after="0"/>
              <w:rPr>
                <w:sz w:val="17"/>
                <w:szCs w:val="17"/>
                <w:color w:val="auto"/>
              </w:rPr>
            </w:pPr>
          </w:p>
        </w:tc>
      </w:tr>
      <w:tr>
        <w:trPr>
          <w:trHeight w:val="203"/>
        </w:trPr>
        <w:tc>
          <w:tcPr>
            <w:tcW w:w="3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Less: Accumulated depreciation</w:t>
            </w:r>
          </w:p>
        </w:tc>
        <w:tc>
          <w:tcPr>
            <w:tcW w:w="3300" w:type="dxa"/>
            <w:vAlign w:val="bottom"/>
            <w:tcBorders>
              <w:bottom w:val="single" w:sz="8" w:color="CCEEFF"/>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13"/>
              <w:spacing w:after="0" w:line="202" w:lineRule="exact"/>
              <w:rPr>
                <w:sz w:val="20"/>
                <w:szCs w:val="20"/>
                <w:color w:val="auto"/>
              </w:rPr>
            </w:pPr>
            <w:r>
              <w:rPr>
                <w:rFonts w:ascii="Arial" w:cs="Arial" w:eastAsia="Arial" w:hAnsi="Arial"/>
                <w:sz w:val="18"/>
                <w:szCs w:val="18"/>
                <w:color w:val="231F20"/>
              </w:rPr>
              <w:t>(308)</w:t>
            </w:r>
          </w:p>
        </w:tc>
        <w:tc>
          <w:tcPr>
            <w:tcW w:w="3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(224)</w:t>
            </w:r>
          </w:p>
        </w:tc>
        <w:tc>
          <w:tcPr>
            <w:tcW w:w="20" w:type="dxa"/>
            <w:vAlign w:val="bottom"/>
          </w:tcPr>
          <w:p>
            <w:pPr>
              <w:spacing w:after="0"/>
              <w:rPr>
                <w:sz w:val="17"/>
                <w:szCs w:val="17"/>
                <w:color w:val="auto"/>
              </w:rPr>
            </w:pPr>
          </w:p>
        </w:tc>
      </w:tr>
      <w:tr>
        <w:trPr>
          <w:trHeight w:val="196"/>
        </w:trPr>
        <w:tc>
          <w:tcPr>
            <w:tcW w:w="348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net</w:t>
            </w:r>
          </w:p>
        </w:tc>
        <w:tc>
          <w:tcPr>
            <w:tcW w:w="33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w w:val="99"/>
              </w:rPr>
              <w:t>$</w:t>
            </w:r>
          </w:p>
        </w:tc>
        <w:tc>
          <w:tcPr>
            <w:tcW w:w="82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1,420</w:t>
            </w:r>
          </w:p>
        </w:tc>
        <w:tc>
          <w:tcPr>
            <w:tcW w:w="3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1,474</w:t>
            </w:r>
          </w:p>
        </w:tc>
        <w:tc>
          <w:tcPr>
            <w:tcW w:w="20" w:type="dxa"/>
            <w:vAlign w:val="bottom"/>
          </w:tcPr>
          <w:p>
            <w:pPr>
              <w:spacing w:after="0"/>
              <w:rPr>
                <w:sz w:val="17"/>
                <w:szCs w:val="17"/>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3480" w:type="dxa"/>
            <w:vAlign w:val="bottom"/>
          </w:tcPr>
          <w:p>
            <w:pPr>
              <w:spacing w:after="0"/>
              <w:rPr>
                <w:sz w:val="24"/>
                <w:szCs w:val="24"/>
                <w:color w:val="auto"/>
              </w:rPr>
            </w:pPr>
          </w:p>
        </w:tc>
        <w:tc>
          <w:tcPr>
            <w:tcW w:w="3300" w:type="dxa"/>
            <w:vAlign w:val="bottom"/>
          </w:tcPr>
          <w:p>
            <w:pPr>
              <w:jc w:val="right"/>
              <w:ind w:right="21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3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Prepaid Expenses and Other Current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92"/>
              <w:spacing w:after="0" w:line="155" w:lineRule="exact"/>
              <w:rPr>
                <w:sz w:val="20"/>
                <w:szCs w:val="20"/>
                <w:color w:val="auto"/>
              </w:rPr>
            </w:pPr>
            <w:r>
              <w:rPr>
                <w:rFonts w:ascii="Arial" w:cs="Arial" w:eastAsia="Arial" w:hAnsi="Arial"/>
                <w:sz w:val="14"/>
                <w:szCs w:val="14"/>
                <w:b w:val="1"/>
                <w:bCs w:val="1"/>
                <w:color w:val="231F20"/>
              </w:rPr>
              <w:t>2022</w:t>
            </w: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Borders>
              <w:bottom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231F20"/>
              </w:rPr>
              <w:t>Prepaid insurance</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80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231F20"/>
              </w:rPr>
              <w:t>1,319</w:t>
            </w:r>
          </w:p>
        </w:tc>
        <w:tc>
          <w:tcPr>
            <w:tcW w:w="3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1,766</w:t>
            </w:r>
          </w:p>
        </w:tc>
        <w:tc>
          <w:tcPr>
            <w:tcW w:w="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231F20"/>
              </w:rPr>
              <w:t>Prepaid subscriptions and licenses</w:t>
            </w:r>
          </w:p>
        </w:tc>
        <w:tc>
          <w:tcPr>
            <w:tcW w:w="20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231F20"/>
              </w:rPr>
              <w:t>537</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291</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Prepaid research contracts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24</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239</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tcPr>
          <w:p>
            <w:pPr>
              <w:spacing w:after="0" w:line="202" w:lineRule="exact"/>
              <w:rPr>
                <w:sz w:val="20"/>
                <w:szCs w:val="20"/>
                <w:color w:val="auto"/>
              </w:rPr>
            </w:pPr>
            <w:r>
              <w:rPr>
                <w:rFonts w:ascii="Arial" w:cs="Arial" w:eastAsia="Arial" w:hAnsi="Arial"/>
                <w:sz w:val="18"/>
                <w:szCs w:val="18"/>
                <w:color w:val="231F20"/>
              </w:rPr>
              <w:t>Prepaid clinical trial costs</w:t>
            </w:r>
          </w:p>
        </w:tc>
        <w:tc>
          <w:tcPr>
            <w:tcW w:w="2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916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467</w:t>
            </w: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223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7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w w:val="99"/>
              </w:rPr>
              <w:t>$</w:t>
            </w:r>
          </w:p>
        </w:tc>
        <w:tc>
          <w:tcPr>
            <w:tcW w:w="8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231F20"/>
              </w:rPr>
              <w:t>2,347</w:t>
            </w:r>
          </w:p>
        </w:tc>
        <w:tc>
          <w:tcPr>
            <w:tcW w:w="36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3,435</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40"/>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6.  Other Current Liabilities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676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center"/>
              <w:ind w:right="52"/>
              <w:spacing w:after="0" w:line="155" w:lineRule="exact"/>
              <w:rPr>
                <w:sz w:val="20"/>
                <w:szCs w:val="20"/>
                <w:color w:val="auto"/>
              </w:rPr>
            </w:pPr>
            <w:r>
              <w:rPr>
                <w:rFonts w:ascii="Arial" w:cs="Arial" w:eastAsia="Arial" w:hAnsi="Arial"/>
                <w:sz w:val="14"/>
                <w:szCs w:val="14"/>
                <w:b w:val="1"/>
                <w:bCs w:val="1"/>
                <w:color w:val="auto"/>
              </w:rPr>
              <w:t>March 31,</w:t>
            </w:r>
          </w:p>
        </w:tc>
        <w:tc>
          <w:tcPr>
            <w:tcW w:w="110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r>
      <w:tr>
        <w:trPr>
          <w:trHeight w:val="155"/>
        </w:trPr>
        <w:tc>
          <w:tcPr>
            <w:tcW w:w="20" w:type="dxa"/>
            <w:vAlign w:val="bottom"/>
            <w:tcBorders>
              <w:bottom w:val="single" w:sz="8" w:color="CCEEFF"/>
            </w:tcBorders>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b w:val="1"/>
                <w:bCs w:val="1"/>
                <w:color w:val="231F20"/>
              </w:rPr>
              <w:t>2022</w:t>
            </w: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3"/>
                <w:szCs w:val="13"/>
                <w:color w:val="auto"/>
              </w:rPr>
            </w:pPr>
          </w:p>
        </w:tc>
      </w:tr>
      <w:tr>
        <w:trPr>
          <w:trHeight w:val="196"/>
        </w:trPr>
        <w:tc>
          <w:tcPr>
            <w:tcW w:w="6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Accrued R&amp;D related costs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w w:val="79"/>
              </w:rPr>
              <w:t>$</w:t>
            </w:r>
          </w:p>
        </w:tc>
        <w:tc>
          <w:tcPr>
            <w:tcW w:w="80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231F20"/>
              </w:rPr>
              <w:t>4,903</w:t>
            </w:r>
          </w:p>
        </w:tc>
        <w:tc>
          <w:tcPr>
            <w:tcW w:w="3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2,645</w:t>
            </w:r>
          </w:p>
        </w:tc>
        <w:tc>
          <w:tcPr>
            <w:tcW w:w="20" w:type="dxa"/>
            <w:vAlign w:val="bottom"/>
          </w:tcPr>
          <w:p>
            <w:pPr>
              <w:spacing w:after="0"/>
              <w:rPr>
                <w:sz w:val="17"/>
                <w:szCs w:val="17"/>
                <w:color w:val="auto"/>
              </w:rPr>
            </w:pPr>
          </w:p>
        </w:tc>
      </w:tr>
      <w:tr>
        <w:trPr>
          <w:trHeight w:val="203"/>
        </w:trPr>
        <w:tc>
          <w:tcPr>
            <w:tcW w:w="68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professional fees</w:t>
            </w:r>
          </w:p>
        </w:tc>
        <w:tc>
          <w:tcPr>
            <w:tcW w:w="2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2,117</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1,011</w:t>
            </w:r>
          </w:p>
        </w:tc>
        <w:tc>
          <w:tcPr>
            <w:tcW w:w="20" w:type="dxa"/>
            <w:vAlign w:val="bottom"/>
          </w:tcPr>
          <w:p>
            <w:pPr>
              <w:spacing w:after="0"/>
              <w:rPr>
                <w:sz w:val="17"/>
                <w:szCs w:val="17"/>
                <w:color w:val="auto"/>
              </w:rPr>
            </w:pPr>
          </w:p>
        </w:tc>
      </w:tr>
      <w:tr>
        <w:trPr>
          <w:trHeight w:val="203"/>
        </w:trPr>
        <w:tc>
          <w:tcPr>
            <w:tcW w:w="68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Accrued employee bonuses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1,024</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3,752</w:t>
            </w:r>
          </w:p>
        </w:tc>
        <w:tc>
          <w:tcPr>
            <w:tcW w:w="20" w:type="dxa"/>
            <w:vAlign w:val="bottom"/>
          </w:tcPr>
          <w:p>
            <w:pPr>
              <w:spacing w:after="0"/>
              <w:rPr>
                <w:sz w:val="17"/>
                <w:szCs w:val="17"/>
                <w:color w:val="auto"/>
              </w:rPr>
            </w:pPr>
          </w:p>
        </w:tc>
      </w:tr>
      <w:tr>
        <w:trPr>
          <w:trHeight w:val="203"/>
        </w:trPr>
        <w:tc>
          <w:tcPr>
            <w:tcW w:w="68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payroll related costs</w:t>
            </w:r>
          </w:p>
        </w:tc>
        <w:tc>
          <w:tcPr>
            <w:tcW w:w="2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585</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191</w:t>
            </w:r>
          </w:p>
        </w:tc>
        <w:tc>
          <w:tcPr>
            <w:tcW w:w="20" w:type="dxa"/>
            <w:vAlign w:val="bottom"/>
          </w:tcPr>
          <w:p>
            <w:pPr>
              <w:spacing w:after="0"/>
              <w:rPr>
                <w:sz w:val="17"/>
                <w:szCs w:val="17"/>
                <w:color w:val="auto"/>
              </w:rPr>
            </w:pPr>
          </w:p>
        </w:tc>
      </w:tr>
      <w:tr>
        <w:trPr>
          <w:trHeight w:val="203"/>
        </w:trPr>
        <w:tc>
          <w:tcPr>
            <w:tcW w:w="68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Early exercise of unvested stock options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175</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206</w:t>
            </w:r>
          </w:p>
        </w:tc>
        <w:tc>
          <w:tcPr>
            <w:tcW w:w="20" w:type="dxa"/>
            <w:vAlign w:val="bottom"/>
          </w:tcPr>
          <w:p>
            <w:pPr>
              <w:spacing w:after="0"/>
              <w:rPr>
                <w:sz w:val="17"/>
                <w:szCs w:val="17"/>
                <w:color w:val="auto"/>
              </w:rPr>
            </w:pPr>
          </w:p>
        </w:tc>
      </w:tr>
      <w:tr>
        <w:trPr>
          <w:trHeight w:val="203"/>
        </w:trPr>
        <w:tc>
          <w:tcPr>
            <w:tcW w:w="68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taxes</w:t>
            </w:r>
          </w:p>
        </w:tc>
        <w:tc>
          <w:tcPr>
            <w:tcW w:w="2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98</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88</w:t>
            </w:r>
          </w:p>
        </w:tc>
        <w:tc>
          <w:tcPr>
            <w:tcW w:w="20" w:type="dxa"/>
            <w:vAlign w:val="bottom"/>
          </w:tcPr>
          <w:p>
            <w:pPr>
              <w:spacing w:after="0"/>
              <w:rPr>
                <w:sz w:val="17"/>
                <w:szCs w:val="17"/>
                <w:color w:val="auto"/>
              </w:rPr>
            </w:pPr>
          </w:p>
        </w:tc>
      </w:tr>
      <w:tr>
        <w:trPr>
          <w:trHeight w:val="203"/>
        </w:trPr>
        <w:tc>
          <w:tcPr>
            <w:tcW w:w="68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Other</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117</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172</w:t>
            </w:r>
          </w:p>
        </w:tc>
        <w:tc>
          <w:tcPr>
            <w:tcW w:w="20" w:type="dxa"/>
            <w:vAlign w:val="bottom"/>
          </w:tcPr>
          <w:p>
            <w:pPr>
              <w:spacing w:after="0"/>
              <w:rPr>
                <w:sz w:val="17"/>
                <w:szCs w:val="17"/>
                <w:color w:val="auto"/>
              </w:rPr>
            </w:pPr>
          </w:p>
        </w:tc>
      </w:tr>
      <w:tr>
        <w:trPr>
          <w:trHeight w:val="196"/>
        </w:trPr>
        <w:tc>
          <w:tcPr>
            <w:tcW w:w="678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231F20"/>
              <w:bottom w:val="single" w:sz="8" w:color="auto"/>
            </w:tcBorders>
          </w:tcPr>
          <w:p>
            <w:pPr>
              <w:spacing w:after="0"/>
              <w:rPr>
                <w:sz w:val="17"/>
                <w:szCs w:val="17"/>
                <w:color w:val="auto"/>
              </w:rPr>
            </w:pPr>
          </w:p>
        </w:tc>
        <w:tc>
          <w:tcPr>
            <w:tcW w:w="200" w:type="dxa"/>
            <w:vAlign w:val="bottom"/>
            <w:tcBorders>
              <w:top w:val="single" w:sz="8" w:color="231F20"/>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w w:val="79"/>
              </w:rPr>
              <w:t>$</w:t>
            </w:r>
          </w:p>
        </w:tc>
        <w:tc>
          <w:tcPr>
            <w:tcW w:w="800" w:type="dxa"/>
            <w:vAlign w:val="bottom"/>
            <w:tcBorders>
              <w:top w:val="single" w:sz="8" w:color="231F20"/>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231F20"/>
              </w:rPr>
              <w:t>9,019</w:t>
            </w:r>
          </w:p>
        </w:tc>
        <w:tc>
          <w:tcPr>
            <w:tcW w:w="360" w:type="dxa"/>
            <w:vAlign w:val="bottom"/>
            <w:tcBorders>
              <w:top w:val="single" w:sz="8" w:color="231F20"/>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top w:val="single" w:sz="8" w:color="231F20"/>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8,065</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2014, the Company’s Board of Directors and stockholders approved and adopted the 2014 Stock Plan (the “2014 Plan”). The 2014 Plan was intended to advance the interests of the Company and its stockholders by providing an incentive to attract, retain and reward persons performing services for the Company and by motivating such persons to contribute to the growth and profitability of the Company. The 2014 Plan permitted the grant of options and restricted stock awards (including restricted stock purchase rights and restricted stock bonus awards). The maximum aggregate number of shares that may be subject to awards and sold under the 2014 Plan as of December 31, 2019 was 717,360 shares, which was subsequently increased to 4,842,180 in September 2020.The 2014 Plan was terminated on the date the 2020 Equity Incentive Plan (the “2020 Plan”), which is described below, became effective, and no additional awards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2020, the Company’s Board of Directors and stockholders approved and adopted the 2020 Plan. The 2020 Plan is intended to advance the interests of the Company and its stockholders by providing an incentive to attract, retain and reward persons performing services for the Company and by motivating such persons to contribute to the growth and profitability of the Company.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Company’s board of directors no later than December 31 of the immediately preceding year. The maximum number of shares of the common stock that may be issued on the exercise of incentive stock options under the 2020 Plan is 19,483,530 shares. The 2020 Plan permits the grant of options restricted stock awards, stock appreciation rights, restricted stock unit awards, performance awards, and other awards.</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2022, the Company’s Board of Directors approved and adopted the 2022 Inducement Plan (the “2022 Inducement Plan”). Under the 2022 Inducement Plan, initially 2,000,000 shares of common stock were reserved for issuance.</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 generally expire ten years after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Valuation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 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16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231F20"/>
              </w:rPr>
              <w:t>March 31,</w:t>
            </w:r>
          </w:p>
        </w:tc>
        <w:tc>
          <w:tcPr>
            <w:tcW w:w="10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231F20"/>
              </w:rPr>
              <w:t>March 31,</w:t>
            </w:r>
          </w:p>
        </w:tc>
        <w:tc>
          <w:tcPr>
            <w:tcW w:w="20" w:type="dxa"/>
            <w:vAlign w:val="bottom"/>
          </w:tcPr>
          <w:p>
            <w:pPr>
              <w:spacing w:after="0"/>
              <w:rPr>
                <w:sz w:val="15"/>
                <w:szCs w:val="15"/>
                <w:color w:val="auto"/>
              </w:rPr>
            </w:pPr>
          </w:p>
        </w:tc>
      </w:tr>
      <w:tr>
        <w:trPr>
          <w:trHeight w:val="155"/>
        </w:trPr>
        <w:tc>
          <w:tcPr>
            <w:tcW w:w="316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231F20"/>
              </w:rPr>
              <w:t>2022</w:t>
            </w:r>
          </w:p>
        </w:tc>
        <w:tc>
          <w:tcPr>
            <w:tcW w:w="100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3"/>
                <w:szCs w:val="13"/>
                <w:color w:val="auto"/>
              </w:rPr>
            </w:pPr>
          </w:p>
        </w:tc>
      </w:tr>
      <w:tr>
        <w:trPr>
          <w:trHeight w:val="196"/>
        </w:trPr>
        <w:tc>
          <w:tcPr>
            <w:tcW w:w="3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Risk-free interest rate</w:t>
            </w:r>
          </w:p>
        </w:tc>
        <w:tc>
          <w:tcPr>
            <w:tcW w:w="3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231F20"/>
              </w:rPr>
              <w:t>1.69%</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0.43%</w:t>
            </w:r>
          </w:p>
        </w:tc>
        <w:tc>
          <w:tcPr>
            <w:tcW w:w="20" w:type="dxa"/>
            <w:vAlign w:val="bottom"/>
          </w:tcPr>
          <w:p>
            <w:pPr>
              <w:spacing w:after="0"/>
              <w:rPr>
                <w:sz w:val="17"/>
                <w:szCs w:val="17"/>
                <w:color w:val="auto"/>
              </w:rPr>
            </w:pPr>
          </w:p>
        </w:tc>
      </w:tr>
      <w:tr>
        <w:trPr>
          <w:trHeight w:val="203"/>
        </w:trPr>
        <w:tc>
          <w:tcPr>
            <w:tcW w:w="3160" w:type="dxa"/>
            <w:vAlign w:val="bottom"/>
          </w:tcPr>
          <w:p>
            <w:pPr>
              <w:ind w:left="20"/>
              <w:spacing w:after="0" w:line="202" w:lineRule="exact"/>
              <w:rPr>
                <w:sz w:val="20"/>
                <w:szCs w:val="20"/>
                <w:color w:val="auto"/>
              </w:rPr>
            </w:pPr>
            <w:r>
              <w:rPr>
                <w:rFonts w:ascii="Arial" w:cs="Arial" w:eastAsia="Arial" w:hAnsi="Arial"/>
                <w:sz w:val="18"/>
                <w:szCs w:val="18"/>
                <w:color w:val="231F20"/>
              </w:rPr>
              <w:t>Expected term (in years)</w:t>
            </w:r>
          </w:p>
        </w:tc>
        <w:tc>
          <w:tcPr>
            <w:tcW w:w="474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231F20"/>
              </w:rPr>
              <w:t>6.06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231F20"/>
              </w:rPr>
              <w:t>5.93</w:t>
            </w:r>
          </w:p>
        </w:tc>
        <w:tc>
          <w:tcPr>
            <w:tcW w:w="20" w:type="dxa"/>
            <w:vAlign w:val="bottom"/>
          </w:tcPr>
          <w:p>
            <w:pPr>
              <w:spacing w:after="0"/>
              <w:rPr>
                <w:sz w:val="17"/>
                <w:szCs w:val="17"/>
                <w:color w:val="auto"/>
              </w:rPr>
            </w:pPr>
          </w:p>
        </w:tc>
      </w:tr>
      <w:tr>
        <w:trPr>
          <w:trHeight w:val="203"/>
        </w:trPr>
        <w:tc>
          <w:tcPr>
            <w:tcW w:w="3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Expected volatility</w:t>
            </w:r>
          </w:p>
        </w:tc>
        <w:tc>
          <w:tcPr>
            <w:tcW w:w="4740" w:type="dxa"/>
            <w:vAlign w:val="bottom"/>
            <w:gridSpan w:val="2"/>
            <w:shd w:val="clear" w:color="auto" w:fill="CCEEFF"/>
          </w:tcPr>
          <w:p>
            <w:pPr>
              <w:jc w:val="right"/>
              <w:ind w:right="99"/>
              <w:spacing w:after="0" w:line="202" w:lineRule="exact"/>
              <w:rPr>
                <w:sz w:val="20"/>
                <w:szCs w:val="20"/>
                <w:color w:val="auto"/>
              </w:rPr>
            </w:pPr>
            <w:r>
              <w:rPr>
                <w:rFonts w:ascii="Arial" w:cs="Arial" w:eastAsia="Arial" w:hAnsi="Arial"/>
                <w:sz w:val="18"/>
                <w:szCs w:val="18"/>
                <w:color w:val="231F20"/>
              </w:rPr>
              <w:t>79.17%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77.34%</w:t>
            </w:r>
          </w:p>
        </w:tc>
        <w:tc>
          <w:tcPr>
            <w:tcW w:w="20" w:type="dxa"/>
            <w:vAlign w:val="bottom"/>
          </w:tcPr>
          <w:p>
            <w:pPr>
              <w:spacing w:after="0"/>
              <w:rPr>
                <w:sz w:val="17"/>
                <w:szCs w:val="17"/>
                <w:color w:val="auto"/>
              </w:rPr>
            </w:pPr>
          </w:p>
        </w:tc>
      </w:tr>
      <w:tr>
        <w:trPr>
          <w:trHeight w:val="203"/>
        </w:trPr>
        <w:tc>
          <w:tcPr>
            <w:tcW w:w="31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231F20"/>
              </w:rPr>
              <w:t>Expected dividend yield</w:t>
            </w:r>
          </w:p>
        </w:tc>
        <w:tc>
          <w:tcPr>
            <w:tcW w:w="3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9"/>
              <w:spacing w:after="0" w:line="202" w:lineRule="exact"/>
              <w:rPr>
                <w:sz w:val="20"/>
                <w:szCs w:val="20"/>
                <w:color w:val="auto"/>
              </w:rPr>
            </w:pPr>
            <w:r>
              <w:rPr>
                <w:rFonts w:ascii="Arial" w:cs="Arial" w:eastAsia="Arial" w:hAnsi="Arial"/>
                <w:sz w:val="18"/>
                <w:szCs w:val="18"/>
                <w:color w:val="231F20"/>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160" w:type="dxa"/>
            <w:vAlign w:val="bottom"/>
          </w:tcPr>
          <w:p>
            <w:pPr>
              <w:spacing w:after="0"/>
              <w:rPr>
                <w:sz w:val="24"/>
                <w:szCs w:val="24"/>
                <w:color w:val="auto"/>
              </w:rPr>
            </w:pPr>
          </w:p>
        </w:tc>
        <w:tc>
          <w:tcPr>
            <w:tcW w:w="3320" w:type="dxa"/>
            <w:vAlign w:val="bottom"/>
          </w:tcPr>
          <w:p>
            <w:pPr>
              <w:jc w:val="right"/>
              <w:ind w:right="1830"/>
              <w:spacing w:after="0"/>
              <w:rPr>
                <w:sz w:val="20"/>
                <w:szCs w:val="20"/>
                <w:color w:val="auto"/>
              </w:rPr>
            </w:pPr>
            <w:r>
              <w:rPr>
                <w:rFonts w:ascii="Arial" w:cs="Arial" w:eastAsia="Arial" w:hAnsi="Arial"/>
                <w:sz w:val="18"/>
                <w:szCs w:val="18"/>
                <w:color w:val="auto"/>
              </w:rPr>
              <w:t>14</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Activity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w:t>
      </w:r>
    </w:p>
    <w:p>
      <w:pPr>
        <w:ind w:left="60"/>
        <w:spacing w:after="0"/>
        <w:rPr>
          <w:sz w:val="20"/>
          <w:szCs w:val="20"/>
          <w:color w:val="auto"/>
        </w:rPr>
      </w:pPr>
      <w:r>
        <w:rPr>
          <w:rFonts w:ascii="Arial" w:cs="Arial" w:eastAsia="Arial" w:hAnsi="Arial"/>
          <w:sz w:val="18"/>
          <w:szCs w:val="18"/>
          <w:color w:val="auto"/>
        </w:rPr>
        <w:t>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143510</wp:posOffset>
            </wp:positionV>
            <wp:extent cx="5657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7"/>
                <w:szCs w:val="17"/>
                <w:color w:val="auto"/>
              </w:rPr>
            </w:pPr>
          </w:p>
        </w:tc>
        <w:tc>
          <w:tcPr>
            <w:tcW w:w="980" w:type="dxa"/>
            <w:vAlign w:val="bottom"/>
          </w:tcPr>
          <w:p>
            <w:pPr>
              <w:jc w:val="center"/>
              <w:ind w:right="92"/>
              <w:spacing w:after="0"/>
              <w:rPr>
                <w:sz w:val="20"/>
                <w:szCs w:val="20"/>
                <w:color w:val="auto"/>
              </w:rPr>
            </w:pPr>
            <w:r>
              <w:rPr>
                <w:rFonts w:ascii="Arial" w:cs="Arial" w:eastAsia="Arial" w:hAnsi="Arial"/>
                <w:sz w:val="14"/>
                <w:szCs w:val="14"/>
                <w:b w:val="1"/>
                <w:bCs w:val="1"/>
                <w:color w:val="auto"/>
              </w:rPr>
              <w:t>Aggregate</w:t>
            </w:r>
          </w:p>
        </w:tc>
      </w:tr>
      <w:tr>
        <w:trPr>
          <w:trHeight w:val="188"/>
        </w:trPr>
        <w:tc>
          <w:tcPr>
            <w:tcW w:w="4740" w:type="dxa"/>
            <w:vAlign w:val="bottom"/>
          </w:tcPr>
          <w:p>
            <w:pPr>
              <w:spacing w:after="0"/>
              <w:rPr>
                <w:sz w:val="16"/>
                <w:szCs w:val="16"/>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60" w:type="dxa"/>
            <w:vAlign w:val="bottom"/>
            <w:tcBorders>
              <w:bottom w:val="single" w:sz="8" w:color="auto"/>
            </w:tcBorders>
            <w:gridSpan w:val="2"/>
          </w:tcPr>
          <w:p>
            <w:pPr>
              <w:jc w:val="center"/>
              <w:ind w:left="13"/>
              <w:spacing w:after="0"/>
              <w:rPr>
                <w:sz w:val="20"/>
                <w:szCs w:val="20"/>
                <w:color w:val="auto"/>
              </w:rPr>
            </w:pPr>
            <w:r>
              <w:rPr>
                <w:rFonts w:ascii="Arial" w:cs="Arial" w:eastAsia="Arial" w:hAnsi="Arial"/>
                <w:sz w:val="14"/>
                <w:szCs w:val="14"/>
                <w:b w:val="1"/>
                <w:bCs w:val="1"/>
                <w:color w:val="auto"/>
              </w:rPr>
              <w:t>Intrinsic Value</w:t>
            </w:r>
          </w:p>
        </w:tc>
      </w:tr>
      <w:tr>
        <w:trPr>
          <w:trHeight w:val="196"/>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8"/>
              </w:rPr>
              <w:t>(in years)</w:t>
            </w:r>
          </w:p>
        </w:tc>
        <w:tc>
          <w:tcPr>
            <w:tcW w:w="1260" w:type="dxa"/>
            <w:vAlign w:val="bottom"/>
            <w:gridSpan w:val="2"/>
          </w:tcPr>
          <w:p>
            <w:pPr>
              <w:jc w:val="center"/>
              <w:ind w:left="13"/>
              <w:spacing w:after="0" w:line="196" w:lineRule="exact"/>
              <w:rPr>
                <w:sz w:val="20"/>
                <w:szCs w:val="20"/>
                <w:color w:val="auto"/>
              </w:rPr>
            </w:pPr>
            <w:r>
              <w:rPr>
                <w:rFonts w:ascii="Arial" w:cs="Arial" w:eastAsia="Arial" w:hAnsi="Arial"/>
                <w:sz w:val="18"/>
                <w:szCs w:val="18"/>
                <w:color w:val="auto"/>
              </w:rPr>
              <w:t>(in thousands)</w:t>
            </w: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as of December 31, 2021</w:t>
            </w:r>
          </w:p>
        </w:tc>
        <w:tc>
          <w:tcPr>
            <w:tcW w:w="10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5,768,028</w:t>
            </w:r>
          </w:p>
        </w:tc>
        <w:tc>
          <w:tcPr>
            <w:tcW w:w="8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$ 15.99</w:t>
            </w:r>
          </w:p>
        </w:tc>
        <w:tc>
          <w:tcPr>
            <w:tcW w:w="1020" w:type="dxa"/>
            <w:vAlign w:val="bottom"/>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8.82</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11,365</w:t>
            </w: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2,663,650</w:t>
            </w:r>
          </w:p>
        </w:tc>
        <w:tc>
          <w:tcPr>
            <w:tcW w:w="8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7.07</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Exercised(1)</w:t>
            </w: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(22,744)</w:t>
            </w:r>
          </w:p>
        </w:tc>
        <w:tc>
          <w:tcPr>
            <w:tcW w:w="8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4.02</w:t>
            </w:r>
          </w:p>
        </w:tc>
        <w:tc>
          <w:tcPr>
            <w:tcW w:w="1020" w:type="dxa"/>
            <w:vAlign w:val="bottom"/>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(40,581)</w:t>
            </w:r>
          </w:p>
        </w:tc>
        <w:tc>
          <w:tcPr>
            <w:tcW w:w="86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22.39</w:t>
            </w:r>
          </w:p>
        </w:tc>
        <w:tc>
          <w:tcPr>
            <w:tcW w:w="1020" w:type="dxa"/>
            <w:vAlign w:val="bottom"/>
            <w:tcBorders>
              <w:bottom w:val="single" w:sz="8" w:color="auto"/>
            </w:tcBorders>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as of March 31, 2022(2)</w:t>
            </w:r>
          </w:p>
        </w:tc>
        <w:tc>
          <w:tcPr>
            <w:tcW w:w="104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8,368,353</w:t>
            </w:r>
          </w:p>
        </w:tc>
        <w:tc>
          <w:tcPr>
            <w:tcW w:w="86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$ 13.16</w:t>
            </w:r>
          </w:p>
        </w:tc>
        <w:tc>
          <w:tcPr>
            <w:tcW w:w="1020" w:type="dxa"/>
            <w:vAlign w:val="bottom"/>
            <w:tcBorders>
              <w:bottom w:val="single" w:sz="8" w:color="auto"/>
            </w:tcBorders>
            <w:shd w:val="clear" w:color="auto" w:fill="CCEEFF"/>
          </w:tcPr>
          <w:p>
            <w:pPr>
              <w:jc w:val="right"/>
              <w:ind w:right="78"/>
              <w:spacing w:after="0" w:line="196" w:lineRule="exact"/>
              <w:rPr>
                <w:sz w:val="20"/>
                <w:szCs w:val="20"/>
                <w:color w:val="auto"/>
              </w:rPr>
            </w:pPr>
            <w:r>
              <w:rPr>
                <w:rFonts w:ascii="Arial" w:cs="Arial" w:eastAsia="Arial" w:hAnsi="Arial"/>
                <w:sz w:val="18"/>
                <w:szCs w:val="18"/>
                <w:color w:val="auto"/>
              </w:rPr>
              <w:t>8.76</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1,031</w:t>
            </w:r>
          </w:p>
        </w:tc>
      </w:tr>
      <w:tr>
        <w:trPr>
          <w:trHeight w:val="20"/>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vested and exercisable as of March 31, 2022</w:t>
            </w:r>
          </w:p>
        </w:tc>
        <w:tc>
          <w:tcPr>
            <w:tcW w:w="10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2,138,539</w:t>
            </w:r>
          </w:p>
        </w:tc>
        <w:tc>
          <w:tcPr>
            <w:tcW w:w="8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$ 13.44</w:t>
            </w:r>
          </w:p>
        </w:tc>
        <w:tc>
          <w:tcPr>
            <w:tcW w:w="1020" w:type="dxa"/>
            <w:vAlign w:val="bottom"/>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8.29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r>
      <w:tr>
        <w:trPr>
          <w:trHeight w:val="203"/>
        </w:trPr>
        <w:tc>
          <w:tcPr>
            <w:tcW w:w="4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Options expected to vest as of March 31, 2022</w:t>
            </w:r>
          </w:p>
        </w:tc>
        <w:tc>
          <w:tcPr>
            <w:tcW w:w="104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6,229,814</w:t>
            </w:r>
          </w:p>
        </w:tc>
        <w:tc>
          <w:tcPr>
            <w:tcW w:w="86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$ 13.06</w:t>
            </w:r>
          </w:p>
        </w:tc>
        <w:tc>
          <w:tcPr>
            <w:tcW w:w="1020" w:type="dxa"/>
            <w:vAlign w:val="bottom"/>
            <w:tcBorders>
              <w:bottom w:val="single" w:sz="8" w:color="auto"/>
            </w:tcBorders>
          </w:tcPr>
          <w:p>
            <w:pPr>
              <w:jc w:val="right"/>
              <w:ind w:right="78"/>
              <w:spacing w:after="0" w:line="202" w:lineRule="exact"/>
              <w:rPr>
                <w:sz w:val="20"/>
                <w:szCs w:val="20"/>
                <w:color w:val="auto"/>
              </w:rPr>
            </w:pPr>
            <w:r>
              <w:rPr>
                <w:rFonts w:ascii="Arial" w:cs="Arial" w:eastAsia="Arial" w:hAnsi="Arial"/>
                <w:sz w:val="18"/>
                <w:szCs w:val="18"/>
                <w:color w:val="auto"/>
              </w:rPr>
              <w:t>8.92</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231F20"/>
        </w:rPr>
      </w:pPr>
      <w:r>
        <w:rPr>
          <w:rFonts w:ascii="Arial" w:cs="Arial" w:eastAsia="Arial" w:hAnsi="Arial"/>
          <w:sz w:val="14"/>
          <w:szCs w:val="14"/>
          <w:color w:val="231F20"/>
        </w:rPr>
        <w:t>Exercised amount includes vesting of early exercised options.</w:t>
      </w:r>
    </w:p>
    <w:p>
      <w:pPr>
        <w:spacing w:after="0" w:line="217" w:lineRule="exact"/>
        <w:rPr>
          <w:rFonts w:ascii="Arial" w:cs="Arial" w:eastAsia="Arial" w:hAnsi="Arial"/>
          <w:sz w:val="14"/>
          <w:szCs w:val="14"/>
          <w:color w:val="231F20"/>
        </w:rPr>
      </w:pPr>
    </w:p>
    <w:p>
      <w:pPr>
        <w:ind w:left="380" w:hanging="330"/>
        <w:spacing w:after="0"/>
        <w:tabs>
          <w:tab w:leader="none" w:pos="380" w:val="left"/>
        </w:tabs>
        <w:numPr>
          <w:ilvl w:val="0"/>
          <w:numId w:val="10"/>
        </w:numPr>
        <w:rPr>
          <w:rFonts w:ascii="Arial" w:cs="Arial" w:eastAsia="Arial" w:hAnsi="Arial"/>
          <w:sz w:val="14"/>
          <w:szCs w:val="14"/>
          <w:color w:val="231F20"/>
        </w:rPr>
      </w:pPr>
      <w:r>
        <w:rPr>
          <w:rFonts w:ascii="Arial" w:cs="Arial" w:eastAsia="Arial" w:hAnsi="Arial"/>
          <w:sz w:val="14"/>
          <w:szCs w:val="14"/>
          <w:color w:val="231F20"/>
        </w:rPr>
        <w:t>Balance as of March 31, 2022 includes 39,609 unvested early exercised stock options.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 of Stock Options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September 2020, one employee and one non-employee paid $0.6 million to early exercise 135,525 options with exercise prices ranging from $4.406 per share to $4.824 per share. As of March 31, 2022, 95,916 of such shares had vested with the remaining shares vesting over their respective terms. 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$0.2 million in other current liabilities as of March 31,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June 2020, the Company granted to certain employees 789,095 shares of restricted common stock (the “RSAs”) under the 2014 Plan as consideration for services with a deemed value of $2.40 per share, or $1.9 million. The following table summarizes the restricted stock activity under the Plan during the three months ended March 31, 2022:</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240" w:type="dxa"/>
            <w:vAlign w:val="bottom"/>
            <w:tcBorders>
              <w:top w:val="single" w:sz="8" w:color="auto"/>
              <w:bottom w:val="single" w:sz="8" w:color="CCEEFF"/>
            </w:tcBorders>
          </w:tcPr>
          <w:p>
            <w:pPr>
              <w:spacing w:after="0"/>
              <w:rPr>
                <w:sz w:val="15"/>
                <w:szCs w:val="15"/>
                <w:color w:val="auto"/>
              </w:rPr>
            </w:pPr>
          </w:p>
        </w:tc>
        <w:tc>
          <w:tcPr>
            <w:tcW w:w="174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231F20"/>
              </w:rPr>
              <w:t>Number of Shares</w:t>
            </w:r>
          </w:p>
        </w:tc>
        <w:tc>
          <w:tcPr>
            <w:tcW w:w="1600" w:type="dxa"/>
            <w:vAlign w:val="bottom"/>
            <w:tcBorders>
              <w:top w:val="single" w:sz="8" w:color="auto"/>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231F20"/>
              </w:rPr>
              <w:t>Grant Date Fair Value</w:t>
            </w:r>
          </w:p>
        </w:tc>
      </w:tr>
      <w:tr>
        <w:trPr>
          <w:trHeight w:val="196"/>
        </w:trPr>
        <w:tc>
          <w:tcPr>
            <w:tcW w:w="4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December 31, 2021</w:t>
            </w:r>
          </w:p>
        </w:tc>
        <w:tc>
          <w:tcPr>
            <w:tcW w:w="17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231F20"/>
              </w:rPr>
              <w:t>493,185</w:t>
            </w:r>
          </w:p>
        </w:tc>
        <w:tc>
          <w:tcPr>
            <w:tcW w:w="72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231F20"/>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c>
          <w:tcPr>
            <w:tcW w:w="20" w:type="dxa"/>
            <w:vAlign w:val="bottom"/>
            <w:shd w:val="clear" w:color="auto" w:fill="CCEEFF"/>
          </w:tcPr>
          <w:p>
            <w:pPr>
              <w:spacing w:after="0"/>
              <w:rPr>
                <w:sz w:val="17"/>
                <w:szCs w:val="17"/>
                <w:color w:val="auto"/>
              </w:rPr>
            </w:pPr>
          </w:p>
        </w:tc>
      </w:tr>
      <w:tr>
        <w:trPr>
          <w:trHeight w:val="203"/>
        </w:trPr>
        <w:tc>
          <w:tcPr>
            <w:tcW w:w="4240" w:type="dxa"/>
            <w:vAlign w:val="bottom"/>
          </w:tcPr>
          <w:p>
            <w:pPr>
              <w:ind w:left="120"/>
              <w:spacing w:after="0" w:line="202" w:lineRule="exact"/>
              <w:rPr>
                <w:sz w:val="20"/>
                <w:szCs w:val="20"/>
                <w:color w:val="auto"/>
              </w:rPr>
            </w:pPr>
            <w:r>
              <w:rPr>
                <w:rFonts w:ascii="Arial" w:cs="Arial" w:eastAsia="Arial" w:hAnsi="Arial"/>
                <w:sz w:val="18"/>
                <w:szCs w:val="18"/>
                <w:color w:val="231F20"/>
              </w:rPr>
              <w:t>Granted</w:t>
            </w:r>
          </w:p>
        </w:tc>
        <w:tc>
          <w:tcPr>
            <w:tcW w:w="1740" w:type="dxa"/>
            <w:vAlign w:val="bottom"/>
          </w:tcPr>
          <w:p>
            <w:pPr>
              <w:spacing w:after="0"/>
              <w:rPr>
                <w:sz w:val="17"/>
                <w:szCs w:val="17"/>
                <w:color w:val="auto"/>
              </w:rPr>
            </w:pPr>
          </w:p>
        </w:tc>
        <w:tc>
          <w:tcPr>
            <w:tcW w:w="1360" w:type="dxa"/>
            <w:vAlign w:val="bottom"/>
          </w:tcPr>
          <w:p>
            <w:pPr>
              <w:jc w:val="right"/>
              <w:ind w:right="94"/>
              <w:spacing w:after="0" w:line="202" w:lineRule="exact"/>
              <w:rPr>
                <w:sz w:val="20"/>
                <w:szCs w:val="20"/>
                <w:color w:val="auto"/>
              </w:rPr>
            </w:pPr>
            <w:r>
              <w:rPr>
                <w:rFonts w:ascii="Arial" w:cs="Arial" w:eastAsia="Arial" w:hAnsi="Arial"/>
                <w:sz w:val="18"/>
                <w:szCs w:val="18"/>
                <w:color w:val="231F20"/>
              </w:rPr>
              <w:t>—</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231F20"/>
              </w:rPr>
              <w:t>—</w:t>
            </w:r>
          </w:p>
        </w:tc>
      </w:tr>
      <w:tr>
        <w:trPr>
          <w:trHeight w:val="203"/>
        </w:trPr>
        <w:tc>
          <w:tcPr>
            <w:tcW w:w="4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Vested</w:t>
            </w:r>
          </w:p>
        </w:tc>
        <w:tc>
          <w:tcPr>
            <w:tcW w:w="310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18"/>
                <w:szCs w:val="18"/>
                <w:color w:val="231F20"/>
              </w:rPr>
              <w:t>(49,318)</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2.40</w:t>
            </w:r>
          </w:p>
        </w:tc>
        <w:tc>
          <w:tcPr>
            <w:tcW w:w="20" w:type="dxa"/>
            <w:vAlign w:val="bottom"/>
            <w:shd w:val="clear" w:color="auto" w:fill="CCEEFF"/>
          </w:tcPr>
          <w:p>
            <w:pPr>
              <w:spacing w:after="0"/>
              <w:rPr>
                <w:sz w:val="17"/>
                <w:szCs w:val="17"/>
                <w:color w:val="auto"/>
              </w:rPr>
            </w:pPr>
          </w:p>
        </w:tc>
      </w:tr>
      <w:tr>
        <w:trPr>
          <w:trHeight w:val="203"/>
        </w:trPr>
        <w:tc>
          <w:tcPr>
            <w:tcW w:w="42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231F20"/>
              </w:rPr>
              <w:t>Forfeited</w:t>
            </w:r>
          </w:p>
        </w:tc>
        <w:tc>
          <w:tcPr>
            <w:tcW w:w="1740" w:type="dxa"/>
            <w:vAlign w:val="bottom"/>
            <w:tcBorders>
              <w:bottom w:val="single" w:sz="8" w:color="CCEEFF"/>
            </w:tcBorders>
          </w:tcPr>
          <w:p>
            <w:pPr>
              <w:spacing w:after="0"/>
              <w:rPr>
                <w:sz w:val="17"/>
                <w:szCs w:val="17"/>
                <w:color w:val="auto"/>
              </w:rPr>
            </w:pPr>
          </w:p>
        </w:tc>
        <w:tc>
          <w:tcPr>
            <w:tcW w:w="1360" w:type="dxa"/>
            <w:vAlign w:val="bottom"/>
            <w:tcBorders>
              <w:bottom w:val="single" w:sz="8" w:color="231F20"/>
            </w:tcBorders>
          </w:tcPr>
          <w:p>
            <w:pPr>
              <w:jc w:val="right"/>
              <w:ind w:right="94"/>
              <w:spacing w:after="0" w:line="202" w:lineRule="exact"/>
              <w:rPr>
                <w:sz w:val="20"/>
                <w:szCs w:val="20"/>
                <w:color w:val="auto"/>
              </w:rPr>
            </w:pPr>
            <w:r>
              <w:rPr>
                <w:rFonts w:ascii="Arial" w:cs="Arial" w:eastAsia="Arial" w:hAnsi="Arial"/>
                <w:sz w:val="18"/>
                <w:szCs w:val="18"/>
                <w:color w:val="231F20"/>
              </w:rPr>
              <w:t>—</w:t>
            </w:r>
          </w:p>
        </w:tc>
        <w:tc>
          <w:tcPr>
            <w:tcW w:w="240" w:type="dxa"/>
            <w:vAlign w:val="bottom"/>
            <w:tcBorders>
              <w:bottom w:val="single" w:sz="8" w:color="231F20"/>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231F20"/>
              </w:rPr>
              <w:t>—</w:t>
            </w:r>
          </w:p>
        </w:tc>
      </w:tr>
      <w:tr>
        <w:trPr>
          <w:trHeight w:val="196"/>
        </w:trPr>
        <w:tc>
          <w:tcPr>
            <w:tcW w:w="42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March 31, 2022</w:t>
            </w:r>
          </w:p>
        </w:tc>
        <w:tc>
          <w:tcPr>
            <w:tcW w:w="17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231F20"/>
              </w:rPr>
              <w:t>443,867</w:t>
            </w:r>
          </w:p>
        </w:tc>
        <w:tc>
          <w:tcPr>
            <w:tcW w:w="24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28"/>
        </w:trPr>
        <w:tc>
          <w:tcPr>
            <w:tcW w:w="4240" w:type="dxa"/>
            <w:vAlign w:val="bottom"/>
          </w:tcPr>
          <w:p>
            <w:pPr>
              <w:spacing w:after="0"/>
              <w:rPr>
                <w:sz w:val="24"/>
                <w:szCs w:val="24"/>
                <w:color w:val="auto"/>
              </w:rPr>
            </w:pPr>
          </w:p>
        </w:tc>
        <w:tc>
          <w:tcPr>
            <w:tcW w:w="1740" w:type="dxa"/>
            <w:vAlign w:val="bottom"/>
          </w:tcPr>
          <w:p>
            <w:pPr>
              <w:jc w:val="right"/>
              <w:ind w:right="1330"/>
              <w:spacing w:after="0"/>
              <w:rPr>
                <w:sz w:val="20"/>
                <w:szCs w:val="20"/>
                <w:color w:val="auto"/>
              </w:rPr>
            </w:pPr>
            <w:r>
              <w:rPr>
                <w:rFonts w:ascii="Arial" w:cs="Arial" w:eastAsia="Arial" w:hAnsi="Arial"/>
                <w:sz w:val="18"/>
                <w:szCs w:val="18"/>
                <w:color w:val="auto"/>
              </w:rPr>
              <w:t>15</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Employee Stock Purchase Plan</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2020, the Company’s board of directors and stockholders approved and adopted the 2020 ESPP. The ESPP became effective immediately prior to the date of the underwriting agreement related to the IPO.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Company’s board of directors in the offering. The current offering period will consist of two (2) six month purchase periods (each a “Purchase Period”) during which payroll deductions of the participants are accumulated under the ESPP. The last business day of each Purchase Period is referred to as the “Purchase Date.” The first Purchase Period commenced on November 18, 2020 with a purchase date of May 15, 2021. The second Purchase Period commenced on May 16, 2021 and had a purchase date of November 15, 2021. The third Purchase Period commenced on November 16, 2021 and has a purchase date of May 16, 2022. A total of 430,416 shares of common stock were initially reserved for issuance pursuant to the ESPP.</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 million and less than $0.1 million for the three months ended March 31, 2022 and 2021,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Stock-based compensation expense related to awards granted under the 2014 Plan, the 2020 Plan, the 2020 ESPP Plan and the 2022 Inducement Plan was classified in the condensed consolidated statements of operations and comprehensive loss as follows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28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c>
          <w:tcPr>
            <w:tcW w:w="2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top w:val="single" w:sz="8" w:color="auto"/>
              <w:bottom w:val="single" w:sz="8" w:color="auto"/>
            </w:tcBorders>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3280" w:type="dxa"/>
            <w:vAlign w:val="bottom"/>
            <w:tcBorders>
              <w:bottom w:val="single" w:sz="8" w:color="CCEEFF"/>
            </w:tcBorders>
          </w:tcPr>
          <w:p>
            <w:pPr>
              <w:spacing w:after="0"/>
              <w:rPr>
                <w:sz w:val="13"/>
                <w:szCs w:val="13"/>
                <w:color w:val="auto"/>
              </w:rPr>
            </w:pPr>
          </w:p>
        </w:tc>
        <w:tc>
          <w:tcPr>
            <w:tcW w:w="23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231F20"/>
              </w:rPr>
              <w:t>2022</w:t>
            </w: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231F20"/>
              </w:rPr>
              <w:t>2021</w:t>
            </w:r>
          </w:p>
        </w:tc>
        <w:tc>
          <w:tcPr>
            <w:tcW w:w="580" w:type="dxa"/>
            <w:vAlign w:val="bottom"/>
            <w:tcBorders>
              <w:bottom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Research and development</w:t>
            </w:r>
          </w:p>
        </w:tc>
        <w:tc>
          <w:tcPr>
            <w:tcW w:w="2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39"/>
              <w:spacing w:after="0" w:line="196" w:lineRule="exact"/>
              <w:rPr>
                <w:sz w:val="20"/>
                <w:szCs w:val="20"/>
                <w:color w:val="auto"/>
              </w:rPr>
            </w:pPr>
            <w:r>
              <w:rPr>
                <w:rFonts w:ascii="Arial" w:cs="Arial" w:eastAsia="Arial" w:hAnsi="Arial"/>
                <w:sz w:val="18"/>
                <w:szCs w:val="18"/>
                <w:color w:val="231F20"/>
              </w:rPr>
              <w:t>$</w:t>
            </w:r>
          </w:p>
        </w:tc>
        <w:tc>
          <w:tcPr>
            <w:tcW w:w="6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231F20"/>
                <w:w w:val="97"/>
              </w:rPr>
              <w:t>3,067</w:t>
            </w:r>
          </w:p>
        </w:tc>
        <w:tc>
          <w:tcPr>
            <w:tcW w:w="1140" w:type="dxa"/>
            <w:vAlign w:val="bottom"/>
            <w:shd w:val="clear" w:color="auto" w:fill="CCEEFF"/>
          </w:tcPr>
          <w:p>
            <w:pPr>
              <w:jc w:val="right"/>
              <w:ind w:right="736"/>
              <w:spacing w:after="0" w:line="196" w:lineRule="exact"/>
              <w:rPr>
                <w:sz w:val="20"/>
                <w:szCs w:val="20"/>
                <w:color w:val="auto"/>
              </w:rPr>
            </w:pPr>
            <w:r>
              <w:rPr>
                <w:rFonts w:ascii="Arial" w:cs="Arial" w:eastAsia="Arial" w:hAnsi="Arial"/>
                <w:sz w:val="18"/>
                <w:szCs w:val="18"/>
                <w:color w:val="231F20"/>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1,734</w:t>
            </w:r>
          </w:p>
        </w:tc>
      </w:tr>
      <w:tr>
        <w:trPr>
          <w:trHeight w:val="203"/>
        </w:trPr>
        <w:tc>
          <w:tcPr>
            <w:tcW w:w="20" w:type="dxa"/>
            <w:vAlign w:val="bottom"/>
          </w:tcPr>
          <w:p>
            <w:pPr>
              <w:spacing w:after="0"/>
              <w:rPr>
                <w:sz w:val="17"/>
                <w:szCs w:val="17"/>
                <w:color w:val="auto"/>
              </w:rPr>
            </w:pPr>
          </w:p>
        </w:tc>
        <w:tc>
          <w:tcPr>
            <w:tcW w:w="3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General and administrative</w:t>
            </w:r>
          </w:p>
        </w:tc>
        <w:tc>
          <w:tcPr>
            <w:tcW w:w="2320" w:type="dxa"/>
            <w:vAlign w:val="bottom"/>
            <w:tcBorders>
              <w:bottom w:val="single" w:sz="8" w:color="CCEEFF"/>
            </w:tcBorders>
          </w:tcPr>
          <w:p>
            <w:pPr>
              <w:spacing w:after="0"/>
              <w:rPr>
                <w:sz w:val="17"/>
                <w:szCs w:val="17"/>
                <w:color w:val="auto"/>
              </w:rPr>
            </w:pPr>
          </w:p>
        </w:tc>
        <w:tc>
          <w:tcPr>
            <w:tcW w:w="9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30"/>
              <w:spacing w:after="0" w:line="202" w:lineRule="exact"/>
              <w:rPr>
                <w:sz w:val="20"/>
                <w:szCs w:val="20"/>
                <w:color w:val="auto"/>
              </w:rPr>
            </w:pPr>
            <w:r>
              <w:rPr>
                <w:rFonts w:ascii="Arial" w:cs="Arial" w:eastAsia="Arial" w:hAnsi="Arial"/>
                <w:sz w:val="18"/>
                <w:szCs w:val="18"/>
                <w:color w:val="231F20"/>
                <w:w w:val="97"/>
              </w:rPr>
              <w:t>1,898</w:t>
            </w:r>
          </w:p>
        </w:tc>
        <w:tc>
          <w:tcPr>
            <w:tcW w:w="114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1,474</w:t>
            </w:r>
          </w:p>
        </w:tc>
      </w:tr>
      <w:tr>
        <w:trPr>
          <w:trHeight w:val="196"/>
        </w:trPr>
        <w:tc>
          <w:tcPr>
            <w:tcW w:w="20" w:type="dxa"/>
            <w:vAlign w:val="bottom"/>
          </w:tcPr>
          <w:p>
            <w:pPr>
              <w:spacing w:after="0"/>
              <w:rPr>
                <w:sz w:val="17"/>
                <w:szCs w:val="17"/>
                <w:color w:val="auto"/>
              </w:rPr>
            </w:pPr>
          </w:p>
        </w:tc>
        <w:tc>
          <w:tcPr>
            <w:tcW w:w="3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39"/>
              <w:spacing w:after="0" w:line="196" w:lineRule="exact"/>
              <w:rPr>
                <w:sz w:val="20"/>
                <w:szCs w:val="20"/>
                <w:color w:val="auto"/>
              </w:rPr>
            </w:pPr>
            <w:r>
              <w:rPr>
                <w:rFonts w:ascii="Arial" w:cs="Arial" w:eastAsia="Arial" w:hAnsi="Arial"/>
                <w:sz w:val="18"/>
                <w:szCs w:val="18"/>
                <w:color w:val="231F20"/>
              </w:rPr>
              <w:t>$</w:t>
            </w:r>
          </w:p>
        </w:tc>
        <w:tc>
          <w:tcPr>
            <w:tcW w:w="6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231F20"/>
                <w:w w:val="97"/>
              </w:rPr>
              <w:t>4,965</w:t>
            </w:r>
          </w:p>
        </w:tc>
        <w:tc>
          <w:tcPr>
            <w:tcW w:w="1140" w:type="dxa"/>
            <w:vAlign w:val="bottom"/>
            <w:tcBorders>
              <w:bottom w:val="single" w:sz="8" w:color="auto"/>
            </w:tcBorders>
            <w:shd w:val="clear" w:color="auto" w:fill="CCEEFF"/>
          </w:tcPr>
          <w:p>
            <w:pPr>
              <w:jc w:val="right"/>
              <w:ind w:right="736"/>
              <w:spacing w:after="0" w:line="196" w:lineRule="exact"/>
              <w:rPr>
                <w:sz w:val="20"/>
                <w:szCs w:val="20"/>
                <w:color w:val="auto"/>
              </w:rPr>
            </w:pPr>
            <w:r>
              <w:rPr>
                <w:rFonts w:ascii="Arial" w:cs="Arial" w:eastAsia="Arial" w:hAnsi="Arial"/>
                <w:sz w:val="18"/>
                <w:szCs w:val="18"/>
                <w:color w:val="231F2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3,208</w:t>
            </w:r>
          </w:p>
        </w:tc>
      </w:tr>
      <w:tr>
        <w:trPr>
          <w:trHeight w:val="20"/>
        </w:trPr>
        <w:tc>
          <w:tcPr>
            <w:tcW w:w="2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tcPr>
          <w:p>
            <w:pPr>
              <w:jc w:val="right"/>
              <w:ind w:right="970"/>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 Per Share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Share</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Basic and diluted net loss per share was calculated as follows (in thousands, except share and per share amounts):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4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320" w:type="dxa"/>
            <w:vAlign w:val="bottom"/>
            <w:tcBorders>
              <w:top w:val="single" w:sz="8" w:color="auto"/>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4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231F20"/>
              </w:rPr>
              <w:t>2022</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Numerator: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231F20"/>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231F20"/>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231F20"/>
              </w:rPr>
              <w:t>(23,030)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231F20"/>
              </w:rPr>
              <w:t>(15,339)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231F20"/>
              </w:rPr>
              <w:t>Denominator:</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460" w:type="dxa"/>
            <w:vAlign w:val="bottom"/>
          </w:tcPr>
          <w:p>
            <w:pPr>
              <w:ind w:left="100"/>
              <w:spacing w:after="0" w:line="201" w:lineRule="exact"/>
              <w:rPr>
                <w:sz w:val="20"/>
                <w:szCs w:val="20"/>
                <w:color w:val="auto"/>
              </w:rPr>
            </w:pPr>
            <w:r>
              <w:rPr>
                <w:rFonts w:ascii="Arial" w:cs="Arial" w:eastAsia="Arial" w:hAnsi="Arial"/>
                <w:sz w:val="18"/>
                <w:szCs w:val="18"/>
                <w:color w:val="231F20"/>
              </w:rPr>
              <w:t>Weighted average shares used to compute net loss per share attributable to</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46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231F20"/>
              </w:rPr>
              <w:t>common stockholders, basic and diluted</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
              <w:spacing w:after="0" w:line="203" w:lineRule="exact"/>
              <w:rPr>
                <w:sz w:val="20"/>
                <w:szCs w:val="20"/>
                <w:color w:val="auto"/>
              </w:rPr>
            </w:pPr>
            <w:r>
              <w:rPr>
                <w:rFonts w:ascii="Arial" w:cs="Arial" w:eastAsia="Arial" w:hAnsi="Arial"/>
                <w:sz w:val="18"/>
                <w:szCs w:val="18"/>
                <w:color w:val="231F20"/>
              </w:rPr>
              <w:t>39,834,619</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39,325,793</w:t>
            </w:r>
          </w:p>
        </w:tc>
      </w:tr>
      <w:tr>
        <w:trPr>
          <w:trHeight w:val="196"/>
        </w:trPr>
        <w:tc>
          <w:tcPr>
            <w:tcW w:w="6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rPr>
              <w:t>Net loss per share attributable to common stockholders, basic and diluted</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(0.58)</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(0.39)</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648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78"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231F20"/>
        </w:rPr>
        <w:t>Three Months Ended</w:t>
      </w:r>
    </w:p>
    <w:p>
      <w:pPr>
        <w:spacing w:after="0" w:line="19"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231F20"/>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-1905</wp:posOffset>
            </wp:positionV>
            <wp:extent cx="13716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231F20"/>
              </w:rPr>
              <w:t>2022</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231F20"/>
              </w:rPr>
              <w:t>2021</w:t>
            </w: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common stock</w:t>
            </w:r>
          </w:p>
        </w:tc>
        <w:tc>
          <w:tcPr>
            <w:tcW w:w="1080" w:type="dxa"/>
            <w:vAlign w:val="bottom"/>
            <w:shd w:val="clear" w:color="auto" w:fill="CCEEFF"/>
          </w:tcPr>
          <w:p>
            <w:pPr>
              <w:jc w:val="right"/>
              <w:ind w:right="114"/>
              <w:spacing w:after="0" w:line="196" w:lineRule="exact"/>
              <w:rPr>
                <w:sz w:val="20"/>
                <w:szCs w:val="20"/>
                <w:color w:val="auto"/>
              </w:rPr>
            </w:pPr>
            <w:r>
              <w:rPr>
                <w:rFonts w:ascii="Arial" w:cs="Arial" w:eastAsia="Arial" w:hAnsi="Arial"/>
                <w:sz w:val="18"/>
                <w:szCs w:val="18"/>
                <w:color w:val="231F20"/>
              </w:rPr>
              <w:t>443,867</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708,393</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231F20"/>
              </w:rPr>
              <w:t>Options to purchase common stock</w:t>
            </w:r>
          </w:p>
        </w:tc>
        <w:tc>
          <w:tcPr>
            <w:tcW w:w="1080" w:type="dxa"/>
            <w:vAlign w:val="bottom"/>
          </w:tcPr>
          <w:p>
            <w:pPr>
              <w:jc w:val="right"/>
              <w:ind w:right="114"/>
              <w:spacing w:after="0" w:line="202" w:lineRule="exact"/>
              <w:rPr>
                <w:sz w:val="20"/>
                <w:szCs w:val="20"/>
                <w:color w:val="auto"/>
              </w:rPr>
            </w:pPr>
            <w:r>
              <w:rPr>
                <w:rFonts w:ascii="Arial" w:cs="Arial" w:eastAsia="Arial" w:hAnsi="Arial"/>
                <w:sz w:val="18"/>
                <w:szCs w:val="18"/>
                <w:color w:val="231F20"/>
              </w:rPr>
              <w:t>8,368,353</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5,238,718</w:t>
            </w: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Employee stock purchase plan contingently issuable</w:t>
            </w:r>
          </w:p>
        </w:tc>
        <w:tc>
          <w:tcPr>
            <w:tcW w:w="108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231F20"/>
              </w:rPr>
              <w:t>110,877</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17,784</w:t>
            </w:r>
          </w:p>
        </w:tc>
      </w:tr>
      <w:tr>
        <w:trPr>
          <w:trHeight w:val="196"/>
        </w:trPr>
        <w:tc>
          <w:tcPr>
            <w:tcW w:w="6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231F20"/>
              </w:rPr>
              <w:t>8,923,097</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5,964,895</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Included in the potentially dilutive options to purchase common stock noted above are 211,621 shares issued upon exercise of options under non-recourse notes receivable during 2015 (see Note 7, “Stock-Based Compensation” in the Company’s Form 10-K as filed with the SEC on February 28, 2022). The Company determined the purchase of the stock to be non-substantive, and as such, the shares subject to the promissory notes will not be deemed outstanding until such time as the promissory notes have been repaid. As of December 31, 2020, all outstanding principal and accrued interest relating to the Non-Recourse Notes were settled in full by the two noteholders, and as a result, the Company issued 211,621 shares of common stock to the noteholders and included these shares in the basic and diluted net loss per share for three months ended March 31, 2021. Also included in the potentially dilutive options to purchase common stock are 39,609 unvested stock options that were early exercised by an employee and a non-employee in September 2020 (see Note 7, “Stock-Based Compensation”). The Company determined the early exercises to be non-substantive as the shares were subject to repurchase rights. Accordingly, the Company has excluded these shares from the calculation of basic and diluted net loss per share for the three months ended March 31, 2022 and 2021.</w:t>
      </w:r>
    </w:p>
    <w:p>
      <w:pPr>
        <w:spacing w:after="0" w:line="203"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Lease</w:t>
      </w:r>
    </w:p>
    <w:p>
      <w:pPr>
        <w:spacing w:after="0" w:line="21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Company leases certain of its facilities under non-cancellable operating leases expiring at various dates through 2026.</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June 1, 2013, the Company entered into a management services agreement with MandalMed, Inc. (“MandalMed”) (the “MandalMed Services Agreement”) to have access to and use a portion of approximately 5,762 square feet of space for the use of laboratory benches, lab equipment, office space, and administrative and facilities services. The Company subsequently entered into six amendments to extend the lease term to November 2023. As part of the sixth amendment, the Company leased additional space of approximately 2,130 square feet (the “Additional Space”) for a three year period commencing on December 1, 2020 and ending 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November 30, 2023. According to the terms of the MandalMed Services Agreement, the Company paid a security deposit of less than $0.1 million and is required to pay monthly rent and common area charges.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In April 2022, the Company extended the Office Space Lease Agreement up to August 31, 2023 and has one year renewal option to extend the term up to August 31, 2024. According to the terms of the Office Space Lease Agreement, the Company paid a $0.1 million security deposit and is required to pay monthly rent and common area charges.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total lease expense during the three months ended March 31, 2022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Three Months Ended March 31</w:t>
            </w:r>
          </w:p>
        </w:tc>
      </w:tr>
      <w:tr>
        <w:trPr>
          <w:trHeight w:val="175"/>
        </w:trPr>
        <w:tc>
          <w:tcPr>
            <w:tcW w:w="64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231F20"/>
              </w:rPr>
              <w:t>2022</w:t>
            </w: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Straight-line operating lease expense</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64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28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 summarizes supplemental cash flow information during the three months ended March 31, 2022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Three Months Ended March 31</w:t>
            </w:r>
          </w:p>
        </w:tc>
      </w:tr>
      <w:tr>
        <w:trPr>
          <w:trHeight w:val="175"/>
        </w:trPr>
        <w:tc>
          <w:tcPr>
            <w:tcW w:w="58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231F20"/>
              </w:rPr>
              <w:t>2022</w:t>
            </w:r>
          </w:p>
        </w:tc>
      </w:tr>
      <w:tr>
        <w:trPr>
          <w:trHeight w:val="183"/>
        </w:trPr>
        <w:tc>
          <w:tcPr>
            <w:tcW w:w="58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Cash paid for amounts included measurement of lease liabilities:</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203"/>
        </w:trPr>
        <w:tc>
          <w:tcPr>
            <w:tcW w:w="582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86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March 31,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133985</wp:posOffset>
            </wp:positionV>
            <wp:extent cx="5648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Years Ended December 31,</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6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2022 (from April 2022)</w:t>
            </w:r>
          </w:p>
        </w:tc>
        <w:tc>
          <w:tcPr>
            <w:tcW w:w="4500" w:type="dxa"/>
            <w:vAlign w:val="bottom"/>
            <w:tcBorders>
              <w:top w:val="single" w:sz="8" w:color="auto"/>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w:t>
            </w:r>
          </w:p>
        </w:tc>
        <w:tc>
          <w:tcPr>
            <w:tcW w:w="20" w:type="dxa"/>
            <w:vAlign w:val="bottom"/>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20" w:type="dxa"/>
            <w:vAlign w:val="bottom"/>
          </w:tcPr>
          <w:p>
            <w:pPr>
              <w:spacing w:after="0"/>
              <w:rPr>
                <w:sz w:val="17"/>
                <w:szCs w:val="17"/>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4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20" w:type="dxa"/>
            <w:vAlign w:val="bottom"/>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20" w:type="dxa"/>
            <w:vAlign w:val="bottom"/>
          </w:tcPr>
          <w:p>
            <w:pPr>
              <w:spacing w:after="0"/>
              <w:rPr>
                <w:sz w:val="17"/>
                <w:szCs w:val="17"/>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4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r>
      <w:tr>
        <w:trPr>
          <w:trHeight w:val="203"/>
        </w:trPr>
        <w:tc>
          <w:tcPr>
            <w:tcW w:w="36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4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3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4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3,515</w:t>
            </w:r>
          </w:p>
        </w:tc>
        <w:tc>
          <w:tcPr>
            <w:tcW w:w="20" w:type="dxa"/>
            <w:vAlign w:val="bottom"/>
          </w:tcPr>
          <w:p>
            <w:pPr>
              <w:spacing w:after="0"/>
              <w:rPr>
                <w:sz w:val="17"/>
                <w:szCs w:val="17"/>
                <w:color w:val="auto"/>
              </w:rPr>
            </w:pPr>
          </w:p>
        </w:tc>
      </w:tr>
      <w:tr>
        <w:trPr>
          <w:trHeight w:val="203"/>
        </w:trPr>
        <w:tc>
          <w:tcPr>
            <w:tcW w:w="36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Interest</w:t>
            </w:r>
          </w:p>
        </w:tc>
        <w:tc>
          <w:tcPr>
            <w:tcW w:w="4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w:t>
            </w:r>
          </w:p>
        </w:tc>
        <w:tc>
          <w:tcPr>
            <w:tcW w:w="20" w:type="dxa"/>
            <w:vAlign w:val="bottom"/>
          </w:tcPr>
          <w:p>
            <w:pPr>
              <w:spacing w:after="0"/>
              <w:rPr>
                <w:sz w:val="17"/>
                <w:szCs w:val="17"/>
                <w:color w:val="auto"/>
              </w:rPr>
            </w:pPr>
          </w:p>
        </w:tc>
      </w:tr>
      <w:tr>
        <w:trPr>
          <w:trHeight w:val="196"/>
        </w:trPr>
        <w:tc>
          <w:tcPr>
            <w:tcW w:w="3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liabilities at present value</w:t>
            </w:r>
          </w:p>
        </w:tc>
        <w:tc>
          <w:tcPr>
            <w:tcW w:w="4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3,041</w:t>
            </w:r>
          </w:p>
        </w:tc>
        <w:tc>
          <w:tcPr>
            <w:tcW w:w="20" w:type="dxa"/>
            <w:vAlign w:val="bottom"/>
          </w:tcPr>
          <w:p>
            <w:pPr>
              <w:spacing w:after="0"/>
              <w:rPr>
                <w:sz w:val="17"/>
                <w:szCs w:val="17"/>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4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r>
      <w:tr>
        <w:trPr>
          <w:trHeight w:val="216"/>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45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3680" w:type="dxa"/>
            <w:vAlign w:val="bottom"/>
          </w:tcPr>
          <w:p>
            <w:pPr>
              <w:spacing w:after="0"/>
              <w:rPr>
                <w:sz w:val="24"/>
                <w:szCs w:val="24"/>
                <w:color w:val="auto"/>
              </w:rPr>
            </w:pPr>
          </w:p>
        </w:tc>
        <w:tc>
          <w:tcPr>
            <w:tcW w:w="4100" w:type="dxa"/>
            <w:vAlign w:val="bottom"/>
          </w:tcPr>
          <w:p>
            <w:pPr>
              <w:jc w:val="right"/>
              <w:ind w:right="313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6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lease term and discount rate as of March 31, 2022:</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Three Months Ended March 31</w:t>
            </w:r>
          </w:p>
        </w:tc>
      </w:tr>
      <w:tr>
        <w:trPr>
          <w:trHeight w:val="175"/>
        </w:trPr>
        <w:tc>
          <w:tcPr>
            <w:tcW w:w="660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231F20"/>
              </w:rPr>
              <w:t>2022</w:t>
            </w: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2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w:t>
            </w:r>
          </w:p>
        </w:tc>
      </w:tr>
      <w:tr>
        <w:trPr>
          <w:trHeight w:val="203"/>
        </w:trPr>
        <w:tc>
          <w:tcPr>
            <w:tcW w:w="66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Weighted-average discount rate</w:t>
            </w:r>
          </w:p>
        </w:tc>
        <w:tc>
          <w:tcPr>
            <w:tcW w:w="2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8.65%</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 Commitments and Contingencies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(the “Novartis Agreement”). The collaboration is focused on the evaluation of the safety, tolerability and efficacy of OP-1250 in combination with Novartis’ proprietary CDK4/6 inhibitor Kisqali® (ribociclib) and/or Novartis’ proprietary phosphatidylinositol 3-kinase inhibitor Piqray® (alpelisib) (collectively the “Novartis Study Drugs”) as part of the Company’s planned Phase 1b clinical trial of OP-1250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20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For the three months ended March 31, 2022, costs incurred reimbursable by Novartis were not material to the condensed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 Agreement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20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condensed consolidated statements of operations and comprehensive loss for the three months ended March 31, 2022 and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Services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March 31, 2022, the Company did not have material contractual commitments with respect to these arrangements.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Contingencies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March 31, 2022 and December 31, 2021, the Company had not incurred any material costs as a result of such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2021 filed with the U.S. Securities and Exchange Commission, or the SEC, on February 28, 2022, or our Annual Report on Form 10-K.</w:t>
      </w:r>
    </w:p>
    <w:p>
      <w:pPr>
        <w:spacing w:after="0" w:line="18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OP-1250, is a novel oral therapy with combined activity as both a complete ER antagonist, or CERAN, and a selective ER degrader, or SERD, which we believe will drive deeper, more durable responses than existing therapies. OP-1250, both as a monotherapy and in combination with inhibitors of cyclin-dependent kinase 4 and 6, or CDK4/6, demonstrated robust tumor shrinkage in several xenograft models, including a breast cancer brain metastasis model. In August 2020, we initiated an ongoing Phase 1/2 dose escalation and expansion trial evaluating OP-1250 for the treatment of recurrent, locally advanced or metastatic ER-positive, or ER+, human epidermal growth factor receptor 2-negative, or HER2-, breast cancer. We reported initial data from the Phase 1 dose escalation portion of this trial in November 2021, which provide proof-of-concept for OP-1250 as a monotherapy treatment for ER+/HER2- breast cancer. We are continuing to enroll patients in the dose expansion phase of our ongoing Phase 1/2 trial and expect to report updated clinical results in 2022. We have also initiated a Phase 1b dose escalation trial evaluating OP-1250 in combination with palbociclib for the treatment of recurrent, locally advanced or metastatic ER-positive, or ER+, human epidermal growth factor receptor 2-negative, or HER2-, breast cancer. We own worldwide development and commercialization rights to OP-1250.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our deep understanding and collective expertise in endocrine-driven cancers, nuclear receptor activities and mechanisms of acquired resistance.</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March 31, 2022, we had cash, cash equivalents, and marketable securities of $267.9 million. Based on our current operating plan, we believe that our existing cash and cash equivalents will be sufficient to fund our planned operating expenses and capital expenditure requirements into 2024.</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$23.0 million and $15.3 million for the three months ended March 31, 2022 and 2021, respectively, and we expect to incur significant and increasing losses for the foreseeable future as we continue to advance our product candidate, and as we continue to operate as a public company. Our net losses may fluctuate significantly from period to period, depending on the timing of expenditures on our research and development activities. As of March 31, 2022, we had an accumulated deficit of $127.2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205" w:lineRule="exact"/>
        <w:rPr>
          <w:sz w:val="20"/>
          <w:szCs w:val="20"/>
          <w:color w:val="auto"/>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continue our ongoing and planned research and development of our lead product candidate OP-1250 for the treatment of ER+ positive breast cancer;</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initiate nonclinical studies and clinical trials for any additional product candidates that we may pursue in the future;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acquire or in-license other product candidates and technologies;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expand our operations in the United States and to other geographies;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COVID-19 pandemic continues to rapidly evolve. As a result of the COVID-19 pandemic, we experienced some delays in setting up our current Phase 1/2 clinical trial and in clinical site initiation, including delays in recruiting clinical site investigators and clinical site staff, which we may experience again in the future. The extent of the impact of the COVID-19 pandemic on our business, operations and development timelines and plans remains uncertain, and will depend on certain developments, including the duration of the outbreak and its impact on our development activities, planned clinical trial enrollment, future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with many of our employees working remotely. We continue to actively monitor the rapidly evolving situation related to the COVID-19 pandemic and may take further actions that alter our operations, including those that may be required by federal, state or local authorities, or that we determine are in the best interests of our employees and other third parties with whom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business. During 2021, although we modified our operations and practices due to the COVID-19 pandemic and to comply with federal, state and local requirements, our business, operations and development timelines were not material adversely affected. In October 2021, we re-opened our offices to administrative employees, however due to the resurgence of cases relating to the spread of the Delta and Omicron variants, we continued to limit access to its offices. In March 2022, we fully re-opened our offices to all employees and continue to comply with protocols implemented by respective health authorities. We continue to monitor developments related to COVID-19 and may close its offices again in the future as the COVID-19 pandemic continues to evolve. The extent to which the COVID-19 pandemic may affect our business, operations and development timelines and plans in the future, including the resulting impact on our expenditures and capital needs, remains uncertain.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have been no significant changes in our critical accounting policies and estimates disclosed in our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CROs;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costs of manufacturing products for use in our nonclinical studies and clinical trials, including payments to CMOs and consultants;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costs of funding research performed by third parties;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facility costs including rent, depreciation and maintenance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Research and development expenses to advance the development of our lead product candidate and nonclinical program were $16.0 million and $10.7 million for the three months ended March 31, 2022 and 2021, respectively.</w:t>
      </w:r>
    </w:p>
    <w:p>
      <w:pPr>
        <w:spacing w:after="0" w:line="203"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200" w:lineRule="exact"/>
        <w:rPr>
          <w:sz w:val="20"/>
          <w:szCs w:val="20"/>
          <w:color w:val="auto"/>
        </w:rPr>
      </w:pPr>
    </w:p>
    <w:p>
      <w:pPr>
        <w:spacing w:after="0" w:line="212"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receipt of regulatory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our ability to establish licensing or collaboration arrangements;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performance of our future collaborators, if any;</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maintaining a continued acceptable safety profiles of our products following approval;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obtaining and retaining key research and development personnel.</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our general and administrative expenses will increase substantially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ongoing financial statement audit and interim-period quarterly reviews, internal control over financial reporting compliance and audit,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Total other income consists of interest income and other income (expense). Interest income primarily consists of interest income on our cash equivalents and marketable securities. Other income (expense) consists of miscellaneous income (expense) not related to operating activities.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2022 and 2021</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2022 and 2021:</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6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6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16,009</w:t>
            </w:r>
          </w:p>
        </w:tc>
        <w:tc>
          <w:tcPr>
            <w:tcW w:w="3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10,692</w:t>
            </w:r>
          </w:p>
        </w:tc>
        <w:tc>
          <w:tcPr>
            <w:tcW w:w="2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5,317</w:t>
            </w:r>
          </w:p>
        </w:tc>
        <w:tc>
          <w:tcPr>
            <w:tcW w:w="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7,245</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4,758</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2,487</w:t>
            </w:r>
          </w:p>
        </w:tc>
        <w:tc>
          <w:tcPr>
            <w:tcW w:w="20" w:type="dxa"/>
            <w:vAlign w:val="bottom"/>
          </w:tcPr>
          <w:p>
            <w:pPr>
              <w:spacing w:after="0"/>
              <w:rPr>
                <w:sz w:val="17"/>
                <w:szCs w:val="17"/>
                <w:color w:val="auto"/>
              </w:rPr>
            </w:pPr>
          </w:p>
        </w:tc>
      </w:tr>
      <w:tr>
        <w:trPr>
          <w:trHeight w:val="196"/>
        </w:trPr>
        <w:tc>
          <w:tcPr>
            <w:tcW w:w="56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23,254</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15,450</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7,804</w:t>
            </w:r>
          </w:p>
        </w:tc>
        <w:tc>
          <w:tcPr>
            <w:tcW w:w="20" w:type="dxa"/>
            <w:vAlign w:val="bottom"/>
          </w:tcPr>
          <w:p>
            <w:pPr>
              <w:spacing w:after="0"/>
              <w:rPr>
                <w:sz w:val="17"/>
                <w:szCs w:val="17"/>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(23,254)</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(15,450)</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(7,804)</w:t>
            </w:r>
          </w:p>
        </w:tc>
        <w:tc>
          <w:tcPr>
            <w:tcW w:w="20" w:type="dxa"/>
            <w:vAlign w:val="bottom"/>
          </w:tcPr>
          <w:p>
            <w:pPr>
              <w:spacing w:after="0"/>
              <w:rPr>
                <w:sz w:val="17"/>
                <w:szCs w:val="17"/>
                <w:color w:val="auto"/>
              </w:rPr>
            </w:pPr>
          </w:p>
        </w:tc>
      </w:tr>
      <w:tr>
        <w:trPr>
          <w:trHeight w:val="196"/>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r>
      <w:tr>
        <w:trPr>
          <w:trHeight w:val="203"/>
        </w:trPr>
        <w:tc>
          <w:tcPr>
            <w:tcW w:w="56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r>
      <w:tr>
        <w:trPr>
          <w:trHeight w:val="196"/>
        </w:trPr>
        <w:tc>
          <w:tcPr>
            <w:tcW w:w="56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income</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224</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111</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20" w:type="dxa"/>
            <w:vAlign w:val="bottom"/>
          </w:tcPr>
          <w:p>
            <w:pPr>
              <w:spacing w:after="0"/>
              <w:rPr>
                <w:sz w:val="17"/>
                <w:szCs w:val="17"/>
                <w:color w:val="auto"/>
              </w:rPr>
            </w:pPr>
          </w:p>
        </w:tc>
      </w:tr>
      <w:tr>
        <w:trPr>
          <w:trHeight w:val="196"/>
        </w:trPr>
        <w:tc>
          <w:tcPr>
            <w:tcW w:w="56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(23,030)</w:t>
            </w:r>
          </w:p>
        </w:tc>
        <w:tc>
          <w:tcPr>
            <w:tcW w:w="36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(15,339)</w:t>
            </w:r>
          </w:p>
        </w:tc>
        <w:tc>
          <w:tcPr>
            <w:tcW w:w="2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(7,691)</w:t>
            </w:r>
          </w:p>
        </w:tc>
        <w:tc>
          <w:tcPr>
            <w:tcW w:w="20" w:type="dxa"/>
            <w:vAlign w:val="bottom"/>
            <w:tcBorders>
              <w:bottom w:val="single" w:sz="8" w:color="auto"/>
            </w:tcBorders>
          </w:tcPr>
          <w:p>
            <w:pPr>
              <w:spacing w:after="0"/>
              <w:rPr>
                <w:sz w:val="17"/>
                <w:szCs w:val="17"/>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for the three months ended March 31, 2022 were $16.0 million, compared to $10.7 million for the three months ended March 31, 2021. The increase of $5.3 million was primarily due to increased spending in (i) advancing the clinical study for our lead product candidate OP-1250 and the associated contract manufacturing costs, (ii) other nonclinical research and discovery program costs, and (iii) personnel-related costs due to increased headcount, including non-cash stock-based compensation expenses increase of $1.3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General and administrative expenses for the three months ended March 31, 2022 were $ 7.2 million compared to $4.8 million for the three months ended March 31, 2021. The increase of $2.5 million was primarily due to higher personnel-related expenses, including non-cash stock-based compensation expenses increase of $0.4 million, and other corporate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Other income for the three months ended March 31, 2022 was $0.2 million, which primarily consisted of interest income from our marketable securities.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Liquidity and capital resources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$23.0 million and $15.3 million for the three months ended March 31, 2022 and 2021, respectively. Through March 31, 2022, we had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received aggregate gross proceeds of $392.7 million from sales of our common stock, convertible preferred stock and issuance of convertible promissory notes, stock option exercises, and the sale of stock through the ESPP.</w:t>
      </w:r>
    </w:p>
    <w:p>
      <w:pPr>
        <w:spacing w:after="0" w:line="203"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As of March 31, 2022, we had $267.9 million in cash, cash equivalents and marketable securities. As of March 31, 2022, we had accumulated deficit of $127.2 million. We had no debt outstanding as of March 31, 2022.</w:t>
      </w:r>
    </w:p>
    <w:p>
      <w:pPr>
        <w:spacing w:after="0" w:line="200" w:lineRule="exact"/>
        <w:rPr>
          <w:sz w:val="20"/>
          <w:szCs w:val="20"/>
          <w:color w:val="auto"/>
        </w:rPr>
      </w:pPr>
    </w:p>
    <w:p>
      <w:pPr>
        <w:spacing w:after="0" w:line="21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nonclinical and clinical development of OP-1250.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currently have no financing commitments, such as lines of credit or guarantees, that are expected to affect our liquidity over the next five years.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our existing cash, cash equivalents, and marketable securities will enable us to fund our operating expenses and capital expenditure requirements into 2024 at which point we would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202"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costs, timing and outcome of regulatory review of our product candidate;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3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600" w:type="dxa"/>
            <w:vAlign w:val="bottom"/>
            <w:tcBorders>
              <w:top w:val="single" w:sz="8" w:color="auto"/>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5"/>
                <w:szCs w:val="15"/>
                <w:color w:val="auto"/>
              </w:rPr>
            </w:pPr>
          </w:p>
        </w:tc>
      </w:tr>
      <w:tr>
        <w:trPr>
          <w:trHeight w:val="156"/>
        </w:trPr>
        <w:tc>
          <w:tcPr>
            <w:tcW w:w="43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(in thousands)</w:t>
            </w:r>
          </w:p>
        </w:tc>
        <w:tc>
          <w:tcPr>
            <w:tcW w:w="17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(17,903)</w:t>
            </w:r>
          </w:p>
        </w:tc>
        <w:tc>
          <w:tcPr>
            <w:tcW w:w="4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(11,084)</w:t>
            </w:r>
          </w:p>
        </w:tc>
        <w:tc>
          <w:tcPr>
            <w:tcW w:w="20" w:type="dxa"/>
            <w:vAlign w:val="bottom"/>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25,567</w:t>
            </w: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(279,584)</w:t>
            </w:r>
          </w:p>
        </w:tc>
        <w:tc>
          <w:tcPr>
            <w:tcW w:w="20" w:type="dxa"/>
            <w:vAlign w:val="bottom"/>
          </w:tcPr>
          <w:p>
            <w:pPr>
              <w:spacing w:after="0"/>
              <w:rPr>
                <w:sz w:val="17"/>
                <w:szCs w:val="17"/>
                <w:color w:val="auto"/>
              </w:rPr>
            </w:pPr>
          </w:p>
        </w:tc>
      </w:tr>
      <w:tr>
        <w:trPr>
          <w:trHeight w:val="203"/>
        </w:trPr>
        <w:tc>
          <w:tcPr>
            <w:tcW w:w="4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7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33</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43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Net increase (decrease) in cash and cash equivalents</w:t>
            </w:r>
          </w:p>
        </w:tc>
        <w:tc>
          <w:tcPr>
            <w:tcW w:w="1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7,697</w:t>
            </w:r>
          </w:p>
        </w:tc>
        <w:tc>
          <w:tcPr>
            <w:tcW w:w="4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(290,668)</w:t>
            </w:r>
          </w:p>
        </w:tc>
        <w:tc>
          <w:tcPr>
            <w:tcW w:w="20" w:type="dxa"/>
            <w:vAlign w:val="bottom"/>
          </w:tcPr>
          <w:p>
            <w:pPr>
              <w:spacing w:after="0"/>
              <w:rPr>
                <w:sz w:val="17"/>
                <w:szCs w:val="17"/>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1720" w:type="dxa"/>
            <w:vAlign w:val="bottom"/>
          </w:tcPr>
          <w:p>
            <w:pPr>
              <w:jc w:val="right"/>
              <w:ind w:right="139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in the three months ended March 31, 2022 consisted primarily of our net loss of $ 23.0 million, offset by non-cash charges of $5.1 million and a net increase in net operating assets and liabilities of $ 0.1 million. The net loss consisted primarily of $ 16.0 million in research and development expenses and $7.2 million in general and administrative expenses. The non-cash charges consisted primarily of stock-based compensation of $5.0 million and depreciation and amortization expenses of $0.1 million, and non-cash lease expense of less than $0.1 million, net of cash payments of $0.3 million. The net increase in operating assets and liabilities was primarily due to (i) a net decrease of $0.2 million in prepaid expenses and other current assets and (ii) an increase of $0.2 million in accounts payable, which is primarily a result of timing of invoice payment. The changes are partially offset by (i) a net increase of $0.2 million in other assets and (ii) a net decrease of $0.1 million in other current liabilities.</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in the three months ended March 31, 2021 consisted primarily of our net loss of $15.3 million, partially offset by non-cash charges of $3.3 million and a net change of $1.0 million in net operating assets and liabilities. The net loss consisted primarily of $10.7 million in research and development expenses and $4.8 million in general and administrative expenses. The non-cash charges consisted primarily of stock-based compensation of $3.2 million and depreciation and amortization expenses of $0.1 million, primarily related to premium amortization on our marketable securities. The change in operating assets and liabilities was primarily due to an increase of $1.0 million in other current liabilities, primarily related to the increased spending in contract manufacturing expenses as a result of our continued advancement of our lead product program. The increase is partially offset by a decrease of $0.3 million in accounts payable, primarily as a result of timing of invoice payment, and a decrease in prepaid expenses and other current assets of $0.3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Net cash provided by investing activities in the three-month ended March 31, 2022 was predominately due to maturities of marketable securities which was offset by purchase of marketable securities.</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Net cash used in investing activities in the three-month ended March 31, 2021 was predominately due to purchases of marketable securities which was financed through the use of proceeds from the IPO and convertible preferred stock sale.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Net cash provided by financing activities during the three months ended March 31, 2022 represents less than $0.1 million from the exercise of stock options.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financing activities during the three months ended March 31, 2021.</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Refer to Note 10 of our notes to the Company’s condensed consolidated financial statements contained in this Quarterly Report on Form 10-Q for further information. There have been no significant changes outside the ordinary course of business during the three months ended March 31, 2022 to our commitments and contingencies disclosed in “Management’s Discussion and Analysis of Financial Condition and Results of Operations” included in our Annual Report on Form 10-K for the year ended December 31, 2021 filed on February 28, 2022 with the SEC.</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three months ended March 31, 2022, there were no material changes to our critical accounting policies as reported in our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During the three months ended March 31, 2022, there were no material changes to our market risk disclosures reported in our Annual Report on Form 10-K.</w:t>
      </w:r>
    </w:p>
    <w:p>
      <w:pPr>
        <w:spacing w:after="0" w:line="17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March 31, 2022,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2022, the design and operation of our disclosure controls and procedures were effective at a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three months ended March 31, 2022 that has materially affected, or is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to the design and operating effectiveness of our internal controls.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spacing w:after="0" w:line="189" w:lineRule="exact"/>
        <w:rPr>
          <w:sz w:val="20"/>
          <w:szCs w:val="20"/>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not completed any clinical trials and have no products approved for commercial sale, which may make it difficult for you to evaluate our current business and predict our future success and viability.</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 approval for OP-1250. In addition, we may be unable to continue as a going concern over the long term.</w:t>
      </w:r>
    </w:p>
    <w:p>
      <w:pPr>
        <w:spacing w:after="0" w:line="3"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obtain U.S. or foreign regulatory approvals and, as a result, may be unable to commercialize OP-1250 or any future product candidate we may develop.</w:t>
      </w:r>
    </w:p>
    <w:p>
      <w:pPr>
        <w:spacing w:after="0" w:line="1"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nonclinical studies and clinical trials.</w:t>
      </w:r>
    </w:p>
    <w:p>
      <w:pPr>
        <w:spacing w:after="0" w:line="1"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6"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3"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p>
      <w:pPr>
        <w:spacing w:after="0" w:line="2"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including independent clinical investigators and contract research organizations, or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not completed any clinical trials and have no products approved for commercial sale, which may make it difficult for you to evaluate our current business and predict our future success and viability.</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initiating a Phase 1/2 clinical trial of OP-1250.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adequately address these risks and difficulties or successfully make such a transition, our business, financial condition, results of operations and prospects will be significantly harmed.</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OP-1250. With only one product candidate in development, we anticipate incurring significant costs associated with the development of OP-1250. Our expenses could increase beyond expectations if we are required by the U.S. Food and Drug Administration, or the FDA, the European Medicines Agency, or the EMA, or other regulatory agencies to perform clinical trials or nonclinical studies in addition to those that we currently anticipate. Other unanticipated costs may also arise. In addition, if we obtain marketing approval for OP-1250,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spacing w:after="0" w:line="20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of March 31, 2022, we had $267.9 million in cash, cash equivalents, and marketable securities. Based on our current operating plans, we believe that our existing cash and cash equivalents, will be sufficient to fund our operating expenses and capital expenditures requirements into 2024. Our estimate as to how long we expect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the COVID-19 pandemic and the macro-economic environment generally. Advancing the development of OP-1250 and any future product candidates we may develop will require a significant amount of capital, and our existing cash and cash equivalents will not be sufficient to fund all of the activities that are necessary to complete the development of OP-1250.</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8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our initial public offering and private financings. We have incurred net losses of $23.0 million for the three months ended March 31, 2022. We had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 accumulated deficit of $127.2 million as of March 31, 2022.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continue to incur increased expenses and operating losses for the foreseeable future as we continue our research and development efforts and seek to obtain regulatory approval for OP-1250.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9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condensed consolidated financial statements for the three months ended March 31, 2022 and 2021 included elsewhere in this report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long-term.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3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90" w:lineRule="exact"/>
        <w:rPr>
          <w:sz w:val="20"/>
          <w:szCs w:val="20"/>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completing clinical and nonclinical development of product candidates and programs and identifying and developing new product candidates;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addressing any competing technological and market developments;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attracting, hiring and retaining qualified personnel.</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OP 1250, our only product candidate. We expect that a substantial portion of our efforts and expenses over the next several years will be devoted to the development of OP 1250 in our ongoing clinical trials in multiple indications. We are investing significant efforts and financial resources in the research and development of OP 1250. OP 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 1250 before we receive marketing approval from the FDA and comparable foreign regulatory authorities, and we may never receive such marketing approvals. Should our planned clinical development of OP 1250 in our lead indications fail to be completed in a timely manner or at all, we will need to rely on our ongoing and planned clinical development of OP 1250 in additional indications, which will require more time and resources to obtain regulatory approval and proceed with commercialization, and may ultimately be unsuccessful.</w:t>
      </w:r>
    </w:p>
    <w:p>
      <w:pPr>
        <w:spacing w:after="0" w:line="203" w:lineRule="exact"/>
        <w:rPr>
          <w:sz w:val="20"/>
          <w:szCs w:val="20"/>
          <w:color w:val="auto"/>
        </w:rPr>
      </w:pPr>
    </w:p>
    <w:p>
      <w:pPr>
        <w:ind w:left="60" w:right="79"/>
        <w:spacing w:after="0" w:line="247" w:lineRule="auto"/>
        <w:rPr>
          <w:sz w:val="20"/>
          <w:szCs w:val="20"/>
          <w:color w:val="auto"/>
        </w:rPr>
      </w:pPr>
      <w:r>
        <w:rPr>
          <w:rFonts w:ascii="Arial" w:cs="Arial" w:eastAsia="Arial" w:hAnsi="Arial"/>
          <w:sz w:val="17"/>
          <w:szCs w:val="17"/>
          <w:color w:val="auto"/>
        </w:rPr>
        <w:t>We cannot assure you that our planned clinical development programs for OP 1250 will be completed in a timely manner, or at all, or that we will be able to obtain approval for OP 1250 from the FDA, European Commission (based on the positive opinion of the Committee for Medicinal Products for Human Use of the EMA</w:t>
      </w:r>
    </w:p>
    <w:p>
      <w:pPr>
        <w:spacing w:after="0" w:line="1" w:lineRule="exact"/>
        <w:rPr>
          <w:sz w:val="20"/>
          <w:szCs w:val="20"/>
          <w:color w:val="auto"/>
        </w:rPr>
      </w:pPr>
    </w:p>
    <w:p>
      <w:pPr>
        <w:jc w:val="both"/>
        <w:ind w:left="60" w:right="79"/>
        <w:spacing w:after="0" w:line="241" w:lineRule="auto"/>
        <w:rPr>
          <w:sz w:val="20"/>
          <w:szCs w:val="20"/>
          <w:color w:val="auto"/>
        </w:rPr>
      </w:pPr>
      <w:r>
        <w:rPr>
          <w:rFonts w:ascii="Arial" w:cs="Arial" w:eastAsia="Arial" w:hAnsi="Arial"/>
          <w:sz w:val="18"/>
          <w:szCs w:val="18"/>
          <w:color w:val="auto"/>
        </w:rPr>
        <w:t>and commonly referred to as EMA approval</w:t>
      </w:r>
      <w:r>
        <w:rPr>
          <w:rFonts w:ascii="Arial" w:cs="Arial" w:eastAsia="Arial" w:hAnsi="Arial"/>
          <w:sz w:val="21"/>
          <w:szCs w:val="21"/>
          <w:color w:val="auto"/>
        </w:rPr>
        <w:t>)</w:t>
      </w:r>
      <w:r>
        <w:rPr>
          <w:rFonts w:ascii="Arial" w:cs="Arial" w:eastAsia="Arial" w:hAnsi="Arial"/>
          <w:sz w:val="18"/>
          <w:szCs w:val="18"/>
          <w:color w:val="auto"/>
        </w:rPr>
        <w:t>, or any comparable foreign regulatory authority. If we are unable to complete development of, obtain regulatory approval for and commercialize OP 1250 in one or more indications and in a timely manner, our business, financial condition, results of operations and prospects will be significantly harmed.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20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early clinical trials of OP 1250 and any future product candidates we may develop may not be predictive of the results of subsequent clinical trials. We have a limited operating history and to date have not demonstrated our ability to complete large scale clinical trials.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 1250 or product candidates we may develop in the future may also be undergoing surgical, radiation and chemotherapy treatments and may be using other approved products or investigational new drugs, which can cause side effects or adverse events that are unrelated to OP 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 1250 or any future product candidates we may develop.</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do not know whether our current clinical trial of OP 1250 or any future clinical trials we may conduct will demonstrate consistent or adequate efficacy and safety to obtain regulatory approval to market OP 1250 or any future product candidates we may develop. Most product candidates that begin clinical trials are never approved by regulatory authorities for commercialization. If we are unable to bring OP 1250 or any future product candidates to market, our ability to create long-term shareholder value will be limited.</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rely in part on nonclinical, clinical and quality data generated by contract research organizations, or CROs, and other third parties for regulatory submissions for OP 1250.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 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 1250 or any future product candidates we may develop. Even if regulatory approval is secured for OP 1250, the terms of such approval may limit the scope and use of OP 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 1250, including and any other indication we are seeking for approval under OP 1250.</w:t>
      </w:r>
    </w:p>
    <w:p>
      <w:pPr>
        <w:spacing w:after="0" w:line="19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Applications for OP-1250 could fail to receive regulatory approval for many reasons, including the following:</w:t>
      </w:r>
    </w:p>
    <w:p>
      <w:pPr>
        <w:spacing w:after="0" w:line="212" w:lineRule="exact"/>
        <w:rPr>
          <w:sz w:val="20"/>
          <w:szCs w:val="20"/>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96" w:lineRule="exact"/>
        <w:rPr>
          <w:rFonts w:ascii="Arial" w:cs="Arial" w:eastAsia="Arial" w:hAnsi="Arial"/>
          <w:sz w:val="18"/>
          <w:szCs w:val="18"/>
          <w:color w:val="231F20"/>
        </w:rPr>
      </w:pPr>
    </w:p>
    <w:p>
      <w:pPr>
        <w:jc w:val="both"/>
        <w:ind w:left="720" w:right="79" w:hanging="319"/>
        <w:spacing w:after="0" w:line="238"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determine that OP 1250 is not safe and effective, only moderately effective or have undesirable or unintended side effects, toxicities or other characteristics that preclude our obtaining marketing approval or prevent or limit commercial use;</w:t>
      </w:r>
    </w:p>
    <w:p>
      <w:pPr>
        <w:spacing w:after="0" w:line="204"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disagree with our interpretation of data from nonclinical studies or clinical trials;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data collected from clinical trials of OP 1250 may not be sufficient to support the submission of a NDA, or other submission or to obtain regulatory approval in the United States or elsewhere;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we may be unable to demonstrate to the FDA, EMA or other comparable foreign regulatory authorities that OP- 1250’s risk-benefit ratio for its proposed indication is acceptable;</w:t>
      </w:r>
    </w:p>
    <w:p>
      <w:pPr>
        <w:spacing w:after="0" w:line="196" w:lineRule="exact"/>
        <w:rPr>
          <w:rFonts w:ascii="Arial" w:cs="Arial" w:eastAsia="Arial" w:hAnsi="Arial"/>
          <w:sz w:val="18"/>
          <w:szCs w:val="18"/>
          <w:color w:val="231F20"/>
        </w:rPr>
      </w:pPr>
    </w:p>
    <w:p>
      <w:pPr>
        <w:jc w:val="both"/>
        <w:ind w:left="720" w:right="79"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OP 1250, which would significantly harm our business, financial condition, results of operations and prospects.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even if we obtain approval of OP 1250 for a lead indication, regulatory authorities may not approve OP 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 1250 with a label that does not include the labeling claims necessary or desirable for successful. In addition, regulatory authorities in certain countries may not approve the price we intend to charge for the product we develop. If we are unable to obtain regulatory approval of OP 1250, or if regulatory approval is limited, our business, financial condition, results of operation and prospects will be significantly harmed.</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experience delays in clinical trials of OP 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205" w:lineRule="exact"/>
        <w:rPr>
          <w:sz w:val="20"/>
          <w:szCs w:val="20"/>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FDA, EMA or comparable foreign regulatory authorities disagreeing as to the design or implementation of our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obtaining approval from one or more institutional review boards, or IRBs;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IRBs refusing to approve, suspending or terminating the trial at an investigational site, precluding enrollment of additional subjects, or withdrawing their approval of the trial;</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changes to clinical trial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clinical sites deviating from trial protocol or dropping out of a trial;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 up;</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delays in enrollment by subjects, or completion of the trial by subjects, due to the COVID-19 pandemic;</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subjects choosing an alternative treatment for the indication for which we are developing OP-1250, or participating in competing clinical trials;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subjects experiencing severe or unexpected drug-related adverse effects;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regulatory authorities imposing a clinical hold;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96"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shutdowns, either temporarily or permanently, of any facility manufacturing OP-1250 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any changes to our manufacturing process that may be necessary or desired;</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 xml:space="preserve">In addition, disruptions caused by the COVID 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w:t>
      </w:r>
      <w:r>
        <w:rPr>
          <w:rFonts w:ascii="Arial" w:cs="Arial" w:eastAsia="Arial" w:hAnsi="Arial"/>
          <w:sz w:val="18"/>
          <w:szCs w:val="18"/>
          <w:color w:val="231F20"/>
        </w:rPr>
        <w:t xml:space="preserve">competent authorities of EU Member States </w:t>
      </w:r>
      <w:r>
        <w:rPr>
          <w:rFonts w:ascii="Arial" w:cs="Arial" w:eastAsia="Arial" w:hAnsi="Arial"/>
          <w:sz w:val="18"/>
          <w:szCs w:val="18"/>
          <w:color w:val="000000"/>
        </w:rPr>
        <w:t>or comparable foreign regulatory authorities. Such authorities may</w:t>
      </w:r>
      <w:r>
        <w:rPr>
          <w:rFonts w:ascii="Arial" w:cs="Arial" w:eastAsia="Arial" w:hAnsi="Arial"/>
          <w:sz w:val="18"/>
          <w:szCs w:val="18"/>
          <w:color w:val="231F20"/>
        </w:rPr>
        <w:t xml:space="preserve"> </w:t>
      </w:r>
      <w:r>
        <w:rPr>
          <w:rFonts w:ascii="Arial" w:cs="Arial" w:eastAsia="Arial" w:hAnsi="Arial"/>
          <w:sz w:val="18"/>
          <w:szCs w:val="18"/>
          <w:color w:val="000000"/>
        </w:rPr>
        <w:t xml:space="preserve">impose such a suspension or termination 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 conducting clinical trials in foreign countries, as we may do for OP 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experience delays in the completion of, or termination of, any clinical trial of OP 1250 or any product candidates we may develop in the future, the commercial prospects of OP 1250 or any product candidates we may develop in the future will be harmed, and our ability to generate product revenues from OP 1250 or any product candidates we may develop in the future will be delayed. Moreover, any delays in completing our clinical trials will increase our costs, slow down OP 1250’s or any product candidates we may develop in the future’s development and approval process and jeopardize our ability to commence product sales and generate revenues.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OP 1250 or any product candidates we may develop in the future. Any delays in our clinical trials that occur as a result could shorten any period during which we may have the exclusive right to commercialize OP 1250 or any product candidates we may develop in the future and our competitors may be able to bring products to market before we do, and the commercial viability of OP 1250 or any product candidates we may develop in the future could be significantly reduced. Any of these occurrences may significantly harm our business, financial condition, results of operations and prospects.</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currently focused on pursuing a variety of target indications for OP 1250, and we have expended, and plan to continue to expend, significant resources to pursue these and other indications for OP 1250. In addition, we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approved, OP-1250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Even if OP 1250 receives regulatory approval, it may not gain adequate market acceptance among physicians, patients, healthcare payors and others in the medical community. The degree of market acceptance would depend on a number of factors, including:</w:t>
      </w:r>
    </w:p>
    <w:p>
      <w:pPr>
        <w:spacing w:after="0" w:line="203"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clinical indications for which the product candidate is approved;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restrictions on the use of OP-1250, such as boxed warnings or contraindications in labeling, or a REMS, if any, which may not be required of alternative treatments and competitor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cost of treatment in relation to alternative treatments;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availability of OP-1250 for use as a combination therapy;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relative convenience and ease of administration;</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effectiveness of sales and marketing efforts;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unfavorable publicity relating to OP-1250 or similar approved products or product candidates in development by third parties;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approval of other new therapies for the same indications.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If OP 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OP 1250,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Enrollment of patients in our clinical trials and maintaining patients in our ongoing clinical trials may be delayed or limited as our clinical trial sites limit their onsite staff or temporarily close as a result of the COVID 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 19 pandemic could delay the anticipated readouts from our clinical trials and ultimately delay future regulatory submissions.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OP 1250,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202"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size and nature of the patient population;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severity of the disease under investigation;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perceived risks and benefits of the product candidate under study;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efforts to facilitate timely enrollment in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patient referral practices of physicians;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ability to monitor patients adequately during and after treatment;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continued enrollment of prospective patients by clinical trial sites;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 1250 or any future product candidate we may develop and jeopardize our ability to obtain marketing approval for the sale of OP 1250 or any product candidate we may develop in the future. Furthermore, even if we are able to enroll a sufficient number of patients for our clinical trials, we may have difficulty maintaining enrollment of such patients in our clinical trials.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intend to develop OP-1250, and may develop future product candidates, in combination with other therapies, which exposes us to additional risks.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intend to develop OP 1250, and may develop other future product candidates, in combination with one or more other approved or unapproved therapies to treat cancer or other diseases. For example, in December 2021, we initiated a Phase 1b clinical trial of OP 1250 in a combination trial with a cyclin-dependent kinase 4 and 6 inhibitor, and we plan to initiate additional combinations trials of OP-1250 as part of combination therapy with independent arms investigating its potential with a cyclin-dependent kinase 4 and 6 inhibitor and with a phosphatidylinositol 3 kinase alpha inhibitor.</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OP 1250,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OP 1250, or any future product candidate we may develop, are replaced as the standard of care for the indications we choose for OP 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also may choose to evaluate OP 1250 or future product candidates in combination with one or more cancer therapies that have not yet been approved for marketing by the FDA, EMA or comparable foreign regulatory authorities. We will not be able to market and sell OP 1250, or any future product candidate we may develop,</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 1250 currently in development and clinical trials, including the potential for serious adverse effects, delay in their clinical trials and lack of FDA, EMA or comparable foreign regulatory approval.</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OP 1250 or future product candidates we may develop, we may be unable to obtain approval of or market such combination therapy.</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incidence and prevalence for target patient populations of OP 1250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OP 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OP 1250 or any future product candidates we may develop may be harmed,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OP- 1250.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OP 1250. Products we may develop in the future are also likely to face competition from other products and therapies, some of which we may not currently be aware. In addition, OP 1250 and any product candidate that we may develop in the future may need to compete with off- label drugs used by physicians to treat the indications for which we seek approval. This may make it difficult for us to replace existing therapies with OP 1250 and any product candidate that we may develop in the future.</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particular, there is intense competition in the fields of women’s cancer which we are pursuing.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we are successful in developing OP 1250, it may compete against existing products and product candidates in development, to the extent any such product candidates are approved, for the treatment of estrogen receptor-positive, or ER+, breast cancer, including fulvestrant, marketed as FASLODEX® by AstraZeneca PLC and generic equivalents of FASLODEX® that are marketed or in development, giredestrant (GDC-9545) being developed by Roche Holding AG/Genentech, Inc., or Genentech, camizestrant (AZD9833) being developed by AstraZeneca PLC, amcenestrant (SAR439859) being developed by Sanofi S.A., LY3484356 being developed by Eli Lilly and Co., ZN-c5 being developed by Zentalis Pharmaceuticals, Inc., elacestrant (RAD1901) being developed by Radius Health, Inc., ARV 471 being developed by Arvinas, Inc., rintodestrant (G1T48) being developed by G1 Therapeutics, Inc., H3B 6545 being developed by H3 Biomedicines, a subsidiary of Eisai Co., Ltd., D-0502 being developed by InventisBio Co., Ltd., and lasofoxifene being developed by Sermonix Pharmaceuticals.</w:t>
      </w:r>
    </w:p>
    <w:p>
      <w:pPr>
        <w:spacing w:after="0" w:line="20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We have chosen to initially address well -validated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 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 1250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methods of OP-1250 manufacturing or formulation may result in additional costs or delay.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OP 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 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 1250 and jeopardize our ability to commercialize OP 1250, if approved, and generate revenue.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 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 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available only to limited levels, we may not successfully commercialize any product candidate for which we obtain marketing approval.</w:t>
      </w:r>
    </w:p>
    <w:p>
      <w:pPr>
        <w:spacing w:after="0" w:line="19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OP 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 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 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 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Even if favorable coverage and reimbursement status is attained for a product for which we receive regulatory approval, less favorable coverage policies and reimbursement rates may be implemented in the future.</w:t>
      </w:r>
    </w:p>
    <w:p>
      <w:pPr>
        <w:spacing w:after="0" w:line="1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Government agencies promulgate regulations and guidelines directly applicable to us and to OP 1250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OP 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OP-1250 or any future product candidate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OP 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 1250 or any product candidate we may develop will progress through required clinical testing and obtain the regulatory approvals necessary for us to begin selling them.</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OP 1250.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may adversely impact our ability to obtain regulatory approvals of our product candidates in the United Kingdom, result in restrictions in the importation of our product candidates between the United Kingdom and the European Union, and may require us to incur additional expenses to commercialize our product candidates in the United Kingdom and the European Union.</w:t>
      </w:r>
    </w:p>
    <w:p>
      <w:pPr>
        <w:spacing w:after="0" w:line="19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A trade and cooperation agreement, or the Trade and Cooperation Agreement, that outlines the future trading relationship between the United Kingdom and the European Union provisionally applied from January 1, 2021, and formally entered into force on May 1, 2021.</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upon the regulatory regime with respect to the development, manufacture, importation, approval and commercialization of our product candidates in the United Kingdom or the European Union, should any development or manufacturing of our product candidates take place in the United Kingdom.</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Great Britain (made up of England, Scotland, and Wales) is no longer covered by the EMA’s procedures for the grant of marketing authorizations (Northern Ireland will be covered by such procedures). A separate marketing authorization will be required to market drugs in Great Britain. Any delay in obtaining, or an inability to obtain, any marketing approvals in Great Britain, would delay or prevent us from commercializing our product candidates in Great Britain and restrict our ability to generate revenue and achieve and sustain profitability.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further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Orphan designation in Great Britain following Brexit is, unlike in the European Union,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currently designated as orphan conditions in the European Union will be designated as such in Great Britain.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 and facilities or our marketing programs.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 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19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OP 1250 or any future product candidates we may develop. For example, during the Phase 1a portion of our Phase 1/2 clinical trial, three patients had grade 4 neutropenia attributed to study drug by the investigator, and two of these patients presented with fever and neutropenia. Results of our clinical trials could reveal a high and unacceptable severity and prevalence of side effects or unexpected characteristics. Undesirable side effects caused by OP 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OP 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OP 1250 or any future product candidates we may develop, may be used as chronic therapies or be used in pediatric populations, for which safety concerns may be particularly scrutinized by regulatory agencies. In addition, if OP 1250 or any future product candidates we may develop, are used in combination with other therapies, OP 1250 or any future product candidates we may develop may exacerbate adverse events associated with the therapy and it may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not be possible to determine whether it was caused by our product or the one with which it was combined. Patients treated with OP 1250 or any future candidates we may develop, may also be undergoing surgical, radiation and chemotherapy treatments, which can cause side effects or adverse events that are unrelated to OP 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other comparable regulatory authorities or an IRB may suspend</w:t>
      </w:r>
      <w:r>
        <w:rPr>
          <w:rFonts w:ascii="Arial" w:cs="Arial" w:eastAsia="Arial" w:hAnsi="Arial"/>
          <w:sz w:val="18"/>
          <w:szCs w:val="18"/>
          <w:color w:val="231F20"/>
        </w:rPr>
        <w:t xml:space="preserve"> </w:t>
      </w:r>
      <w:r>
        <w:rPr>
          <w:rFonts w:ascii="Arial" w:cs="Arial" w:eastAsia="Arial" w:hAnsi="Arial"/>
          <w:sz w:val="18"/>
          <w:szCs w:val="18"/>
          <w:color w:val="000000"/>
        </w:rPr>
        <w:t>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 1250 obtains marketing approval, toxicities associated with OP 1250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OP 1250 will cause toxicities in humans that would preclude or lead to the revocation of regulatory approval based on nonclinical studies or early-stage clinical trials.</w:t>
      </w:r>
    </w:p>
    <w:p>
      <w:pPr>
        <w:spacing w:after="0" w:line="19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 1250 or any future product candidates we may develop not receiving approval for commercialization in the applicable jurisdiction.</w:t>
      </w:r>
    </w:p>
    <w:p>
      <w:pPr>
        <w:spacing w:after="0" w:line="19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Obtaining and maintaining regulatory approval of OP 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 1250, or any product candidate we develop in the future, will be harmed.</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OP-1250, or any product candidate we develop in the future, receives regulatory approval, it will be subject to significant post-marketing regulatory requirements and oversight.</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Any regulatory approvals that we may receive for OP 1250,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 1250,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 1250 or any product candidate we develop in the future, the manufacturing processes, labeling, packaging, distribution, adverse event reporting, storage, advertising, promotion, import, export and recordkeeping for OP 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212"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delays in or the rejection of product approvals;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restrictions on the products, manufacturers or manufacturing process;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civil and criminal penalties;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suspension or withdrawal of regulatory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total or partial suspension of production;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OP 1250, or any product candidate we may develop in the future, and generate revenue and could require us to expend significant time and resources in response and could generate negative publicity.</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OP 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OP 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 1250 or any future product candidates we may develop, if approved. In particular, a product may not be promoted for uses that are not approved by the FDA or such other regulatory agencies as reflected in the product’s approved labeling. If we receive marketing approval for OP 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 1250 or any future product candidates we may develop, if approved, we could become subject to significant liability, which would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delated by the COVID 19 pandemic or other factors. In addition, government funding of the SEC and other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government agencies on which our operations may rely, including those that fund research and development activities is subject to the political process, which is inherently fluid and unpredictable.</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 19 pandemic, in March 2020, the FDA announced its intention to postpone most inspections of foreign and domestic manufacturing facilities and in July 2020 only restarted inspections on a risk-based basis. Regulatory authorities outside the United States have adopted similar restrictions or other policy measures in response to the COVID 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spacing w:after="0" w:line="181"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in the future seek an accelerated approval for OP 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Prior to seeking accelerated approval for OP 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OP 1250, there can be no assurance that such submission or application will be accepted or that any expedited development, review or approval will be granted on a timely basis, or at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 1250 would result in a longer time period to commercialization of such product candidate, could increase the cost of development of OP 1250 and could harm our competitive position in the marketplace.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OP 1250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changes the way healthcare is financed by both the government and private insurers, and continues to significantly impact the U.S. pharmaceutical industry. There have been executive, judicial and Congressional challenges to certain aspects of the ACA. While Congress has not passed comprehensive repeal legislation, several bills affecting the implementation of certain taxes under the ACA have passed. On December 22, 2017, President Trump signed into law federal tax legislation commonly referred to as the Tax Cuts and Jobs Act, or the Tax Act,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21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except for a temporary suspension from May 1, 2020 through March 31, 2022 due to the COVID-19 pandemic, unless additional congressional action is taken. Under current legislation, the actual reduction in Medicare payments will vary from 1% in 2022 to up to 3%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These laws may result in additional reductions in Medicare and other healthcare funding, which could have a material adverse effect on potential customers for our drugs, if approved, and accordingly, our business.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attempted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this rule has been delayed until January 1, 2026.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On December 27, 2021, CMS published a final rule that rescinds the Most Favored Nation model interim final rule.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 1250 or any future product candidates we may develop. It is possible that additional governmental action is taken in response to the COVID 19 pandemic.</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 1250 or any future product candidates we may develop, if any, may be.</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expose us to, among other things, criminal sanctions, civil penalties, contractual damages, exclusion from governmental healthcare programs, reputational harm, administrative burdens and diminished profits and future earnings.</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203" w:lineRule="exact"/>
        <w:rPr>
          <w:sz w:val="20"/>
          <w:szCs w:val="20"/>
          <w:color w:val="auto"/>
        </w:rPr>
      </w:pPr>
    </w:p>
    <w:p>
      <w:pPr>
        <w:jc w:val="both"/>
        <w:ind w:left="720" w:right="79" w:hanging="319"/>
        <w:spacing w:after="0" w:line="23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0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2"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jc w:val="both"/>
        <w:ind w:left="720" w:right="79" w:hanging="319"/>
        <w:spacing w:after="0" w:line="23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w:t>
      </w:r>
      <w:r>
        <w:rPr>
          <w:rFonts w:ascii="Arial" w:cs="Arial" w:eastAsia="Arial" w:hAnsi="Arial"/>
          <w:sz w:val="18"/>
          <w:szCs w:val="18"/>
          <w:color w:val="231F20"/>
        </w:rPr>
        <w:t xml:space="preserve"> </w:t>
      </w:r>
      <w:r>
        <w:rPr>
          <w:rFonts w:ascii="Arial" w:cs="Arial" w:eastAsia="Arial" w:hAnsi="Arial"/>
          <w:sz w:val="18"/>
          <w:szCs w:val="18"/>
          <w:color w:val="000000"/>
        </w:rPr>
        <w:t xml:space="preserve">optometrists, podiatrists and chiropractors) , other healthcare professionals (such as physician assistants and nurse practitioners), </w:t>
      </w:r>
      <w:r>
        <w:rPr>
          <w:rFonts w:ascii="Arial" w:cs="Arial" w:eastAsia="Arial" w:hAnsi="Arial"/>
          <w:sz w:val="18"/>
          <w:szCs w:val="18"/>
          <w:color w:val="231F20"/>
        </w:rPr>
        <w:t>and teaching hospitals, as well as information regarding ownership</w:t>
      </w:r>
      <w:r>
        <w:rPr>
          <w:rFonts w:ascii="Arial" w:cs="Arial" w:eastAsia="Arial" w:hAnsi="Arial"/>
          <w:sz w:val="18"/>
          <w:szCs w:val="18"/>
          <w:color w:val="000000"/>
        </w:rPr>
        <w:t xml:space="preserve"> </w:t>
      </w:r>
      <w:r>
        <w:rPr>
          <w:rFonts w:ascii="Arial" w:cs="Arial" w:eastAsia="Arial" w:hAnsi="Arial"/>
          <w:sz w:val="18"/>
          <w:szCs w:val="18"/>
          <w:color w:val="231F20"/>
        </w:rPr>
        <w:t>and investment interests held by physicians and their immediate family members. The information reported is publicly available on a searchable website, with disclosure required annually; and</w:t>
      </w:r>
    </w:p>
    <w:p>
      <w:pPr>
        <w:spacing w:after="0" w:line="207"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State and international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United Kingdom, security breach notifications and the security and confidentiality of personal data. Further, the UK has implemented legislation similar to the GDPR, including the UK Data Protection Act and legislation similar to the GDPR referred to as the UK GDPR, which provides for fines of up to the greater of 17.5 million British Pounds or 4% of a company’s worldwide turnover, whichever is higher.</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United Kingdom.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 This may be onerous and if our efforts to comply with the GDPR or other applicable European Union laws and regulations are not successful, it could adversely affect our business in the European Union.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invalidated by a decision of the European Union’s highest court. The European Commission, however, released a set of “Standard Contractual Clauses” in June 2021 that are designed to be a valid mechanism by which entities can transfer personal data out of the EEA to jurisdictions that the European Commission has not found to provide an adequate level of protection.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 the vote in the United Kingdom in favor of exiting the European Union, referred to as Brexit, has complicated data protection regulation in the United Kingdom. In particular, as of January 1, 2021, the GDPR has been converted into United Kingdom law and the United Kingdom is now a “third country” under the GDPR. Pursuant to the Trade and Cooperation Agreement, which went into effect on January 1, 2021, the United Kingdom and European Union agreed to a specified period during which the United Kingdom will be treated like a European Union member state in relation to transfers of personal data to the United Kingdom. On June 28, 2021, the European Commission announced a decision of “adequacy” concluding that the UK ensures an equivalent level of data protection to the GDPR, which provides some relief regarding the legality of continued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personal data flows from the EEA to the UK.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transfers to and from the UK will be regulated. In addition, as of January 1, 2021, the United Kingdom Information Commissioner’s Office is not able to be our ‘lead supervisory authority’ in respect of any ‘cross border processing’ for the purposes of the GDPR. In the event that we are unable to, or do not, designate a lead supervisory authority in an EEA member state, we would not be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w:t>
      </w:r>
    </w:p>
    <w:p>
      <w:pPr>
        <w:spacing w:after="0" w:line="20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 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Further, on March 2, 2021, Virginia enacted the Virginia Consumer Data Protection Act, or CDPA, which becomes effective on January 1, 2023, and on June 8, 2021, Colorado enacted the Colorado Privacy Act, or CPA, which takes effect on July 1, 2023.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(under the GDPR) or business (under the CCPA),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including the requirement to comply with GDPR, CCPA, CPRA, CDPA, CPA, or other laws, regulations, amendments to or re-interpretations of existing laws and regulations, and contractual or other obligations relating to privacy, data protection, data transfers, data localization, or information security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Many statutory requirements involving privacy and security,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there will continue to be newly proposed health-related, privacy, and security laws and regulations,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though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expect to do business is found to be not in compliance with applicable laws, they may be subject to criminal, civil or administrative sanctions, including exclusions from government funded healthcare programs.</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COVID-19 pandemic could adversely impact our business, including our nonclinical studies and clinical trials.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ongoing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 19, we closed our offices with our administrative employees working outside of our offices and limited the number of staff in any given research and development laboratory. In October 2021, we re-opened our offices to administrative employees, however due to the resurgence of cases relating to the spread of the Delta and Omicron variants, we have continued to limit access to our offices and we may close our offices again in the future as the COVID-19 pandemic continues to evolve. As a result of the COVID 19 pandemic, we experienced some delays in setting up our current Phase 1/2 clinical trial and in clinical site initiation, including delays in recruiting clinical site investigators and clinical site staff, which we may experience again in the future. Additionally, we may experience further disruptions that could severely impact our business, nonclinical studies and clinical trials, including:</w:t>
      </w:r>
    </w:p>
    <w:p>
      <w:pPr>
        <w:spacing w:after="0" w:line="203"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delays or difficulties in enrolling and retaining patients in our clinical trials;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difficulties in clinical site initiation, including difficulties in recruiting clinical site investigators and clinical site staff;</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diversion of healthcare resources away from the conduct of clinical trials, including the diversion of hospitals serving as our clinical trial sites and hospital staff supporting the conduct of our clinical trials;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 or delays in the operations of the FDA or other regulatory authorities, which may impact review and approval timelines;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 of, or delays in receiving, supplies of OP-1250 from our contract manufacturing organizations, or CMO, due to staffing shortages, production slowdowns or stoppages and disruptions in delivery systems;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interruptions in nonclinical studies due to restricted or limited operations at our laboratory facility;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interruption or delays to our sourced discovery and clinical activities.</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COVID 19 pandemic continues to rapidly evolve. The extent to which the outbreak impacts our business, nonclinical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OP 1250 or any other product candidate will be limited and the potential for successfully growing our business will be harmed.</w:t>
      </w:r>
    </w:p>
    <w:p>
      <w:pPr>
        <w:spacing w:after="0" w:line="18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spacing w:after="0" w:line="19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 1250 or any future product candidate we may develop. We may not be successful in accomplishing these required tasks.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OP 1250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OP 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 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Factors that may affect our ability to commercialize OP 1250, or any future product candidate we may develop, on our own include recruiting and retaining adequate numbers of effective sales and marketing personnel, obtaining access to or persuading adequate numbers of physicians to prescribe OP 1250 or any future product candidates we may develop and other unforeseen costs associated with creating an independent sales and marketing organization. Developing a sales and marketing organization will be expensive and time-consuming and could delay the launch of OP 1250 or any future product candidate we may develop. We may not be able to build an effective sales and marketing organization. If we are unable to build our own distribution and marketing capabilities or to find suitable partners for the commercialization of OP 1250 or any future product candidate we may develop, we may not generate revenues from such product candidate or be able to reach or sustain profitability.</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March 31, 2022, we had 71 employees, 70 of whom were full-time, including 37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202"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expect to be conducting multiple clinical trials of OP 1250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OP 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trials may be extended, delayed or terminated, and we may not be able to obtain marketing approval of OP 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OP 1250 and any other future product candidates we may develop and, accordingly, may not achieve our research, development and commercialization goals.</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Despite the implementation of preventative and detective security measures, our internal computer systems and those of our current and any future CROs and other contractors, consultants, collaborators and third-party service providers that process our sensitive information (including personal information and personally identifiable data), are vulnerable to damage or interruption from a variety of sources, including computer viruses, unauthorized access, intentional or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such an event were to occur or were alleged to have occurred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or termination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and divert resources from other efforts. For example, in November 2021, we were alerted to falsified information circulating on social media relating to our planned poster presentation for the Phase 1 dose-escalation portion of the ongoing Phase 1/2 clinical trial of OP-1250 at the San Antonio Breast Cancer Symposium. Additionally, the loss of clinical trial data from completed or future clinical trials could result in delays or revocation of our regulatory approval efforts and significantly increase our costs to recover or reproduce the lost data. We also rely on third parties to manufacture OP 1250,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litigation and governmental investigations, the further development and commercialization of OP 1250 could be delayed, and we could be subject to significant fines or penalties for any noncompliance with certain state, federal and/or international privacy and security laws.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intend to seek approval to market OP 1250 in both the United States and in selected foreign jurisdictions. If we obtain approval in one or more foreign jurisdictions for OP 1250, we will be subject to rules and regulations in those jurisdictions. In some foreign countries, particularly those in the European Union, the pricing of drugs is subject to governmental control and other market regulations which could put pressure on the pricing and usage of OP 1250. In these countries, pricing negotiations with governmental authorities can take considerable time after obtaining marketing approval of a product candidate. In addition, market acceptance and sales of OP 1250 will depend significantly on the availability of adequate coverage and reimbursement from third-party payors for OP 1250 and may be affected by existing and future healthcare reform measures.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 1250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 1250 in those countries would be negatively affected.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 19),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ability to develop OP 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4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signed into law on March 27, 2020. Moreover, under the Tax Act as modified by the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increase the federal income tax rate applicable to corporate income and make other tax law changes that could have a material adverse impact on us. In addition, it is uncertain if and to what extent various states will conform to the Tax Act, the CARES Act or any newly enacted federal tax legislation. The impact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Tax Act and CARES Act and any future changes in tax laws on holders of our common stock is also uncertain and could be adverse.</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A variety of risks associated with marketing OP-1250 or any future product candidate we may develop internationally could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seek regulatory approval of OP 1250 or any future product candidates we may develop outside of the United States and, accordingly, we expect that we will be subject to additional risks related to operating in foreign countries if we obtain the necessary approvals, including:</w:t>
      </w:r>
    </w:p>
    <w:p>
      <w:pPr>
        <w:spacing w:after="0" w:line="203"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OP 1250 and any future product candidates that we may develop and technologies related to their various uses. We generally seek to protect our proprietary position by, among other things, filing patent applications in the United States and abroad related to OP 1250, our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 1250, proprietary technologies and their uses, our business, financial condition, results of operations and prospects could be significantly harmed.</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 1250 or any future product candidates we may develop could significantly harm our business, financial condition, results of operations and prospects.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OP 1250 or any future product candidates we may develop by obtaining and defending patents. These risks and uncertainties include the following:</w:t>
      </w:r>
    </w:p>
    <w:p>
      <w:pPr>
        <w:spacing w:after="0" w:line="187" w:lineRule="exact"/>
        <w:rPr>
          <w:sz w:val="20"/>
          <w:szCs w:val="20"/>
          <w:color w:val="auto"/>
        </w:rPr>
      </w:pPr>
    </w:p>
    <w:p>
      <w:pPr>
        <w:jc w:val="both"/>
        <w:ind w:left="720" w:right="79" w:hanging="319"/>
        <w:spacing w:after="0" w:line="250"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94"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 1250 or which effectively prevent others from commercializing competitive technologies and product candidates.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 1250 or 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 1250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OP 1250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3"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may not be able to detect infringement of our issued patents;</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OP-1250, or any future product candidates we may develop, but that are not covered by the claims of the patents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OP-1250 or any future product candidates we may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97"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 1250 or any future product candidates we may develop.</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OP 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 1250 or any future product candidates we may develop. There may be third-party patents or patent applications with claims to compositions, formulations, methods of manufacture or methods for treatment related to the use or manufacture of OP 1250 or any future product candidates we may develop. For example, we are aware of certain third-party patent applications and patents in the United States and abroad that include disclosure of chemical structures sharing certain similarities with OP 1250. It is possible that one or more of such third parties could pursue patent claims or assert patent claims that allegedly encompass OP 1250.</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the biopharmaceutical industry expands and more patents are issued, the risk increases that OP 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OP 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 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197" w:lineRule="exact"/>
        <w:rPr>
          <w:sz w:val="20"/>
          <w:szCs w:val="20"/>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prevent us from commercializing OP-1250 or any future product candidates we may develop;</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 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 1250 or any future product candidates we may develop processes to avoid infringement, if necessary.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OP 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 1250 and future product candidates and technologies.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OP-1250 through acquisitions and in-licenses.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we may have issued patents that cover OP 1250, it is possible that third parties may have blocking patents that prevent us from marketing, manufacturing or commercializing our own patented products and practicing our own patented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OP 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 Further, our issued patents could be found invalid or unenforceable if challenged in court.</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 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3"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 1250 or any future product candidates to market. Should any of these events occur, it could significantly harm our business, financial condition, results of operations and prospects.</w:t>
      </w:r>
    </w:p>
    <w:p>
      <w:pPr>
        <w:spacing w:after="0" w:line="18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patent applications in the United States and most other countries are confidential for a period of time after filing or until issuance, we may not be certain that we or our licensors are the first to either (1) file any patent application related to OP 1250 or any future product candidate we may develop or (2) invent any of the inventions claimed in the patents or patent applications.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OP-1250 or any future product candidates we may develop for an adequate amount of time.</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 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we do not obtain patent term extension for OP-1250 or any future product candidates we may develop, our business, financial condition, results of operations and prospects may be significantly harmed.</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Depending upon the timing, duration and specifics of FDA marketing approval of OP 1250 or any future product candidates we may develop, one or more of our U.S. patents or those of our licensors may be eligible for limited patent term restoration under the Drug Price Competition and Patent Term Restoration Act of 1984, or the Hatch -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 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development and trials by referencing our clinical and nonclinical data and launch their product earlier than might otherwise be the case.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 1250 or any future product candidates we may develop, without any available recourse.</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83"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 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OP 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7of,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97"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20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 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OP 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 1250,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 1250. As a result, our results of operations and the commercial prospects for OP 1250 would be harmed, our costs could increase and our ability to generate revenues could be delayed or precluded entirely, and our business, financial condition, results of operations and prospects could be significantly harmed.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COVID 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OP 1250 for use in development and commercialization. We rely, and expect to continue to rely, on third-party manufacturers for the production of OP 1250 for nonclinical studies and clinical trials under the guidance of members of our organization. We do not have long-term supply agreements for OP 1250. Furthermore, the raw materials for OP 1250 are sourced, in some cases, from a single-source supplier. If we were to experience an unexpected loss of supply of OP 1250 for any reason, whether as a result of manufacturing, supply or storage issues or otherwise, we could experience delays, disruptions, suspensions or terminations of, or be required to restart or repeat, any pending or ongoing clinical trials. For example, the extent to which the COVID 19 pandemic impacts our ability to procure sufficient supplies for the development of OP 1250 in the future will depend on the severity and duration of the spread of the virus, and the actions undertaken to contain COVID 19 or treat its effects.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OP 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205" w:lineRule="exact"/>
        <w:rPr>
          <w:sz w:val="20"/>
          <w:szCs w:val="20"/>
          <w:color w:val="auto"/>
        </w:rPr>
      </w:pPr>
    </w:p>
    <w:p>
      <w:pPr>
        <w:jc w:val="both"/>
        <w:ind w:left="720" w:right="79"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disruptions resulting from the impact of public health pandemics or epidemics (including, for example, the ongoing COVID-19 pandemic;</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specifications;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 1250, or if it withdraws any such approval in the future, we may need to find alternative manufacturing facilities, which would significantly impact our ability to develop, obtain marketing approval for or market OP 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 1250 or other drugs necessary for the development or commercialization of OP 1250 and significantly harm our business, financial condition, results of operations and prospects.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OP 1250 are unable to produce sufficient quantities for clinical trials or for commercialization of OP 1250, or if the cost of combination therapies are prohibitive, our development and commercialization efforts would be impaired, which would significantly harm our business, financial condition, results of operations and prospects. For example, for our planned Phase 1b clinical trial of OP 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planned Phase 1b clinical trial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OP 1250 or other drugs necessary for the development or commercialization of OP 1250 may adversely affect our future profit margins and our ability to commercialize any product candidates that receive marketing approval on a timely and competitive basis.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203"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assumption of contingent liabilities;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issuance of our equity securities;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OP-1250. If those collaborations are not successful, we may not be able to capitalize on the market potential of OP-1250.</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third-party collaborators for the development and commercialization of OP 1250. Our likely collaborators for any future collaboration arrangements include large and mid-size pharmaceutical companies, regional and national pharmaceutical companies and biotechnology companies.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OP 1250. Our ability to generate revenues from these arrangements will depend on our collaborators’ abilities and efforts to successfully perform the functions assigned to them in these arrangements. Collaborations involving OP 1250 could pose numerous risks to us, including the following:</w:t>
      </w:r>
    </w:p>
    <w:p>
      <w:pPr>
        <w:spacing w:after="0" w:line="202" w:lineRule="exact"/>
        <w:rPr>
          <w:sz w:val="20"/>
          <w:szCs w:val="20"/>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OP-1250 if the collaborators believe that competitive products are more likely to be successfully developed or can be commercialized under terms that are more economically attractive than ours;</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OP-1250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drug development programs and the potential commercialization of OP 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 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 1250 or any future product candidates we may develop or bring them to market and generate product revenue.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our ability to raise capital by selling our common stock and may impair our ability to enter into strategic partnerships or acquire businesses, products, or technologies using our common stock as consideration.</w:t>
      </w:r>
    </w:p>
    <w:p>
      <w:pPr>
        <w:spacing w:after="0" w:line="175"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spacing w:after="0" w:line="203" w:lineRule="exact"/>
        <w:rPr>
          <w:sz w:val="20"/>
          <w:szCs w:val="20"/>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the timing and results of nonclinical studies and clinical trials of OP-1250 or any future product candidates we may develop or those of our competitors;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regulatory actions with respect to our product candidate or our competitors’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regulatory or legal developments in the United States and other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the recruitment or departure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market conditions in the pharmaceutical and biotechnology sector;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changes in the structure of healthcare payment systems;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announcement or expectation of additional financing efforts;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sales of our common stock by us, our insiders or our other stockholders;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general economic, industry and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 19 pandemic. The COVID 19 pandemic continues to rapidly evolve and the extent to which it may impact our business, nonclinical studies and clinical trials will depend on future developments, which are highly uncertain and cannot be predicted with confidence.</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97" w:lineRule="exact"/>
        <w:rPr>
          <w:sz w:val="20"/>
          <w:szCs w:val="20"/>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timing and variations in the level of expense related to the ongoing development of OP-1250 or future development programs;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timing and status of enrollment for our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impacts from the COVID-19 pandemic on us or third parties with which we engage;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additions and departures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if OP-1250 or any future product candidate we may develop receive regulatory approval, the timing and terms of such approval and market acceptance and demand for such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regulatory developments affecting OP-1250 or any future product candidate we may develop or those of our competitors;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changes in general market and economic conditions.</w:t>
      </w:r>
    </w:p>
    <w:p>
      <w:pPr>
        <w:spacing w:after="0" w:line="22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March 31, 2022, we had 40,352,801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OP-1250 or future product candidates we may develop on unfavorable terms to us.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 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Effective December 31, 2021, we are no longer an “emerging growth company,” and the reduced reporting requirements applicable to “emerging growth companies” no longer apply, which increases our costs as a result of being a public company and places additional demands on management.</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Effective December 31, 2021, we are no longer classified as an “emerging growth company” as defined in the Jumpstart Our Business Startups Act, or the JOBS Act. As such, we will incur significant additional expenses that we did not previously incur in complying with the Sarbanes-Oxley Act and rules implemented by the SEC. Because we are no longer being classified as an “emerging growth company,” the cost of compliance with Section 404 has required, and will continue to require, us to incur substantial accounting expense and expend significant management time on compliance-related issues as we implement additional corporate governance practices and comply with reporting requirements. Moreover, if we or our independent registered public accounting firm identifies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9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Furthermore, investor perceptions of our company may suffer if, in the future, material weaknesses are found, and this could cause a decline in the market price of our stock. Irrespective of compliance with Section 404, any failure of our internal control over financial reporting could have a material effect on our stated operating results. If we are unable to implement these changes effectively or efficiently, it could harm our operations, financial reporting or financial results and could result in an adverse opinion on internal control from our independent registered public accounting firm.</w:t>
      </w:r>
    </w:p>
    <w:p>
      <w:pPr>
        <w:spacing w:after="0" w:line="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have previously taken advantage of the JOBS Act’s reduced disclosure requirements applicable to “emerging growth companies” regarding executive compensation and exemptions from the requirements of holding advisory say-on-pay votes on executive compensation. Since we are no longer classified as an “emerging growth company,” we are no longer eligible for such reduced disclosure requirements and exemptions. As a result, we expect that because we are no longer classified as an “emerging growth company,” we will require additional attention from management with respect to our disclosures and will incur increased costs, which could include higher legal fees, accounting fees, consultant fees and fees associated with investor relations activities, among others.</w:t>
      </w:r>
    </w:p>
    <w:p>
      <w:pPr>
        <w:spacing w:after="0" w:line="186"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For example, during August 2020, in connection with the preparation of our financial statements as of and for the years ended December 31, 2019 and 2018, we identified material weaknesses in our control over financial reporting. While we have remediated these material weaknesses and have implemented processes and controls over financial reporting to address the historical internal control deficiencies, there remains risk that future deficiencies may arise. Overall, we will continue with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market price of our common stock has been and may continue to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8" w:lineRule="exact"/>
        <w:rPr>
          <w:sz w:val="20"/>
          <w:szCs w:val="20"/>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establish a classified board of directors such that not all members of the board are elected at one time;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allow the authorized number of our directors to be changed only by resolution of our board of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limit the manner in which stockholders can remove directors from the board;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establish advance notice requirements for stockholder proposals that can be acted on at stockholder meetings and nominations to our board of directors;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require that stockholder actions must be effected at a duly called stockholder meeting and prohibit actions by our stockholders by written consent;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prohibit our stockholders from calling a special meeting of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prohibit cumulative voting;</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95"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require the approval of the holders of at least 66</w:t>
      </w:r>
      <w:r>
        <w:rPr>
          <w:rFonts w:ascii="Arial" w:cs="Arial" w:eastAsia="Arial" w:hAnsi="Arial"/>
          <w:sz w:val="20"/>
          <w:szCs w:val="20"/>
          <w:color w:val="231F20"/>
          <w:vertAlign w:val="superscript"/>
        </w:rPr>
        <w:t>2⁄3</w:t>
      </w:r>
      <w:r>
        <w:rPr>
          <w:rFonts w:ascii="Arial" w:cs="Arial" w:eastAsia="Arial" w:hAnsi="Arial"/>
          <w:sz w:val="18"/>
          <w:szCs w:val="18"/>
          <w:color w:val="231F20"/>
        </w:rPr>
        <w:t>% of the votes that all our stockholders would be entitled to cast to amend or repeal certain provisions of our amended and restated certificate of incorporations or amended and restated bylaws.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203" w:lineRule="exact"/>
        <w:rPr>
          <w:sz w:val="20"/>
          <w:szCs w:val="20"/>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any derivative action or proceeding brought on our behalf;</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any action asserting a claim of breach of fiduciary duty;</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any action asserting a claim against us that is governed by the internal-affairs doctrine or otherwise related to our internal affairs.</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2021, we were alerted to falsified information circulating on social media relating to our planned poster presentation for the Phase 1 dose-escalation portion of the ongoing Phase 1/2 clinical trial of OP-1250 at the San Antonio Breast Cancer Symposium. The falsified poster image was not released or authorized by us. In December 2021, a Special Committee of our Board of Directors, with assistance of outside counsel, initiated an investigation into the circumstances regarding these matters. The Special Committee’s outside counsel contacted the SEC to inform of the Special Committee’s investigation.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260" w:type="dxa"/>
            <w:vAlign w:val="bottom"/>
            <w:gridSpan w:val="18"/>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60" w:type="dxa"/>
            <w:vAlign w:val="bottom"/>
            <w:gridSpan w:val="20"/>
          </w:tcPr>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Exhibit</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8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tcPr>
          <w:p>
            <w:pPr>
              <w:jc w:val="center"/>
              <w:ind w:right="1070"/>
              <w:spacing w:after="0" w:line="187" w:lineRule="exact"/>
              <w:rPr>
                <w:sz w:val="20"/>
                <w:szCs w:val="20"/>
                <w:color w:val="auto"/>
              </w:rPr>
            </w:pPr>
            <w:r>
              <w:rPr>
                <w:rFonts w:ascii="Arial" w:cs="Arial" w:eastAsia="Arial" w:hAnsi="Arial"/>
                <w:sz w:val="18"/>
                <w:szCs w:val="18"/>
                <w:b w:val="1"/>
                <w:bCs w:val="1"/>
                <w:color w:val="auto"/>
                <w:w w:val="99"/>
              </w:rPr>
              <w:t>Schedule</w:t>
            </w:r>
          </w:p>
        </w:tc>
        <w:tc>
          <w:tcPr>
            <w:tcW w:w="680" w:type="dxa"/>
            <w:vAlign w:val="bottom"/>
          </w:tcPr>
          <w:p>
            <w:pPr>
              <w:spacing w:after="0"/>
              <w:rPr>
                <w:sz w:val="16"/>
                <w:szCs w:val="16"/>
                <w:color w:val="auto"/>
              </w:rPr>
            </w:pPr>
          </w:p>
        </w:tc>
        <w:tc>
          <w:tcPr>
            <w:tcW w:w="96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Number</w:t>
            </w:r>
          </w:p>
        </w:tc>
        <w:tc>
          <w:tcPr>
            <w:tcW w:w="14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16"/>
          </w:tcPr>
          <w:p>
            <w:pPr>
              <w:ind w:left="24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Form</w:t>
            </w:r>
          </w:p>
        </w:tc>
        <w:tc>
          <w:tcPr>
            <w:tcW w:w="13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File Number</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Exhibit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420" w:type="dxa"/>
            <w:vAlign w:val="bottom"/>
            <w:gridSpan w:val="17"/>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Amended and Restated Certificate of Incorporation</w:t>
              </w:r>
            </w:hyperlink>
          </w:p>
        </w:tc>
        <w:tc>
          <w:tcPr>
            <w:tcW w:w="6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70"/>
              <w:spacing w:after="0" w:line="182" w:lineRule="exact"/>
              <w:rPr>
                <w:sz w:val="20"/>
                <w:szCs w:val="20"/>
                <w:color w:val="auto"/>
              </w:rPr>
            </w:pPr>
            <w:r>
              <w:rPr>
                <w:rFonts w:ascii="Arial" w:cs="Arial" w:eastAsia="Arial" w:hAnsi="Arial"/>
                <w:sz w:val="18"/>
                <w:szCs w:val="18"/>
                <w:color w:val="auto"/>
                <w:w w:val="99"/>
              </w:rPr>
              <w:t>001-39712</w:t>
            </w:r>
          </w:p>
        </w:tc>
        <w:tc>
          <w:tcPr>
            <w:tcW w:w="680" w:type="dxa"/>
            <w:vAlign w:val="bottom"/>
          </w:tcPr>
          <w:p>
            <w:pPr>
              <w:jc w:val="center"/>
              <w:spacing w:after="0" w:line="182" w:lineRule="exact"/>
              <w:rPr>
                <w:sz w:val="20"/>
                <w:szCs w:val="20"/>
                <w:color w:val="auto"/>
              </w:rPr>
            </w:pPr>
            <w:r>
              <w:rPr>
                <w:rFonts w:ascii="Arial" w:cs="Arial" w:eastAsia="Arial" w:hAnsi="Arial"/>
                <w:sz w:val="18"/>
                <w:szCs w:val="18"/>
                <w:color w:val="auto"/>
              </w:rPr>
              <w:t>3.1</w:t>
            </w:r>
          </w:p>
        </w:tc>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rPr>
              <w:t>11/23/2020</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Amended and Restated Bylaws</w:t>
              </w:r>
            </w:hyperlink>
          </w:p>
        </w:tc>
        <w:tc>
          <w:tcPr>
            <w:tcW w:w="380" w:type="dxa"/>
            <w:vAlign w:val="bottom"/>
            <w:gridSpan w:val="6"/>
          </w:tcPr>
          <w:p>
            <w:pPr>
              <w:spacing w:after="0"/>
              <w:rPr>
                <w:sz w:val="17"/>
                <w:szCs w:val="17"/>
                <w:color w:val="auto"/>
              </w:rPr>
            </w:pPr>
          </w:p>
        </w:tc>
        <w:tc>
          <w:tcPr>
            <w:tcW w:w="66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001-39712</w:t>
            </w: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3.2</w:t>
            </w: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rPr>
              <w:t>11/23/2020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4420" w:type="dxa"/>
            <w:vAlign w:val="bottom"/>
            <w:gridSpan w:val="17"/>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Olema Pharmaceuticals, Inc. 2022 Inducement Plan</w:t>
              </w:r>
            </w:hyperlink>
          </w:p>
        </w:tc>
        <w:tc>
          <w:tcPr>
            <w:tcW w:w="66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001-39712</w:t>
            </w: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10.17</w:t>
            </w: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9"/>
              </w:rPr>
              <w:t>2/28/2022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4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Form of Stock Option Agreement and Option Grant</w:t>
              </w:r>
            </w:hyperlink>
          </w:p>
        </w:tc>
        <w:tc>
          <w:tcPr>
            <w:tcW w:w="80" w:type="dxa"/>
            <w:vAlign w:val="bottom"/>
            <w:tcBorders>
              <w:top w:val="single" w:sz="8" w:color="0000EE"/>
            </w:tcBorders>
            <w:gridSpan w:val="2"/>
          </w:tcPr>
          <w:p>
            <w:pPr>
              <w:spacing w:after="0"/>
              <w:rPr>
                <w:sz w:val="17"/>
                <w:szCs w:val="17"/>
                <w:color w:val="auto"/>
              </w:rPr>
            </w:pPr>
          </w:p>
        </w:tc>
        <w:tc>
          <w:tcPr>
            <w:tcW w:w="280" w:type="dxa"/>
            <w:vAlign w:val="bottom"/>
            <w:gridSpan w:val="3"/>
          </w:tcPr>
          <w:p>
            <w:pPr>
              <w:spacing w:after="0"/>
              <w:rPr>
                <w:sz w:val="17"/>
                <w:szCs w:val="17"/>
                <w:color w:val="auto"/>
              </w:rPr>
            </w:pPr>
          </w:p>
        </w:tc>
        <w:tc>
          <w:tcPr>
            <w:tcW w:w="66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001-39712</w:t>
            </w: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10.18</w:t>
            </w: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9"/>
              </w:rPr>
              <w:t>2/28/2022</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420" w:type="dxa"/>
            <w:vAlign w:val="bottom"/>
            <w:gridSpan w:val="17"/>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Notice under the Inducement Plan.</w:t>
              </w:r>
            </w:hyperlink>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376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Offer Letter by and between the Registrant and</w:t>
              </w:r>
            </w:hyperlink>
          </w:p>
        </w:tc>
        <w:tc>
          <w:tcPr>
            <w:tcW w:w="660" w:type="dxa"/>
            <w:vAlign w:val="bottom"/>
            <w:gridSpan w:val="11"/>
          </w:tcPr>
          <w:p>
            <w:pPr>
              <w:spacing w:after="0"/>
              <w:rPr>
                <w:sz w:val="17"/>
                <w:szCs w:val="17"/>
                <w:color w:val="auto"/>
              </w:rPr>
            </w:pPr>
          </w:p>
        </w:tc>
        <w:tc>
          <w:tcPr>
            <w:tcW w:w="66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001-39712</w:t>
            </w: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10.19</w:t>
            </w: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9"/>
              </w:rPr>
              <w:t>2/28/2022</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420" w:type="dxa"/>
            <w:vAlign w:val="bottom"/>
            <w:gridSpan w:val="17"/>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Naseem Zojwalla, dated December 15, 2021.</w:t>
              </w:r>
            </w:hyperlink>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Certification of Chief Executive Officer Pursuant to</w:t>
              </w:r>
            </w:hyperlink>
          </w:p>
        </w:tc>
        <w:tc>
          <w:tcPr>
            <w:tcW w:w="42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1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Rules 13a-14(a) and 15d-14(a) under the Securities</w:t>
              </w:r>
            </w:hyperlink>
          </w:p>
        </w:tc>
        <w:tc>
          <w:tcPr>
            <w:tcW w:w="30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7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Exchange Act of 1934, as Adopted Pursuant to</w:t>
              </w:r>
            </w:hyperlink>
          </w:p>
        </w:tc>
        <w:tc>
          <w:tcPr>
            <w:tcW w:w="68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8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Section 302 of the Sarbanes-Oxley Act of 2002.</w:t>
              </w:r>
            </w:hyperlink>
          </w:p>
        </w:tc>
        <w:tc>
          <w:tcPr>
            <w:tcW w:w="62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Certification of Chief Financial Officer Pursuant to</w:t>
              </w:r>
            </w:hyperlink>
          </w:p>
        </w:tc>
        <w:tc>
          <w:tcPr>
            <w:tcW w:w="4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1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Rules 13a-14(a) and 15d-14(a) under the Securities</w:t>
              </w:r>
            </w:hyperlink>
          </w:p>
        </w:tc>
        <w:tc>
          <w:tcPr>
            <w:tcW w:w="30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7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Exchange Act of 1934, as Adopted Pursuant to</w:t>
              </w:r>
            </w:hyperlink>
          </w:p>
        </w:tc>
        <w:tc>
          <w:tcPr>
            <w:tcW w:w="68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8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Section 302 of the Sarbanes-Oxley Act of 2002.</w:t>
              </w:r>
            </w:hyperlink>
          </w:p>
        </w:tc>
        <w:tc>
          <w:tcPr>
            <w:tcW w:w="62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4420" w:type="dxa"/>
            <w:vAlign w:val="bottom"/>
            <w:gridSpan w:val="17"/>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Certification of Chief Executive Officer and Chief</w:t>
              </w:r>
            </w:hyperlink>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420" w:type="dxa"/>
            <w:vAlign w:val="bottom"/>
            <w:gridSpan w:val="17"/>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Financial Officer Pursuant to 18 U.S.C. Section 1350,</w:t>
              </w:r>
            </w:hyperlink>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78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2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04">
              <w:r>
                <w:rPr>
                  <w:rFonts w:ascii="Arial" w:cs="Arial" w:eastAsia="Arial" w:hAnsi="Arial"/>
                  <w:sz w:val="18"/>
                  <w:szCs w:val="18"/>
                  <w:color w:val="0000EE"/>
                  <w:w w:val="99"/>
                </w:rPr>
                <w:t>as Adopted Pursuant to Section 906 of the Sarbanes-</w:t>
              </w:r>
            </w:hyperlink>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420" w:type="dxa"/>
            <w:vAlign w:val="bottom"/>
            <w:gridSpan w:val="17"/>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Oxley Act of 2002.</w:t>
              </w:r>
            </w:hyperlink>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96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4420" w:type="dxa"/>
            <w:vAlign w:val="bottom"/>
            <w:gridSpan w:val="17"/>
          </w:tcPr>
          <w:p>
            <w:pPr>
              <w:spacing w:after="0"/>
              <w:rPr>
                <w:sz w:val="20"/>
                <w:szCs w:val="20"/>
                <w:color w:val="auto"/>
              </w:rPr>
            </w:pPr>
            <w:r>
              <w:rPr>
                <w:rFonts w:ascii="Arial" w:cs="Arial" w:eastAsia="Arial" w:hAnsi="Arial"/>
                <w:sz w:val="18"/>
                <w:szCs w:val="18"/>
                <w:color w:val="auto"/>
              </w:rPr>
              <w:t>XBRL Instance Document – the instance document</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4420" w:type="dxa"/>
            <w:vAlign w:val="bottom"/>
            <w:gridSpan w:val="17"/>
          </w:tcPr>
          <w:p>
            <w:pPr>
              <w:spacing w:after="0" w:line="202" w:lineRule="exact"/>
              <w:rPr>
                <w:sz w:val="20"/>
                <w:szCs w:val="20"/>
                <w:color w:val="auto"/>
              </w:rPr>
            </w:pPr>
            <w:r>
              <w:rPr>
                <w:rFonts w:ascii="Arial" w:cs="Arial" w:eastAsia="Arial" w:hAnsi="Arial"/>
                <w:sz w:val="18"/>
                <w:szCs w:val="18"/>
                <w:color w:val="auto"/>
                <w:w w:val="99"/>
              </w:rPr>
              <w:t>does not appear in the Interactive Data File because its</w:t>
            </w: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00"/>
        <w:spacing w:after="0" w:line="234" w:lineRule="auto"/>
        <w:rPr>
          <w:sz w:val="20"/>
          <w:szCs w:val="20"/>
          <w:color w:val="auto"/>
        </w:rPr>
      </w:pPr>
      <w:r>
        <w:rPr>
          <w:rFonts w:ascii="Arial" w:cs="Arial" w:eastAsia="Arial" w:hAnsi="Arial"/>
          <w:sz w:val="18"/>
          <w:szCs w:val="18"/>
          <w:color w:val="auto"/>
        </w:rPr>
        <w:t>XBRL tags are embedded within the Inline XBRL</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900" w:right="4239" w:hanging="836"/>
        <w:spacing w:after="0" w:line="242" w:lineRule="auto"/>
        <w:rPr>
          <w:sz w:val="20"/>
          <w:szCs w:val="20"/>
          <w:color w:val="auto"/>
        </w:rPr>
      </w:pPr>
      <w:r>
        <w:rPr>
          <w:rFonts w:ascii="Arial" w:cs="Arial" w:eastAsia="Arial" w:hAnsi="Arial"/>
          <w:sz w:val="18"/>
          <w:szCs w:val="18"/>
          <w:color w:val="auto"/>
        </w:rPr>
        <w:t>101.CAL* XBRL Taxonomy Extension Calculation Linkbase Document</w:t>
      </w:r>
    </w:p>
    <w:p>
      <w:pPr>
        <w:spacing w:after="0" w:line="1" w:lineRule="exact"/>
        <w:rPr>
          <w:sz w:val="20"/>
          <w:szCs w:val="20"/>
          <w:color w:val="auto"/>
        </w:rPr>
      </w:pPr>
    </w:p>
    <w:p>
      <w:pPr>
        <w:ind w:left="900" w:right="4379" w:hanging="836"/>
        <w:spacing w:after="0" w:line="242" w:lineRule="auto"/>
        <w:rPr>
          <w:sz w:val="20"/>
          <w:szCs w:val="20"/>
          <w:color w:val="auto"/>
        </w:rPr>
      </w:pPr>
      <w:r>
        <w:rPr>
          <w:rFonts w:ascii="Arial" w:cs="Arial" w:eastAsia="Arial" w:hAnsi="Arial"/>
          <w:sz w:val="18"/>
          <w:szCs w:val="18"/>
          <w:color w:val="auto"/>
        </w:rPr>
        <w:t>101.DEF* XBRL Taxonomy Extension Definition Linkbase Document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900" w:right="4119" w:hanging="836"/>
        <w:spacing w:after="0" w:line="242" w:lineRule="auto"/>
        <w:rPr>
          <w:sz w:val="20"/>
          <w:szCs w:val="20"/>
          <w:color w:val="auto"/>
        </w:rPr>
      </w:pPr>
      <w:r>
        <w:rPr>
          <w:rFonts w:ascii="Arial" w:cs="Arial" w:eastAsia="Arial" w:hAnsi="Arial"/>
          <w:sz w:val="18"/>
          <w:szCs w:val="18"/>
          <w:color w:val="auto"/>
        </w:rPr>
        <w:t>101.PRE* XBRL Taxonomy Extension Presentation Linkbase Document</w:t>
      </w:r>
    </w:p>
    <w:p>
      <w:pPr>
        <w:spacing w:after="0" w:line="1" w:lineRule="exact"/>
        <w:rPr>
          <w:sz w:val="20"/>
          <w:szCs w:val="20"/>
          <w:color w:val="auto"/>
        </w:rPr>
      </w:pPr>
    </w:p>
    <w:p>
      <w:pPr>
        <w:ind w:left="900" w:right="3819" w:hanging="840"/>
        <w:spacing w:after="0" w:line="23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9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5940" w:type="dxa"/>
            <w:vAlign w:val="bottom"/>
            <w:gridSpan w:val="2"/>
          </w:tcPr>
          <w:p>
            <w:pPr>
              <w:ind w:left="1480"/>
              <w:spacing w:after="0"/>
              <w:rPr>
                <w:sz w:val="20"/>
                <w:szCs w:val="20"/>
                <w:color w:val="auto"/>
              </w:rPr>
            </w:pPr>
            <w:r>
              <w:rPr>
                <w:rFonts w:ascii="Arial" w:cs="Arial" w:eastAsia="Arial" w:hAnsi="Arial"/>
                <w:sz w:val="18"/>
                <w:szCs w:val="18"/>
                <w:color w:val="auto"/>
              </w:rPr>
              <w:t>Olema Pharmaceuticals, Inc.</w:t>
            </w:r>
          </w:p>
        </w:tc>
      </w:tr>
      <w:tr>
        <w:trPr>
          <w:trHeight w:val="203"/>
        </w:trPr>
        <w:tc>
          <w:tcPr>
            <w:tcW w:w="2960" w:type="dxa"/>
            <w:vAlign w:val="bottom"/>
          </w:tcPr>
          <w:p>
            <w:pPr>
              <w:spacing w:after="0" w:line="203" w:lineRule="exact"/>
              <w:rPr>
                <w:sz w:val="20"/>
                <w:szCs w:val="20"/>
                <w:color w:val="auto"/>
              </w:rPr>
            </w:pPr>
            <w:r>
              <w:rPr>
                <w:rFonts w:ascii="Arial" w:cs="Arial" w:eastAsia="Arial" w:hAnsi="Arial"/>
                <w:sz w:val="18"/>
                <w:szCs w:val="18"/>
                <w:color w:val="auto"/>
              </w:rPr>
              <w:t>Date: May 9, 2022</w:t>
            </w:r>
          </w:p>
        </w:tc>
        <w:tc>
          <w:tcPr>
            <w:tcW w:w="1760" w:type="dxa"/>
            <w:vAlign w:val="bottom"/>
          </w:tcPr>
          <w:p>
            <w:pPr>
              <w:ind w:left="1480"/>
              <w:spacing w:after="0" w:line="203" w:lineRule="exact"/>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 Sean Bohen, M.D., Ph.D.</w:t>
            </w:r>
          </w:p>
        </w:tc>
      </w:tr>
      <w:tr>
        <w:trPr>
          <w:trHeight w:val="200"/>
        </w:trPr>
        <w:tc>
          <w:tcPr>
            <w:tcW w:w="2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180" w:type="dxa"/>
            <w:vAlign w:val="bottom"/>
          </w:tcPr>
          <w:p>
            <w:pPr>
              <w:jc w:val="center"/>
              <w:spacing w:after="0" w:line="201" w:lineRule="exact"/>
              <w:rPr>
                <w:sz w:val="20"/>
                <w:szCs w:val="20"/>
                <w:color w:val="auto"/>
              </w:rPr>
            </w:pPr>
            <w:r>
              <w:rPr>
                <w:rFonts w:ascii="Arial" w:cs="Arial" w:eastAsia="Arial" w:hAnsi="Arial"/>
                <w:sz w:val="18"/>
                <w:szCs w:val="18"/>
                <w:color w:val="auto"/>
                <w:w w:val="99"/>
              </w:rPr>
              <w:t>Sean Bohen, M.D., Ph.D.</w:t>
            </w:r>
          </w:p>
        </w:tc>
      </w:tr>
      <w:tr>
        <w:trPr>
          <w:trHeight w:val="206"/>
        </w:trPr>
        <w:tc>
          <w:tcPr>
            <w:tcW w:w="2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9"/>
              </w:rPr>
              <w:t>President and Chief Executive Officer</w:t>
            </w:r>
          </w:p>
        </w:tc>
      </w:tr>
      <w:tr>
        <w:trPr>
          <w:trHeight w:val="221"/>
        </w:trPr>
        <w:tc>
          <w:tcPr>
            <w:tcW w:w="2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r>
      <w:tr>
        <w:trPr>
          <w:trHeight w:val="203"/>
        </w:trPr>
        <w:tc>
          <w:tcPr>
            <w:tcW w:w="2960" w:type="dxa"/>
            <w:vAlign w:val="bottom"/>
          </w:tcPr>
          <w:p>
            <w:pPr>
              <w:spacing w:after="0"/>
              <w:rPr>
                <w:sz w:val="17"/>
                <w:szCs w:val="17"/>
                <w:color w:val="auto"/>
              </w:rPr>
            </w:pPr>
          </w:p>
        </w:tc>
        <w:tc>
          <w:tcPr>
            <w:tcW w:w="594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Olema Pharmaceuticals, Inc.</w:t>
            </w: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Date: May 9, 2022</w:t>
            </w:r>
          </w:p>
        </w:tc>
        <w:tc>
          <w:tcPr>
            <w:tcW w:w="1760" w:type="dxa"/>
            <w:vAlign w:val="bottom"/>
          </w:tcPr>
          <w:p>
            <w:pPr>
              <w:ind w:left="1480"/>
              <w:spacing w:after="0"/>
              <w:rPr>
                <w:sz w:val="20"/>
                <w:szCs w:val="20"/>
                <w:color w:val="auto"/>
              </w:rPr>
            </w:pPr>
            <w:r>
              <w:rPr>
                <w:rFonts w:ascii="Arial" w:cs="Arial" w:eastAsia="Arial" w:hAnsi="Arial"/>
                <w:sz w:val="18"/>
                <w:szCs w:val="18"/>
                <w:color w:val="auto"/>
                <w:w w:val="99"/>
              </w:rPr>
              <w:t>By:</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/s/ Shane Kovacs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-7620</wp:posOffset>
            </wp:positionV>
            <wp:extent cx="26574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Shane Kovacs</w:t>
      </w:r>
    </w:p>
    <w:p>
      <w:pPr>
        <w:jc w:val="center"/>
        <w:ind w:left="4700"/>
        <w:spacing w:after="0" w:line="234" w:lineRule="auto"/>
        <w:rPr>
          <w:sz w:val="20"/>
          <w:szCs w:val="20"/>
          <w:color w:val="auto"/>
        </w:rPr>
      </w:pPr>
      <w:r>
        <w:rPr>
          <w:rFonts w:ascii="Arial" w:cs="Arial" w:eastAsia="Arial" w:hAnsi="Arial"/>
          <w:sz w:val="18"/>
          <w:szCs w:val="18"/>
          <w:b w:val="1"/>
          <w:bCs w:val="1"/>
          <w:color w:val="auto"/>
        </w:rPr>
        <w:t>Chief Operating and Financial Officer</w:t>
      </w:r>
    </w:p>
    <w:p>
      <w:pPr>
        <w:jc w:val="center"/>
        <w:ind w:left="47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p>
      <w:pPr>
        <w:spacing w:after="0" w:line="1"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Sean Bohen,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200" w:hanging="328"/>
        <w:spacing w:after="0" w:line="286"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May 9, 2022</w:t>
            </w:r>
          </w:p>
        </w:tc>
        <w:tc>
          <w:tcPr>
            <w:tcW w:w="6760" w:type="dxa"/>
            <w:vAlign w:val="bottom"/>
            <w:gridSpan w:val="2"/>
          </w:tcPr>
          <w:p>
            <w:pPr>
              <w:ind w:left="1800"/>
              <w:spacing w:after="0"/>
              <w:rPr>
                <w:sz w:val="20"/>
                <w:szCs w:val="20"/>
                <w:color w:val="auto"/>
              </w:rPr>
            </w:pPr>
            <w:r>
              <w:rPr>
                <w:rFonts w:ascii="Arial" w:cs="Arial" w:eastAsia="Arial" w:hAnsi="Arial"/>
                <w:sz w:val="18"/>
                <w:szCs w:val="18"/>
                <w:color w:val="auto"/>
              </w:rPr>
              <w:t>By:/s/ Sean Bohen</w:t>
            </w:r>
          </w:p>
        </w:tc>
      </w:tr>
      <w:tr>
        <w:trPr>
          <w:trHeight w:val="195"/>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16"/>
        </w:trPr>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Shane Kovacs,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200" w:hanging="328"/>
        <w:spacing w:after="0" w:line="286"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right="320" w:hanging="328"/>
        <w:spacing w:after="0" w:line="263" w:lineRule="auto"/>
        <w:tabs>
          <w:tab w:leader="none" w:pos="626"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May 9, 2022</w:t>
            </w:r>
          </w:p>
        </w:tc>
        <w:tc>
          <w:tcPr>
            <w:tcW w:w="6760" w:type="dxa"/>
            <w:vAlign w:val="bottom"/>
            <w:gridSpan w:val="2"/>
          </w:tcPr>
          <w:p>
            <w:pPr>
              <w:ind w:left="1800"/>
              <w:spacing w:after="0"/>
              <w:rPr>
                <w:sz w:val="20"/>
                <w:szCs w:val="20"/>
                <w:color w:val="auto"/>
              </w:rPr>
            </w:pPr>
            <w:r>
              <w:rPr>
                <w:rFonts w:ascii="Arial" w:cs="Arial" w:eastAsia="Arial" w:hAnsi="Arial"/>
                <w:sz w:val="18"/>
                <w:szCs w:val="18"/>
                <w:color w:val="auto"/>
              </w:rPr>
              <w:t>By:/s/ Shane Kovacs</w:t>
            </w:r>
          </w:p>
        </w:tc>
      </w:tr>
      <w:tr>
        <w:trPr>
          <w:trHeight w:val="195"/>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16"/>
        </w:trPr>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Operating and Financial Officer</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spacing w:after="0" w:line="187" w:lineRule="exact"/>
        <w:rPr>
          <w:sz w:val="20"/>
          <w:szCs w:val="20"/>
          <w:color w:val="auto"/>
        </w:rPr>
      </w:pPr>
    </w:p>
    <w:p>
      <w:pPr>
        <w:ind w:left="660" w:right="10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May 9, 2022</w:t>
            </w:r>
          </w:p>
        </w:tc>
        <w:tc>
          <w:tcPr>
            <w:tcW w:w="6760" w:type="dxa"/>
            <w:vAlign w:val="bottom"/>
            <w:gridSpan w:val="2"/>
          </w:tcPr>
          <w:p>
            <w:pPr>
              <w:ind w:left="1800"/>
              <w:spacing w:after="0"/>
              <w:rPr>
                <w:sz w:val="20"/>
                <w:szCs w:val="20"/>
                <w:color w:val="auto"/>
              </w:rPr>
            </w:pPr>
            <w:r>
              <w:rPr>
                <w:rFonts w:ascii="Arial" w:cs="Arial" w:eastAsia="Arial" w:hAnsi="Arial"/>
                <w:sz w:val="18"/>
                <w:szCs w:val="18"/>
                <w:color w:val="auto"/>
              </w:rPr>
              <w:t>By:/s/ Sean Bohen</w:t>
            </w:r>
          </w:p>
        </w:tc>
      </w:tr>
      <w:tr>
        <w:trPr>
          <w:trHeight w:val="195"/>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160" w:type="dxa"/>
            <w:vAlign w:val="bottom"/>
          </w:tcPr>
          <w:p>
            <w:pPr>
              <w:spacing w:after="0"/>
              <w:rPr>
                <w:sz w:val="20"/>
                <w:szCs w:val="20"/>
                <w:color w:val="auto"/>
              </w:rPr>
            </w:pPr>
            <w:r>
              <w:rPr>
                <w:rFonts w:ascii="Arial" w:cs="Arial" w:eastAsia="Arial" w:hAnsi="Arial"/>
                <w:sz w:val="18"/>
                <w:szCs w:val="18"/>
                <w:color w:val="auto"/>
              </w:rPr>
              <w:t>Date: May 9, 2022</w:t>
            </w:r>
          </w:p>
        </w:tc>
        <w:tc>
          <w:tcPr>
            <w:tcW w:w="6760" w:type="dxa"/>
            <w:vAlign w:val="bottom"/>
            <w:gridSpan w:val="2"/>
          </w:tcPr>
          <w:p>
            <w:pPr>
              <w:ind w:left="1800"/>
              <w:spacing w:after="0"/>
              <w:rPr>
                <w:sz w:val="20"/>
                <w:szCs w:val="20"/>
                <w:color w:val="auto"/>
              </w:rPr>
            </w:pPr>
            <w:r>
              <w:rPr>
                <w:rFonts w:ascii="Arial" w:cs="Arial" w:eastAsia="Arial" w:hAnsi="Arial"/>
                <w:sz w:val="18"/>
                <w:szCs w:val="18"/>
                <w:color w:val="auto"/>
              </w:rPr>
              <w:t>By:/s/ Shane Kovacs</w:t>
            </w:r>
          </w:p>
        </w:tc>
      </w:tr>
      <w:tr>
        <w:trPr>
          <w:trHeight w:val="195"/>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88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lowerRoman"/>
      <w:start w:val="3"/>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7"/>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8"/>
    </w:lvl>
  </w:abstractNum>
  <w:abstractNum w:abstractNumId="11">
    <w:nsid w:val="5577F8E1"/>
    <w:multiLevelType w:val="hybridMultilevel"/>
    <w:lvl w:ilvl="0">
      <w:lvlJc w:val="left"/>
      <w:lvlText w:val="%1."/>
      <w:numFmt w:val="decimal"/>
      <w:start w:val="9"/>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lvl w:ilvl="1">
      <w:lvlJc w:val="left"/>
      <w:lvlText w:val="%2"/>
      <w:numFmt w:val="decimal"/>
      <w:start w:val="104"/>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31" Type="http://schemas.openxmlformats.org/officeDocument/2006/relationships/hyperlink" Target="https://www.sec.gov/Archives/edgar/data/1750284/000110465920128482/tm2027048d18_ex3-1.htm" TargetMode="External"/><Relationship Id="rId132" Type="http://schemas.openxmlformats.org/officeDocument/2006/relationships/hyperlink" Target="https://www.sec.gov/Archives/edgar/data/1750284/000110465920128482/tm2027048d18_ex3-2.htm" TargetMode="External"/><Relationship Id="rId133" Type="http://schemas.openxmlformats.org/officeDocument/2006/relationships/hyperlink" Target="https://www.sec.gov/Archives/edgar/data/1750284/000155837022002388/olma-20211231xex10d17.htm" TargetMode="External"/><Relationship Id="rId134" Type="http://schemas.openxmlformats.org/officeDocument/2006/relationships/hyperlink" Target="https://www.sec.gov/Archives/edgar/data/1750284/000155837022002388/olma-20211231xex10d18.htm" TargetMode="External"/><Relationship Id="rId135" Type="http://schemas.openxmlformats.org/officeDocument/2006/relationships/hyperlink" Target="https://www.sec.gov/Archives/edgar/data/1750284/000155837022002388/olma-20211231xex10d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2022-05-09T17:01:09Z</dcterms:created>
  <dcterms:modified xsi:type="dcterms:W3CDTF">2022-05-09T17:01:09Z</dcterms:modified>
</cp:coreProperties>
</file>