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olma-20250630.htm"/>
        <w:bookmarkStart w:id="1" w:name="ksolma20250630"/>
        <w:bookmarkEnd w:id="0"/>
        <w:bookmarkEnd w:id="1"/>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spacing w:before="0" w:after="8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b/>
          <w:color w:val="000000"/>
          <w:sz w:val="36"/>
        </w:rPr>
      </w:pPr>
      <w:r>
        <w:rPr>
          <w:rFonts w:ascii="Arial" w:hAnsi="Arial"/>
          <w:b/>
          <w:color w:val="000000"/>
          <w:sz w:val="36"/>
        </w:rPr>
        <w:t>FORM 10-Q</w:t>
      </w:r>
    </w:p>
    <w:p>
      <w:pPr>
        <w:pStyle w:val="TextBody"/>
        <w:bidi w:val="0"/>
        <w:spacing w:before="80" w:after="8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quarterly period ended June 30, 2025</w:t>
      </w:r>
    </w:p>
    <w:p>
      <w:pPr>
        <w:pStyle w:val="TextBody"/>
        <w:bidi w:val="0"/>
        <w:spacing w:before="80" w:after="283"/>
        <w:jc w:val="center"/>
        <w:rPr>
          <w:rFonts w:ascii="Arial" w:hAnsi="Arial"/>
          <w:b/>
          <w:color w:val="000000"/>
          <w:sz w:val="18"/>
        </w:rPr>
      </w:pPr>
      <w:r>
        <w:rPr>
          <w:rFonts w:ascii="Arial" w:hAnsi="Arial"/>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transition period from _______ to _______</w:t>
      </w:r>
    </w:p>
    <w:p>
      <w:pPr>
        <w:pStyle w:val="TextBody"/>
        <w:bidi w:val="0"/>
        <w:spacing w:before="0" w:after="80"/>
        <w:jc w:val="center"/>
        <w:rPr>
          <w:rFonts w:ascii="Arial" w:hAnsi="Arial"/>
          <w:b/>
          <w:color w:val="000000"/>
          <w:sz w:val="18"/>
        </w:rPr>
      </w:pPr>
      <w:r>
        <w:rPr>
          <w:rFonts w:ascii="Arial" w:hAnsi="Arial"/>
          <w:b/>
          <w:color w:val="000000"/>
          <w:sz w:val="18"/>
        </w:rPr>
        <w:t>Commission File Number: 001-39712</w:t>
      </w:r>
    </w:p>
    <w:p>
      <w:pPr>
        <w:pStyle w:val="TextBody"/>
        <w:bidi w:val="0"/>
        <w:jc w:val="center"/>
        <w:rPr>
          <w:rFonts w:ascii="Arial" w:hAnsi="Arial"/>
          <w:b/>
          <w:color w:val="000000"/>
          <w:sz w:val="44"/>
        </w:rPr>
      </w:pPr>
      <w:r>
        <w:rPr>
          <w:rFonts w:ascii="Arial" w:hAnsi="Arial"/>
          <w:b/>
          <w:color w:val="000000"/>
          <w:sz w:val="44"/>
        </w:rPr>
        <w:t>OLEMA PHARMACEUTICALS, INC.</w:t>
      </w:r>
    </w:p>
    <w:p>
      <w:pPr>
        <w:pStyle w:val="TextBody"/>
        <w:bidi w:val="0"/>
        <w:jc w:val="center"/>
        <w:rPr>
          <w:rFonts w:ascii="Arial" w:hAnsi="Arial"/>
          <w:b/>
          <w:color w:val="000000"/>
          <w:sz w:val="18"/>
        </w:rPr>
      </w:pPr>
      <w:r>
        <w:rPr>
          <w:rFonts w:ascii="Arial" w:hAnsi="Arial"/>
          <w:b/>
          <w:color w:val="000000"/>
          <w:sz w:val="18"/>
        </w:rPr>
        <w:t>(Exact Name of Registrant as Specified in its Charter)</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30-0409740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283"/>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(I.R.S. Employer</w:t>
            </w:r>
            <w:r>
              <w:rPr>
                <w:rFonts w:ascii="Arial" w:hAnsi="Arial"/>
                <w:color w:val="000000"/>
                <w:sz w:val="14"/>
              </w:rPr>
              <w:br/>
            </w: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780 Brannan Street</w:t>
            </w:r>
          </w:p>
          <w:p>
            <w:pPr>
              <w:pStyle w:val="TableContents"/>
              <w:bidi w:val="0"/>
              <w:spacing w:before="0" w:after="283"/>
              <w:jc w:val="center"/>
              <w:rPr>
                <w:rFonts w:ascii="Arial" w:hAnsi="Arial"/>
                <w:b/>
                <w:color w:val="000000"/>
                <w:sz w:val="18"/>
              </w:rPr>
            </w:pPr>
            <w:r>
              <w:rPr>
                <w:rFonts w:ascii="Arial" w:hAnsi="Arial"/>
                <w:b/>
                <w:color w:val="000000"/>
                <w:sz w:val="18"/>
              </w:rPr>
              <w:t>San Francisco,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94103</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Registrant’s telephone number, including area code: (415) 651</w:t>
        <w:noBreakHyphen/>
        <w:t>3316</w:t>
      </w:r>
    </w:p>
    <w:p>
      <w:pPr>
        <w:pStyle w:val="TextBody"/>
        <w:bidi w:val="0"/>
        <w:spacing w:before="80" w:after="283"/>
        <w:jc w:val="center"/>
        <w:rPr>
          <w:rFonts w:ascii="Arial" w:hAnsi="Arial"/>
          <w:b/>
          <w:color w:val="000000"/>
          <w:sz w:val="20"/>
        </w:rPr>
      </w:pPr>
      <w:r>
        <w:rPr>
          <w:rFonts w:ascii="Arial" w:hAnsi="Arial"/>
          <w:b/>
          <w:color w:val="000000"/>
          <w:sz w:val="20"/>
        </w:rPr>
        <w:t>N/A</w:t>
      </w:r>
    </w:p>
    <w:p>
      <w:pPr>
        <w:pStyle w:val="TextBody"/>
        <w:bidi w:val="0"/>
        <w:jc w:val="center"/>
        <w:rPr>
          <w:rFonts w:ascii="Arial" w:hAnsi="Arial"/>
          <w:b/>
          <w:color w:val="000000"/>
          <w:sz w:val="14"/>
        </w:rPr>
      </w:pPr>
      <w:r>
        <w:rPr>
          <w:rFonts w:ascii="Arial" w:hAnsi="Arial"/>
          <w:b/>
          <w:color w:val="000000"/>
          <w:sz w:val="14"/>
        </w:rPr>
        <w:t>(Former name, former address and former fiscal year, if changed since last report)</w:t>
      </w:r>
    </w:p>
    <w:p>
      <w:pPr>
        <w:pStyle w:val="TextBody"/>
        <w:bidi w:val="0"/>
        <w:spacing w:before="80" w:after="283"/>
        <w:jc w:val="left"/>
        <w:rPr>
          <w:rFonts w:ascii="Arial" w:hAnsi="Arial"/>
          <w:color w:val="000000"/>
          <w:sz w:val="16"/>
        </w:rPr>
      </w:pPr>
      <w:r>
        <w:rPr>
          <w:rFonts w:ascii="Arial" w:hAnsi="Arial"/>
          <w:color w:val="000000"/>
          <w:sz w:val="16"/>
        </w:rPr>
        <w:t>Securities registered pursuant to Section 12(b) of the Act:</w:t>
      </w:r>
    </w:p>
    <w:p>
      <w:pPr>
        <w:pStyle w:val="TextBody"/>
        <w:bidi w:val="0"/>
        <w:jc w:val="left"/>
        <w:rPr/>
      </w:pPr>
      <w:r>
        <w:rPr/>
        <w:t> </w:t>
      </w:r>
    </w:p>
    <w:tbl>
      <w:tblPr>
        <w:tblW w:w="9753" w:type="dxa"/>
        <w:jc w:val="left"/>
        <w:tblInd w:w="0" w:type="dxa"/>
        <w:tblLayout w:type="fixed"/>
        <w:tblCellMar>
          <w:top w:w="28" w:type="dxa"/>
          <w:left w:w="28" w:type="dxa"/>
          <w:bottom w:w="28" w:type="dxa"/>
          <w:right w:w="28" w:type="dxa"/>
        </w:tblCellMar>
      </w:tblPr>
      <w:tblGrid>
        <w:gridCol w:w="3526"/>
        <w:gridCol w:w="1366"/>
        <w:gridCol w:w="4861"/>
      </w:tblGrid>
      <w:tr>
        <w:trPr/>
        <w:tc>
          <w:tcPr>
            <w:tcW w:w="35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 of Securities Registered</w:t>
            </w:r>
          </w:p>
        </w:tc>
        <w:tc>
          <w:tcPr>
            <w:tcW w:w="136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48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Securities are Registered</w:t>
            </w:r>
          </w:p>
        </w:tc>
      </w:tr>
      <w:tr>
        <w:trPr/>
        <w:tc>
          <w:tcPr>
            <w:tcW w:w="352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$0.0001 per share</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OLMA</w:t>
            </w:r>
          </w:p>
        </w:tc>
        <w:tc>
          <w:tcPr>
            <w:tcW w:w="48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jc w:val="left"/>
        <w:rPr/>
      </w:pPr>
      <w:r>
        <w:rPr/>
        <w:t> </w:t>
      </w:r>
    </w:p>
    <w:p>
      <w:pPr>
        <w:pStyle w:val="TextBody"/>
        <w:bidi w:val="0"/>
        <w:spacing w:before="0" w:after="80"/>
        <w:jc w:val="both"/>
        <w:rPr>
          <w:rFonts w:ascii="Times New Roman" w:hAnsi="Times New Roman"/>
          <w:sz w:val="20"/>
        </w:rPr>
      </w:pPr>
      <w:r>
        <w:rPr>
          <w:rFonts w:ascii="Arial" w:hAnsi="Arial"/>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242" w:type="dxa"/>
        <w:jc w:val="left"/>
        <w:tblInd w:w="0" w:type="dxa"/>
        <w:tblLayout w:type="fixed"/>
        <w:tblCellMar>
          <w:top w:w="28" w:type="dxa"/>
          <w:left w:w="28" w:type="dxa"/>
          <w:bottom w:w="28" w:type="dxa"/>
          <w:right w:w="28" w:type="dxa"/>
        </w:tblCellMar>
      </w:tblPr>
      <w:tblGrid>
        <w:gridCol w:w="2071"/>
        <w:gridCol w:w="316"/>
        <w:gridCol w:w="14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As of August 7, 2025, the number of outstanding shares of the Registrant’s common stock was 68,634,329. This number does not include 17,094,163</w:t>
      </w:r>
      <w:r>
        <w:rPr>
          <w:rFonts w:ascii="Times New Roman" w:hAnsi="Times New Roman"/>
          <w:color w:val="000000"/>
          <w:sz w:val="20"/>
        </w:rPr>
        <w:t xml:space="preserve"> </w:t>
      </w:r>
      <w:r>
        <w:rPr>
          <w:rFonts w:ascii="Arial" w:hAnsi="Arial"/>
          <w:color w:val="000000"/>
          <w:sz w:val="16"/>
        </w:rPr>
        <w:t>shares of common stock issuable upon the exercise of pre-funded warrants (which are immediately exercisable at an exercise price of $0.0001 per share of common stock, subject to beneficial ownership limitations) (See Notes 2 and 12 to Registrant's condensed consolidated financial statements).</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spacing w:before="0" w:after="240"/>
        <w:jc w:val="center"/>
        <w:rPr>
          <w:rFonts w:ascii="Times New Roman" w:hAnsi="Times New Roman"/>
          <w:sz w:val="20"/>
        </w:rPr>
      </w:pPr>
      <w:r>
        <w:rPr>
          <w:rFonts w:ascii="Arial" w:hAnsi="Arial"/>
          <w:b/>
          <w:color w:val="000000"/>
          <w:sz w:val="20"/>
        </w:rPr>
        <w:t>PART I-FINANCIAL INFORMATION</w:t>
      </w:r>
      <w:r>
        <w:rPr>
          <w:rFonts w:ascii="Times New Roman" w:hAnsi="Times New Roman"/>
          <w:color w:val="000000"/>
          <w:sz w:val="20"/>
        </w:rPr>
        <w:t xml:space="preserve"> </w:t>
      </w:r>
    </w:p>
    <w:tbl>
      <w:tblPr>
        <w:tblW w:w="9283" w:type="dxa"/>
        <w:jc w:val="left"/>
        <w:tblInd w:w="0" w:type="dxa"/>
        <w:tblLayout w:type="fixed"/>
        <w:tblCellMar>
          <w:top w:w="28" w:type="dxa"/>
          <w:left w:w="28" w:type="dxa"/>
          <w:bottom w:w="28" w:type="dxa"/>
          <w:right w:w="28" w:type="dxa"/>
        </w:tblCellMar>
      </w:tblPr>
      <w:tblGrid>
        <w:gridCol w:w="8536"/>
        <w:gridCol w:w="146"/>
        <w:gridCol w:w="601"/>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ifinancialinformation_243352">
              <w:r>
                <w:rPr>
                  <w:rStyle w:val="InternetLink"/>
                  <w:rFonts w:ascii="Arial" w:hAnsi="Arial"/>
                  <w:color w:val="0000EE"/>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1financialstatements_533031">
              <w:r>
                <w:rPr>
                  <w:rStyle w:val="InternetLink"/>
                  <w:rFonts w:ascii="Arial" w:hAnsi="Arial"/>
                  <w:color w:val="0000EE"/>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balancesheets_65975">
              <w:r>
                <w:rPr>
                  <w:rStyle w:val="InternetLink"/>
                  <w:rFonts w:ascii="Arial" w:hAnsi="Arial"/>
                  <w:color w:val="0000EE"/>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operati">
              <w:r>
                <w:rPr>
                  <w:rStyle w:val="InternetLink"/>
                  <w:rFonts w:ascii="Arial" w:hAnsi="Arial"/>
                  <w:color w:val="0000EE"/>
                  <w:sz w:val="20"/>
                  <w:u w:val="single"/>
                </w:rPr>
                <w:t>Condensed 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convert">
              <w:r>
                <w:rPr>
                  <w:rStyle w:val="InternetLink"/>
                  <w:rFonts w:ascii="Arial" w:hAnsi="Arial"/>
                  <w:color w:val="0000EE"/>
                  <w:sz w:val="20"/>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cashflo">
              <w:r>
                <w:rPr>
                  <w:rStyle w:val="InternetLink"/>
                  <w:rFonts w:ascii="Arial" w:hAnsi="Arial"/>
                  <w:color w:val="0000EE"/>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notestocondensedconsolidatedfinancialsta">
              <w:r>
                <w:rPr>
                  <w:rStyle w:val="InternetLink"/>
                  <w:rFonts w:ascii="Arial" w:hAnsi="Arial"/>
                  <w:color w:val="0000EE"/>
                  <w:sz w:val="20"/>
                  <w:u w:val="single"/>
                </w:rPr>
                <w:t>Notes to Unaudited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Arial" w:hAnsi="Arial"/>
                  <w:color w:val="0000EE"/>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3quantitative">
              <w:r>
                <w:rPr>
                  <w:rStyle w:val="InternetLink"/>
                  <w:rFonts w:ascii="Arial" w:hAnsi="Arial"/>
                  <w:color w:val="0000EE"/>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4controlsandprocedures">
              <w:r>
                <w:rPr>
                  <w:rStyle w:val="InternetLink"/>
                  <w:rFonts w:ascii="Arial" w:hAnsi="Arial"/>
                  <w:color w:val="0000EE"/>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iiotherinformation_169197">
              <w:r>
                <w:rPr>
                  <w:rStyle w:val="InternetLink"/>
                  <w:rFonts w:ascii="Arial" w:hAnsi="Arial"/>
                  <w:color w:val="0000EE"/>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1legalproceedings_105808">
              <w:r>
                <w:rPr>
                  <w:rStyle w:val="InternetLink"/>
                  <w:rFonts w:ascii="Arial" w:hAnsi="Arial"/>
                  <w:color w:val="0000EE"/>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EE"/>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Arial" w:hAnsi="Arial"/>
                  <w:color w:val="0000EE"/>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3defaultsuponseniorsecurities_285444">
              <w:r>
                <w:rPr>
                  <w:rStyle w:val="InternetLink"/>
                  <w:rFonts w:ascii="Arial" w:hAnsi="Arial"/>
                  <w:color w:val="0000EE"/>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363877">
              <w:r>
                <w:rPr>
                  <w:rStyle w:val="InternetLink"/>
                  <w:rFonts w:ascii="Arial" w:hAnsi="Arial"/>
                  <w:color w:val="0000EE"/>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5otherinformation_250924">
              <w:r>
                <w:rPr>
                  <w:rStyle w:val="InternetLink"/>
                  <w:rFonts w:ascii="Arial" w:hAnsi="Arial"/>
                  <w:color w:val="0000EE"/>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6exhibits_686387">
              <w:r>
                <w:rPr>
                  <w:rStyle w:val="InternetLink"/>
                  <w:rFonts w:ascii="Arial" w:hAnsi="Arial"/>
                  <w:color w:val="0000EE"/>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bookmarkStart w:id="3" w:name="partifinancialinformation_243352"/>
      <w:bookmarkEnd w:id="3"/>
      <w:r>
        <w:rPr>
          <w:rFonts w:ascii="Arial" w:hAnsi="Arial"/>
          <w:b/>
          <w:color w:val="000000"/>
          <w:sz w:val="20"/>
        </w:rPr>
        <w:t>PART I – FINANCIAL INFORMATION</w:t>
      </w:r>
    </w:p>
    <w:p>
      <w:pPr>
        <w:pStyle w:val="Heading1"/>
        <w:bidi w:val="0"/>
        <w:spacing w:before="240" w:after="283"/>
        <w:jc w:val="left"/>
        <w:rPr>
          <w:rFonts w:ascii="Arial" w:hAnsi="Arial"/>
          <w:b/>
          <w:color w:val="000000"/>
          <w:sz w:val="20"/>
        </w:rPr>
      </w:pPr>
      <w:bookmarkStart w:id="4" w:name="item1financialstatements_533031"/>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bookmarkStart w:id="5" w:name="condensedconsolidatedbalancesheets_65975"/>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13"/>
        <w:gridCol w:w="146"/>
        <w:gridCol w:w="211"/>
        <w:gridCol w:w="856"/>
        <w:gridCol w:w="166"/>
        <w:gridCol w:w="146"/>
        <w:gridCol w:w="216"/>
        <w:gridCol w:w="878"/>
        <w:gridCol w:w="773"/>
      </w:tblGrid>
      <w:tr>
        <w:trPr/>
        <w:tc>
          <w:tcPr>
            <w:tcW w:w="6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68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9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7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139,480</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294,606</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5,812</w:t>
            </w:r>
          </w:p>
        </w:tc>
        <w:tc>
          <w:tcPr>
            <w:tcW w:w="16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4,387</w:t>
            </w:r>
          </w:p>
        </w:tc>
        <w:tc>
          <w:tcPr>
            <w:tcW w:w="773" w:type="dxa"/>
            <w:tcBorders>
              <w:bottom w:val="single" w:sz="4" w:space="0" w:color="231F2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438,473</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1,314</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11,192</w:t>
            </w:r>
          </w:p>
        </w:tc>
        <w:tc>
          <w:tcPr>
            <w:tcW w:w="77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450,979</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4,460</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36,126</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41,758</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borrowing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42,015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as of June 30, 2025 and December 31, 2024; no</w:t>
            </w:r>
            <w:r>
              <w:rPr>
                <w:rFonts w:ascii="Times New Roman" w:hAnsi="Times New Roman"/>
                <w:color w:val="000000"/>
                <w:sz w:val="20"/>
              </w:rPr>
              <w:t> </w:t>
            </w:r>
            <w:r>
              <w:rPr>
                <w:rFonts w:ascii="Arial" w:hAnsi="Arial"/>
                <w:color w:val="000000"/>
                <w:sz w:val="20"/>
              </w:rPr>
              <w:t>shares issued and outstanding as of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490,000,000</w:t>
            </w:r>
            <w:r>
              <w:rPr>
                <w:rFonts w:ascii="Times New Roman" w:hAnsi="Times New Roman"/>
                <w:color w:val="000000"/>
                <w:sz w:val="20"/>
              </w:rPr>
              <w:t> </w:t>
            </w:r>
            <w:r>
              <w:rPr>
                <w:rFonts w:ascii="Arial" w:hAnsi="Arial"/>
                <w:color w:val="000000"/>
                <w:sz w:val="20"/>
              </w:rPr>
              <w:t>shares authorized as of June 30, 2025 and December 31, 2024; 68,627,886</w:t>
            </w:r>
            <w:r>
              <w:rPr>
                <w:rFonts w:ascii="Times New Roman" w:hAnsi="Times New Roman"/>
                <w:color w:val="000000"/>
                <w:sz w:val="20"/>
              </w:rPr>
              <w:t> </w:t>
            </w:r>
            <w:r>
              <w:rPr>
                <w:rFonts w:ascii="Arial" w:hAnsi="Arial"/>
                <w:color w:val="000000"/>
                <w:sz w:val="20"/>
              </w:rPr>
              <w:t>and 74,312,608</w:t>
            </w:r>
            <w:r>
              <w:rPr>
                <w:rFonts w:ascii="Times New Roman" w:hAnsi="Times New Roman"/>
                <w:color w:val="000000"/>
                <w:sz w:val="20"/>
              </w:rPr>
              <w:t> </w:t>
            </w:r>
            <w:r>
              <w:rPr>
                <w:rFonts w:ascii="Arial" w:hAnsi="Arial"/>
                <w:color w:val="000000"/>
                <w:sz w:val="20"/>
              </w:rPr>
              <w:t>shares issued and outstanding as of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843,920</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(435,106</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408,964</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450,979</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Times New Roman" w:hAnsi="Times New Roman"/>
          <w:sz w:val="20"/>
        </w:rPr>
      </w:pPr>
      <w:bookmarkStart w:id="6" w:name="condensedconsolidatedstatementsofoperati"/>
      <w:bookmarkEnd w:id="6"/>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06"/>
        <w:gridCol w:w="152"/>
        <w:gridCol w:w="220"/>
        <w:gridCol w:w="152"/>
        <w:gridCol w:w="1115"/>
        <w:gridCol w:w="173"/>
        <w:gridCol w:w="152"/>
        <w:gridCol w:w="220"/>
        <w:gridCol w:w="152"/>
        <w:gridCol w:w="1115"/>
        <w:gridCol w:w="173"/>
        <w:gridCol w:w="152"/>
        <w:gridCol w:w="220"/>
        <w:gridCol w:w="152"/>
        <w:gridCol w:w="1115"/>
        <w:gridCol w:w="173"/>
        <w:gridCol w:w="152"/>
        <w:gridCol w:w="220"/>
        <w:gridCol w:w="152"/>
        <w:gridCol w:w="1115"/>
        <w:gridCol w:w="624"/>
      </w:tblGrid>
      <w:tr>
        <w:trPr/>
        <w:tc>
          <w:tcPr>
            <w:tcW w:w="2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299"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299"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6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Research and development¹</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29,109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58,992</w:t>
            </w:r>
          </w:p>
        </w:tc>
        <w:tc>
          <w:tcPr>
            <w:tcW w:w="6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General and administrative</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8,877</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operating expenses</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67,869</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(67,869</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6,460</w:t>
            </w:r>
          </w:p>
        </w:tc>
        <w:tc>
          <w:tcPr>
            <w:tcW w:w="6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(loss)</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6,517</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loss</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(30,382</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(0.54</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used to compute net loss per share, basic and diluted²</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85,497,426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56,282,402</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85,462,021</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55,928,363</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81"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¹ The amounts for the three and six months ended June 30, 2025 include a one-time milestone payment to Aurigene of $10</w:t>
            </w:r>
            <w:r>
              <w:rPr>
                <w:rFonts w:ascii="Times New Roman" w:hAnsi="Times New Roman"/>
                <w:color w:val="000000"/>
                <w:sz w:val="20"/>
              </w:rPr>
              <w:t> </w:t>
            </w:r>
            <w:r>
              <w:rPr>
                <w:rFonts w:ascii="Arial" w:hAnsi="Arial"/>
                <w:color w:val="000000"/>
                <w:sz w:val="18"/>
              </w:rPr>
              <w:t>million. The amount for the six months ended June 30, 2024 include a one-time milestone payment to Aurigene of $5</w:t>
            </w:r>
            <w:r>
              <w:rPr>
                <w:rFonts w:ascii="Times New Roman" w:hAnsi="Times New Roman"/>
                <w:color w:val="000000"/>
                <w:sz w:val="20"/>
              </w:rPr>
              <w:t> </w:t>
            </w:r>
            <w:r>
              <w:rPr>
                <w:rFonts w:ascii="Arial" w:hAnsi="Arial"/>
                <w:color w:val="000000"/>
                <w:sz w:val="18"/>
              </w:rPr>
              <w:t>million.</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81" w:type="dxa"/>
            <w:gridSpan w:val="20"/>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81"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² The weighted average shares used to compute net loss per share, basic and diluted, include the effect from the pre-funded warrants.</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20"/>
        <w:gridCol w:w="146"/>
        <w:gridCol w:w="211"/>
        <w:gridCol w:w="146"/>
        <w:gridCol w:w="751"/>
        <w:gridCol w:w="166"/>
        <w:gridCol w:w="146"/>
        <w:gridCol w:w="211"/>
        <w:gridCol w:w="146"/>
        <w:gridCol w:w="751"/>
        <w:gridCol w:w="166"/>
        <w:gridCol w:w="146"/>
        <w:gridCol w:w="211"/>
        <w:gridCol w:w="146"/>
        <w:gridCol w:w="751"/>
        <w:gridCol w:w="166"/>
        <w:gridCol w:w="146"/>
        <w:gridCol w:w="211"/>
        <w:gridCol w:w="146"/>
        <w:gridCol w:w="751"/>
        <w:gridCol w:w="471"/>
      </w:tblGrid>
      <w:tr>
        <w:trPr/>
        <w:tc>
          <w:tcPr>
            <w:tcW w:w="4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2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52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(61,817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bookmarkStart w:id="7" w:name="condensedconsolidatedstatementsofconvert"/>
      <w:bookmarkEnd w:id="7"/>
      <w:r>
        <w:rPr>
          <w:rFonts w:ascii="Arial" w:hAnsi="Arial"/>
          <w:b/>
          <w:color w:val="000000"/>
          <w:sz w:val="20"/>
        </w:rPr>
        <w:t>Condensed Consolidated Statements of Stockholders’ Equity</w:t>
      </w:r>
      <w:r>
        <w:rPr>
          <w:rFonts w:ascii="Times New Roman" w:hAnsi="Times New Roman"/>
          <w:color w:val="000000"/>
          <w:sz w:val="20"/>
        </w:rPr>
        <w:t xml:space="preserve"> </w:t>
      </w: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93"/>
        <w:gridCol w:w="146"/>
        <w:gridCol w:w="146"/>
        <w:gridCol w:w="916"/>
        <w:gridCol w:w="166"/>
        <w:gridCol w:w="146"/>
        <w:gridCol w:w="213"/>
        <w:gridCol w:w="159"/>
        <w:gridCol w:w="379"/>
        <w:gridCol w:w="146"/>
        <w:gridCol w:w="146"/>
        <w:gridCol w:w="196"/>
        <w:gridCol w:w="146"/>
        <w:gridCol w:w="691"/>
        <w:gridCol w:w="166"/>
        <w:gridCol w:w="146"/>
        <w:gridCol w:w="340"/>
        <w:gridCol w:w="252"/>
        <w:gridCol w:w="759"/>
        <w:gridCol w:w="166"/>
        <w:gridCol w:w="146"/>
        <w:gridCol w:w="207"/>
        <w:gridCol w:w="154"/>
        <w:gridCol w:w="795"/>
        <w:gridCol w:w="166"/>
        <w:gridCol w:w="146"/>
        <w:gridCol w:w="219"/>
        <w:gridCol w:w="163"/>
        <w:gridCol w:w="777"/>
        <w:gridCol w:w="214"/>
      </w:tblGrid>
      <w:tr>
        <w:trPr/>
        <w:tc>
          <w:tcPr>
            <w:tcW w:w="1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93"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52" w:type="dxa"/>
            <w:gridSpan w:val="27"/>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2025</w:t>
            </w:r>
          </w:p>
        </w:tc>
        <w:tc>
          <w:tcPr>
            <w:tcW w:w="214"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68,333,065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383,452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 including employee stock purchase plan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(43,784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68,627,886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854,194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345,236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2" w:type="dxa"/>
            <w:gridSpan w:val="2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74,312,608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408,964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 including 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9,070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cost associated with private equity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Exchange of common stock shares for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(74,173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68,627,886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854,194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345,236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spacing w:before="0" w:after="24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r>
        <w:rPr>
          <w:rFonts w:ascii="Arial" w:hAnsi="Arial"/>
          <w:b/>
          <w:color w:val="000000"/>
          <w:sz w:val="20"/>
        </w:rPr>
        <w:t>Condensed Consolidated Statements of Stockholders’ Equity (Unaudited)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2"/>
        <w:gridCol w:w="146"/>
        <w:gridCol w:w="146"/>
        <w:gridCol w:w="916"/>
        <w:gridCol w:w="146"/>
        <w:gridCol w:w="146"/>
        <w:gridCol w:w="213"/>
        <w:gridCol w:w="159"/>
        <w:gridCol w:w="379"/>
        <w:gridCol w:w="146"/>
        <w:gridCol w:w="146"/>
        <w:gridCol w:w="196"/>
        <w:gridCol w:w="146"/>
        <w:gridCol w:w="691"/>
        <w:gridCol w:w="146"/>
        <w:gridCol w:w="146"/>
        <w:gridCol w:w="340"/>
        <w:gridCol w:w="252"/>
        <w:gridCol w:w="759"/>
        <w:gridCol w:w="166"/>
        <w:gridCol w:w="146"/>
        <w:gridCol w:w="161"/>
        <w:gridCol w:w="161"/>
        <w:gridCol w:w="834"/>
        <w:gridCol w:w="166"/>
        <w:gridCol w:w="146"/>
        <w:gridCol w:w="220"/>
        <w:gridCol w:w="163"/>
        <w:gridCol w:w="778"/>
        <w:gridCol w:w="213"/>
      </w:tblGrid>
      <w:tr>
        <w:trPr/>
        <w:tc>
          <w:tcPr>
            <w:tcW w:w="1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32"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014" w:type="dxa"/>
            <w:gridSpan w:val="27"/>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2024</w:t>
            </w:r>
          </w:p>
        </w:tc>
        <w:tc>
          <w:tcPr>
            <w:tcW w:w="213"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55,867,863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236,318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at-the-market offering, net of issuance costs of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(30,382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57,246,411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594,261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227,163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4" w:type="dxa"/>
            <w:gridSpan w:val="2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1"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51"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6"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61"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54,992,784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559,176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253,895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at-the-market offering, net of issuance costs of $166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1,772,278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(61,352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57,246,411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594,261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227,163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Cash Flows</w:t>
      </w:r>
    </w:p>
    <w:p>
      <w:pPr>
        <w:pStyle w:val="TextBody"/>
        <w:bidi w:val="0"/>
        <w:jc w:val="center"/>
        <w:rPr>
          <w:rFonts w:ascii="Arial" w:hAnsi="Arial"/>
          <w:b/>
          <w:color w:val="000000"/>
          <w:sz w:val="20"/>
        </w:rPr>
      </w:pPr>
      <w:bookmarkStart w:id="8" w:name="condensedconsolidatedstatementsofcashflo"/>
      <w:bookmarkEnd w:id="8"/>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0"/>
        <w:gridCol w:w="146"/>
        <w:gridCol w:w="211"/>
        <w:gridCol w:w="146"/>
        <w:gridCol w:w="856"/>
        <w:gridCol w:w="166"/>
        <w:gridCol w:w="146"/>
        <w:gridCol w:w="211"/>
        <w:gridCol w:w="146"/>
        <w:gridCol w:w="856"/>
        <w:gridCol w:w="771"/>
      </w:tblGrid>
      <w:tr>
        <w:trPr/>
        <w:tc>
          <w:tcPr>
            <w:tcW w:w="6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5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3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7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Non-cash interest income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Stock-based compensation expense, including 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1,656</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(51,051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133,391</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(158,254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shares under at-the-market offering, net of issuance costs of $166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22,787</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costs for shares issued under 2024 equity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borrowings under Credit Facility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24,426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(51,647</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68,539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16,892</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Exchange of common stock for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0" w:after="240"/>
        <w:jc w:val="center"/>
        <w:rPr>
          <w:rFonts w:ascii="Arial" w:hAnsi="Arial"/>
          <w:b/>
          <w:color w:val="000000"/>
          <w:sz w:val="20"/>
        </w:rPr>
      </w:pPr>
      <w:bookmarkStart w:id="9" w:name="notestocondensedconsolidatedfinancialsta"/>
      <w:bookmarkEnd w:id="9"/>
      <w:r>
        <w:rPr>
          <w:rFonts w:ascii="Arial" w:hAnsi="Arial"/>
          <w:b/>
          <w:color w:val="000000"/>
          <w:sz w:val="20"/>
        </w:rPr>
        <w:t>Notes to Condensed Consolidated Financial Statements</w:t>
      </w:r>
    </w:p>
    <w:p>
      <w:pPr>
        <w:pStyle w:val="TextBody"/>
        <w:bidi w:val="0"/>
        <w:spacing w:before="0" w:after="240"/>
        <w:jc w:val="center"/>
        <w:rPr>
          <w:rFonts w:ascii="Arial" w:hAnsi="Arial"/>
          <w:b/>
          <w:color w:val="000000"/>
          <w:sz w:val="20"/>
        </w:rPr>
      </w:pPr>
      <w:r>
        <w:rPr>
          <w:rFonts w:ascii="Arial" w:hAnsi="Arial"/>
          <w:b/>
          <w:color w:val="000000"/>
          <w:sz w:val="20"/>
        </w:rPr>
        <w:t>(Unaudited)</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jc w:val="both"/>
        <w:rPr>
          <w:rFonts w:ascii="Arial" w:hAnsi="Arial"/>
          <w:color w:val="000000"/>
          <w:sz w:val="20"/>
        </w:rPr>
      </w:pPr>
      <w:r>
        <w:rPr>
          <w:rFonts w:ascii="Arial" w:hAnsi="Arial"/>
          <w:color w:val="000000"/>
          <w:sz w:val="20"/>
        </w:rPr>
        <w:t>Nature of the Business and Basis of Presentation</w:t>
      </w:r>
    </w:p>
    <w:p>
      <w:pPr>
        <w:pStyle w:val="TextBody"/>
        <w:bidi w:val="0"/>
        <w:spacing w:before="240" w:after="283"/>
        <w:jc w:val="both"/>
        <w:rPr>
          <w:rFonts w:ascii="Times New Roman" w:hAnsi="Times New Roman"/>
          <w:sz w:val="20"/>
        </w:rPr>
      </w:pPr>
      <w:r>
        <w:rPr>
          <w:rFonts w:ascii="Arial" w:hAnsi="Arial"/>
          <w:color w:val="000000"/>
          <w:sz w:val="20"/>
        </w:rPr>
        <w:t>Olema Pharmaceuticals, Inc. (“Olema” or the “Company”) is a clinical-stage biopharmaceutical company focused on the discovery, development, and commercialization of next-generation targeted therapies for breast cancer and beyond.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w:t>
      </w:r>
      <w:r>
        <w:rPr>
          <w:rFonts w:ascii="Times New Roman" w:hAnsi="Times New Roman"/>
          <w:color w:val="000000"/>
          <w:sz w:val="20"/>
        </w:rPr>
        <w:t xml:space="preserve"> </w:t>
      </w:r>
      <w:r>
        <w:rPr>
          <w:rFonts w:ascii="Arial" w:hAnsi="Arial"/>
          <w:color w:val="000000"/>
          <w:sz w:val="20"/>
        </w:rPr>
        <w:t>business segment and therefore has only one</w:t>
      </w:r>
      <w:r>
        <w:rPr>
          <w:rFonts w:ascii="Times New Roman" w:hAnsi="Times New Roman"/>
          <w:color w:val="000000"/>
          <w:sz w:val="20"/>
        </w:rPr>
        <w:t xml:space="preserve"> </w:t>
      </w:r>
      <w:r>
        <w:rPr>
          <w:rFonts w:ascii="Arial" w:hAnsi="Arial"/>
          <w:color w:val="000000"/>
          <w:sz w:val="20"/>
        </w:rPr>
        <w:t>reportable segment. The Company is subject to risks and uncertainties common to late-stage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Heading2"/>
        <w:bidi w:val="0"/>
        <w:spacing w:before="240" w:after="283"/>
        <w:jc w:val="left"/>
        <w:rPr>
          <w:rFonts w:ascii="Arial" w:hAnsi="Arial"/>
          <w:i/>
          <w:color w:val="000000"/>
          <w:sz w:val="20"/>
        </w:rPr>
      </w:pPr>
      <w:r>
        <w:rPr>
          <w:rFonts w:ascii="Arial" w:hAnsi="Arial"/>
          <w:i/>
          <w:color w:val="000000"/>
          <w:sz w:val="20"/>
        </w:rPr>
        <w:t>Liquidity</w:t>
      </w:r>
    </w:p>
    <w:p>
      <w:pPr>
        <w:pStyle w:val="TextBody"/>
        <w:bidi w:val="0"/>
        <w:spacing w:before="240" w:after="283"/>
        <w:jc w:val="both"/>
        <w:rPr>
          <w:rFonts w:ascii="Times New Roman" w:hAnsi="Times New Roman"/>
          <w:sz w:val="20"/>
        </w:rPr>
      </w:pPr>
      <w:r>
        <w:rPr>
          <w:rFonts w:ascii="Arial" w:hAnsi="Arial"/>
          <w:color w:val="000000"/>
          <w:sz w:val="20"/>
        </w:rPr>
        <w:t>The Company had $361.9</w:t>
      </w:r>
      <w:r>
        <w:rPr>
          <w:rFonts w:ascii="Times New Roman" w:hAnsi="Times New Roman"/>
          <w:color w:val="000000"/>
          <w:sz w:val="20"/>
        </w:rPr>
        <w:t xml:space="preserve"> </w:t>
      </w:r>
      <w:r>
        <w:rPr>
          <w:rFonts w:ascii="Arial" w:hAnsi="Arial"/>
          <w:color w:val="000000"/>
          <w:sz w:val="20"/>
        </w:rPr>
        <w:t>million of cash, cash equivalents and marketable securities at June 30, 2025, in addition to an available balance of $22.0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under the Loan and Security Agreement dated as of September 5, 2023 (the “Original Loan Agreement”), by and between the Company, as borrower, and Silicon Valley Bank, a division of First-Citizens Bank &amp; Trust Company (the “Bank”), as amended by the First Amendment to Loan and Security Agreement, dated June 28, 2024, by and between the Company and the Bank (the "First Amendment"), as further amended by the Second Amendment to Loan and Security Agreement, dated June 27, 2025 by and between the Company and the Bank (the "Second Amendment" and, collectively with the First Amendment and the Original Loan Agreement, the "Loan Agreement"). Refer to Note 11. Long-term Borrowing for further details. Management believes that the Company’s cash, cash equivalents, marketable securities, and the amounts available under the Loan Agreement will be sufficient to fund the Company’s current operating plan for at least the next 12 months from the filing date of these condensed consolidated financial statements.</w:t>
      </w:r>
      <w:r>
        <w:rPr>
          <w:rFonts w:ascii="Times New Roman" w:hAnsi="Times New Roman"/>
          <w:color w:val="000000"/>
          <w:sz w:val="20"/>
        </w:rPr>
        <w:t xml:space="preserve"> </w:t>
      </w:r>
    </w:p>
    <w:p>
      <w:pPr>
        <w:pStyle w:val="Heading2"/>
        <w:bidi w:val="0"/>
        <w:spacing w:before="240" w:after="283"/>
        <w:jc w:val="left"/>
        <w:rPr>
          <w:rFonts w:ascii="Arial" w:hAnsi="Arial"/>
          <w:i/>
          <w:color w:val="000000"/>
          <w:sz w:val="20"/>
        </w:rPr>
      </w:pPr>
      <w:r>
        <w:rPr>
          <w:rFonts w:ascii="Arial" w:hAnsi="Arial"/>
          <w:i/>
          <w:color w:val="000000"/>
          <w:sz w:val="20"/>
        </w:rPr>
        <w:t>At-The-Market Offering</w:t>
      </w:r>
    </w:p>
    <w:p>
      <w:pPr>
        <w:pStyle w:val="TextBody"/>
        <w:bidi w:val="0"/>
        <w:spacing w:before="240" w:after="283"/>
        <w:jc w:val="both"/>
        <w:rPr>
          <w:rFonts w:ascii="Times New Roman" w:hAnsi="Times New Roman"/>
          <w:sz w:val="20"/>
        </w:rPr>
      </w:pPr>
      <w:r>
        <w:rPr>
          <w:rFonts w:ascii="Arial" w:hAnsi="Arial"/>
          <w:color w:val="000000"/>
          <w:sz w:val="20"/>
        </w:rPr>
        <w:t>On January 6, 2025, the Company entered into a sales agreement (the "2025 Sales Agreement") with TD Securities (USA) LLC, ("TD Cowen") as sales agent, pursuant to which the Company may offer and sell, from time to time, shares of the Company's common stock, having an aggregate offering price of up to $150.0</w:t>
      </w:r>
      <w:r>
        <w:rPr>
          <w:rFonts w:ascii="Times New Roman" w:hAnsi="Times New Roman"/>
          <w:color w:val="000000"/>
          <w:sz w:val="20"/>
        </w:rPr>
        <w:t xml:space="preserve"> </w:t>
      </w:r>
      <w:r>
        <w:rPr>
          <w:rFonts w:ascii="Arial" w:hAnsi="Arial"/>
          <w:color w:val="000000"/>
          <w:sz w:val="20"/>
        </w:rPr>
        <w:t>million (the “2025 ATM Shares”). The 2025 Sales Agreement replaces the prior sales agreement entered into between the Company and Cowen and Company, LLC dated January 5, 2024 (the "2024 Sales Agreement"). During the year ended December 31, 2024, the Company issued 1,772,278</w:t>
      </w:r>
      <w:r>
        <w:rPr>
          <w:rFonts w:ascii="Times New Roman" w:hAnsi="Times New Roman"/>
          <w:color w:val="000000"/>
          <w:sz w:val="20"/>
        </w:rPr>
        <w:t xml:space="preserve"> </w:t>
      </w:r>
      <w:r>
        <w:rPr>
          <w:rFonts w:ascii="Arial" w:hAnsi="Arial"/>
          <w:color w:val="000000"/>
          <w:sz w:val="20"/>
        </w:rPr>
        <w:t>shares of its common stock under the 2024 Sales Agreement at a weighted average price of $13.19</w:t>
      </w:r>
      <w:r>
        <w:rPr>
          <w:rFonts w:ascii="Times New Roman" w:hAnsi="Times New Roman"/>
          <w:color w:val="000000"/>
          <w:sz w:val="20"/>
        </w:rPr>
        <w:t xml:space="preserve"> </w:t>
      </w:r>
      <w:r>
        <w:rPr>
          <w:rFonts w:ascii="Arial" w:hAnsi="Arial"/>
          <w:color w:val="000000"/>
          <w:sz w:val="20"/>
        </w:rPr>
        <w:t>for net proceeds of $22.8</w:t>
      </w:r>
      <w:r>
        <w:rPr>
          <w:rFonts w:ascii="Times New Roman" w:hAnsi="Times New Roman"/>
          <w:color w:val="000000"/>
          <w:sz w:val="20"/>
        </w:rPr>
        <w:t xml:space="preserve"> </w:t>
      </w:r>
      <w:r>
        <w:rPr>
          <w:rFonts w:ascii="Arial" w:hAnsi="Arial"/>
          <w:color w:val="000000"/>
          <w:sz w:val="20"/>
        </w:rPr>
        <w:t>million after deducting related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issuance costs. The sales of the 2025 ATM Shares will be made by any method permitted that is deemed to be an "at-the-market" equity offering as defined in Rule 415(a)(4) promulgated under the Securities Act, including sales made directly on or through the Nasdaq Global Select Market. The Company has agreed to pay TD Cowen a commission of up to 3.0% of the aggregate gross proceeds from any 2025 ATM Shares sold by TD Cowen. There were no</w:t>
      </w:r>
      <w:r>
        <w:rPr>
          <w:rFonts w:ascii="Times New Roman" w:hAnsi="Times New Roman"/>
          <w:color w:val="000000"/>
          <w:sz w:val="20"/>
        </w:rPr>
        <w:t xml:space="preserve"> </w:t>
      </w:r>
      <w:r>
        <w:rPr>
          <w:rFonts w:ascii="Arial" w:hAnsi="Arial"/>
          <w:color w:val="000000"/>
          <w:sz w:val="20"/>
        </w:rPr>
        <w:t>sales under the 2025 Sales Agreement during the three and six months ended June 30, 2025. As of June 30, 2025, $150.0</w:t>
      </w:r>
      <w:r>
        <w:rPr>
          <w:rFonts w:ascii="Times New Roman" w:hAnsi="Times New Roman"/>
          <w:color w:val="000000"/>
          <w:sz w:val="20"/>
        </w:rPr>
        <w:t xml:space="preserve"> </w:t>
      </w:r>
      <w:r>
        <w:rPr>
          <w:rFonts w:ascii="Arial" w:hAnsi="Arial"/>
          <w:color w:val="000000"/>
          <w:sz w:val="20"/>
        </w:rPr>
        <w:t>million remained available for issuance under the 2025 Sales Agreement.</w:t>
      </w:r>
      <w:r>
        <w:rPr>
          <w:rFonts w:ascii="Times New Roman" w:hAnsi="Times New Roman"/>
          <w:color w:val="000000"/>
          <w:sz w:val="20"/>
        </w:rPr>
        <w:t xml:space="preserve"> </w:t>
      </w:r>
    </w:p>
    <w:p>
      <w:pPr>
        <w:pStyle w:val="Heading2"/>
        <w:bidi w:val="0"/>
        <w:spacing w:before="240" w:after="283"/>
        <w:jc w:val="left"/>
        <w:rPr>
          <w:rFonts w:ascii="Arial" w:hAnsi="Arial"/>
          <w:i/>
          <w:color w:val="000000"/>
          <w:sz w:val="20"/>
        </w:rPr>
      </w:pPr>
      <w:r>
        <w:rPr>
          <w:rFonts w:ascii="Arial" w:hAnsi="Arial"/>
          <w:i/>
          <w:color w:val="000000"/>
          <w:sz w:val="20"/>
        </w:rPr>
        <w:t>Private Placement</w:t>
      </w:r>
    </w:p>
    <w:p>
      <w:pPr>
        <w:pStyle w:val="TextBody"/>
        <w:bidi w:val="0"/>
        <w:spacing w:before="240" w:after="283"/>
        <w:jc w:val="both"/>
        <w:rPr>
          <w:rFonts w:ascii="Times New Roman" w:hAnsi="Times New Roman"/>
          <w:sz w:val="20"/>
        </w:rPr>
      </w:pPr>
      <w:r>
        <w:rPr>
          <w:rFonts w:ascii="Arial" w:hAnsi="Arial"/>
          <w:color w:val="000000"/>
          <w:sz w:val="20"/>
        </w:rPr>
        <w:t>On November 29, 2024, the Company entered into a securities purchase agreement for a private placement of (i) 19,928,875</w:t>
      </w:r>
      <w:r>
        <w:rPr>
          <w:rFonts w:ascii="Times New Roman" w:hAnsi="Times New Roman"/>
          <w:color w:val="000000"/>
          <w:sz w:val="20"/>
        </w:rPr>
        <w:t xml:space="preserve"> </w:t>
      </w:r>
      <w:r>
        <w:rPr>
          <w:rFonts w:ascii="Arial" w:hAnsi="Arial"/>
          <w:color w:val="000000"/>
          <w:sz w:val="20"/>
        </w:rPr>
        <w:t>shares of our common stock at a price of $9.08</w:t>
      </w:r>
      <w:r>
        <w:rPr>
          <w:rFonts w:ascii="Times New Roman" w:hAnsi="Times New Roman"/>
          <w:color w:val="000000"/>
          <w:sz w:val="20"/>
        </w:rPr>
        <w:t xml:space="preserve"> </w:t>
      </w:r>
      <w:r>
        <w:rPr>
          <w:rFonts w:ascii="Arial" w:hAnsi="Arial"/>
          <w:color w:val="000000"/>
          <w:sz w:val="20"/>
        </w:rPr>
        <w:t>per share and (ii) pre-funded warrants to purchase up to an aggregate of 7,604,163</w:t>
      </w:r>
      <w:r>
        <w:rPr>
          <w:rFonts w:ascii="Times New Roman" w:hAnsi="Times New Roman"/>
          <w:color w:val="000000"/>
          <w:sz w:val="20"/>
        </w:rPr>
        <w:t xml:space="preserve"> </w:t>
      </w:r>
      <w:r>
        <w:rPr>
          <w:rFonts w:ascii="Arial" w:hAnsi="Arial"/>
          <w:color w:val="000000"/>
          <w:sz w:val="20"/>
        </w:rPr>
        <w:t>shares of our common stock at a price of $9.0799</w:t>
      </w:r>
      <w:r>
        <w:rPr>
          <w:rFonts w:ascii="Times New Roman" w:hAnsi="Times New Roman"/>
          <w:color w:val="000000"/>
          <w:sz w:val="20"/>
        </w:rPr>
        <w:t xml:space="preserve"> </w:t>
      </w:r>
      <w:r>
        <w:rPr>
          <w:rFonts w:ascii="Arial" w:hAnsi="Arial"/>
          <w:color w:val="000000"/>
          <w:sz w:val="20"/>
        </w:rPr>
        <w:t>per pre-funded warrant, which represents the per share purchase price of the common stock sold in the private placement less the $0.0001</w:t>
      </w:r>
      <w:r>
        <w:rPr>
          <w:rFonts w:ascii="Times New Roman" w:hAnsi="Times New Roman"/>
          <w:color w:val="000000"/>
          <w:sz w:val="20"/>
        </w:rPr>
        <w:t xml:space="preserve"> </w:t>
      </w:r>
      <w:r>
        <w:rPr>
          <w:rFonts w:ascii="Arial" w:hAnsi="Arial"/>
          <w:color w:val="000000"/>
          <w:sz w:val="20"/>
        </w:rPr>
        <w:t>per share exercise price for each pre-funded warrant to selected institutional and accredited investors (the 2024 Private Placement). The aggregate gross proceeds for the 2024 Private Placement were approximately $250.0</w:t>
      </w:r>
      <w:r>
        <w:rPr>
          <w:rFonts w:ascii="Times New Roman" w:hAnsi="Times New Roman"/>
          <w:color w:val="000000"/>
          <w:sz w:val="20"/>
        </w:rPr>
        <w:t xml:space="preserve"> </w:t>
      </w:r>
      <w:r>
        <w:rPr>
          <w:rFonts w:ascii="Arial" w:hAnsi="Arial"/>
          <w:color w:val="000000"/>
          <w:sz w:val="20"/>
        </w:rPr>
        <w:t>million. After deducting offering expenses related to the 2024 Private Placement of approximately $13.0</w:t>
      </w:r>
      <w:r>
        <w:rPr>
          <w:rFonts w:ascii="Times New Roman" w:hAnsi="Times New Roman"/>
          <w:color w:val="000000"/>
          <w:sz w:val="20"/>
        </w:rPr>
        <w:t xml:space="preserve"> </w:t>
      </w:r>
      <w:r>
        <w:rPr>
          <w:rFonts w:ascii="Arial" w:hAnsi="Arial"/>
          <w:color w:val="000000"/>
          <w:sz w:val="20"/>
        </w:rPr>
        <w:t>million, the net proceeds to us from the 2024 Private Placement were approximately $237.0</w:t>
      </w:r>
      <w:r>
        <w:rPr>
          <w:rFonts w:ascii="Times New Roman" w:hAnsi="Times New Roman"/>
          <w:color w:val="000000"/>
          <w:sz w:val="20"/>
        </w:rPr>
        <w:t xml:space="preserve"> </w:t>
      </w:r>
      <w:r>
        <w:rPr>
          <w:rFonts w:ascii="Arial" w:hAnsi="Arial"/>
          <w:color w:val="000000"/>
          <w:sz w:val="20"/>
        </w:rPr>
        <w:t>million.</w:t>
      </w:r>
    </w:p>
    <w:p>
      <w:pPr>
        <w:pStyle w:val="Heading2"/>
        <w:bidi w:val="0"/>
        <w:spacing w:before="240" w:after="283"/>
        <w:jc w:val="left"/>
        <w:rPr>
          <w:rFonts w:ascii="Arial" w:hAnsi="Arial"/>
          <w:i/>
          <w:color w:val="000000"/>
          <w:sz w:val="20"/>
        </w:rPr>
      </w:pPr>
      <w:r>
        <w:rPr>
          <w:rFonts w:ascii="Arial" w:hAnsi="Arial"/>
          <w:i/>
          <w:color w:val="000000"/>
          <w:sz w:val="20"/>
        </w:rPr>
        <w:t>Warrant Exchanges</w:t>
      </w:r>
    </w:p>
    <w:p>
      <w:pPr>
        <w:pStyle w:val="TextBody"/>
        <w:bidi w:val="0"/>
        <w:spacing w:before="240" w:after="283"/>
        <w:jc w:val="both"/>
        <w:rPr>
          <w:rFonts w:ascii="Times New Roman" w:hAnsi="Times New Roman"/>
          <w:sz w:val="20"/>
        </w:rPr>
      </w:pPr>
      <w:r>
        <w:rPr>
          <w:rFonts w:ascii="Arial" w:hAnsi="Arial"/>
          <w:color w:val="000000"/>
          <w:sz w:val="20"/>
        </w:rPr>
        <w:t>On November 29, 2024 and January 10, 2025, the Company entered into exchange agreements with certain investors and issued to such investors pre-funded warrants to purchase up to 3,420,000</w:t>
      </w:r>
      <w:r>
        <w:rPr>
          <w:rFonts w:ascii="Times New Roman" w:hAnsi="Times New Roman"/>
          <w:color w:val="000000"/>
          <w:sz w:val="20"/>
        </w:rPr>
        <w:t xml:space="preserve"> </w:t>
      </w:r>
      <w:r>
        <w:rPr>
          <w:rFonts w:ascii="Arial" w:hAnsi="Arial"/>
          <w:color w:val="000000"/>
          <w:sz w:val="20"/>
        </w:rPr>
        <w:t>and 6,070,000</w:t>
      </w:r>
      <w:r>
        <w:rPr>
          <w:rFonts w:ascii="Times New Roman" w:hAnsi="Times New Roman"/>
          <w:color w:val="000000"/>
          <w:sz w:val="20"/>
        </w:rPr>
        <w:t xml:space="preserve"> </w:t>
      </w:r>
      <w:r>
        <w:rPr>
          <w:rFonts w:ascii="Arial" w:hAnsi="Arial"/>
          <w:color w:val="000000"/>
          <w:sz w:val="20"/>
        </w:rPr>
        <w:t>shares of the Company's common stock, respectively, in exchange for an equivalent number of shares of the Company's common stock previously outstanding and held by such investors. The pre-funded warrants were issued without registration under the Securities Act of 1933, as amended (the “Securities Act”), in reliance on the exemption from registration contained in Section 3(a)(9) of the Securities Act. Refer to Note 12. Pre-Funded Warrants for further details.</w:t>
      </w:r>
    </w:p>
    <w:p>
      <w:pPr>
        <w:pStyle w:val="Heading2"/>
        <w:bidi w:val="0"/>
        <w:spacing w:before="240" w:after="283"/>
        <w:jc w:val="left"/>
        <w:rPr>
          <w:rFonts w:ascii="Arial" w:hAnsi="Arial"/>
          <w:i/>
          <w:color w:val="000000"/>
          <w:sz w:val="20"/>
        </w:rPr>
      </w:pPr>
      <w:r>
        <w:rPr>
          <w:rFonts w:ascii="Arial" w:hAnsi="Arial"/>
          <w:i/>
          <w:color w:val="000000"/>
          <w:sz w:val="20"/>
        </w:rPr>
        <w:t>Impact of Geopolitical and Macroeconomic Events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uncertainty related to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Summary of Significant Accounting Policies</w:t>
      </w:r>
    </w:p>
    <w:p>
      <w:pPr>
        <w:pStyle w:val="Heading2"/>
        <w:bidi w:val="0"/>
        <w:spacing w:before="240" w:after="283"/>
        <w:jc w:val="left"/>
        <w:rPr>
          <w:rFonts w:ascii="Arial" w:hAnsi="Arial"/>
          <w:i/>
          <w:color w:val="000000"/>
          <w:sz w:val="20"/>
        </w:rPr>
      </w:pPr>
      <w:r>
        <w:rPr>
          <w:rFonts w:ascii="Arial" w:hAnsi="Arial"/>
          <w:i/>
          <w:color w:val="000000"/>
          <w:sz w:val="20"/>
        </w:rPr>
        <w:t>Basis of Presentation and Consolidation</w:t>
      </w:r>
    </w:p>
    <w:p>
      <w:pPr>
        <w:pStyle w:val="TextBody"/>
        <w:bidi w:val="0"/>
        <w:spacing w:before="240" w:after="283"/>
        <w:jc w:val="both"/>
        <w:rPr>
          <w:rFonts w:ascii="Arial" w:hAnsi="Arial"/>
          <w:color w:val="000000"/>
          <w:sz w:val="20"/>
        </w:rPr>
      </w:pPr>
      <w:r>
        <w:rPr>
          <w:rFonts w:ascii="Arial" w:hAnsi="Arial"/>
          <w:color w:val="000000"/>
          <w:sz w:val="20"/>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w:t>
        <w:noBreakHyphen/>
        <w:t>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left"/>
        <w:rPr>
          <w:rFonts w:ascii="Arial" w:hAnsi="Arial"/>
          <w:i/>
          <w:color w:val="000000"/>
          <w:sz w:val="20"/>
        </w:rPr>
      </w:pPr>
      <w:r>
        <w:rPr>
          <w:rFonts w:ascii="Arial" w:hAnsi="Arial"/>
          <w:i/>
          <w:color w:val="000000"/>
          <w:sz w:val="20"/>
        </w:rPr>
        <w:t>Unaudited Interim Financial Information</w:t>
      </w:r>
    </w:p>
    <w:p>
      <w:pPr>
        <w:pStyle w:val="TextBody"/>
        <w:bidi w:val="0"/>
        <w:spacing w:before="240" w:after="283"/>
        <w:jc w:val="both"/>
        <w:rPr>
          <w:rFonts w:ascii="Arial" w:hAnsi="Arial"/>
          <w:color w:val="000000"/>
          <w:sz w:val="20"/>
        </w:rPr>
      </w:pPr>
      <w:r>
        <w:rPr>
          <w:rFonts w:ascii="Arial" w:hAnsi="Arial"/>
          <w:color w:val="000000"/>
          <w:sz w:val="20"/>
        </w:rPr>
        <w:t>The interim condensed consolidated balance sheet as of June 30, 2025, the statements of operations and comprehensive loss, and stockholders’ equity for the three and six months ended June 30, 2025 and 2024, and the statements of cash flows for the six months ended June 30, 2025 and 2024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six-month periods are also unaudited. The results of operations presented in these unaudited condensed consolidated financial statements are not necessarily indicative of the results to be expected for the year ending December 31, 2025, or for any other future annual or interim period. The condensed consolidated balance sheet as of December 31, 2024 included herein was derived from the audited financial statements as of that date. These interim condensed consolidated financial statements should be read in conjunction with the Company’s audited consolidated financial statements included in the Company’s Form 10</w:t>
        <w:noBreakHyphen/>
        <w:t>K as filed with the SEC on March 18, 2025 (the “Annual Report”).</w:t>
      </w:r>
    </w:p>
    <w:p>
      <w:pPr>
        <w:pStyle w:val="Heading2"/>
        <w:bidi w:val="0"/>
        <w:spacing w:before="240" w:after="283"/>
        <w:jc w:val="left"/>
        <w:rPr>
          <w:rFonts w:ascii="Arial" w:hAnsi="Arial"/>
          <w:i/>
          <w:color w:val="000000"/>
          <w:sz w:val="20"/>
        </w:rPr>
      </w:pPr>
      <w:r>
        <w:rPr>
          <w:rFonts w:ascii="Arial" w:hAnsi="Arial"/>
          <w:i/>
          <w:color w:val="000000"/>
          <w:sz w:val="20"/>
        </w:rPr>
        <w:t>Use of Estimates</w:t>
      </w:r>
    </w:p>
    <w:p>
      <w:pPr>
        <w:pStyle w:val="TextBody"/>
        <w:bidi w:val="0"/>
        <w:spacing w:before="240" w:after="283"/>
        <w:jc w:val="both"/>
        <w:rPr>
          <w:rFonts w:ascii="Arial" w:hAnsi="Arial"/>
          <w:color w:val="000000"/>
          <w:sz w:val="20"/>
        </w:rPr>
      </w:pPr>
      <w:r>
        <w:rPr>
          <w:rFonts w:ascii="Arial" w:hAnsi="Arial"/>
          <w:color w:val="000000"/>
          <w:sz w:val="20"/>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Heading2"/>
        <w:bidi w:val="0"/>
        <w:spacing w:before="240" w:after="283"/>
        <w:jc w:val="left"/>
        <w:rPr>
          <w:rFonts w:ascii="Arial" w:hAnsi="Arial"/>
          <w:i/>
          <w:color w:val="000000"/>
          <w:sz w:val="20"/>
        </w:rPr>
      </w:pPr>
      <w:r>
        <w:rPr>
          <w:rFonts w:ascii="Arial" w:hAnsi="Arial"/>
          <w:i/>
          <w:color w:val="000000"/>
          <w:sz w:val="20"/>
        </w:rPr>
        <w:t>Cash and Cash Equivalents</w:t>
      </w:r>
    </w:p>
    <w:p>
      <w:pPr>
        <w:pStyle w:val="TextBody"/>
        <w:bidi w:val="0"/>
        <w:spacing w:before="240" w:after="283"/>
        <w:jc w:val="both"/>
        <w:rPr>
          <w:rFonts w:ascii="Arial" w:hAnsi="Arial"/>
          <w:color w:val="000000"/>
          <w:sz w:val="20"/>
        </w:rPr>
      </w:pPr>
      <w:r>
        <w:rPr>
          <w:rFonts w:ascii="Arial" w:hAnsi="Arial"/>
          <w:color w:val="000000"/>
          <w:sz w:val="20"/>
        </w:rPr>
        <w:t>Cash and cash equivalents are defined as short-term, highly liquid investments with original maturities of 90 days or fewer at the date of purchase. Cash deposits are all in reputable financial institutions in the United States as of June 30, 2025, and December 31, 2024. Cash and cash equivalents primarily consisted of cash on deposit with U.S. banks, including the Company’s bank account for its Australia subsidiary, denominated in U.S. dollars and Australian dollars and investments in interest bearing money market funds.</w:t>
      </w:r>
    </w:p>
    <w:p>
      <w:pPr>
        <w:pStyle w:val="Heading2"/>
        <w:bidi w:val="0"/>
        <w:spacing w:before="240" w:after="283"/>
        <w:jc w:val="left"/>
        <w:rPr>
          <w:rFonts w:ascii="Arial" w:hAnsi="Arial"/>
          <w:i/>
          <w:color w:val="000000"/>
          <w:sz w:val="20"/>
        </w:rPr>
      </w:pPr>
      <w:r>
        <w:rPr>
          <w:rFonts w:ascii="Arial" w:hAnsi="Arial"/>
          <w:i/>
          <w:color w:val="000000"/>
          <w:sz w:val="20"/>
        </w:rPr>
        <w:t>Marketable Securities</w:t>
      </w:r>
    </w:p>
    <w:p>
      <w:pPr>
        <w:pStyle w:val="TextBody"/>
        <w:bidi w:val="0"/>
        <w:spacing w:before="240" w:after="283"/>
        <w:jc w:val="both"/>
        <w:rPr>
          <w:rFonts w:ascii="Times New Roman" w:hAnsi="Times New Roman"/>
          <w:sz w:val="20"/>
        </w:rPr>
      </w:pPr>
      <w:r>
        <w:rPr>
          <w:rFonts w:ascii="Arial" w:hAnsi="Arial"/>
          <w:color w:val="000000"/>
          <w:sz w:val="20"/>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bidi w:val="0"/>
        <w:spacing w:before="240" w:after="283"/>
        <w:jc w:val="both"/>
        <w:rPr>
          <w:rFonts w:ascii="Times New Roman" w:hAnsi="Times New Roman"/>
          <w:sz w:val="20"/>
        </w:rPr>
      </w:pPr>
      <w:r>
        <w:rPr>
          <w:rFonts w:ascii="Arial" w:hAnsi="Arial"/>
          <w:color w:val="000000"/>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Heading2"/>
        <w:bidi w:val="0"/>
        <w:spacing w:before="240" w:after="283"/>
        <w:jc w:val="left"/>
        <w:rPr>
          <w:rFonts w:ascii="Arial" w:hAnsi="Arial"/>
          <w:i/>
          <w:color w:val="000000"/>
          <w:sz w:val="20"/>
        </w:rPr>
      </w:pPr>
      <w:r>
        <w:rPr>
          <w:rFonts w:ascii="Arial" w:hAnsi="Arial"/>
          <w:i/>
          <w:color w:val="000000"/>
          <w:sz w:val="20"/>
        </w:rPr>
        <w:t>Concentration of Credit Risk and Other Risks and Uncertainties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however, the Company has not experienced any losses on such deposits.</w:t>
      </w:r>
    </w:p>
    <w:p>
      <w:pPr>
        <w:pStyle w:val="TextBody"/>
        <w:bidi w:val="0"/>
        <w:spacing w:before="240" w:after="283"/>
        <w:jc w:val="both"/>
        <w:rPr>
          <w:rFonts w:ascii="Arial" w:hAnsi="Arial"/>
          <w:color w:val="000000"/>
          <w:sz w:val="20"/>
        </w:rPr>
      </w:pPr>
      <w:r>
        <w:rPr>
          <w:rFonts w:ascii="Arial" w:hAnsi="Arial"/>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pStyle w:val="TextBody"/>
        <w:bidi w:val="0"/>
        <w:spacing w:before="240" w:after="283"/>
        <w:jc w:val="both"/>
        <w:rPr>
          <w:rFonts w:ascii="Arial" w:hAnsi="Arial"/>
          <w:color w:val="000000"/>
          <w:sz w:val="20"/>
        </w:rPr>
      </w:pPr>
      <w:r>
        <w:rPr>
          <w:rFonts w:ascii="Arial" w:hAnsi="Arial"/>
          <w:color w:val="000000"/>
          <w:sz w:val="20"/>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Heading2"/>
        <w:bidi w:val="0"/>
        <w:spacing w:before="240" w:after="283"/>
        <w:jc w:val="left"/>
        <w:rPr>
          <w:rFonts w:ascii="Arial" w:hAnsi="Arial"/>
          <w:i/>
          <w:color w:val="000000"/>
          <w:sz w:val="20"/>
        </w:rPr>
      </w:pPr>
      <w:r>
        <w:rPr>
          <w:rFonts w:ascii="Arial" w:hAnsi="Arial"/>
          <w:i/>
          <w:color w:val="000000"/>
          <w:sz w:val="20"/>
        </w:rPr>
        <w:t>Leases</w:t>
      </w:r>
    </w:p>
    <w:p>
      <w:pPr>
        <w:pStyle w:val="TextBody"/>
        <w:bidi w:val="0"/>
        <w:spacing w:before="240" w:after="283"/>
        <w:jc w:val="both"/>
        <w:rPr>
          <w:rFonts w:ascii="Times New Roman" w:hAnsi="Times New Roman"/>
          <w:sz w:val="20"/>
        </w:rPr>
      </w:pPr>
      <w:r>
        <w:rPr>
          <w:rFonts w:ascii="Arial" w:hAnsi="Arial"/>
          <w:color w:val="000000"/>
          <w:sz w:val="20"/>
        </w:rPr>
        <w:t xml:space="preserve">Under Accounting Standards Update ("ASU") 2026-12, </w:t>
      </w:r>
      <w:r>
        <w:rPr>
          <w:rFonts w:ascii="Arial" w:hAnsi="Arial"/>
          <w:i/>
          <w:color w:val="000000"/>
          <w:sz w:val="20"/>
        </w:rPr>
        <w:t>Leases</w:t>
      </w:r>
      <w:r>
        <w:rPr>
          <w:rFonts w:ascii="Arial" w:hAnsi="Arial"/>
          <w:color w:val="000000"/>
          <w:sz w:val="20"/>
        </w:rPr>
        <w:t>, Topic 842,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bidi w:val="0"/>
        <w:spacing w:before="240" w:after="283"/>
        <w:jc w:val="both"/>
        <w:rPr>
          <w:rFonts w:ascii="Times New Roman" w:hAnsi="Times New Roman"/>
          <w:sz w:val="20"/>
        </w:rPr>
      </w:pPr>
      <w:r>
        <w:rPr>
          <w:rFonts w:ascii="Arial" w:hAnsi="Arial"/>
          <w:color w:val="000000"/>
          <w:sz w:val="20"/>
        </w:rPr>
        <w:t>Most leases include options to renew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modification, the Company reassesses the lease classification, remeasures the related lease liability using an updated discount rate that reflects the modified lease term, and adjusts the related ROU asset under the lease modification guidance under Topic 842.</w:t>
      </w:r>
    </w:p>
    <w:p>
      <w:pPr>
        <w:pStyle w:val="TextBody"/>
        <w:bidi w:val="0"/>
        <w:spacing w:before="240" w:after="283"/>
        <w:jc w:val="both"/>
        <w:rPr>
          <w:rFonts w:ascii="Arial" w:hAnsi="Arial"/>
          <w:color w:val="000000"/>
          <w:sz w:val="20"/>
        </w:rPr>
      </w:pPr>
      <w:r>
        <w:rPr>
          <w:rFonts w:ascii="Arial" w:hAnsi="Arial"/>
          <w:color w:val="000000"/>
          <w:sz w:val="20"/>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The Company elected to not apply the recognition requirements of Topic 842 to short-term leases with terms of 12 months or less. Refer to Note 9. Lease for further details.</w:t>
      </w:r>
    </w:p>
    <w:p>
      <w:pPr>
        <w:pStyle w:val="Heading2"/>
        <w:bidi w:val="0"/>
        <w:spacing w:before="240" w:after="283"/>
        <w:jc w:val="left"/>
        <w:rPr>
          <w:rFonts w:ascii="Arial" w:hAnsi="Arial"/>
          <w:i/>
          <w:color w:val="000000"/>
          <w:sz w:val="20"/>
        </w:rPr>
      </w:pPr>
      <w:r>
        <w:rPr>
          <w:rFonts w:ascii="Arial" w:hAnsi="Arial"/>
          <w:i/>
          <w:color w:val="000000"/>
          <w:sz w:val="20"/>
        </w:rPr>
        <w:t>Research and Development Costs</w:t>
      </w:r>
    </w:p>
    <w:p>
      <w:pPr>
        <w:pStyle w:val="TextBody"/>
        <w:bidi w:val="0"/>
        <w:spacing w:before="240" w:after="283"/>
        <w:jc w:val="both"/>
        <w:rPr>
          <w:rFonts w:ascii="Arial" w:hAnsi="Arial"/>
          <w:color w:val="000000"/>
          <w:sz w:val="20"/>
        </w:rPr>
      </w:pPr>
      <w:r>
        <w:rPr>
          <w:rFonts w:ascii="Arial" w:hAnsi="Arial"/>
          <w:color w:val="000000"/>
          <w:sz w:val="20"/>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pStyle w:val="TextBody"/>
        <w:bidi w:val="0"/>
        <w:spacing w:before="240" w:after="283"/>
        <w:jc w:val="both"/>
        <w:rPr>
          <w:rFonts w:ascii="Arial" w:hAnsi="Arial"/>
          <w:color w:val="000000"/>
          <w:sz w:val="20"/>
        </w:rPr>
      </w:pPr>
      <w:r>
        <w:rPr>
          <w:rFonts w:ascii="Arial" w:hAnsi="Arial"/>
          <w:color w:val="000000"/>
          <w:sz w:val="20"/>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pStyle w:val="Heading2"/>
        <w:bidi w:val="0"/>
        <w:spacing w:before="240" w:after="283"/>
        <w:jc w:val="left"/>
        <w:rPr>
          <w:rFonts w:ascii="Arial" w:hAnsi="Arial"/>
          <w:i/>
          <w:color w:val="000000"/>
          <w:sz w:val="20"/>
        </w:rPr>
      </w:pPr>
      <w:r>
        <w:rPr>
          <w:rFonts w:ascii="Arial" w:hAnsi="Arial"/>
          <w:i/>
          <w:color w:val="000000"/>
          <w:sz w:val="20"/>
        </w:rPr>
        <w:t>Research Contract Costs and Accruals</w:t>
      </w:r>
    </w:p>
    <w:p>
      <w:pPr>
        <w:pStyle w:val="TextBody"/>
        <w:bidi w:val="0"/>
        <w:spacing w:before="240" w:after="283"/>
        <w:jc w:val="both"/>
        <w:rPr>
          <w:rFonts w:ascii="Arial" w:hAnsi="Arial"/>
          <w:color w:val="000000"/>
          <w:sz w:val="20"/>
        </w:rPr>
      </w:pPr>
      <w:r>
        <w:rPr>
          <w:rFonts w:ascii="Arial" w:hAnsi="Arial"/>
          <w:color w:val="000000"/>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bidi w:val="0"/>
        <w:spacing w:before="240" w:after="283"/>
        <w:jc w:val="both"/>
        <w:rPr>
          <w:rFonts w:ascii="Arial" w:hAnsi="Arial"/>
          <w:color w:val="000000"/>
          <w:sz w:val="20"/>
        </w:rPr>
      </w:pPr>
      <w:r>
        <w:rPr>
          <w:rFonts w:ascii="Arial" w:hAnsi="Arial"/>
          <w:color w:val="000000"/>
          <w:sz w:val="20"/>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Heading2"/>
        <w:bidi w:val="0"/>
        <w:spacing w:before="240" w:after="283"/>
        <w:jc w:val="left"/>
        <w:rPr>
          <w:rFonts w:ascii="Times New Roman" w:hAnsi="Times New Roman"/>
          <w:sz w:val="20"/>
        </w:rPr>
      </w:pPr>
      <w:r>
        <w:rPr>
          <w:rFonts w:ascii="Arial" w:hAnsi="Arial"/>
          <w:i/>
          <w:color w:val="000000"/>
          <w:sz w:val="20"/>
        </w:rPr>
        <w:t>Internal-Use Software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capitalizes certain costs incurred for the development and implementation of computer software for internal use. These costs generally relate to the implementation of the third-party developed software for the Company's regulatory and quality purposes. The Company capitalizes these costs when it is determined that it is probable that the project will be completed and the software will be used to perform the function intended, and the preliminary project stage is completed. Capitalized internal-use software development and implementation costs are included in Other assets and long-term deposits within the consolidated balance sheets. Capitalized implementation costs are amortized on a straight-line basis over the estimated useful lives of five years. Costs related to the preliminary project stage, post-implementation, training and maintenance are expensed as incurred.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left"/>
        <w:rPr>
          <w:rFonts w:ascii="Times New Roman" w:hAnsi="Times New Roman"/>
          <w:sz w:val="20"/>
        </w:rPr>
      </w:pPr>
      <w:r>
        <w:rPr>
          <w:rFonts w:ascii="Arial" w:hAnsi="Arial"/>
          <w:i/>
          <w:color w:val="000000"/>
          <w:sz w:val="20"/>
        </w:rPr>
        <w:t>Comprehensive Loss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Comprehensive loss includes net loss and other comprehensive (loss) gain for each period presented. Other comprehensive (loss) gain represents net unrealized (loss) gain on marketable securities.</w:t>
      </w:r>
    </w:p>
    <w:p>
      <w:pPr>
        <w:pStyle w:val="Heading2"/>
        <w:bidi w:val="0"/>
        <w:spacing w:before="240" w:after="283"/>
        <w:jc w:val="left"/>
        <w:rPr>
          <w:rFonts w:ascii="Arial" w:hAnsi="Arial"/>
          <w:i/>
          <w:color w:val="000000"/>
          <w:sz w:val="20"/>
        </w:rPr>
      </w:pPr>
      <w:r>
        <w:rPr>
          <w:rFonts w:ascii="Arial" w:hAnsi="Arial"/>
          <w:i/>
          <w:color w:val="000000"/>
          <w:sz w:val="20"/>
        </w:rPr>
        <w:t>Stock-Based Compensation</w:t>
      </w:r>
    </w:p>
    <w:p>
      <w:pPr>
        <w:pStyle w:val="TextBody"/>
        <w:bidi w:val="0"/>
        <w:spacing w:before="240" w:after="283"/>
        <w:jc w:val="both"/>
        <w:rPr>
          <w:rFonts w:ascii="Times New Roman" w:hAnsi="Times New Roman"/>
          <w:sz w:val="20"/>
        </w:rPr>
      </w:pPr>
      <w:r>
        <w:rPr>
          <w:rFonts w:ascii="Arial" w:hAnsi="Arial"/>
          <w:color w:val="000000"/>
          <w:sz w:val="20"/>
        </w:rPr>
        <w:t xml:space="preserve">Stock-based compensation cost, including grants of stock options and restricted stock awards issued under the Company’s equity incentive plans and the Company's 2020 Employee Stock Purchase Plan (the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Accounting Standards Codification ("ASC") 718, </w:t>
      </w:r>
      <w:r>
        <w:rPr>
          <w:rFonts w:ascii="Arial" w:hAnsi="Arial"/>
          <w:i/>
          <w:color w:val="000000"/>
          <w:sz w:val="20"/>
        </w:rPr>
        <w:t>Compensation — Stock Compensation</w:t>
      </w:r>
      <w:r>
        <w:rPr>
          <w:rFonts w:ascii="Times New Roman" w:hAnsi="Times New Roman"/>
          <w:color w:val="000000"/>
          <w:sz w:val="20"/>
        </w:rPr>
        <w:t xml:space="preserve"> </w:t>
      </w:r>
      <w:r>
        <w:rPr>
          <w:rFonts w:ascii="Arial" w:hAnsi="Arial"/>
          <w:color w:val="000000"/>
          <w:sz w:val="20"/>
        </w:rPr>
        <w:t>(“ASC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pStyle w:val="Heading2"/>
        <w:bidi w:val="0"/>
        <w:spacing w:before="240" w:after="283"/>
        <w:jc w:val="left"/>
        <w:rPr>
          <w:rFonts w:ascii="Arial" w:hAnsi="Arial"/>
          <w:i/>
          <w:color w:val="000000"/>
          <w:sz w:val="20"/>
        </w:rPr>
      </w:pPr>
      <w:r>
        <w:rPr>
          <w:rFonts w:ascii="Arial" w:hAnsi="Arial"/>
          <w:i/>
          <w:color w:val="000000"/>
          <w:sz w:val="20"/>
        </w:rPr>
        <w:t>Foreign Currency Transactions</w:t>
      </w:r>
    </w:p>
    <w:p>
      <w:pPr>
        <w:pStyle w:val="TextBody"/>
        <w:bidi w:val="0"/>
        <w:spacing w:before="240" w:after="283"/>
        <w:jc w:val="both"/>
        <w:rPr>
          <w:rFonts w:ascii="Times New Roman" w:hAnsi="Times New Roman"/>
          <w:sz w:val="20"/>
        </w:rPr>
      </w:pPr>
      <w:r>
        <w:rPr>
          <w:rFonts w:ascii="Arial" w:hAnsi="Arial"/>
          <w:color w:val="000000"/>
          <w:sz w:val="20"/>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condensed consolidated statements of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pStyle w:val="Heading2"/>
        <w:bidi w:val="0"/>
        <w:spacing w:before="240" w:after="283"/>
        <w:jc w:val="left"/>
        <w:rPr>
          <w:rFonts w:ascii="Times New Roman" w:hAnsi="Times New Roman"/>
          <w:sz w:val="20"/>
        </w:rPr>
      </w:pPr>
      <w:r>
        <w:rPr>
          <w:rFonts w:ascii="Arial" w:hAnsi="Arial"/>
          <w:i/>
          <w:color w:val="000000"/>
          <w:sz w:val="20"/>
        </w:rPr>
        <w:t>Pre-funded Warrants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The Company issued pre-funded warrants in connection with an equity private placement in 2024 and exchange agreements in November 2024 and January 2025. The Company accounts for the pre-funded warrants as a freestanding equity-linked financial instrument that met the criteria for equity classification pursuant to ASC 480, </w:t>
      </w:r>
      <w:r>
        <w:rPr>
          <w:rFonts w:ascii="Arial" w:hAnsi="Arial"/>
          <w:i/>
          <w:color w:val="000000"/>
          <w:sz w:val="20"/>
        </w:rPr>
        <w:t>Distinguishing Liabilities from Equity</w:t>
      </w:r>
      <w:r>
        <w:rPr>
          <w:rFonts w:ascii="Times New Roman" w:hAnsi="Times New Roman"/>
          <w:color w:val="000000"/>
          <w:sz w:val="20"/>
        </w:rPr>
        <w:t xml:space="preserve"> </w:t>
      </w:r>
      <w:r>
        <w:rPr>
          <w:rFonts w:ascii="Arial" w:hAnsi="Arial"/>
          <w:color w:val="000000"/>
          <w:sz w:val="20"/>
        </w:rPr>
        <w:t xml:space="preserve">("ASC 480"), and ASC 815, </w:t>
      </w:r>
      <w:r>
        <w:rPr>
          <w:rFonts w:ascii="Arial" w:hAnsi="Arial"/>
          <w:i/>
          <w:color w:val="000000"/>
          <w:sz w:val="20"/>
        </w:rPr>
        <w:t>Derivatives and Hedging</w:t>
      </w:r>
      <w:r>
        <w:rPr>
          <w:rFonts w:ascii="Times New Roman" w:hAnsi="Times New Roman"/>
          <w:color w:val="000000"/>
          <w:sz w:val="20"/>
        </w:rPr>
        <w:t xml:space="preserve"> </w:t>
      </w:r>
      <w:r>
        <w:rPr>
          <w:rFonts w:ascii="Arial" w:hAnsi="Arial"/>
          <w:color w:val="000000"/>
          <w:sz w:val="20"/>
        </w:rPr>
        <w:t>("ASC 815"). Accordingly, the Company recorded the pre-funded warrants as a component of stockholders' equity within additional paid-in capital. The Company valued the pre-funded warrants at issuance, concluding that their sales price approximated their fair value. The pre-funded warrants are immediately exercisable at an exercise price of $0.0001 per share of the Company's common stock, subject to beneficial ownership limitations. Exercise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pre-funded warrants is virtually assured because the underlying common shares will be issued for nominal cash consideration, or at an exercise price of $0.0001</w:t>
      </w:r>
      <w:r>
        <w:rPr>
          <w:rFonts w:ascii="Times New Roman" w:hAnsi="Times New Roman"/>
          <w:color w:val="000000"/>
          <w:sz w:val="20"/>
        </w:rPr>
        <w:t xml:space="preserve"> </w:t>
      </w:r>
      <w:r>
        <w:rPr>
          <w:rFonts w:ascii="Arial" w:hAnsi="Arial"/>
          <w:color w:val="000000"/>
          <w:sz w:val="20"/>
        </w:rPr>
        <w:t>per share. All necessary conditions for issuance of the underlying common shares were met when the pre-funded warrants were issued, and as such, related pre-funded warrants shares were included in the denominator for both the basic and diluted earnings per share calculations. Refer to Note 12. Pre-Funded Warrants for further details.</w:t>
      </w:r>
      <w:r>
        <w:rPr>
          <w:rFonts w:ascii="Times New Roman" w:hAnsi="Times New Roman"/>
          <w:color w:val="000000"/>
          <w:sz w:val="20"/>
        </w:rPr>
        <w:t xml:space="preserve"> </w:t>
      </w:r>
    </w:p>
    <w:p>
      <w:pPr>
        <w:pStyle w:val="Heading2"/>
        <w:bidi w:val="0"/>
        <w:spacing w:before="240" w:after="283"/>
        <w:jc w:val="left"/>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net loss per common share is computed by dividing the net loss per common share by the weighted average number of common shares outstanding for the period, including the pre-funded warrants shares.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the pre-funded warrants shares and potential dilutive common shares. For purpose of this calculation, outstanding stock options, including unvested restricted stock awards, unvested performance-based restricted stock unit awards and contingently issuable common stock related to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pStyle w:val="Heading2"/>
        <w:bidi w:val="0"/>
        <w:spacing w:before="240" w:after="283"/>
        <w:jc w:val="left"/>
        <w:rPr>
          <w:rFonts w:ascii="Times New Roman" w:hAnsi="Times New Roman"/>
          <w:sz w:val="20"/>
        </w:rPr>
      </w:pPr>
      <w:r>
        <w:rPr>
          <w:rFonts w:ascii="Arial" w:hAnsi="Arial"/>
          <w:i/>
          <w:color w:val="000000"/>
          <w:sz w:val="20"/>
        </w:rPr>
        <w:t>Segment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chief operating decision maker (“CODM”), the Chief Executive Officer, manages its business activities as a single operating and reportable segment at the consolidated level. Accordingly, the Company's CODM uses consolidated net loss to measure segment loss, allocate resources and assess performance.</w:t>
      </w:r>
      <w:r>
        <w:rPr>
          <w:rFonts w:ascii="Times New Roman" w:hAnsi="Times New Roman"/>
          <w:color w:val="000000"/>
          <w:sz w:val="20"/>
        </w:rPr>
        <w:t xml:space="preserve"> </w:t>
      </w:r>
      <w:r>
        <w:rPr>
          <w:rFonts w:ascii="Arial" w:hAnsi="Arial"/>
          <w:color w:val="000000"/>
          <w:sz w:val="20"/>
        </w:rPr>
        <w:t>Further, the CODM reviews and utilizes functional expenses (research and development, and general and administrative) at the consolidated level to manage the Company’s operations.</w:t>
      </w:r>
      <w:r>
        <w:rPr>
          <w:rFonts w:ascii="Times New Roman" w:hAnsi="Times New Roman"/>
          <w:color w:val="000000"/>
          <w:sz w:val="20"/>
        </w:rPr>
        <w:t xml:space="preserve"> </w:t>
      </w:r>
      <w:r>
        <w:rPr>
          <w:rFonts w:ascii="Arial" w:hAnsi="Arial"/>
          <w:color w:val="000000"/>
          <w:sz w:val="20"/>
        </w:rPr>
        <w:t>Other segment items included in consolidated net loss is interest income, which is reflected in the condensed consolidated statements of operations and comprehensive loss.</w:t>
      </w:r>
      <w:r>
        <w:rPr>
          <w:rFonts w:ascii="Times New Roman" w:hAnsi="Times New Roman"/>
          <w:color w:val="000000"/>
          <w:sz w:val="20"/>
        </w:rPr>
        <w:t xml:space="preserve"> </w:t>
      </w:r>
    </w:p>
    <w:p>
      <w:pPr>
        <w:pStyle w:val="Heading2"/>
        <w:bidi w:val="0"/>
        <w:spacing w:before="240" w:after="283"/>
        <w:jc w:val="left"/>
        <w:rPr>
          <w:rFonts w:ascii="Times New Roman" w:hAnsi="Times New Roman"/>
          <w:sz w:val="20"/>
        </w:rPr>
      </w:pPr>
      <w:r>
        <w:rPr>
          <w:rFonts w:ascii="Arial" w:hAnsi="Arial"/>
          <w:i/>
          <w:color w:val="000000"/>
          <w:sz w:val="20"/>
        </w:rPr>
        <w:t>Recent Accounting Pronouncements Not Yet Adopted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In December 2023, the Financial Accounting Standards Board ("FASB") issued a new income tax-related accounting guidance in ASU 2023-09, </w:t>
      </w:r>
      <w:r>
        <w:rPr>
          <w:rFonts w:ascii="Arial" w:hAnsi="Arial"/>
          <w:i/>
          <w:color w:val="000000"/>
          <w:sz w:val="20"/>
        </w:rPr>
        <w:t>Improvements to Income Tax Disclosures</w:t>
      </w:r>
      <w:r>
        <w:rPr>
          <w:rFonts w:ascii="Arial" w:hAnsi="Arial"/>
          <w:color w:val="000000"/>
          <w:sz w:val="20"/>
        </w:rPr>
        <w:t>. The standard requires disaggregated information about a reporting entity’s effective tax rate reconciliation as well as information on income taxes paid. For public business entities, the new requirements will be effective for annual periods beginning after December 15, 2024. The guidance will be applied on a prospective basis with the option to apply the standard retrospectively. Early adoption is permitted. The Company is currently evaluating the impact of the pending adoption of ASU 2023-09 on its consolidated financial statements and related disclosures.</w:t>
      </w:r>
    </w:p>
    <w:p>
      <w:pPr>
        <w:pStyle w:val="TextBody"/>
        <w:bidi w:val="0"/>
        <w:spacing w:before="240" w:after="283"/>
        <w:jc w:val="both"/>
        <w:rPr>
          <w:rFonts w:ascii="Arial" w:hAnsi="Arial"/>
          <w:color w:val="000000"/>
          <w:sz w:val="20"/>
        </w:rPr>
      </w:pPr>
      <w:r>
        <w:rPr>
          <w:rFonts w:ascii="Arial" w:hAnsi="Arial"/>
          <w:color w:val="000000"/>
          <w:sz w:val="20"/>
        </w:rPr>
        <w:t>3. Fair Value Measurement</w:t>
      </w:r>
    </w:p>
    <w:p>
      <w:pPr>
        <w:pStyle w:val="TextBody"/>
        <w:bidi w:val="0"/>
        <w:spacing w:before="240" w:after="283"/>
        <w:jc w:val="both"/>
        <w:rPr>
          <w:rFonts w:ascii="Times New Roman" w:hAnsi="Times New Roman"/>
          <w:sz w:val="20"/>
        </w:rPr>
      </w:pPr>
      <w:r>
        <w:rPr>
          <w:rFonts w:ascii="Arial" w:hAnsi="Arial"/>
          <w:color w:val="000000"/>
          <w:sz w:val="20"/>
        </w:rPr>
        <w:t xml:space="preserve">The Company assesses the fair value of financial instruments based on the provisions of ASC 820, </w:t>
      </w:r>
      <w:r>
        <w:rPr>
          <w:rFonts w:ascii="Arial" w:hAnsi="Arial"/>
          <w:i/>
          <w:color w:val="000000"/>
          <w:sz w:val="20"/>
        </w:rPr>
        <w:t>Fair Value Measurements</w:t>
      </w:r>
      <w:r>
        <w:rPr>
          <w:rFonts w:ascii="Arial" w:hAnsi="Arial"/>
          <w:color w:val="000000"/>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1 — Inputs are unadjusted quoted prices in active markets for identical assets or liabilities accessible to the reporting entity at the measurement date.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jc w:val="both"/>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37,207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91,703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65,035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147,410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13,744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191,523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362,005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118,955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109,432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144,741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434,740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72"/>
        <w:gridCol w:w="188"/>
        <w:gridCol w:w="486"/>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52,565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247,968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61,472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362,005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72"/>
        <w:gridCol w:w="188"/>
        <w:gridCol w:w="486"/>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142,710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219,190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72,840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434,740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marketable securities that had been in a consecutive loss position for more than 12 months as of June 30, 2025. During the three and six months ended June 30, 2025, the Company did not recognize any other-than-temporary impairment loss. As of June 30, 2025, there was no</w:t>
      </w:r>
      <w:r>
        <w:rPr>
          <w:rFonts w:ascii="Times New Roman" w:hAnsi="Times New Roman"/>
          <w:color w:val="000000"/>
          <w:sz w:val="20"/>
        </w:rPr>
        <w:t xml:space="preserve"> </w:t>
      </w:r>
      <w:r>
        <w:rPr>
          <w:rFonts w:ascii="Arial" w:hAnsi="Arial"/>
          <w:color w:val="000000"/>
          <w:sz w:val="20"/>
        </w:rPr>
        <w:t>allowance for losses on available-for-sale debt securities attributable to credit risk.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June 30, 2025, all of the Company’s cash and cash equivalents primarily consisted of cash on deposit with U.S. banks denominated in U.S. dollars and Australian dollars, and investments in interest bearing money market funds.</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 consisted of the following (in thousands):</w:t>
      </w:r>
    </w:p>
    <w:p>
      <w:pPr>
        <w:pStyle w:val="TextBody"/>
        <w:bidi w:val="0"/>
        <w:spacing w:before="240" w:after="283"/>
        <w:jc w:val="both"/>
        <w:rPr/>
      </w:pPr>
      <w:r>
        <w:rPr/>
        <w:t> </w:t>
      </w:r>
    </w:p>
    <w:tbl>
      <w:tblPr>
        <w:tblW w:w="5893" w:type="dxa"/>
        <w:jc w:val="left"/>
        <w:tblInd w:w="0" w:type="dxa"/>
        <w:tblLayout w:type="fixed"/>
        <w:tblCellMar>
          <w:top w:w="28" w:type="dxa"/>
          <w:left w:w="28" w:type="dxa"/>
          <w:bottom w:w="28" w:type="dxa"/>
          <w:right w:w="28" w:type="dxa"/>
        </w:tblCellMar>
      </w:tblPr>
      <w:tblGrid>
        <w:gridCol w:w="3151"/>
        <w:gridCol w:w="146"/>
        <w:gridCol w:w="211"/>
        <w:gridCol w:w="146"/>
        <w:gridCol w:w="586"/>
        <w:gridCol w:w="146"/>
        <w:gridCol w:w="146"/>
        <w:gridCol w:w="262"/>
        <w:gridCol w:w="181"/>
        <w:gridCol w:w="727"/>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clinical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Value added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subscriptions and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5.</w:t>
      </w:r>
    </w:p>
    <w:p>
      <w:pPr>
        <w:pStyle w:val="TextBody"/>
        <w:bidi w:val="0"/>
        <w:spacing w:before="40" w:after="283"/>
        <w:jc w:val="both"/>
        <w:rPr>
          <w:rFonts w:ascii="Arial" w:hAnsi="Arial"/>
          <w:color w:val="000000"/>
          <w:sz w:val="20"/>
        </w:rPr>
      </w:pPr>
      <w:r>
        <w:rPr>
          <w:rFonts w:ascii="Arial" w:hAnsi="Arial"/>
          <w:color w:val="000000"/>
          <w:sz w:val="20"/>
        </w:rPr>
        <w:t xml:space="preserve">Other Assets and Long-Term Deposits </w:t>
      </w:r>
    </w:p>
    <w:p>
      <w:pPr>
        <w:pStyle w:val="TextBody"/>
        <w:bidi w:val="0"/>
        <w:spacing w:before="240" w:after="283"/>
        <w:jc w:val="both"/>
        <w:rPr>
          <w:rFonts w:ascii="Arial" w:hAnsi="Arial"/>
          <w:color w:val="000000"/>
          <w:sz w:val="20"/>
        </w:rPr>
      </w:pPr>
      <w:r>
        <w:rPr>
          <w:rFonts w:ascii="Arial" w:hAnsi="Arial"/>
          <w:color w:val="000000"/>
          <w:sz w:val="20"/>
        </w:rPr>
        <w:t>Other assets and long-term deposits consisted of the following (in thousands):</w:t>
      </w:r>
    </w:p>
    <w:p>
      <w:pPr>
        <w:pStyle w:val="TextBody"/>
        <w:bidi w:val="0"/>
        <w:jc w:val="both"/>
        <w:rPr/>
      </w:pPr>
      <w:r>
        <w:rPr/>
        <w:t> </w:t>
      </w:r>
    </w:p>
    <w:tbl>
      <w:tblPr>
        <w:tblW w:w="6208" w:type="dxa"/>
        <w:jc w:val="left"/>
        <w:tblInd w:w="0" w:type="dxa"/>
        <w:tblLayout w:type="fixed"/>
        <w:tblCellMar>
          <w:top w:w="28" w:type="dxa"/>
          <w:left w:w="28" w:type="dxa"/>
          <w:bottom w:w="28" w:type="dxa"/>
          <w:right w:w="28" w:type="dxa"/>
        </w:tblCellMar>
      </w:tblPr>
      <w:tblGrid>
        <w:gridCol w:w="3361"/>
        <w:gridCol w:w="146"/>
        <w:gridCol w:w="211"/>
        <w:gridCol w:w="146"/>
        <w:gridCol w:w="691"/>
        <w:gridCol w:w="146"/>
        <w:gridCol w:w="146"/>
        <w:gridCol w:w="235"/>
        <w:gridCol w:w="163"/>
        <w:gridCol w:w="772"/>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development project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System implementation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lease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6.</w:t>
      </w:r>
    </w:p>
    <w:p>
      <w:pPr>
        <w:pStyle w:val="TextBody"/>
        <w:bidi w:val="0"/>
        <w:spacing w:before="40" w:after="283"/>
        <w:jc w:val="both"/>
        <w:rPr>
          <w:rFonts w:ascii="Arial" w:hAnsi="Arial"/>
          <w:color w:val="000000"/>
          <w:sz w:val="20"/>
        </w:rPr>
      </w:pPr>
      <w:r>
        <w:rPr>
          <w:rFonts w:ascii="Arial" w:hAnsi="Arial"/>
          <w:color w:val="000000"/>
          <w:sz w:val="20"/>
        </w:rPr>
        <w:t>Accrued and Other Current Liabilities</w:t>
      </w:r>
    </w:p>
    <w:p>
      <w:pPr>
        <w:pStyle w:val="TextBody"/>
        <w:bidi w:val="0"/>
        <w:spacing w:before="240" w:after="283"/>
        <w:jc w:val="both"/>
        <w:rPr>
          <w:rFonts w:ascii="Times New Roman" w:hAnsi="Times New Roman"/>
          <w:sz w:val="20"/>
        </w:rPr>
      </w:pPr>
      <w:r>
        <w:rPr>
          <w:rFonts w:ascii="Arial" w:hAnsi="Arial"/>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7228" w:type="dxa"/>
        <w:jc w:val="left"/>
        <w:tblInd w:w="0" w:type="dxa"/>
        <w:tblLayout w:type="fixed"/>
        <w:tblCellMar>
          <w:top w:w="28" w:type="dxa"/>
          <w:left w:w="28" w:type="dxa"/>
          <w:bottom w:w="28" w:type="dxa"/>
          <w:right w:w="28" w:type="dxa"/>
        </w:tblCellMar>
      </w:tblPr>
      <w:tblGrid>
        <w:gridCol w:w="4381"/>
        <w:gridCol w:w="146"/>
        <w:gridCol w:w="211"/>
        <w:gridCol w:w="146"/>
        <w:gridCol w:w="691"/>
        <w:gridCol w:w="146"/>
        <w:gridCol w:w="146"/>
        <w:gridCol w:w="235"/>
        <w:gridCol w:w="163"/>
        <w:gridCol w:w="772"/>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corporate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payroll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9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7.</w:t>
      </w:r>
    </w:p>
    <w:p>
      <w:pPr>
        <w:pStyle w:val="TextBody"/>
        <w:bidi w:val="0"/>
        <w:spacing w:before="40" w:after="283"/>
        <w:jc w:val="left"/>
        <w:rPr>
          <w:rFonts w:ascii="Arial" w:hAnsi="Arial"/>
          <w:color w:val="000000"/>
          <w:sz w:val="20"/>
        </w:rPr>
      </w:pPr>
      <w:r>
        <w:rPr>
          <w:rFonts w:ascii="Arial" w:hAnsi="Arial"/>
          <w:color w:val="000000"/>
          <w:sz w:val="20"/>
        </w:rPr>
        <w:t>Stock-Based Compensation</w:t>
      </w:r>
    </w:p>
    <w:p>
      <w:pPr>
        <w:pStyle w:val="TextBody"/>
        <w:bidi w:val="0"/>
        <w:spacing w:before="240" w:after="283"/>
        <w:jc w:val="both"/>
        <w:rPr>
          <w:rFonts w:ascii="Arial" w:hAnsi="Arial"/>
          <w:color w:val="000000"/>
          <w:sz w:val="20"/>
        </w:rPr>
      </w:pPr>
      <w:r>
        <w:rPr>
          <w:rFonts w:ascii="Arial" w:hAnsi="Arial"/>
          <w:color w:val="000000"/>
          <w:sz w:val="20"/>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w:t>
      </w:r>
      <w:r>
        <w:rPr>
          <w:rFonts w:ascii="Times New Roman" w:hAnsi="Times New Roman"/>
          <w:color w:val="000000"/>
          <w:sz w:val="20"/>
        </w:rPr>
        <w:t xml:space="preserve"> </w:t>
      </w:r>
      <w:r>
        <w:rPr>
          <w:rFonts w:ascii="Arial" w:hAnsi="Arial"/>
          <w:color w:val="000000"/>
          <w:sz w:val="20"/>
        </w:rPr>
        <w:t>shares of the Company’s common stock, which is the sum of (i) 2,152,080</w:t>
      </w:r>
      <w:r>
        <w:rPr>
          <w:rFonts w:ascii="Times New Roman" w:hAnsi="Times New Roman"/>
          <w:color w:val="000000"/>
          <w:sz w:val="20"/>
        </w:rPr>
        <w:t xml:space="preserve"> </w:t>
      </w:r>
      <w:r>
        <w:rPr>
          <w:rFonts w:ascii="Arial" w:hAnsi="Arial"/>
          <w:color w:val="000000"/>
          <w:sz w:val="20"/>
        </w:rPr>
        <w:t>new shares, plus (ii) an additional number of shares not to exceed 4,342,430</w:t>
      </w:r>
      <w:r>
        <w:rPr>
          <w:rFonts w:ascii="Times New Roman" w:hAnsi="Times New Roman"/>
          <w:color w:val="000000"/>
          <w:sz w:val="20"/>
        </w:rPr>
        <w:t xml:space="preserve"> </w:t>
      </w:r>
      <w:r>
        <w:rPr>
          <w:rFonts w:ascii="Arial" w:hAnsi="Arial"/>
          <w:color w:val="000000"/>
          <w:sz w:val="20"/>
        </w:rPr>
        <w:t>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pStyle w:val="TextBody"/>
        <w:bidi w:val="0"/>
        <w:spacing w:before="240" w:after="283"/>
        <w:jc w:val="both"/>
        <w:rPr>
          <w:rFonts w:ascii="Times New Roman" w:hAnsi="Times New Roman"/>
          <w:sz w:val="20"/>
        </w:rPr>
      </w:pPr>
      <w:r>
        <w:rPr>
          <w:rFonts w:ascii="Arial" w:hAnsi="Arial"/>
          <w:color w:val="000000"/>
          <w:sz w:val="20"/>
        </w:rPr>
        <w:t>In 2022, the Board approved and adopted the Company’s 2022 Inducement Plan (the “2022 Inducement Plan”). Under the 2022 Inducement Plan, initially 2,000,000</w:t>
      </w:r>
      <w:r>
        <w:rPr>
          <w:rFonts w:ascii="Times New Roman" w:hAnsi="Times New Roman"/>
          <w:color w:val="000000"/>
          <w:sz w:val="20"/>
        </w:rPr>
        <w:t xml:space="preserve"> </w:t>
      </w:r>
      <w:r>
        <w:rPr>
          <w:rFonts w:ascii="Arial" w:hAnsi="Arial"/>
          <w:color w:val="000000"/>
          <w:sz w:val="20"/>
        </w:rPr>
        <w:t>shares of common stock were reserved for issuance. In December 2024, the Compensation Committee of the Board approved an increase of an additional 3,000,000</w:t>
      </w:r>
      <w:r>
        <w:rPr>
          <w:rFonts w:ascii="Times New Roman" w:hAnsi="Times New Roman"/>
          <w:color w:val="000000"/>
          <w:sz w:val="20"/>
        </w:rPr>
        <w:t xml:space="preserve"> </w:t>
      </w:r>
      <w:r>
        <w:rPr>
          <w:rFonts w:ascii="Arial" w:hAnsi="Arial"/>
          <w:color w:val="000000"/>
          <w:sz w:val="20"/>
        </w:rPr>
        <w:t>shares of common stock reserved for issuance under the 2022 Inducement Plan, which increase was made effective as of January 1, 2025. The 2022 Inducement Plan permits the grant of options, restricted stock awards, stock appreciation rights, restricted stock unit awards, performance awards, and other awards.</w:t>
      </w:r>
    </w:p>
    <w:p>
      <w:pPr>
        <w:pStyle w:val="TextBody"/>
        <w:bidi w:val="0"/>
        <w:spacing w:before="240" w:after="283"/>
        <w:jc w:val="both"/>
        <w:rPr>
          <w:rFonts w:ascii="Times New Roman" w:hAnsi="Times New Roman"/>
          <w:sz w:val="20"/>
        </w:rPr>
      </w:pPr>
      <w:r>
        <w:rPr>
          <w:rFonts w:ascii="Arial" w:hAnsi="Arial"/>
          <w:color w:val="000000"/>
          <w:sz w:val="20"/>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w:t>
      </w:r>
      <w:r>
        <w:rPr>
          <w:rFonts w:ascii="Times New Roman" w:hAnsi="Times New Roman"/>
          <w:color w:val="000000"/>
          <w:sz w:val="20"/>
        </w:rPr>
        <w:t xml:space="preserve"> </w:t>
      </w:r>
      <w:r>
        <w:rPr>
          <w:rFonts w:ascii="Arial" w:hAnsi="Arial"/>
          <w:color w:val="000000"/>
          <w:sz w:val="20"/>
        </w:rPr>
        <w:t>after the date of grant.</w:t>
      </w:r>
    </w:p>
    <w:p>
      <w:pPr>
        <w:pStyle w:val="Heading2"/>
        <w:bidi w:val="0"/>
        <w:spacing w:before="240" w:after="283"/>
        <w:jc w:val="left"/>
        <w:rPr>
          <w:rFonts w:ascii="Arial" w:hAnsi="Arial"/>
          <w:i/>
          <w:color w:val="000000"/>
          <w:sz w:val="20"/>
        </w:rPr>
      </w:pPr>
      <w:r>
        <w:rPr>
          <w:rFonts w:ascii="Arial" w:hAnsi="Arial"/>
          <w:i/>
          <w:color w:val="000000"/>
          <w:sz w:val="20"/>
        </w:rPr>
        <w:t>Stock Option Valuation</w:t>
      </w:r>
    </w:p>
    <w:p>
      <w:pPr>
        <w:pStyle w:val="TextBody"/>
        <w:bidi w:val="0"/>
        <w:spacing w:before="240" w:after="283"/>
        <w:jc w:val="both"/>
        <w:rPr>
          <w:rFonts w:ascii="Arial" w:hAnsi="Arial"/>
          <w:color w:val="000000"/>
          <w:sz w:val="20"/>
        </w:rPr>
      </w:pPr>
      <w:r>
        <w:rPr>
          <w:rFonts w:ascii="Arial" w:hAnsi="Arial"/>
          <w:color w:val="000000"/>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0% since the Company has never paid cash dividends and does not expect to pay any cash dividends in the foreseeable future.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assumptions that the Company used to determine the estimated grant-date fair value of stock options granted to employees and directors under the 2020 Plan and the 2022 Inducement Plan were as follows, presented as a weighted average:</w:t>
      </w:r>
    </w:p>
    <w:p>
      <w:pPr>
        <w:pStyle w:val="TextBody"/>
        <w:bidi w:val="0"/>
        <w:jc w:val="both"/>
        <w:rPr/>
      </w:pPr>
      <w:r>
        <w:rPr/>
        <w:t> </w:t>
      </w:r>
    </w:p>
    <w:tbl>
      <w:tblPr>
        <w:tblW w:w="4785" w:type="dxa"/>
        <w:jc w:val="left"/>
        <w:tblInd w:w="0" w:type="dxa"/>
        <w:tblLayout w:type="fixed"/>
        <w:tblCellMar>
          <w:top w:w="28" w:type="dxa"/>
          <w:left w:w="28" w:type="dxa"/>
          <w:bottom w:w="28" w:type="dxa"/>
          <w:right w:w="28" w:type="dxa"/>
        </w:tblCellMar>
      </w:tblPr>
      <w:tblGrid>
        <w:gridCol w:w="2266"/>
        <w:gridCol w:w="146"/>
        <w:gridCol w:w="146"/>
        <w:gridCol w:w="586"/>
        <w:gridCol w:w="286"/>
        <w:gridCol w:w="146"/>
        <w:gridCol w:w="146"/>
        <w:gridCol w:w="146"/>
        <w:gridCol w:w="586"/>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bidi w:val="0"/>
        <w:spacing w:before="40" w:after="283"/>
        <w:jc w:val="left"/>
        <w:rPr>
          <w:rFonts w:ascii="Arial" w:hAnsi="Arial"/>
          <w:i/>
          <w:color w:val="000000"/>
          <w:sz w:val="20"/>
        </w:rPr>
      </w:pPr>
      <w:r>
        <w:rPr>
          <w:rFonts w:ascii="Arial" w:hAnsi="Arial"/>
          <w:i/>
          <w:color w:val="000000"/>
          <w:sz w:val="20"/>
        </w:rPr>
        <w:t>Stock Option Activity</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stock option activity under the 2020 Plan and the 2022 Inducement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62"/>
        <w:gridCol w:w="146"/>
        <w:gridCol w:w="146"/>
        <w:gridCol w:w="1066"/>
        <w:gridCol w:w="166"/>
        <w:gridCol w:w="146"/>
        <w:gridCol w:w="211"/>
        <w:gridCol w:w="146"/>
        <w:gridCol w:w="586"/>
        <w:gridCol w:w="146"/>
        <w:gridCol w:w="146"/>
        <w:gridCol w:w="240"/>
        <w:gridCol w:w="796"/>
        <w:gridCol w:w="146"/>
        <w:gridCol w:w="146"/>
        <w:gridCol w:w="276"/>
        <w:gridCol w:w="190"/>
        <w:gridCol w:w="771"/>
        <w:gridCol w:w="473"/>
      </w:tblGrid>
      <w:tr>
        <w:trPr/>
        <w:tc>
          <w:tcPr>
            <w:tcW w:w="4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2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6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Intrinsic</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11,353,057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7,519</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4,248,660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15,174,024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1,932</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and exercisable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7,709,943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1,618</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expected to vest as of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7,464,081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both"/>
        <w:rPr>
          <w:rFonts w:ascii="Times New Roman" w:hAnsi="Times New Roman"/>
          <w:sz w:val="20"/>
        </w:rPr>
      </w:pPr>
      <w:r>
        <w:rPr>
          <w:rFonts w:ascii="Arial" w:hAnsi="Arial"/>
          <w:i/>
          <w:color w:val="000000"/>
          <w:sz w:val="20"/>
        </w:rPr>
        <w:t>2020 Employee Stock Purchase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w:t>
      </w:r>
      <w:r>
        <w:rPr>
          <w:rFonts w:ascii="Times New Roman" w:hAnsi="Times New Roman"/>
          <w:color w:val="000000"/>
          <w:sz w:val="20"/>
        </w:rPr>
        <w:t xml:space="preserve"> </w:t>
      </w:r>
      <w:r>
        <w:rPr>
          <w:rFonts w:ascii="Arial" w:hAnsi="Arial"/>
          <w:color w:val="000000"/>
          <w:sz w:val="20"/>
        </w:rPr>
        <w:t>and will include one or more purchase periods (each a “Purchase Period”) as approved by the Board in the offering. A total of 430,416</w:t>
      </w:r>
      <w:r>
        <w:rPr>
          <w:rFonts w:ascii="Times New Roman" w:hAnsi="Times New Roman"/>
          <w:color w:val="000000"/>
          <w:sz w:val="20"/>
        </w:rPr>
        <w:t xml:space="preserve"> </w:t>
      </w:r>
      <w:r>
        <w:rPr>
          <w:rFonts w:ascii="Arial" w:hAnsi="Arial"/>
          <w:color w:val="000000"/>
          <w:sz w:val="20"/>
        </w:rPr>
        <w:t>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w:t>
      </w:r>
      <w:r>
        <w:rPr>
          <w:rFonts w:ascii="Times New Roman" w:hAnsi="Times New Roman"/>
          <w:color w:val="000000"/>
          <w:sz w:val="20"/>
        </w:rPr>
        <w:t xml:space="preserve"> </w:t>
      </w:r>
      <w:r>
        <w:rPr>
          <w:rFonts w:ascii="Arial" w:hAnsi="Arial"/>
          <w:color w:val="000000"/>
          <w:sz w:val="20"/>
        </w:rPr>
        <w:t>shares of common stock, or (iii) a lesser number of shares determined by the Board no later than December 31 of the preceding calendar year.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ESPP is a compensatory plan as defined by the authoritative guidance for stock-based compensation. The Company uses the Black-Scholes option-pricing model to estimate the fair value of stock offered under the ESPP. Stock-based compensation expense related to the ESPP was $0.2</w:t>
      </w:r>
      <w:r>
        <w:rPr>
          <w:rFonts w:ascii="Times New Roman" w:hAnsi="Times New Roman"/>
          <w:color w:val="000000"/>
          <w:sz w:val="20"/>
        </w:rPr>
        <w:t xml:space="preserve"> </w:t>
      </w:r>
      <w:r>
        <w:rPr>
          <w:rFonts w:ascii="Arial" w:hAnsi="Arial"/>
          <w:color w:val="000000"/>
          <w:sz w:val="20"/>
        </w:rPr>
        <w:t>million for each of the three-month periods ended June 30, 2025 and 2024, and $0.4</w:t>
      </w:r>
      <w:r>
        <w:rPr>
          <w:rFonts w:ascii="Times New Roman" w:hAnsi="Times New Roman"/>
          <w:color w:val="000000"/>
          <w:sz w:val="20"/>
        </w:rPr>
        <w:t xml:space="preserve"> </w:t>
      </w:r>
      <w:r>
        <w:rPr>
          <w:rFonts w:ascii="Arial" w:hAnsi="Arial"/>
          <w:color w:val="000000"/>
          <w:sz w:val="20"/>
        </w:rPr>
        <w:t>million for each of the six-month periods ended June 30, 2025 and 2024.</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both"/>
        <w:rPr>
          <w:rFonts w:ascii="Arial" w:hAnsi="Arial"/>
          <w:i/>
          <w:color w:val="000000"/>
          <w:sz w:val="20"/>
        </w:rPr>
      </w:pPr>
      <w:r>
        <w:rPr>
          <w:rFonts w:ascii="Arial" w:hAnsi="Arial"/>
          <w:i/>
          <w:color w:val="000000"/>
          <w:sz w:val="20"/>
        </w:rPr>
        <w:t>Stock-Based Compensation Expense</w:t>
      </w:r>
    </w:p>
    <w:p>
      <w:pPr>
        <w:pStyle w:val="TextBody"/>
        <w:bidi w:val="0"/>
        <w:spacing w:before="240" w:after="283"/>
        <w:jc w:val="both"/>
        <w:rPr>
          <w:rFonts w:ascii="Arial" w:hAnsi="Arial"/>
          <w:color w:val="000000"/>
          <w:sz w:val="20"/>
        </w:rPr>
      </w:pPr>
      <w:r>
        <w:rPr>
          <w:rFonts w:ascii="Arial" w:hAnsi="Arial"/>
          <w:color w:val="000000"/>
          <w:sz w:val="20"/>
        </w:rPr>
        <w:t>Stock-based compensation expense related to awards granted under the 2014 Plan, the 2020 Plan, the ESPP and the 2022 Inducement Plan was classified in the condensed consolidated statements of operations and comprehensive loss as follows (in thousands):</w:t>
      </w:r>
    </w:p>
    <w:p>
      <w:pPr>
        <w:pStyle w:val="TextBody"/>
        <w:bidi w:val="0"/>
        <w:jc w:val="both"/>
        <w:rPr/>
      </w:pPr>
      <w:r>
        <w:rPr/>
        <w:t> </w:t>
      </w:r>
    </w:p>
    <w:tbl>
      <w:tblPr>
        <w:tblW w:w="7861" w:type="dxa"/>
        <w:jc w:val="left"/>
        <w:tblInd w:w="0" w:type="dxa"/>
        <w:tblLayout w:type="fixed"/>
        <w:tblCellMar>
          <w:top w:w="28" w:type="dxa"/>
          <w:left w:w="28" w:type="dxa"/>
          <w:bottom w:w="28" w:type="dxa"/>
          <w:right w:w="28" w:type="dxa"/>
        </w:tblCellMar>
      </w:tblPr>
      <w:tblGrid>
        <w:gridCol w:w="2491"/>
        <w:gridCol w:w="146"/>
        <w:gridCol w:w="232"/>
        <w:gridCol w:w="160"/>
        <w:gridCol w:w="644"/>
        <w:gridCol w:w="160"/>
        <w:gridCol w:w="160"/>
        <w:gridCol w:w="298"/>
        <w:gridCol w:w="160"/>
        <w:gridCol w:w="644"/>
        <w:gridCol w:w="146"/>
        <w:gridCol w:w="146"/>
        <w:gridCol w:w="211"/>
        <w:gridCol w:w="146"/>
        <w:gridCol w:w="586"/>
        <w:gridCol w:w="146"/>
        <w:gridCol w:w="146"/>
        <w:gridCol w:w="211"/>
        <w:gridCol w:w="146"/>
        <w:gridCol w:w="69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283"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2,988</w:t>
            </w:r>
          </w:p>
        </w:tc>
        <w:tc>
          <w:tcPr>
            <w:tcW w:w="1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4,692</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8.</w:t>
      </w:r>
    </w:p>
    <w:p>
      <w:pPr>
        <w:pStyle w:val="TextBody"/>
        <w:bidi w:val="0"/>
        <w:spacing w:before="40" w:after="283"/>
        <w:jc w:val="both"/>
        <w:rPr>
          <w:rFonts w:ascii="Arial" w:hAnsi="Arial"/>
          <w:color w:val="000000"/>
          <w:sz w:val="20"/>
        </w:rPr>
      </w:pPr>
      <w:r>
        <w:rPr>
          <w:rFonts w:ascii="Arial" w:hAnsi="Arial"/>
          <w:color w:val="000000"/>
          <w:sz w:val="20"/>
        </w:rPr>
        <w:t>Net Loss Per Common Share</w:t>
      </w:r>
    </w:p>
    <w:p>
      <w:pPr>
        <w:pStyle w:val="Heading2"/>
        <w:bidi w:val="0"/>
        <w:spacing w:before="240" w:after="283"/>
        <w:jc w:val="both"/>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and diluted net loss per common share was calculated as follows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98"/>
        <w:gridCol w:w="426"/>
        <w:gridCol w:w="426"/>
        <w:gridCol w:w="1346"/>
        <w:gridCol w:w="426"/>
        <w:gridCol w:w="426"/>
        <w:gridCol w:w="1066"/>
        <w:gridCol w:w="146"/>
        <w:gridCol w:w="211"/>
        <w:gridCol w:w="1066"/>
        <w:gridCol w:w="146"/>
        <w:gridCol w:w="211"/>
        <w:gridCol w:w="1111"/>
      </w:tblGrid>
      <w:tr>
        <w:trPr/>
        <w:tc>
          <w:tcPr>
            <w:tcW w:w="3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3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69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745"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(43,784)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 average shares used to compute net loss per share, basic and diluted¹</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85,497,426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56,282,402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85,462,021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55,928,363</w:t>
            </w:r>
          </w:p>
        </w:tc>
      </w:tr>
      <w:tr>
        <w:trPr/>
        <w:tc>
          <w:tcPr>
            <w:tcW w:w="3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(1.10)</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¹ The weighted average shares used to compute net loss per share, basic and diluted, include the effect from the pre-funded warrants.</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The potentially dilutive shares that were excluded from the calculation of diluted net loss per share because their effect would have been anti-dilutive for the periods presented are as follows:</w:t>
      </w:r>
    </w:p>
    <w:p>
      <w:pPr>
        <w:pStyle w:val="TextBody"/>
        <w:bidi w:val="0"/>
        <w:jc w:val="both"/>
        <w:rPr/>
      </w:pPr>
      <w:r>
        <w:rPr/>
        <w:t> </w:t>
      </w:r>
    </w:p>
    <w:tbl>
      <w:tblPr>
        <w:tblW w:w="8184" w:type="dxa"/>
        <w:jc w:val="left"/>
        <w:tblInd w:w="0" w:type="dxa"/>
        <w:tblLayout w:type="fixed"/>
        <w:tblCellMar>
          <w:top w:w="28" w:type="dxa"/>
          <w:left w:w="28" w:type="dxa"/>
          <w:bottom w:w="28" w:type="dxa"/>
          <w:right w:w="28" w:type="dxa"/>
        </w:tblCellMar>
      </w:tblPr>
      <w:tblGrid>
        <w:gridCol w:w="5131"/>
        <w:gridCol w:w="146"/>
        <w:gridCol w:w="146"/>
        <w:gridCol w:w="1066"/>
        <w:gridCol w:w="146"/>
        <w:gridCol w:w="146"/>
        <w:gridCol w:w="146"/>
        <w:gridCol w:w="1066"/>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15,174,024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11,217,851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performance-based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15,174,024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11,620,851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40" w:after="240"/>
        <w:jc w:val="both"/>
        <w:rPr>
          <w:rFonts w:ascii="Arial" w:hAnsi="Arial"/>
          <w:color w:val="000000"/>
          <w:sz w:val="20"/>
        </w:rPr>
      </w:pPr>
      <w:r>
        <w:rPr>
          <w:rFonts w:ascii="Arial" w:hAnsi="Arial"/>
          <w:color w:val="000000"/>
          <w:sz w:val="20"/>
        </w:rPr>
        <w:t>9.</w:t>
      </w:r>
    </w:p>
    <w:p>
      <w:pPr>
        <w:pStyle w:val="TextBody"/>
        <w:bidi w:val="0"/>
        <w:spacing w:before="40" w:after="240"/>
        <w:jc w:val="both"/>
        <w:rPr>
          <w:rFonts w:ascii="Arial" w:hAnsi="Arial"/>
          <w:color w:val="000000"/>
          <w:sz w:val="20"/>
        </w:rPr>
      </w:pPr>
      <w:r>
        <w:rPr>
          <w:rFonts w:ascii="Arial" w:hAnsi="Arial"/>
          <w:color w:val="000000"/>
          <w:sz w:val="20"/>
        </w:rPr>
        <w:t>Lease</w:t>
      </w:r>
    </w:p>
    <w:p>
      <w:pPr>
        <w:pStyle w:val="TextBody"/>
        <w:bidi w:val="0"/>
        <w:spacing w:before="0" w:after="240"/>
        <w:jc w:val="both"/>
        <w:rPr>
          <w:rFonts w:ascii="Times New Roman" w:hAnsi="Times New Roman"/>
          <w:sz w:val="20"/>
        </w:rPr>
      </w:pPr>
      <w:r>
        <w:rPr>
          <w:rFonts w:ascii="Arial" w:hAnsi="Arial"/>
          <w:color w:val="000000"/>
          <w:sz w:val="20"/>
        </w:rPr>
        <w:t>The Company leases certain of its facilities under non-cancellable operating leases expiring at various dates through 2027.</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December 15, 2020, the Company entered into a lease agreement with Tennieh LLC to lease approximately 9,800</w:t>
      </w:r>
      <w:r>
        <w:rPr>
          <w:rFonts w:ascii="Times New Roman" w:hAnsi="Times New Roman"/>
          <w:color w:val="000000"/>
          <w:sz w:val="20"/>
        </w:rPr>
        <w:t xml:space="preserve"> </w:t>
      </w:r>
      <w:r>
        <w:rPr>
          <w:rFonts w:ascii="Arial" w:hAnsi="Arial"/>
          <w:color w:val="000000"/>
          <w:sz w:val="20"/>
        </w:rPr>
        <w:t>square feet of office and lab space in San Francisco, California (the “Laboratory Lease Agreement”). The Laboratory Lease Agreement was for a period of five years</w:t>
      </w:r>
      <w:r>
        <w:rPr>
          <w:rFonts w:ascii="Times New Roman" w:hAnsi="Times New Roman"/>
          <w:color w:val="000000"/>
          <w:sz w:val="20"/>
        </w:rPr>
        <w:t xml:space="preserve"> </w:t>
      </w:r>
      <w:r>
        <w:rPr>
          <w:rFonts w:ascii="Arial" w:hAnsi="Arial"/>
          <w:color w:val="000000"/>
          <w:sz w:val="20"/>
        </w:rPr>
        <w:t>commencing approximately February 1, 2021 and ending January 31, 2026. In April 2025, the Company exercised its option to extend the lease term by an additional year, resulting in a revised expiration date of January 31, 2027. The modification was accounted under ASC 842, resulting in a remeasurement of the lease liability and a corresponding $0.8</w:t>
      </w:r>
      <w:r>
        <w:rPr>
          <w:rFonts w:ascii="Times New Roman" w:hAnsi="Times New Roman"/>
          <w:color w:val="000000"/>
          <w:sz w:val="20"/>
        </w:rPr>
        <w:t xml:space="preserve"> </w:t>
      </w:r>
      <w:r>
        <w:rPr>
          <w:rFonts w:ascii="Arial" w:hAnsi="Arial"/>
          <w:color w:val="000000"/>
          <w:sz w:val="20"/>
        </w:rPr>
        <w:t>million increase to the ROU asset. The incremental borrowing rate was also updated as part of the remeasurement. According to the terms of the Laboratory Lease Agreement, the Company paid a $0.4</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No additional security deposit was paid in connection with the amendment.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August 17, 2023, the Company entered into a sublease agreement with Dropbox, Inc. to sublease approximately 6,713</w:t>
      </w:r>
      <w:r>
        <w:rPr>
          <w:rFonts w:ascii="Times New Roman" w:hAnsi="Times New Roman"/>
          <w:color w:val="000000"/>
          <w:sz w:val="20"/>
        </w:rPr>
        <w:t xml:space="preserve"> </w:t>
      </w:r>
      <w:r>
        <w:rPr>
          <w:rFonts w:ascii="Arial" w:hAnsi="Arial"/>
          <w:color w:val="000000"/>
          <w:sz w:val="20"/>
        </w:rPr>
        <w:t>square feet of office space in San Francisco, California (the “Dropbox Sublease Agreement”). The Dropbox Sublease Agreement was for a period of two years</w:t>
      </w:r>
      <w:r>
        <w:rPr>
          <w:rFonts w:ascii="Times New Roman" w:hAnsi="Times New Roman"/>
          <w:color w:val="000000"/>
          <w:sz w:val="20"/>
        </w:rPr>
        <w:t xml:space="preserve"> </w:t>
      </w:r>
      <w:r>
        <w:rPr>
          <w:rFonts w:ascii="Arial" w:hAnsi="Arial"/>
          <w:color w:val="000000"/>
          <w:sz w:val="20"/>
        </w:rPr>
        <w:t>commencing on September 5, 2023 and ending December 31, 2025. In June 2025, the Company exercised its option to extend the lease term by an additional year, resulting in a revised expiration date of December 31, 2026. The modification was accounted under ASC 842, resulting in a remeasurement of the lease liability and a corresponding $0.1</w:t>
      </w:r>
      <w:r>
        <w:rPr>
          <w:rFonts w:ascii="Times New Roman" w:hAnsi="Times New Roman"/>
          <w:color w:val="000000"/>
          <w:sz w:val="20"/>
        </w:rPr>
        <w:t xml:space="preserve"> </w:t>
      </w:r>
      <w:r>
        <w:rPr>
          <w:rFonts w:ascii="Arial" w:hAnsi="Arial"/>
          <w:color w:val="000000"/>
          <w:sz w:val="20"/>
        </w:rPr>
        <w:t>million increase to the ROU asset. The incremental borrowing rate was also updated as part of the remeasurement. According to the terms of the Dropbox Sublease Agreement, the Company paid a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No additional security deposit was paid in connection with the amendment.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August 23, 2023, the Company entered into a lease agreement with The Cambridge Redevelopment Authority to lease approximately 4,020</w:t>
      </w:r>
      <w:r>
        <w:rPr>
          <w:rFonts w:ascii="Times New Roman" w:hAnsi="Times New Roman"/>
          <w:color w:val="000000"/>
          <w:sz w:val="20"/>
        </w:rPr>
        <w:t xml:space="preserve"> </w:t>
      </w:r>
      <w:r>
        <w:rPr>
          <w:rFonts w:ascii="Arial" w:hAnsi="Arial"/>
          <w:color w:val="000000"/>
          <w:sz w:val="20"/>
        </w:rPr>
        <w:t>square feet of office space in Cambridge, Massachusetts (the “Cambridge Lease Agreement”). The Cambridge Lease Agreement is for a period of three years</w:t>
      </w:r>
      <w:r>
        <w:rPr>
          <w:rFonts w:ascii="Times New Roman" w:hAnsi="Times New Roman"/>
          <w:color w:val="000000"/>
          <w:sz w:val="20"/>
        </w:rPr>
        <w:t xml:space="preserve"> </w:t>
      </w:r>
      <w:r>
        <w:rPr>
          <w:rFonts w:ascii="Arial" w:hAnsi="Arial"/>
          <w:color w:val="000000"/>
          <w:sz w:val="20"/>
        </w:rPr>
        <w:t>commencing on September 15, 2023 and ending September 14, 2026. According to the terms of the Cambridge Lease Agreement, the Company paid a less than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The following table summarizes total lease expense during the three and six months ended June 30, 2025 and 2024 (in thousands):</w:t>
      </w:r>
    </w:p>
    <w:p>
      <w:pPr>
        <w:pStyle w:val="TextBody"/>
        <w:bidi w:val="0"/>
        <w:jc w:val="both"/>
        <w:rPr/>
      </w:pPr>
      <w:r>
        <w:rPr/>
        <w:t> </w:t>
      </w:r>
    </w:p>
    <w:tbl>
      <w:tblPr>
        <w:tblW w:w="8662" w:type="dxa"/>
        <w:jc w:val="left"/>
        <w:tblInd w:w="0" w:type="dxa"/>
        <w:tblLayout w:type="fixed"/>
        <w:tblCellMar>
          <w:top w:w="28" w:type="dxa"/>
          <w:left w:w="28" w:type="dxa"/>
          <w:bottom w:w="28" w:type="dxa"/>
          <w:right w:w="28" w:type="dxa"/>
        </w:tblCellMar>
      </w:tblPr>
      <w:tblGrid>
        <w:gridCol w:w="3331"/>
        <w:gridCol w:w="146"/>
        <w:gridCol w:w="280"/>
        <w:gridCol w:w="194"/>
        <w:gridCol w:w="560"/>
        <w:gridCol w:w="194"/>
        <w:gridCol w:w="194"/>
        <w:gridCol w:w="280"/>
        <w:gridCol w:w="194"/>
        <w:gridCol w:w="560"/>
        <w:gridCol w:w="146"/>
        <w:gridCol w:w="146"/>
        <w:gridCol w:w="257"/>
        <w:gridCol w:w="177"/>
        <w:gridCol w:w="512"/>
        <w:gridCol w:w="177"/>
        <w:gridCol w:w="177"/>
        <w:gridCol w:w="257"/>
        <w:gridCol w:w="177"/>
        <w:gridCol w:w="512"/>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6"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246"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Straight-line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lease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supplemental cash flow information during the three and six months ended June 30, 2025 and 2024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40"/>
        <w:gridCol w:w="426"/>
        <w:gridCol w:w="243"/>
        <w:gridCol w:w="168"/>
        <w:gridCol w:w="487"/>
        <w:gridCol w:w="168"/>
        <w:gridCol w:w="168"/>
        <w:gridCol w:w="243"/>
        <w:gridCol w:w="168"/>
        <w:gridCol w:w="487"/>
        <w:gridCol w:w="146"/>
        <w:gridCol w:w="146"/>
        <w:gridCol w:w="232"/>
        <w:gridCol w:w="160"/>
        <w:gridCol w:w="464"/>
        <w:gridCol w:w="160"/>
        <w:gridCol w:w="160"/>
        <w:gridCol w:w="232"/>
        <w:gridCol w:w="160"/>
        <w:gridCol w:w="464"/>
        <w:gridCol w:w="483"/>
      </w:tblGrid>
      <w:tr>
        <w:trPr/>
        <w:tc>
          <w:tcPr>
            <w:tcW w:w="48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484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32"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32"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9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measurement of lease 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8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operating leases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w:t>
            </w:r>
          </w:p>
        </w:tc>
        <w:tc>
          <w:tcPr>
            <w:tcW w:w="4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Supplemental noncash information on lease liability arising from obtaining a right-use-asset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the Company’s future minimum lease payments and reconciliation of lease liabilities as of June 30, 2025 (in thousands):</w:t>
      </w:r>
    </w:p>
    <w:p>
      <w:pPr>
        <w:pStyle w:val="TextBody"/>
        <w:bidi w:val="0"/>
        <w:jc w:val="both"/>
        <w:rPr/>
      </w:pPr>
      <w:r>
        <w:rPr/>
        <w:t> </w:t>
      </w:r>
    </w:p>
    <w:tbl>
      <w:tblPr>
        <w:tblW w:w="4706" w:type="dxa"/>
        <w:jc w:val="left"/>
        <w:tblInd w:w="0" w:type="dxa"/>
        <w:tblLayout w:type="fixed"/>
        <w:tblCellMar>
          <w:top w:w="28" w:type="dxa"/>
          <w:left w:w="28" w:type="dxa"/>
          <w:bottom w:w="28" w:type="dxa"/>
          <w:right w:w="28" w:type="dxa"/>
        </w:tblCellMar>
      </w:tblPr>
      <w:tblGrid>
        <w:gridCol w:w="3406"/>
        <w:gridCol w:w="146"/>
        <w:gridCol w:w="211"/>
        <w:gridCol w:w="146"/>
        <w:gridCol w:w="586"/>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2025 (from July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present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non-current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the lease term and discount rate as of June 30:</w:t>
      </w:r>
    </w:p>
    <w:p>
      <w:pPr>
        <w:pStyle w:val="TextBody"/>
        <w:bidi w:val="0"/>
        <w:jc w:val="both"/>
        <w:rPr/>
      </w:pPr>
      <w:r>
        <w:rPr/>
        <w:t> </w:t>
      </w:r>
    </w:p>
    <w:tbl>
      <w:tblPr>
        <w:tblW w:w="6379" w:type="dxa"/>
        <w:jc w:val="left"/>
        <w:tblInd w:w="0" w:type="dxa"/>
        <w:tblLayout w:type="fixed"/>
        <w:tblCellMar>
          <w:top w:w="28" w:type="dxa"/>
          <w:left w:w="28" w:type="dxa"/>
          <w:bottom w:w="28" w:type="dxa"/>
          <w:right w:w="28" w:type="dxa"/>
        </w:tblCellMar>
      </w:tblPr>
      <w:tblGrid>
        <w:gridCol w:w="4216"/>
        <w:gridCol w:w="146"/>
        <w:gridCol w:w="146"/>
        <w:gridCol w:w="481"/>
        <w:gridCol w:w="286"/>
        <w:gridCol w:w="146"/>
        <w:gridCol w:w="146"/>
        <w:gridCol w:w="481"/>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10.</w:t>
      </w:r>
    </w:p>
    <w:p>
      <w:pPr>
        <w:pStyle w:val="TextBody"/>
        <w:bidi w:val="0"/>
        <w:spacing w:before="40" w:after="283"/>
        <w:jc w:val="both"/>
        <w:rPr>
          <w:rFonts w:ascii="Arial" w:hAnsi="Arial"/>
          <w:color w:val="000000"/>
          <w:sz w:val="20"/>
        </w:rPr>
      </w:pPr>
      <w:r>
        <w:rPr>
          <w:rFonts w:ascii="Arial" w:hAnsi="Arial"/>
          <w:color w:val="000000"/>
          <w:sz w:val="20"/>
        </w:rPr>
        <w:t>Commitments and Contingencies</w:t>
      </w:r>
    </w:p>
    <w:p>
      <w:pPr>
        <w:pStyle w:val="Heading2"/>
        <w:bidi w:val="0"/>
        <w:spacing w:before="240" w:after="120"/>
        <w:jc w:val="both"/>
        <w:rPr>
          <w:rFonts w:ascii="Arial" w:hAnsi="Arial"/>
          <w:i/>
          <w:color w:val="000000"/>
          <w:sz w:val="20"/>
        </w:rPr>
      </w:pPr>
      <w:r>
        <w:rPr>
          <w:rFonts w:ascii="Arial" w:hAnsi="Arial"/>
          <w:i/>
          <w:color w:val="000000"/>
          <w:sz w:val="20"/>
        </w:rPr>
        <w:t>2024 Clinical Trial Collaboration and Supply Agreement with Novartis</w:t>
      </w:r>
    </w:p>
    <w:p>
      <w:pPr>
        <w:pStyle w:val="TextBody"/>
        <w:bidi w:val="0"/>
        <w:spacing w:before="120" w:after="283"/>
        <w:jc w:val="both"/>
        <w:rPr>
          <w:rFonts w:ascii="Arial" w:hAnsi="Arial"/>
          <w:color w:val="000000"/>
          <w:sz w:val="20"/>
        </w:rPr>
      </w:pPr>
      <w:r>
        <w:rPr>
          <w:rFonts w:ascii="Arial" w:hAnsi="Arial"/>
          <w:color w:val="000000"/>
          <w:sz w:val="20"/>
        </w:rPr>
        <w:t>On November 29, 2024, the Company entered into a Clinical Trial Collaboration and Supply Agreement (the "Novartis Pharma Agreement") with Novartis Pharma AG (collectively, with affiliated entities, "Novartis"). Pursuant to the Agreement, Novartis will provide the Company with ribociclib drug supply for the Company’s planned Phase 3 OPERA-02 clinical trial of palazestrant in combination with ribociclib in ER+/HER2- frontline advanced or metastatic breast cancer (the "OPERA-02 trial").</w:t>
      </w:r>
    </w:p>
    <w:p>
      <w:pPr>
        <w:pStyle w:val="TextBody"/>
        <w:bidi w:val="0"/>
        <w:spacing w:before="240" w:after="283"/>
        <w:jc w:val="both"/>
        <w:rPr>
          <w:rFonts w:ascii="Arial" w:hAnsi="Arial"/>
          <w:color w:val="000000"/>
          <w:sz w:val="20"/>
        </w:rPr>
      </w:pPr>
      <w:r>
        <w:rPr>
          <w:rFonts w:ascii="Arial" w:hAnsi="Arial"/>
          <w:color w:val="000000"/>
          <w:sz w:val="20"/>
        </w:rPr>
        <w:t>Under the Novartis Pharma Agreement, the Company will supply (including manufacturing, packaging and labeling) palazestrant and letrozole for the OPERA-02 trial. Novartis will manufacture and supply (including primary packaging) the Company with a specified amount of ribociclib, which amount is expected to be sufficient for the OPERA-02 trial.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Any inventions developed in the performance of the clinical studies for the combined therapies (other than those specific to each component study drug) are jointly owned by the parties. Except as otherwise specified below, the Novartis Pharma Agreement does not grant any right of first negotiation to participate in future clinical trials, and each party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and with third parties.</w:t>
      </w:r>
    </w:p>
    <w:p>
      <w:pPr>
        <w:pStyle w:val="TextBody"/>
        <w:bidi w:val="0"/>
        <w:spacing w:before="240" w:after="283"/>
        <w:jc w:val="both"/>
        <w:rPr>
          <w:rFonts w:ascii="Times New Roman" w:hAnsi="Times New Roman"/>
          <w:sz w:val="20"/>
        </w:rPr>
      </w:pPr>
      <w:r>
        <w:rPr>
          <w:rFonts w:ascii="Arial" w:hAnsi="Arial"/>
          <w:color w:val="000000"/>
          <w:sz w:val="20"/>
        </w:rPr>
        <w:t>The Company granted Novartis a right of first negotiation with respect to (a) the grant to any person or entity any right, license or sublicense to exploit palazestrant, in any field or territory, other than to third party service providers, or (b) the sale or other transfer to any person or entity of palazestrant and any related assets (each referred to herein as an "Olema Compound Transaction"). If the Company desires to or does, at any time, (a) solicit or entertain any third party proposal or indication of interest with respect to an Olema Compound Transaction, or (b) negotiate (including in response to any proposal or indication of interest received by the Company), enter into or perform under, in each case, any written definitive agreement with a third party with respect to or that contemplates an Olema Compound Transaction, then the Company must provide written notice to Novartis regarding such Olema Compound Transaction, along with certain other specified information.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Novartis will have 30 days</w:t>
      </w:r>
      <w:r>
        <w:rPr>
          <w:rFonts w:ascii="Times New Roman" w:hAnsi="Times New Roman"/>
          <w:color w:val="000000"/>
          <w:sz w:val="20"/>
        </w:rPr>
        <w:t xml:space="preserve"> </w:t>
      </w:r>
      <w:r>
        <w:rPr>
          <w:rFonts w:ascii="Arial" w:hAnsi="Arial"/>
          <w:color w:val="000000"/>
          <w:sz w:val="20"/>
        </w:rPr>
        <w:t>after receipt of such notice to elect to enter into exclusive good faith negotiations with respect to such Olema Compound Transaction for a period of up to 120 days.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the Company’s board of directors (or a duly authorized board committee) determines that the Company should pursue or explore a change of control of the Company or sale of all or substantially all of its assets (an "Olema Change of Control"), other than in response to an unsolicited bona fide acquisition proposal (a "Proposed Sale"), the Company must promptly notify Novartis of such determination. In the event Novartis elects to engage in negotiations with the Company in respect of such Proposed Sale, then from the date such notice is given until 45 days</w:t>
      </w:r>
      <w:r>
        <w:rPr>
          <w:rFonts w:ascii="Times New Roman" w:hAnsi="Times New Roman"/>
          <w:color w:val="000000"/>
          <w:sz w:val="20"/>
        </w:rPr>
        <w:t xml:space="preserve"> </w:t>
      </w:r>
      <w:r>
        <w:rPr>
          <w:rFonts w:ascii="Arial" w:hAnsi="Arial"/>
          <w:color w:val="000000"/>
          <w:sz w:val="20"/>
        </w:rPr>
        <w:t>after the later of (a) the date on which the foregoing notice is given to Novartis, (b) the date on which Novartis is given notice that a data room has been populated as required by the Novartis Pharma Agreement, and (c) entry by the Company and Novartis into a customary nondisclosure agreement, Novartis will have the exclusive right (but no obligation) to conduct due diligence on the Company and its business and negotiate with the Company and its representatives the definitive terms and conditions of the Proposed Sale.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pStyle w:val="TextBody"/>
        <w:bidi w:val="0"/>
        <w:spacing w:before="240" w:after="283"/>
        <w:jc w:val="both"/>
        <w:rPr>
          <w:rFonts w:ascii="Times New Roman" w:hAnsi="Times New Roman"/>
          <w:sz w:val="20"/>
        </w:rPr>
      </w:pPr>
      <w:r>
        <w:rPr>
          <w:rFonts w:ascii="Arial" w:hAnsi="Arial"/>
          <w:color w:val="000000"/>
          <w:sz w:val="20"/>
        </w:rPr>
        <w:t>In the event of an Olema Compound Transaction or Olema Change of Control involving a third party other than Novartis (the first to occur, a "Repayment Trigger Event"), the Company must promptly pay, or procure the payment of, the Repayment Amount (as defined below) to Novartis. Notwithstanding the foregoing, if the Novartis Pharma Agreement is terminated as a result of certain patient safety issues, lack of product efficacy, regulatory issues or clinical hold issues prior to the consummation of the Olema Compound Transaction or Olema Change of 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optionholder of the Company or its affiliates) enrolls a subject in any clinical study involving the combination of palazestrant and ribociclib (the "Olema Combination") or submits any filing with any regulatory authority relating to the Olema Combination. The “Repayment Amount” is the proportion of approximately $275</w:t>
      </w:r>
      <w:r>
        <w:rPr>
          <w:rFonts w:ascii="Times New Roman" w:hAnsi="Times New Roman"/>
          <w:color w:val="000000"/>
          <w:sz w:val="20"/>
        </w:rPr>
        <w:t xml:space="preserve"> </w:t>
      </w:r>
      <w:r>
        <w:rPr>
          <w:rFonts w:ascii="Arial" w:hAnsi="Arial"/>
          <w:color w:val="000000"/>
          <w:sz w:val="20"/>
        </w:rPr>
        <w:t>million that is represented by the number of units of ribociclib actually supplied to the Company under the Supply Agreement as of immediately prior to the Repayment Trigger Event as compared to the total number of units that could be supplied under the Novartis Pharma Agreement.</w:t>
      </w:r>
    </w:p>
    <w:p>
      <w:pPr>
        <w:pStyle w:val="TextBody"/>
        <w:bidi w:val="0"/>
        <w:spacing w:before="240" w:after="283"/>
        <w:jc w:val="both"/>
        <w:rPr>
          <w:rFonts w:ascii="Arial" w:hAnsi="Arial"/>
          <w:color w:val="000000"/>
          <w:sz w:val="20"/>
        </w:rPr>
      </w:pPr>
      <w:r>
        <w:rPr>
          <w:rFonts w:ascii="Arial" w:hAnsi="Arial"/>
          <w:color w:val="000000"/>
          <w:sz w:val="20"/>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Novartis Pharma Agreement, and (c) such time as the Novartis Pharma Agreement is terminated by the Company due to Novartis’ material breach. However, in the event the Novartis Pharma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pStyle w:val="TextBody"/>
        <w:bidi w:val="0"/>
        <w:spacing w:before="240" w:after="283"/>
        <w:jc w:val="both"/>
        <w:rPr>
          <w:rFonts w:ascii="Times New Roman" w:hAnsi="Times New Roman"/>
          <w:sz w:val="20"/>
        </w:rPr>
      </w:pPr>
      <w:r>
        <w:rPr>
          <w:rFonts w:ascii="Arial" w:hAnsi="Arial"/>
          <w:color w:val="000000"/>
          <w:sz w:val="20"/>
        </w:rPr>
        <w:t>The Novartis Pharma Agreement will terminate on the fifth anniversary of the date on which the first dose of palazestrant is administered to the first study subject. Either party may terminate the Novartis Pharma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 a party (or the Letrozole supplier) from supplying its product, in the event of an unresolved force majeure event,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or in certain circumstances for an unresolved clinical hold with respect to ribociclib, palazestrant or letrozole (or the combination of ribociclib and palazestrant or ribociclib and letrozole). In addition, Novartis may terminate the Novartis Pharma Agreement if the Company has failed to commence the OPERA-02 trial on or prior to March 31, 2026 or if the Company consummates an Olema Compound Transaction, and the Company may terminate the Novartis Pharma Agreement if the Company terminates the OPERA-02 trial other than due to a material safety issue, efficacy issue, regulatory action or upon a clinical hold. Costs incurred in connection to the Novartis Pharma Agreement are included in the research and development expense in the accompanying condensed consolidated statements of operations and comprehensive loss for the three and six months ended June 30, 2025.</w:t>
      </w:r>
    </w:p>
    <w:p>
      <w:pPr>
        <w:pStyle w:val="Heading2"/>
        <w:bidi w:val="0"/>
        <w:spacing w:before="240" w:after="120"/>
        <w:jc w:val="both"/>
        <w:rPr>
          <w:rFonts w:ascii="Arial" w:hAnsi="Arial"/>
          <w:i/>
          <w:color w:val="000000"/>
          <w:sz w:val="20"/>
        </w:rPr>
      </w:pPr>
      <w:r>
        <w:rPr>
          <w:rFonts w:ascii="Arial" w:hAnsi="Arial"/>
          <w:i/>
          <w:color w:val="000000"/>
          <w:sz w:val="20"/>
        </w:rPr>
        <w:t>2020 Clinical Collaboration and Supply Agreement with Novartis</w:t>
      </w:r>
    </w:p>
    <w:p>
      <w:pPr>
        <w:pStyle w:val="TextBody"/>
        <w:bidi w:val="0"/>
        <w:spacing w:before="120" w:after="283"/>
        <w:jc w:val="both"/>
        <w:rPr>
          <w:rFonts w:ascii="Times New Roman" w:hAnsi="Times New Roman"/>
          <w:sz w:val="20"/>
        </w:rPr>
      </w:pPr>
      <w:r>
        <w:rPr>
          <w:rFonts w:ascii="Arial" w:hAnsi="Arial"/>
          <w:color w:val="000000"/>
          <w:sz w:val="20"/>
        </w:rPr>
        <w:t>On July 22, 2020, the Company entered into a non-exclusive clinical collaboration and supply agreement with Novartis Institutes for BioMedical Research, Inc. On January 13, 2022, the Company entered into an amended and restated clinical collaboration and supply agreement with Novartis, and on October 9, 2023, the Company and Novartis entered into the amendment no. 1 (the "Novartis Amendment") to the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("PI3Ka") Inhibitor Piqray® (alpelisib) (collectively the "Novartis Study Drugs") as part of the Company’s Phase 1b/2 study of palazestrant in patients with metastatic estrogen receptor-positive breast cancer. The Novartis Amendment, among other things, expanded the Company's clinical collaboration with Novartis, increasing the size of the ongoing Phase 1/2 study testing palazestrant in combination with ribociclib to approximately 60</w:t>
      </w:r>
      <w:r>
        <w:rPr>
          <w:rFonts w:ascii="Times New Roman" w:hAnsi="Times New Roman"/>
          <w:color w:val="000000"/>
          <w:sz w:val="20"/>
        </w:rPr>
        <w:t xml:space="preserve"> </w:t>
      </w:r>
      <w:r>
        <w:rPr>
          <w:rFonts w:ascii="Arial" w:hAnsi="Arial"/>
          <w:color w:val="000000"/>
          <w:sz w:val="20"/>
        </w:rPr>
        <w:t>patients.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pStyle w:val="TextBody"/>
        <w:bidi w:val="0"/>
        <w:spacing w:before="240" w:after="283"/>
        <w:jc w:val="both"/>
        <w:rPr>
          <w:rFonts w:ascii="Times New Roman" w:hAnsi="Times New Roman"/>
          <w:sz w:val="20"/>
        </w:rPr>
      </w:pPr>
      <w:r>
        <w:rPr>
          <w:rFonts w:ascii="Arial" w:hAnsi="Arial"/>
          <w:color w:val="000000"/>
          <w:sz w:val="20"/>
        </w:rPr>
        <w:t>Costs associated with research activities performed under the agreement are included in research and development expenses in the accompanying condensed consolidated statements of operations and comprehensive loss for the three and six months ended June 30, 2025, and 2024, with any reimbursable costs from Novartis reflected as a reduction of such expenses. The Company had previously incurred the full agreed-upon reimbursement amount.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360" w:after="120"/>
        <w:jc w:val="left"/>
        <w:rPr/>
      </w:pPr>
      <w:r>
        <w:rPr/>
        <w:t> </w:t>
      </w:r>
    </w:p>
    <w:p>
      <w:pPr>
        <w:pStyle w:val="Heading2"/>
        <w:bidi w:val="0"/>
        <w:spacing w:before="120" w:after="120"/>
        <w:jc w:val="both"/>
        <w:rPr>
          <w:rFonts w:ascii="Arial" w:hAnsi="Arial"/>
          <w:i/>
          <w:color w:val="000000"/>
          <w:sz w:val="20"/>
        </w:rPr>
      </w:pPr>
      <w:r>
        <w:rPr>
          <w:rFonts w:ascii="Arial" w:hAnsi="Arial"/>
          <w:i/>
          <w:color w:val="000000"/>
          <w:sz w:val="20"/>
        </w:rPr>
        <w:t>Clinical Trial Agreement with Pfizer</w:t>
      </w:r>
    </w:p>
    <w:p>
      <w:pPr>
        <w:pStyle w:val="TextBody"/>
        <w:bidi w:val="0"/>
        <w:spacing w:before="120" w:after="283"/>
        <w:jc w:val="both"/>
        <w:rPr>
          <w:rFonts w:ascii="Arial" w:hAnsi="Arial"/>
          <w:color w:val="000000"/>
          <w:sz w:val="20"/>
        </w:rPr>
      </w:pPr>
      <w:r>
        <w:rPr>
          <w:rFonts w:ascii="Arial" w:hAnsi="Arial"/>
          <w:color w:val="000000"/>
          <w:sz w:val="20"/>
        </w:rPr>
        <w:t>In November 2020, the Company entered into a non-exclusive clinical trial agreement with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Pfizer Agreement will terminate upon completion of all activities outlined in the study plan and the relevant protocols. Either party may terminate the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bidi w:val="0"/>
        <w:spacing w:before="240" w:after="283"/>
        <w:jc w:val="both"/>
        <w:rPr>
          <w:rFonts w:ascii="Arial" w:hAnsi="Arial"/>
          <w:color w:val="000000"/>
          <w:sz w:val="20"/>
        </w:rPr>
      </w:pPr>
      <w:r>
        <w:rPr>
          <w:rFonts w:ascii="Arial" w:hAnsi="Arial"/>
          <w:color w:val="000000"/>
          <w:sz w:val="20"/>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condensed consolidated statements of operations and comprehensive loss for the three and six months ended June 30, 2025, and 2024.</w:t>
      </w:r>
    </w:p>
    <w:p>
      <w:pPr>
        <w:pStyle w:val="Heading2"/>
        <w:bidi w:val="0"/>
        <w:spacing w:before="240" w:after="120"/>
        <w:jc w:val="both"/>
        <w:rPr>
          <w:rFonts w:ascii="Arial" w:hAnsi="Arial"/>
          <w:i/>
          <w:color w:val="000000"/>
          <w:sz w:val="20"/>
        </w:rPr>
      </w:pPr>
      <w:r>
        <w:rPr>
          <w:rFonts w:ascii="Arial" w:hAnsi="Arial"/>
          <w:i/>
          <w:color w:val="000000"/>
          <w:sz w:val="20"/>
        </w:rPr>
        <w:t>License Agreement with Aurigene</w:t>
      </w:r>
    </w:p>
    <w:p>
      <w:pPr>
        <w:pStyle w:val="TextBody"/>
        <w:bidi w:val="0"/>
        <w:spacing w:before="120" w:after="283"/>
        <w:jc w:val="both"/>
        <w:rPr>
          <w:rFonts w:ascii="Arial" w:hAnsi="Arial"/>
          <w:color w:val="000000"/>
          <w:sz w:val="20"/>
        </w:rPr>
      </w:pPr>
      <w:r>
        <w:rPr>
          <w:rFonts w:ascii="Arial" w:hAnsi="Arial"/>
          <w:color w:val="000000"/>
          <w:sz w:val="20"/>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pStyle w:val="TextBody"/>
        <w:bidi w:val="0"/>
        <w:spacing w:before="240" w:after="283"/>
        <w:jc w:val="both"/>
        <w:rPr>
          <w:rFonts w:ascii="Times New Roman" w:hAnsi="Times New Roman"/>
          <w:sz w:val="20"/>
        </w:rPr>
      </w:pPr>
      <w:r>
        <w:rPr>
          <w:rFonts w:ascii="Arial" w:hAnsi="Arial"/>
          <w:color w:val="000000"/>
          <w:sz w:val="20"/>
        </w:rPr>
        <w:t>Under the terms of the Aurigene Agreement, Aurigene will provide to the Company an exclusive license to its portfolio of novel small molecule inhibitors of the target. Financial terms of the Aurigene Agreement include a $8.0</w:t>
      </w:r>
      <w:r>
        <w:rPr>
          <w:rFonts w:ascii="Times New Roman" w:hAnsi="Times New Roman"/>
          <w:color w:val="000000"/>
          <w:sz w:val="20"/>
        </w:rPr>
        <w:t xml:space="preserve"> </w:t>
      </w:r>
      <w:r>
        <w:rPr>
          <w:rFonts w:ascii="Arial" w:hAnsi="Arial"/>
          <w:color w:val="000000"/>
          <w:sz w:val="20"/>
        </w:rPr>
        <w:t>million upfront payment for rights to a pre-existing Aurigene program and potential future milestone payments of up to $60.0</w:t>
      </w:r>
      <w:r>
        <w:rPr>
          <w:rFonts w:ascii="Times New Roman" w:hAnsi="Times New Roman"/>
          <w:color w:val="000000"/>
          <w:sz w:val="20"/>
        </w:rPr>
        <w:t xml:space="preserve"> </w:t>
      </w:r>
      <w:r>
        <w:rPr>
          <w:rFonts w:ascii="Arial" w:hAnsi="Arial"/>
          <w:color w:val="000000"/>
          <w:sz w:val="20"/>
        </w:rPr>
        <w:t>million in clinical development and regulatory milestones, and up to $370.0</w:t>
      </w:r>
      <w:r>
        <w:rPr>
          <w:rFonts w:ascii="Times New Roman" w:hAnsi="Times New Roman"/>
          <w:color w:val="000000"/>
          <w:sz w:val="20"/>
        </w:rPr>
        <w:t xml:space="preserve"> </w:t>
      </w:r>
      <w:r>
        <w:rPr>
          <w:rFonts w:ascii="Arial" w:hAnsi="Arial"/>
          <w:color w:val="000000"/>
          <w:sz w:val="20"/>
        </w:rPr>
        <w:t>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connection with the other party’s uncured material breach or (c) by either the Company or Aurigene in connection with the insolvency of the other party.</w:t>
      </w:r>
    </w:p>
    <w:p>
      <w:pPr>
        <w:pStyle w:val="TextBody"/>
        <w:bidi w:val="0"/>
        <w:spacing w:before="240" w:after="283"/>
        <w:jc w:val="both"/>
        <w:rPr>
          <w:rFonts w:ascii="Times New Roman" w:hAnsi="Times New Roman"/>
          <w:sz w:val="20"/>
        </w:rPr>
      </w:pPr>
      <w:r>
        <w:rPr>
          <w:rFonts w:ascii="Arial" w:hAnsi="Arial"/>
          <w:color w:val="000000"/>
          <w:sz w:val="20"/>
        </w:rPr>
        <w:t>The $8.0</w:t>
      </w:r>
      <w:r>
        <w:rPr>
          <w:rFonts w:ascii="Times New Roman" w:hAnsi="Times New Roman"/>
          <w:color w:val="000000"/>
          <w:sz w:val="20"/>
        </w:rPr>
        <w:t xml:space="preserve"> </w:t>
      </w:r>
      <w:r>
        <w:rPr>
          <w:rFonts w:ascii="Arial" w:hAnsi="Arial"/>
          <w:color w:val="000000"/>
          <w:sz w:val="20"/>
        </w:rPr>
        <w:t>million upfront payment was incurred in June 2022.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The $5.0</w:t>
      </w:r>
      <w:r>
        <w:rPr>
          <w:rFonts w:ascii="Times New Roman" w:hAnsi="Times New Roman"/>
          <w:color w:val="000000"/>
          <w:sz w:val="20"/>
        </w:rPr>
        <w:t xml:space="preserve"> </w:t>
      </w:r>
      <w:r>
        <w:rPr>
          <w:rFonts w:ascii="Arial" w:hAnsi="Arial"/>
          <w:color w:val="000000"/>
          <w:sz w:val="20"/>
        </w:rPr>
        <w:t>million milestone payment related to initiation of the first IND-enabling safety study was incurred and recorded as research and development expenses in the accompanying condensed consolidated statement of operations and comprehensive loss during the six months ended June 30, 2024. The $10.0</w:t>
      </w:r>
      <w:r>
        <w:rPr>
          <w:rFonts w:ascii="Times New Roman" w:hAnsi="Times New Roman"/>
          <w:color w:val="000000"/>
          <w:sz w:val="20"/>
        </w:rPr>
        <w:t xml:space="preserve"> </w:t>
      </w:r>
      <w:r>
        <w:rPr>
          <w:rFonts w:ascii="Arial" w:hAnsi="Arial"/>
          <w:color w:val="000000"/>
          <w:sz w:val="20"/>
        </w:rPr>
        <w:t>million milestone payment related to dosing of the fifth patient in the first Phase 1 study was incurred during the three months ended June 30, 2025 and recognized as research and development expenses in the accompanying condensed consolidated statements of operations and comprehensive loss during the three and six months ended June 30, 2025.</w:t>
      </w:r>
    </w:p>
    <w:p>
      <w:pPr>
        <w:pStyle w:val="Heading2"/>
        <w:bidi w:val="0"/>
        <w:spacing w:before="240" w:after="120"/>
        <w:jc w:val="both"/>
        <w:rPr>
          <w:rFonts w:ascii="Arial" w:hAnsi="Arial"/>
          <w:i/>
          <w:color w:val="000000"/>
          <w:sz w:val="20"/>
        </w:rPr>
      </w:pPr>
      <w:r>
        <w:rPr>
          <w:rFonts w:ascii="Arial" w:hAnsi="Arial"/>
          <w:i/>
          <w:color w:val="000000"/>
          <w:sz w:val="20"/>
        </w:rPr>
        <w:t>Management Services Agreements</w:t>
      </w:r>
    </w:p>
    <w:p>
      <w:pPr>
        <w:pStyle w:val="TextBody"/>
        <w:bidi w:val="0"/>
        <w:spacing w:before="120" w:after="283"/>
        <w:jc w:val="both"/>
        <w:rPr>
          <w:rFonts w:ascii="Arial" w:hAnsi="Arial"/>
          <w:color w:val="000000"/>
          <w:sz w:val="20"/>
        </w:rPr>
      </w:pPr>
      <w:r>
        <w:rPr>
          <w:rFonts w:ascii="Arial" w:hAnsi="Arial"/>
          <w:color w:val="000000"/>
          <w:sz w:val="20"/>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June 30, 2025, the Company did not have material contractual commitments with respect to these arrangements.</w:t>
      </w:r>
    </w:p>
    <w:p>
      <w:pPr>
        <w:pStyle w:val="Heading2"/>
        <w:bidi w:val="0"/>
        <w:spacing w:before="240" w:after="120"/>
        <w:jc w:val="both"/>
        <w:rPr>
          <w:rFonts w:ascii="Arial" w:hAnsi="Arial"/>
          <w:i/>
          <w:color w:val="000000"/>
          <w:sz w:val="20"/>
        </w:rPr>
      </w:pPr>
      <w:r>
        <w:rPr>
          <w:rFonts w:ascii="Arial" w:hAnsi="Arial"/>
          <w:i/>
          <w:color w:val="000000"/>
          <w:sz w:val="20"/>
        </w:rPr>
        <w:t>Contingencies</w:t>
      </w:r>
    </w:p>
    <w:p>
      <w:pPr>
        <w:pStyle w:val="TextBody"/>
        <w:bidi w:val="0"/>
        <w:spacing w:before="120" w:after="283"/>
        <w:jc w:val="both"/>
        <w:rPr>
          <w:rFonts w:ascii="Arial" w:hAnsi="Arial"/>
          <w:color w:val="000000"/>
          <w:sz w:val="20"/>
        </w:rPr>
      </w:pPr>
      <w:r>
        <w:rPr>
          <w:rFonts w:ascii="Arial" w:hAnsi="Arial"/>
          <w:color w:val="000000"/>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Heading2"/>
        <w:bidi w:val="0"/>
        <w:spacing w:before="240" w:after="120"/>
        <w:jc w:val="both"/>
        <w:rPr>
          <w:rFonts w:ascii="Arial" w:hAnsi="Arial"/>
          <w:i/>
          <w:color w:val="000000"/>
          <w:sz w:val="20"/>
        </w:rPr>
      </w:pPr>
      <w:r>
        <w:rPr>
          <w:rFonts w:ascii="Arial" w:hAnsi="Arial"/>
          <w:i/>
          <w:color w:val="000000"/>
          <w:sz w:val="20"/>
        </w:rPr>
        <w:t>Indemnification Agreements</w:t>
      </w:r>
    </w:p>
    <w:p>
      <w:pPr>
        <w:pStyle w:val="TextBody"/>
        <w:bidi w:val="0"/>
        <w:spacing w:before="120" w:after="283"/>
        <w:jc w:val="both"/>
        <w:rPr>
          <w:rFonts w:ascii="Arial" w:hAnsi="Arial"/>
          <w:color w:val="000000"/>
          <w:sz w:val="20"/>
        </w:rPr>
      </w:pPr>
      <w:r>
        <w:rPr>
          <w:rFonts w:ascii="Arial" w:hAnsi="Arial"/>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June 30, 2025, the Company had not incurred any material costs as a result of such indemnifications.</w:t>
      </w:r>
    </w:p>
    <w:p>
      <w:pPr>
        <w:pStyle w:val="TextBody"/>
        <w:bidi w:val="0"/>
        <w:spacing w:before="240" w:after="283"/>
        <w:jc w:val="left"/>
        <w:rPr>
          <w:rFonts w:ascii="Arial" w:hAnsi="Arial"/>
          <w:color w:val="000000"/>
          <w:sz w:val="20"/>
        </w:rPr>
      </w:pPr>
      <w:r>
        <w:rPr>
          <w:rFonts w:ascii="Arial" w:hAnsi="Arial"/>
          <w:color w:val="000000"/>
          <w:sz w:val="20"/>
        </w:rPr>
        <w:t>11.</w:t>
      </w:r>
    </w:p>
    <w:p>
      <w:pPr>
        <w:pStyle w:val="TextBody"/>
        <w:bidi w:val="0"/>
        <w:spacing w:before="240" w:after="283"/>
        <w:jc w:val="left"/>
        <w:rPr>
          <w:rFonts w:ascii="Arial" w:hAnsi="Arial"/>
          <w:color w:val="000000"/>
          <w:sz w:val="20"/>
        </w:rPr>
      </w:pPr>
      <w:r>
        <w:rPr>
          <w:rFonts w:ascii="Arial" w:hAnsi="Arial"/>
          <w:color w:val="000000"/>
          <w:sz w:val="20"/>
        </w:rPr>
        <w:t>Long-term Borrowing</w:t>
      </w:r>
    </w:p>
    <w:p>
      <w:pPr>
        <w:pStyle w:val="TextBody"/>
        <w:bidi w:val="0"/>
        <w:spacing w:before="240" w:after="283"/>
        <w:jc w:val="both"/>
        <w:rPr>
          <w:rFonts w:ascii="Times New Roman" w:hAnsi="Times New Roman"/>
          <w:sz w:val="20"/>
        </w:rPr>
      </w:pPr>
      <w:r>
        <w:rPr>
          <w:rFonts w:ascii="Arial" w:hAnsi="Arial"/>
          <w:color w:val="000000"/>
          <w:sz w:val="20"/>
        </w:rPr>
        <w:t>On September 5, 2023, the Company entered into the Original Loan Agreement by and between the Company and the Bank. The Original Loan Agreement provided for a four-year</w:t>
      </w:r>
      <w:r>
        <w:rPr>
          <w:rFonts w:ascii="Times New Roman" w:hAnsi="Times New Roman"/>
          <w:color w:val="000000"/>
          <w:sz w:val="20"/>
        </w:rPr>
        <w:t xml:space="preserve"> </w:t>
      </w:r>
      <w:r>
        <w:rPr>
          <w:rFonts w:ascii="Arial" w:hAnsi="Arial"/>
          <w:color w:val="000000"/>
          <w:sz w:val="20"/>
        </w:rPr>
        <w:t>senior secured credit facility in an aggregate principal amount of up to $50.0</w:t>
      </w:r>
      <w:r>
        <w:rPr>
          <w:rFonts w:ascii="Times New Roman" w:hAnsi="Times New Roman"/>
          <w:color w:val="000000"/>
          <w:sz w:val="20"/>
        </w:rPr>
        <w:t xml:space="preserve"> </w:t>
      </w:r>
      <w:r>
        <w:rPr>
          <w:rFonts w:ascii="Arial" w:hAnsi="Arial"/>
          <w:color w:val="000000"/>
          <w:sz w:val="20"/>
        </w:rPr>
        <w:t>million (the "Original Credit Facility"), of which $25.0</w:t>
      </w:r>
      <w:r>
        <w:rPr>
          <w:rFonts w:ascii="Times New Roman" w:hAnsi="Times New Roman"/>
          <w:color w:val="000000"/>
          <w:sz w:val="20"/>
        </w:rPr>
        <w:t xml:space="preserve"> </w:t>
      </w:r>
      <w:r>
        <w:rPr>
          <w:rFonts w:ascii="Arial" w:hAnsi="Arial"/>
          <w:color w:val="000000"/>
          <w:sz w:val="20"/>
        </w:rPr>
        <w:t>million became available upon the closing of a private placement of our common stock to selected institutional and accredited investors pursuant to a securities purchase agreement in September 2023 ("Term Loan A"), and the remaining $25.0</w:t>
      </w:r>
      <w:r>
        <w:rPr>
          <w:rFonts w:ascii="Times New Roman" w:hAnsi="Times New Roman"/>
          <w:color w:val="000000"/>
          <w:sz w:val="20"/>
        </w:rPr>
        <w:t xml:space="preserve"> </w:t>
      </w:r>
      <w:r>
        <w:rPr>
          <w:rFonts w:ascii="Arial" w:hAnsi="Arial"/>
          <w:color w:val="000000"/>
          <w:sz w:val="20"/>
        </w:rPr>
        <w:t>million could have been made available upon approval of the Bank in its discretion. The Original Credit Facility was to mature on August 1, 2027</w:t>
      </w:r>
      <w:r>
        <w:rPr>
          <w:rFonts w:ascii="Times New Roman" w:hAnsi="Times New Roman"/>
          <w:color w:val="000000"/>
          <w:sz w:val="20"/>
        </w:rPr>
        <w:t xml:space="preserve"> </w:t>
      </w:r>
      <w:r>
        <w:rPr>
          <w:rFonts w:ascii="Arial" w:hAnsi="Arial"/>
          <w:color w:val="000000"/>
          <w:sz w:val="20"/>
        </w:rPr>
        <w:t>(the "Original Maturity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June 28, 2024, the Company entered into the First Amendment, which, among other things, (i) increased the aggregate principal amount of the Original Credit Facility from up to $50</w:t>
      </w:r>
      <w:r>
        <w:rPr>
          <w:rFonts w:ascii="Times New Roman" w:hAnsi="Times New Roman"/>
          <w:color w:val="000000"/>
          <w:sz w:val="20"/>
        </w:rPr>
        <w:t xml:space="preserve"> </w:t>
      </w:r>
      <w:r>
        <w:rPr>
          <w:rFonts w:ascii="Arial" w:hAnsi="Arial"/>
          <w:color w:val="000000"/>
          <w:sz w:val="20"/>
        </w:rPr>
        <w:t>million to up to $100</w:t>
      </w:r>
      <w:r>
        <w:rPr>
          <w:rFonts w:ascii="Times New Roman" w:hAnsi="Times New Roman"/>
          <w:color w:val="000000"/>
          <w:sz w:val="20"/>
        </w:rPr>
        <w:t xml:space="preserve"> </w:t>
      </w:r>
      <w:r>
        <w:rPr>
          <w:rFonts w:ascii="Arial" w:hAnsi="Arial"/>
          <w:color w:val="000000"/>
          <w:sz w:val="20"/>
        </w:rPr>
        <w:t>million,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which the Term Loan A of $25</w:t>
      </w:r>
      <w:r>
        <w:rPr>
          <w:rFonts w:ascii="Times New Roman" w:hAnsi="Times New Roman"/>
          <w:color w:val="000000"/>
          <w:sz w:val="20"/>
        </w:rPr>
        <w:t xml:space="preserve"> </w:t>
      </w:r>
      <w:r>
        <w:rPr>
          <w:rFonts w:ascii="Arial" w:hAnsi="Arial"/>
          <w:color w:val="000000"/>
          <w:sz w:val="20"/>
        </w:rPr>
        <w:t>million was immediately available, an additional $25</w:t>
      </w:r>
      <w:r>
        <w:rPr>
          <w:rFonts w:ascii="Times New Roman" w:hAnsi="Times New Roman"/>
          <w:color w:val="000000"/>
          <w:sz w:val="20"/>
        </w:rPr>
        <w:t xml:space="preserve"> </w:t>
      </w:r>
      <w:r>
        <w:rPr>
          <w:rFonts w:ascii="Arial" w:hAnsi="Arial"/>
          <w:color w:val="000000"/>
          <w:sz w:val="20"/>
        </w:rPr>
        <w:t>million will become available upon the Company achieving certain milestones related to execution of a first line pivotal Phase 3 clinical trial of palazestrant in combination with ribociclib, and an additional $50</w:t>
      </w:r>
      <w:r>
        <w:rPr>
          <w:rFonts w:ascii="Times New Roman" w:hAnsi="Times New Roman"/>
          <w:color w:val="000000"/>
          <w:sz w:val="20"/>
        </w:rPr>
        <w:t xml:space="preserve"> </w:t>
      </w:r>
      <w:r>
        <w:rPr>
          <w:rFonts w:ascii="Arial" w:hAnsi="Arial"/>
          <w:color w:val="000000"/>
          <w:sz w:val="20"/>
        </w:rPr>
        <w:t>million which may be made available upon approval of the Bank, and (ii) extended the Original Maturity Date to July 1, 2028</w:t>
      </w:r>
      <w:r>
        <w:rPr>
          <w:rFonts w:ascii="Times New Roman" w:hAnsi="Times New Roman"/>
          <w:color w:val="000000"/>
          <w:sz w:val="20"/>
        </w:rPr>
        <w:t xml:space="preserve"> </w:t>
      </w:r>
      <w:r>
        <w:rPr>
          <w:rFonts w:ascii="Arial" w:hAnsi="Arial"/>
          <w:color w:val="000000"/>
          <w:sz w:val="20"/>
        </w:rPr>
        <w:t>("Maturity Date").</w:t>
      </w:r>
    </w:p>
    <w:p>
      <w:pPr>
        <w:pStyle w:val="TextBody"/>
        <w:bidi w:val="0"/>
        <w:spacing w:before="240" w:after="283"/>
        <w:jc w:val="both"/>
        <w:rPr>
          <w:rFonts w:ascii="Times New Roman" w:hAnsi="Times New Roman"/>
          <w:sz w:val="20"/>
        </w:rPr>
      </w:pPr>
      <w:r>
        <w:rPr>
          <w:rFonts w:ascii="Arial" w:hAnsi="Arial"/>
          <w:color w:val="000000"/>
          <w:sz w:val="20"/>
        </w:rPr>
        <w:t>On June 27, 2025, the Company entered into the Second Amendment (the Original Credit Facility, as amended, the "Credit Facility"), which, among other things, (i) decreased the interest rate to a floating rate equal to the greater of 6.0% or the prime rate, and (ii) extended the draw period for the Term Loan A to January 15,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obligations under the Loan Agreement are secured by substantially all of the assets of the Company, subject to limited exceptions.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During the term of the Credit Facility, interest will accrue on any outstanding balance due under the Credit Facility at a floating rate per annum equal to the greater of (i) 6.0%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w:t>
      </w:r>
    </w:p>
    <w:p>
      <w:pPr>
        <w:pStyle w:val="TextBody"/>
        <w:bidi w:val="0"/>
        <w:spacing w:before="240" w:after="283"/>
        <w:jc w:val="both"/>
        <w:rPr>
          <w:rFonts w:ascii="Arial" w:hAnsi="Arial"/>
          <w:color w:val="000000"/>
          <w:sz w:val="20"/>
        </w:rPr>
      </w:pPr>
      <w:r>
        <w:rPr>
          <w:rFonts w:ascii="Arial" w:hAnsi="Arial"/>
          <w:color w:val="000000"/>
          <w:sz w:val="20"/>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pStyle w:val="TextBody"/>
        <w:bidi w:val="0"/>
        <w:spacing w:before="240" w:after="283"/>
        <w:jc w:val="both"/>
        <w:rPr>
          <w:rFonts w:ascii="Arial" w:hAnsi="Arial"/>
          <w:color w:val="000000"/>
          <w:sz w:val="20"/>
        </w:rPr>
      </w:pPr>
      <w:r>
        <w:rPr>
          <w:rFonts w:ascii="Arial" w:hAnsi="Arial"/>
          <w:color w:val="000000"/>
          <w:sz w:val="20"/>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pStyle w:val="TextBody"/>
        <w:bidi w:val="0"/>
        <w:spacing w:before="240" w:after="283"/>
        <w:jc w:val="both"/>
        <w:rPr>
          <w:rFonts w:ascii="Times New Roman" w:hAnsi="Times New Roman"/>
          <w:sz w:val="20"/>
        </w:rPr>
      </w:pPr>
      <w:r>
        <w:rPr>
          <w:rFonts w:ascii="Arial" w:hAnsi="Arial"/>
          <w:color w:val="000000"/>
          <w:sz w:val="20"/>
        </w:rPr>
        <w:t>As of June 30, 2025, the Company had drawn</w:t>
      </w:r>
      <w:r>
        <w:rPr>
          <w:rFonts w:ascii="Times New Roman" w:hAnsi="Times New Roman"/>
          <w:color w:val="000000"/>
          <w:sz w:val="20"/>
        </w:rPr>
        <w:t xml:space="preserve"> </w:t>
      </w:r>
      <w:r>
        <w:rPr>
          <w:rFonts w:ascii="Arial" w:hAnsi="Arial"/>
          <w:color w:val="000000"/>
          <w:sz w:val="20"/>
        </w:rPr>
        <w:t>$3.0</w:t>
      </w:r>
      <w:r>
        <w:rPr>
          <w:rFonts w:ascii="Times New Roman" w:hAnsi="Times New Roman"/>
          <w:color w:val="000000"/>
          <w:sz w:val="20"/>
        </w:rPr>
        <w:t xml:space="preserve"> </w:t>
      </w:r>
      <w:r>
        <w:rPr>
          <w:rFonts w:ascii="Arial" w:hAnsi="Arial"/>
          <w:color w:val="000000"/>
          <w:sz w:val="20"/>
        </w:rPr>
        <w:t>million from the Credit Facility which was recorded at cost and presented as long-term borrowing on the condensed consolidated balance sheet.</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12. Pre-Funded Warrants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Company accounts for the pre-funded warrants as a freestanding equity-linked financial instrument that met the criteria for equity classification pursuant to ASC 480 and ASC 815. Accordingly, the Company recorded the pre-funded warrants as a component of stockholders' equity within additional paid-in capital.</w:t>
      </w:r>
      <w:r>
        <w:rPr>
          <w:rFonts w:ascii="Times New Roman" w:hAnsi="Times New Roman"/>
          <w:color w:val="000000"/>
          <w:sz w:val="20"/>
        </w:rPr>
        <w:t xml:space="preserve"> </w:t>
      </w:r>
      <w:r>
        <w:rPr>
          <w:rFonts w:ascii="Arial" w:hAnsi="Arial"/>
          <w:color w:val="000000"/>
          <w:sz w:val="20"/>
        </w:rPr>
        <w:t>The following table summarizes the pre-funded warrants issued as of June 30, 2025:</w:t>
      </w:r>
    </w:p>
    <w:p>
      <w:pPr>
        <w:pStyle w:val="TextBody"/>
        <w:bidi w:val="0"/>
        <w:jc w:val="left"/>
        <w:rPr/>
      </w:pPr>
      <w:r>
        <w:rPr/>
        <w:t> </w:t>
      </w:r>
    </w:p>
    <w:tbl>
      <w:tblPr>
        <w:tblW w:w="9372" w:type="dxa"/>
        <w:jc w:val="left"/>
        <w:tblInd w:w="0" w:type="dxa"/>
        <w:tblLayout w:type="fixed"/>
        <w:tblCellMar>
          <w:top w:w="28" w:type="dxa"/>
          <w:left w:w="28" w:type="dxa"/>
          <w:bottom w:w="28" w:type="dxa"/>
          <w:right w:w="28" w:type="dxa"/>
        </w:tblCellMar>
      </w:tblPr>
      <w:tblGrid>
        <w:gridCol w:w="3331"/>
        <w:gridCol w:w="146"/>
        <w:gridCol w:w="1321"/>
        <w:gridCol w:w="146"/>
        <w:gridCol w:w="280"/>
        <w:gridCol w:w="920"/>
        <w:gridCol w:w="146"/>
        <w:gridCol w:w="146"/>
        <w:gridCol w:w="330"/>
        <w:gridCol w:w="2415"/>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32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200"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745"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Issued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Expiration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4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Warrants Outstanding</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2024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7,604,163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2024 (Warrant Exchange Agreement)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tcMar>
              <w:top w:w="0" w:type="dxa"/>
              <w:left w:w="0" w:type="dxa"/>
              <w:bottom w:w="0" w:type="dxa"/>
              <w:right w:w="0" w:type="dxa"/>
            </w:tcMar>
            <w:vAlign w:val="center"/>
          </w:tcPr>
          <w:p>
            <w:pPr>
              <w:pStyle w:val="TableContents"/>
              <w:bidi w:val="0"/>
              <w:spacing w:before="0" w:after="283"/>
              <w:jc w:val="left"/>
              <w:rPr/>
            </w:pPr>
            <w:r>
              <w:rPr/>
              <w:t> </w:t>
            </w:r>
          </w:p>
        </w:tc>
        <w:tc>
          <w:tcPr>
            <w:tcW w:w="241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3,420,000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2025 (Warrant Exchange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415"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17,094,163</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jc w:val="both"/>
        <w:rPr>
          <w:rFonts w:ascii="Arial" w:hAnsi="Arial"/>
          <w:b/>
          <w:color w:val="000000"/>
          <w:sz w:val="20"/>
        </w:rPr>
      </w:pPr>
      <w:bookmarkStart w:id="10" w:name="item2managementsdiscussionandanalysisoff"/>
      <w:bookmarkEnd w:id="10"/>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the unaudited condensed consolidated financial statements and related notes that are included elsewhere in this Quarterly Report on Form 10</w:t>
        <w:noBreakHyphen/>
        <w:t>Q and the audited financial statements and related notes that are included in our Annual Report on Form 10</w:t>
        <w:noBreakHyphen/>
        <w:t>K for the fiscal year ended December 31, 2024, filed with the U.S. Securities and Exchange Commission, or the SEC, on March 18, 2025, or our Annual Report on Form 10</w:t>
        <w:noBreakHyphen/>
        <w:t>K.</w:t>
      </w:r>
    </w:p>
    <w:p>
      <w:pPr>
        <w:pStyle w:val="TextBody"/>
        <w:bidi w:val="0"/>
        <w:spacing w:before="240" w:after="283"/>
        <w:jc w:val="both"/>
        <w:rPr>
          <w:rFonts w:ascii="Times New Roman" w:hAnsi="Times New Roman"/>
          <w:sz w:val="20"/>
        </w:rPr>
      </w:pPr>
      <w:r>
        <w:rPr>
          <w:rFonts w:ascii="Arial" w:hAnsi="Arial"/>
          <w:i/>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Arial" w:hAnsi="Arial"/>
          <w:color w:val="000000"/>
          <w:sz w:val="20"/>
        </w:rPr>
      </w:pPr>
      <w:r>
        <w:rPr>
          <w:rFonts w:ascii="Arial" w:hAnsi="Arial"/>
          <w:color w:val="000000"/>
          <w:sz w:val="20"/>
        </w:rPr>
        <w:t>Olema is a clinical-stage biopharmaceutical company focused on the discovery, development, and commercialization of next-generation targeted therapies for breast cancer and beyond. We are advancing our pipeline of novel therapies by leveraging our deep understanding of endocrine-driven cancers, nuclear receptors, and mechanisms of acquired resistance. We aspire to transform the treatment paradigm for metastatic breast cancer (MBC).</w:t>
      </w:r>
    </w:p>
    <w:p>
      <w:pPr>
        <w:pStyle w:val="TextBody"/>
        <w:bidi w:val="0"/>
        <w:spacing w:before="240" w:after="283"/>
        <w:jc w:val="both"/>
        <w:rPr>
          <w:rFonts w:ascii="Arial" w:hAnsi="Arial"/>
          <w:color w:val="000000"/>
          <w:sz w:val="20"/>
        </w:rPr>
      </w:pPr>
      <w:r>
        <w:rPr>
          <w:rFonts w:ascii="Arial" w:hAnsi="Arial"/>
          <w:color w:val="000000"/>
          <w:sz w:val="20"/>
        </w:rPr>
        <w:t>Our lead product candidate, palazestrant (OP-1250), is a novel, orally-available small molecule with dual activity as both a complete estrogen receptor (ER) antagonist (CERAN) and selective ER degrader (SERD), currently being investigated in patients with recurrent, locally advanced or metastatic ER positive (ER+), human epidermal growth factor receptor 2 negative (HER2-) breast cancer. In non-clinical models, palazestrant binds and completely blocks ER-driven transcriptional activity in both wild-type and mutant forms of ER+ MBC. In clinical studies across more than 400 patients, palazestrant has demonstrated strong anti-tumor activity, attractive pharmacokinetics and prolonged drug exposure, favorable tolerability, and combinability with CDK4/6 inhibitors with no significant drug-drug interaction. Based on the clinical results we have achieved to date, we are advancing palazestrant through late-stage clinical development both as a monotherapy and in combination with other targeted agents.</w:t>
      </w:r>
    </w:p>
    <w:p>
      <w:pPr>
        <w:pStyle w:val="TextBody"/>
        <w:bidi w:val="0"/>
        <w:spacing w:before="240" w:after="283"/>
        <w:jc w:val="both"/>
        <w:rPr>
          <w:rFonts w:ascii="Times New Roman" w:hAnsi="Times New Roman"/>
          <w:sz w:val="20"/>
        </w:rPr>
      </w:pPr>
      <w:r>
        <w:rPr>
          <w:rFonts w:ascii="Arial" w:hAnsi="Arial"/>
          <w:color w:val="000000"/>
          <w:sz w:val="20"/>
        </w:rPr>
        <w:t>Our pivotal Phase 3 clinical trial of palazestrant as a monotherapy in second/third-line ER+/HER2- MBC, OPERA-01, is ongoing. In the second quarter of 2025, 90mg of once-daily palazestrant was selected as the dose for Part 2 of OPERA-01. We anticipate top-line results for this trial in the second half of 2026, expect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submit the New Drug Application in 2027, and anticipate U.S. Food and Drug Administration (FDA) approval and commercial launch in late 2027.</w:t>
      </w:r>
    </w:p>
    <w:p>
      <w:pPr>
        <w:pStyle w:val="TextBody"/>
        <w:bidi w:val="0"/>
        <w:spacing w:before="240" w:after="283"/>
        <w:jc w:val="both"/>
        <w:rPr>
          <w:rFonts w:ascii="Times New Roman" w:hAnsi="Times New Roman"/>
          <w:sz w:val="20"/>
        </w:rPr>
      </w:pPr>
      <w:r>
        <w:rPr>
          <w:rFonts w:ascii="Arial" w:hAnsi="Arial"/>
          <w:color w:val="000000"/>
          <w:sz w:val="20"/>
        </w:rPr>
        <w:t>In combination, we are currently investigating palazestrant in multiple Phase 1/2 studies with CDK4/6 inhibitors (palbociclib or ribociclib), a phosphatidylinositol-3-kinase alpha (PI3Ka) inhibitor (alpelisib), with an mTOR inhibitor (everolimus).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presented updated results from the ongoing Phase 1b/2 study of palazestrant in combination with ribociclib in patients with ER+/HER2- advanced or metastatic breast cancer at the San Antonio Breast Cancer Symposium (SABCS) in December 2024. In March 2025, we disclosed updated median progression-free survival (mPFS) from this study at the TD Cowen 45th Annual Health Care Conference. As of a data cutoff date of February 18, 2025, the mPFS was 13.8 months in 56 patients treated with 120 mg of palazestrant and 600 mg of ribociclib daily. 40 of the 56 patients had received prior treatment of a CDK4/6i plus an endocrine therapy; the mPFS in this population was 13.1 months. We expect to present mature data from this trial at the European Society for Medical Oncology (ESMO) Congress in October 2025. We believe these data will further support our thesis that palazestrant possesses key characteristics to make it a potential backbone endocrine therapy of preference for ER+/HER2- breast cancer, while also potentially providing a basis for the pivotal Phase 3 clinical trial of palazestrant in combination with ribociclib in front-line ER+/HER2- MBC, called OPERA-02. The execution of OPERA-02 will be supported by our clinical trial collaboration and supply agreement with Novartis Pharma AG (collectively, with affiliated entities, Novartis), entered into in November 2024 (Novartis Pharma Agreement). Under the terms of the Novartis Pharma Agreement, Novartis will provide Olema with ribociclib drug supply for OPERA-02. In the second quarter of 2025, 90mg of once-daily palazestrant was selected as the dose for OPERA-02. We expect to initiate OPERA-02 in the third quarter of 2025, anticipate top-line data in 2028, and anticipate potential approval and commercial launch in the frontline MBC setting in the U.S. in 2029.</w:t>
      </w:r>
    </w:p>
    <w:p>
      <w:pPr>
        <w:pStyle w:val="TextBody"/>
        <w:bidi w:val="0"/>
        <w:spacing w:before="240" w:after="283"/>
        <w:jc w:val="both"/>
        <w:rPr>
          <w:rFonts w:ascii="Arial" w:hAnsi="Arial"/>
          <w:color w:val="000000"/>
          <w:sz w:val="20"/>
        </w:rPr>
      </w:pPr>
      <w:r>
        <w:rPr>
          <w:rFonts w:ascii="Arial" w:hAnsi="Arial"/>
          <w:color w:val="000000"/>
          <w:sz w:val="20"/>
        </w:rPr>
        <w:t>Our second product candidate in clinical development, called OP-3136, is a novel, orally-available small molecule that potently and selectively inhibits KAT6, an epigenetic target that is dysregulated in breast and other cancers. The IND application for OP-3136 was cleared by the FDA in late 2024 and the Phase 1 study is now enrolling patients. In April 2025, we presented new preclinical data at the AACR Annual Meeting demonstrating the anti-tumor activity of OP-3136 in prostate, ovarian, and non-small cell lung cancer models. We expect initial clinical results from the OP-3136 Phase 1 study in 2026, potential additional data readout in 2027, and potential initiation of a Phase 3 clinical trial in 2028. Based on our internal estimates, we believe that the current global market potential for OP-3136 in the second/third-line ER+/HER2- metastatic breast cancer market is approximately $5 billion.</w:t>
      </w:r>
    </w:p>
    <w:p>
      <w:pPr>
        <w:pStyle w:val="TextBody"/>
        <w:bidi w:val="0"/>
        <w:spacing w:before="240" w:after="240"/>
        <w:jc w:val="both"/>
        <w:rPr>
          <w:rFonts w:ascii="Arial" w:hAnsi="Arial"/>
          <w:color w:val="000000"/>
          <w:sz w:val="20"/>
        </w:rPr>
      </w:pPr>
      <w:r>
        <w:rPr>
          <w:rFonts w:ascii="Arial" w:hAnsi="Arial"/>
          <w:color w:val="000000"/>
          <w:sz w:val="20"/>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bidi w:val="0"/>
        <w:jc w:val="both"/>
        <w:rPr>
          <w:rFonts w:ascii="Arial" w:hAnsi="Arial"/>
          <w:color w:val="000000"/>
          <w:sz w:val="20"/>
        </w:rPr>
      </w:pPr>
      <w:r>
        <w:rPr>
          <w:rFonts w:ascii="Arial" w:hAnsi="Arial"/>
          <w:color w:val="000000"/>
          <w:sz w:val="20"/>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240" w:after="283"/>
        <w:jc w:val="both"/>
        <w:rPr>
          <w:rFonts w:ascii="Times New Roman" w:hAnsi="Times New Roman"/>
          <w:sz w:val="20"/>
        </w:rPr>
      </w:pPr>
      <w:r>
        <w:rPr>
          <w:rFonts w:ascii="Arial" w:hAnsi="Arial"/>
          <w:color w:val="000000"/>
          <w:sz w:val="20"/>
        </w:rPr>
        <w:t>We have incurred significant operating losses since the commencement of our operations. Our net losses were $43.8 million and $30.4 million for the three months ended June 30, 2025 and 2024, respectively, and $74.2 million and $61.4 million for the six months ended June 30, 2025 and 2024, respectively. We expect to incur significant and increasing losses for the foreseeable future as we continue to advance our product candidates, make potential milestone payments to our licensors, and as we continue to operate as a public company.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net losses may fluctuate significantly from period to period, depending on the timing of expenditures on our research and development activities. As of June 30, 2025, we had an accumulated deficit of $509.3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pStyle w:val="TextBody"/>
        <w:bidi w:val="0"/>
        <w:spacing w:before="240" w:after="283"/>
        <w:jc w:val="both"/>
        <w:rPr>
          <w:rFonts w:ascii="Arial" w:hAnsi="Arial"/>
          <w:color w:val="000000"/>
          <w:sz w:val="20"/>
        </w:rPr>
      </w:pPr>
      <w:r>
        <w:rPr>
          <w:rFonts w:ascii="Arial" w:hAnsi="Arial"/>
          <w:color w:val="000000"/>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our ongoing and planned research and development of our lead product candidate, palazestrant, for the treatment of ER+/HER2- breast cancer;</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to enroll patients in the Phase 1 study for OP-3136 and any additional product candidates that we may pursue in the future;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to discover and develop additional product candidates and further expand our clinical product pipeline;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regulatory approvals for any product candidates that successfully complete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to scale up external manufacturing capacity with the aim of securing sufficient quantities to meet our capacity requirements for clinical trials and potential commercialization;</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 a sales, marketing and distribution infrastructure to commercialize any approved product candidates and related additional commercial manufacturing costs;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 maintain, expand, protect and enforce our intellectual property portfolio, including patents, trade secrets and know how;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acquire or in-license other product candidates and technologies;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attract, hire and retain additional clinical, scientific, quality control, and manufacturing management and administrative personnel;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add clinical, operational, financial and management information systems and personnel, including personnel to support our product development and planned future commercialization efforts;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expand our operations in the United States and to other geographies;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incur additional legal, accounting, investor relations and other expenses associated with operating as a public company.</w:t>
      </w:r>
    </w:p>
    <w:p>
      <w:pPr>
        <w:pStyle w:val="TextBody"/>
        <w:bidi w:val="0"/>
        <w:spacing w:before="240" w:after="283"/>
        <w:jc w:val="both"/>
        <w:rPr>
          <w:rFonts w:ascii="Arial" w:hAnsi="Arial"/>
          <w:color w:val="000000"/>
          <w:sz w:val="20"/>
        </w:rPr>
      </w:pPr>
      <w:r>
        <w:rPr>
          <w:rFonts w:ascii="Arial" w:hAnsi="Arial"/>
          <w:color w:val="000000"/>
          <w:sz w:val="20"/>
        </w:rPr>
        <w:t>Our net losses may fluctuate significantly from quarter-to-quarter and year-to-year, depending on the timing of our clinical trials, potential milestone payments to our licensors, and our expenditures on other research and development activities.</w:t>
      </w:r>
    </w:p>
    <w:p>
      <w:pPr>
        <w:pStyle w:val="TextBody"/>
        <w:bidi w:val="0"/>
        <w:spacing w:before="240" w:after="283"/>
        <w:jc w:val="both"/>
        <w:rPr>
          <w:rFonts w:ascii="Times New Roman" w:hAnsi="Times New Roman"/>
          <w:sz w:val="20"/>
        </w:rPr>
      </w:pPr>
      <w:r>
        <w:rPr>
          <w:rFonts w:ascii="Arial" w:hAnsi="Arial"/>
          <w:color w:val="000000"/>
          <w:sz w:val="20"/>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conditions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uncertainty due to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pStyle w:val="TextBody"/>
        <w:bidi w:val="0"/>
        <w:spacing w:before="240" w:after="283"/>
        <w:jc w:val="both"/>
        <w:rPr>
          <w:rFonts w:ascii="Arial" w:hAnsi="Arial"/>
          <w:b/>
          <w:color w:val="000000"/>
          <w:sz w:val="20"/>
        </w:rPr>
      </w:pPr>
      <w:r>
        <w:rPr>
          <w:rFonts w:ascii="Arial" w:hAnsi="Arial"/>
          <w:b/>
          <w:color w:val="000000"/>
          <w:sz w:val="20"/>
        </w:rPr>
        <w:t>Components of our results of operations</w:t>
      </w:r>
    </w:p>
    <w:p>
      <w:pPr>
        <w:pStyle w:val="TextBody"/>
        <w:bidi w:val="0"/>
        <w:spacing w:before="240" w:after="283"/>
        <w:jc w:val="both"/>
        <w:rPr>
          <w:rFonts w:ascii="Arial" w:hAnsi="Arial"/>
          <w:b/>
          <w:i/>
          <w:color w:val="000000"/>
          <w:sz w:val="20"/>
        </w:rPr>
      </w:pPr>
      <w:r>
        <w:rPr>
          <w:rFonts w:ascii="Arial" w:hAnsi="Arial"/>
          <w:b/>
          <w:i/>
          <w:color w:val="000000"/>
          <w:sz w:val="20"/>
        </w:rPr>
        <w:t>Revenue</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and do not expect to generate any revenue from the sale of products for the foreseeable future.</w:t>
      </w:r>
    </w:p>
    <w:p>
      <w:pPr>
        <w:pStyle w:val="TextBody"/>
        <w:bidi w:val="0"/>
        <w:spacing w:before="240" w:after="283"/>
        <w:jc w:val="both"/>
        <w:rPr>
          <w:rFonts w:ascii="Arial" w:hAnsi="Arial"/>
          <w:b/>
          <w:i/>
          <w:color w:val="000000"/>
          <w:sz w:val="20"/>
        </w:rPr>
      </w:pPr>
      <w:r>
        <w:rPr>
          <w:rFonts w:ascii="Arial" w:hAnsi="Arial"/>
          <w:b/>
          <w:i/>
          <w:color w:val="000000"/>
          <w:sz w:val="20"/>
        </w:rPr>
        <w:t>Operating expenses</w:t>
      </w:r>
    </w:p>
    <w:p>
      <w:pPr>
        <w:pStyle w:val="Heading2"/>
        <w:bidi w:val="0"/>
        <w:spacing w:before="240" w:after="283"/>
        <w:jc w:val="both"/>
        <w:rPr>
          <w:rFonts w:ascii="Arial" w:hAnsi="Arial"/>
          <w:i/>
          <w:color w:val="000000"/>
          <w:sz w:val="20"/>
        </w:rPr>
      </w:pPr>
      <w:r>
        <w:rPr>
          <w:rFonts w:ascii="Arial" w:hAnsi="Arial"/>
          <w:i/>
          <w:color w:val="000000"/>
          <w:sz w:val="20"/>
        </w:rPr>
        <w:t>Research and development</w:t>
      </w:r>
    </w:p>
    <w:p>
      <w:pPr>
        <w:pStyle w:val="TextBody"/>
        <w:bidi w:val="0"/>
        <w:spacing w:before="240" w:after="283"/>
        <w:jc w:val="both"/>
        <w:rPr>
          <w:rFonts w:ascii="Arial" w:hAnsi="Arial"/>
          <w:color w:val="000000"/>
          <w:sz w:val="20"/>
        </w:rPr>
      </w:pPr>
      <w:r>
        <w:rPr>
          <w:rFonts w:ascii="Arial" w:hAnsi="Arial"/>
          <w:color w:val="000000"/>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240" w:after="283"/>
        <w:jc w:val="both"/>
        <w:rPr>
          <w:rFonts w:ascii="Arial" w:hAnsi="Arial"/>
          <w:color w:val="000000"/>
          <w:sz w:val="20"/>
        </w:rPr>
      </w:pPr>
      <w:r>
        <w:rPr>
          <w:rFonts w:ascii="Arial" w:hAnsi="Arial"/>
          <w:color w:val="000000"/>
          <w:sz w:val="20"/>
        </w:rPr>
        <w:t>External expenses include: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expenses incurred in connection with the discovery efforts and non-clinical and clinical development of our product candidates, including under agreements with third parties, such as consultants and contract research organizations (CROs);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costs of manufacturing products for use in our non-clinical studies and clinical trials, including payments to contract manufacturing organizations (CMOs), and consultants;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funding research performed by third parties;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purchasing lab supplies and non-capital equipment used in designing, developing and manufacturing non-clinical study and clinical trial materials;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associated with consultants for chemistry, manufacturing and controls development, regulatory, statistics and other services;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expenses related to regulatory activities, including filing fees paid to regulatory agencies;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facility costs including rent, depreciation and maintenance expenses.</w:t>
      </w:r>
    </w:p>
    <w:p>
      <w:pPr>
        <w:pStyle w:val="TextBody"/>
        <w:bidi w:val="0"/>
        <w:spacing w:before="240" w:after="283"/>
        <w:jc w:val="both"/>
        <w:rPr>
          <w:rFonts w:ascii="Arial" w:hAnsi="Arial"/>
          <w:color w:val="000000"/>
          <w:sz w:val="20"/>
        </w:rPr>
      </w:pPr>
      <w:r>
        <w:rPr>
          <w:rFonts w:ascii="Arial" w:hAnsi="Arial"/>
          <w:color w:val="000000"/>
          <w:sz w:val="20"/>
        </w:rPr>
        <w:t>Internal expenses include employee and personnel-related costs and expenses, including salaries, benefits and stock-based compensation expense for employees and personnel engaged in research and development functions.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Arial" w:hAnsi="Arial"/>
          <w:color w:val="000000"/>
          <w:sz w:val="20"/>
        </w:rPr>
      </w:pPr>
      <w:r>
        <w:rPr>
          <w:rFonts w:ascii="Arial" w:hAnsi="Arial"/>
          <w:color w:val="000000"/>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bidi w:val="0"/>
        <w:spacing w:before="240" w:after="283"/>
        <w:jc w:val="both"/>
        <w:rPr>
          <w:rFonts w:ascii="Arial" w:hAnsi="Arial"/>
          <w:color w:val="000000"/>
          <w:sz w:val="20"/>
        </w:rPr>
      </w:pPr>
      <w:r>
        <w:rPr>
          <w:rFonts w:ascii="Arial" w:hAnsi="Arial"/>
          <w:color w:val="000000"/>
          <w:sz w:val="20"/>
        </w:rPr>
        <w:t>While our research and development expenses may fluctuate from period to period, we generally expect our research and development expenses to increase substantially in absolute dollars for the foreseeable future as we advance palazestrant, OP-3136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and progress of non-clinical and clinical development activities;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number and scope of non-clinical and clinical programs we decide to pursue;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maintain our current research and development programs and to establish new ones;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an appropriate safety profile with investigational new drug-enabling toxicology studies;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successful patient enrollment in, and the initiation and completion of, clinical trials;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successful completion of clinical trials with safety, tolerability and efficacy profiles that are satisfactory to the FDA or any comparable foreign regulatory authority;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commercial manufacturing capabilities or making arrangements with third-party manufacturers;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receipt of regulatory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receipt and terms of any marketing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establish licensing or collaboration arrangements;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performance of our future collaborators, if any;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development and timely delivery of commercial-grade product formulations that can be used in our planned clinical trials and for commercial launch;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commercializing the product candidates, if approved, whether alone or in collaboration with others;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and maintaining patent and trade secret protection and regulatory exclusivity for our product candidates;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maintaining, defending and enforcing patent claims and other intellectual property rights;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maintaining continued acceptable safety profiles of our products following approval;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obtaining and retaining key research and development personnel.</w:t>
      </w:r>
    </w:p>
    <w:p>
      <w:pPr>
        <w:pStyle w:val="TextBody"/>
        <w:bidi w:val="0"/>
        <w:spacing w:before="240" w:after="283"/>
        <w:jc w:val="both"/>
        <w:rPr>
          <w:rFonts w:ascii="Arial" w:hAnsi="Arial"/>
          <w:color w:val="000000"/>
          <w:sz w:val="20"/>
        </w:rPr>
      </w:pPr>
      <w:r>
        <w:rPr>
          <w:rFonts w:ascii="Arial" w:hAnsi="Arial"/>
          <w:color w:val="000000"/>
          <w:sz w:val="20"/>
        </w:rPr>
        <w:t>Any changes in the outcome of any of these factors could significantly impact the costs, timing and viability associated with the development of our product candidates.</w:t>
      </w:r>
    </w:p>
    <w:p>
      <w:pPr>
        <w:pStyle w:val="Heading2"/>
        <w:bidi w:val="0"/>
        <w:spacing w:before="240" w:after="283"/>
        <w:jc w:val="both"/>
        <w:rPr>
          <w:rFonts w:ascii="Arial" w:hAnsi="Arial"/>
          <w:i/>
          <w:color w:val="000000"/>
          <w:sz w:val="20"/>
        </w:rPr>
      </w:pPr>
      <w:r>
        <w:rPr>
          <w:rFonts w:ascii="Arial" w:hAnsi="Arial"/>
          <w:i/>
          <w:color w:val="000000"/>
          <w:sz w:val="20"/>
        </w:rPr>
        <w:t>General and administrative</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consist primarily of personnel expenses, including salaries, benefits and stock-based compensation expense, for personnel in executive, finance, accounting, business development, legal, human resources, information technology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pStyle w:val="TextBody"/>
        <w:bidi w:val="0"/>
        <w:spacing w:before="240" w:after="283"/>
        <w:jc w:val="both"/>
        <w:rPr>
          <w:rFonts w:ascii="Arial" w:hAnsi="Arial"/>
          <w:color w:val="000000"/>
          <w:sz w:val="20"/>
        </w:rPr>
      </w:pPr>
      <w:r>
        <w:rPr>
          <w:rFonts w:ascii="Arial" w:hAnsi="Arial"/>
          <w:color w:val="000000"/>
          <w:sz w:val="20"/>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pStyle w:val="TextBody"/>
        <w:bidi w:val="0"/>
        <w:spacing w:before="240" w:after="283"/>
        <w:jc w:val="both"/>
        <w:rPr>
          <w:rFonts w:ascii="Arial" w:hAnsi="Arial"/>
          <w:b/>
          <w:i/>
          <w:color w:val="000000"/>
          <w:sz w:val="20"/>
        </w:rPr>
      </w:pPr>
      <w:r>
        <w:rPr>
          <w:rFonts w:ascii="Arial" w:hAnsi="Arial"/>
          <w:b/>
          <w:i/>
          <w:color w:val="000000"/>
          <w:sz w:val="20"/>
        </w:rPr>
        <w:t>Total other income</w:t>
      </w:r>
    </w:p>
    <w:p>
      <w:pPr>
        <w:pStyle w:val="TextBody"/>
        <w:bidi w:val="0"/>
        <w:spacing w:before="240" w:after="283"/>
        <w:jc w:val="both"/>
        <w:rPr>
          <w:rFonts w:ascii="Arial" w:hAnsi="Arial"/>
          <w:color w:val="000000"/>
          <w:sz w:val="20"/>
        </w:rPr>
      </w:pPr>
      <w:r>
        <w:rPr>
          <w:rFonts w:ascii="Arial" w:hAnsi="Arial"/>
          <w:color w:val="000000"/>
          <w:sz w:val="20"/>
        </w:rPr>
        <w:t>Total other income consists of interest income and other income (expense). Interest income primarily consists of interests earned from our cash equivalents and marketable securities. Other income (expense) primarily consists of unrealized foreign currency remeasurement gain (loss) and miscellaneous income (expense) not related to operating activities.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Heading2"/>
        <w:bidi w:val="0"/>
        <w:spacing w:before="240" w:after="283"/>
        <w:jc w:val="both"/>
        <w:rPr>
          <w:rFonts w:ascii="Arial" w:hAnsi="Arial"/>
          <w:b/>
          <w:i/>
          <w:color w:val="000000"/>
          <w:sz w:val="20"/>
        </w:rPr>
      </w:pPr>
      <w:r>
        <w:rPr>
          <w:rFonts w:ascii="Arial" w:hAnsi="Arial"/>
          <w:b/>
          <w:i/>
          <w:color w:val="000000"/>
          <w:sz w:val="20"/>
        </w:rPr>
        <w:t>Comparison of the three months ended June 30, 2025 and 2024</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three months ended June 30, 2025 and 2024:</w:t>
      </w:r>
    </w:p>
    <w:tbl>
      <w:tblPr>
        <w:tblW w:w="10205" w:type="dxa"/>
        <w:jc w:val="left"/>
        <w:tblInd w:w="0" w:type="dxa"/>
        <w:tblLayout w:type="fixed"/>
        <w:tblCellMar>
          <w:top w:w="28" w:type="dxa"/>
          <w:left w:w="28" w:type="dxa"/>
          <w:bottom w:w="28" w:type="dxa"/>
          <w:right w:w="28" w:type="dxa"/>
        </w:tblCellMar>
      </w:tblPr>
      <w:tblGrid>
        <w:gridCol w:w="3818"/>
        <w:gridCol w:w="210"/>
        <w:gridCol w:w="304"/>
        <w:gridCol w:w="223"/>
        <w:gridCol w:w="1148"/>
        <w:gridCol w:w="252"/>
        <w:gridCol w:w="223"/>
        <w:gridCol w:w="322"/>
        <w:gridCol w:w="223"/>
        <w:gridCol w:w="1148"/>
        <w:gridCol w:w="239"/>
        <w:gridCol w:w="304"/>
        <w:gridCol w:w="210"/>
        <w:gridCol w:w="1084"/>
        <w:gridCol w:w="497"/>
      </w:tblGrid>
      <w:tr>
        <w:trPr/>
        <w:tc>
          <w:tcPr>
            <w:tcW w:w="38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8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539"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94"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development¹</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29,109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14,793</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3,962</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4,421</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33,530</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14,334</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(14,334</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4,042</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3,108</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income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4,080</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3,148</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932</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(43,784</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(30,382</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(13,402</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8"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¹ The amount for the three months ended June 30, 2025 include a one-time milestone payment to Aurigene of $10 million.</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8" w:type="dxa"/>
            <w:gridSpan w:val="1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three months ended June 30, 2025 and 2024:</w:t>
      </w:r>
    </w:p>
    <w:tbl>
      <w:tblPr>
        <w:tblW w:w="10205" w:type="dxa"/>
        <w:jc w:val="left"/>
        <w:tblInd w:w="0" w:type="dxa"/>
        <w:tblLayout w:type="fixed"/>
        <w:tblCellMar>
          <w:top w:w="28" w:type="dxa"/>
          <w:left w:w="28" w:type="dxa"/>
          <w:bottom w:w="28" w:type="dxa"/>
          <w:right w:w="28" w:type="dxa"/>
        </w:tblCellMar>
      </w:tblPr>
      <w:tblGrid>
        <w:gridCol w:w="6018"/>
        <w:gridCol w:w="146"/>
        <w:gridCol w:w="211"/>
        <w:gridCol w:w="161"/>
        <w:gridCol w:w="763"/>
        <w:gridCol w:w="161"/>
        <w:gridCol w:w="161"/>
        <w:gridCol w:w="232"/>
        <w:gridCol w:w="161"/>
        <w:gridCol w:w="763"/>
        <w:gridCol w:w="146"/>
        <w:gridCol w:w="211"/>
        <w:gridCol w:w="149"/>
        <w:gridCol w:w="707"/>
        <w:gridCol w:w="215"/>
      </w:tblGrid>
      <w:tr>
        <w:trPr/>
        <w:tc>
          <w:tcPr>
            <w:tcW w:w="6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0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0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 CMOs and other clinical development related third-party vendor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14,485</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Milestone payment to Aurigene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3,709</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43,902</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14,793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Research and development expenses for the three months ended June 30, 2025 were $43.9 million, compared to $29.1 million for the three months ended June 30, 2024. The increase of $14.8 million was primarily related to (i) a one-time $10.0 million milestone payment to Aurigene, (ii) increased spending on clinical development-related activities as we continue to advance palazestrant through late-stage clinical trials, (iii) increased spending related to the advancement of OP-3136, and (iv) increased personnel-related costs due to higher headcount, partially offset by a decrease in non-cash stock-based compensation expense of $0.5million.</w:t>
      </w:r>
      <w:r>
        <w:rPr>
          <w:rFonts w:ascii="Times New Roman" w:hAnsi="Times New Roman"/>
          <w:color w:val="000000"/>
          <w:sz w:val="20"/>
        </w:rPr>
        <w:t xml:space="preserve"> </w:t>
      </w:r>
    </w:p>
    <w:p>
      <w:pPr>
        <w:pStyle w:val="Heading2"/>
        <w:bidi w:val="0"/>
        <w:spacing w:before="24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three months ended June 30, 2025 were $4.0 million compared to $4.4 million for the three months ended June 30, 2024. The decrease of $0.4 million was primarily due to a decrease in non-cash stock-based compensation expense.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both"/>
        <w:rPr>
          <w:rFonts w:ascii="Arial" w:hAnsi="Arial"/>
          <w:i/>
          <w:color w:val="000000"/>
          <w:sz w:val="20"/>
        </w:rPr>
      </w:pPr>
      <w:r>
        <w:rPr>
          <w:rFonts w:ascii="Arial" w:hAnsi="Arial"/>
          <w:i/>
          <w:color w:val="000000"/>
          <w:sz w:val="20"/>
        </w:rPr>
        <w:t>Other income</w:t>
      </w:r>
    </w:p>
    <w:p>
      <w:pPr>
        <w:pStyle w:val="TextBody"/>
        <w:bidi w:val="0"/>
        <w:spacing w:before="0" w:after="240"/>
        <w:jc w:val="both"/>
        <w:rPr>
          <w:rFonts w:ascii="Times New Roman" w:hAnsi="Times New Roman"/>
          <w:sz w:val="20"/>
        </w:rPr>
      </w:pPr>
      <w:r>
        <w:rPr>
          <w:rFonts w:ascii="Arial" w:hAnsi="Arial"/>
          <w:color w:val="000000"/>
          <w:sz w:val="20"/>
        </w:rPr>
        <w:t>Other income for the three months ended June 30, 2025 was $4.1 million, compared to $3.1 million for the three months ended June 30, 2024. The increase of $1.0 million was primarily due to an increase in interest income from our investments in interest-bearing money market funds and marketable securities.</w:t>
      </w:r>
      <w:r>
        <w:rPr>
          <w:rFonts w:ascii="Times New Roman" w:hAnsi="Times New Roman"/>
          <w:color w:val="000000"/>
          <w:sz w:val="20"/>
        </w:rPr>
        <w:t xml:space="preserve"> </w:t>
      </w:r>
    </w:p>
    <w:p>
      <w:pPr>
        <w:pStyle w:val="Heading2"/>
        <w:bidi w:val="0"/>
        <w:jc w:val="both"/>
        <w:rPr>
          <w:rFonts w:ascii="Arial" w:hAnsi="Arial"/>
          <w:b/>
          <w:i/>
          <w:color w:val="000000"/>
          <w:sz w:val="20"/>
        </w:rPr>
      </w:pPr>
      <w:r>
        <w:rPr>
          <w:rFonts w:ascii="Arial" w:hAnsi="Arial"/>
          <w:b/>
          <w:i/>
          <w:color w:val="000000"/>
          <w:sz w:val="20"/>
        </w:rPr>
        <w:t>Comparison of the six months ended June 30, 2025 and 2024</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six months ended June 30, 2025 and 2024:</w:t>
      </w:r>
    </w:p>
    <w:tbl>
      <w:tblPr>
        <w:tblW w:w="10205" w:type="dxa"/>
        <w:jc w:val="left"/>
        <w:tblInd w:w="0" w:type="dxa"/>
        <w:tblLayout w:type="fixed"/>
        <w:tblCellMar>
          <w:top w:w="28" w:type="dxa"/>
          <w:left w:w="28" w:type="dxa"/>
          <w:bottom w:w="28" w:type="dxa"/>
          <w:right w:w="28" w:type="dxa"/>
        </w:tblCellMar>
      </w:tblPr>
      <w:tblGrid>
        <w:gridCol w:w="3655"/>
        <w:gridCol w:w="224"/>
        <w:gridCol w:w="323"/>
        <w:gridCol w:w="224"/>
        <w:gridCol w:w="1152"/>
        <w:gridCol w:w="254"/>
        <w:gridCol w:w="224"/>
        <w:gridCol w:w="323"/>
        <w:gridCol w:w="224"/>
        <w:gridCol w:w="1152"/>
        <w:gridCol w:w="254"/>
        <w:gridCol w:w="323"/>
        <w:gridCol w:w="224"/>
        <w:gridCol w:w="1152"/>
        <w:gridCol w:w="497"/>
      </w:tblGrid>
      <w:tr>
        <w:trPr/>
        <w:tc>
          <w:tcPr>
            <w:tcW w:w="36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6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876"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7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6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development¹</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74,526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58,992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15,534</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5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8,211</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8,877</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67,869</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14,868</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(67,869</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(14,868</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5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8,566</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6,460</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2,106</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income (expense)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65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8,564</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6,517</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2,047</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(12,821</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8"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¹ The amounts for the six months ended June 30, 2025 and 2024 include one-time milestone payments to Aurigene of $10 million and $5M, respectively.</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8" w:type="dxa"/>
            <w:gridSpan w:val="1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six months ended June 30, 2025 and 2024:</w:t>
      </w:r>
    </w:p>
    <w:tbl>
      <w:tblPr>
        <w:tblW w:w="10205" w:type="dxa"/>
        <w:jc w:val="left"/>
        <w:tblInd w:w="0" w:type="dxa"/>
        <w:tblLayout w:type="fixed"/>
        <w:tblCellMar>
          <w:top w:w="28" w:type="dxa"/>
          <w:left w:w="28" w:type="dxa"/>
          <w:bottom w:w="28" w:type="dxa"/>
          <w:right w:w="28" w:type="dxa"/>
        </w:tblCellMar>
      </w:tblPr>
      <w:tblGrid>
        <w:gridCol w:w="6067"/>
        <w:gridCol w:w="146"/>
        <w:gridCol w:w="271"/>
        <w:gridCol w:w="146"/>
        <w:gridCol w:w="691"/>
        <w:gridCol w:w="146"/>
        <w:gridCol w:w="146"/>
        <w:gridCol w:w="271"/>
        <w:gridCol w:w="146"/>
        <w:gridCol w:w="691"/>
        <w:gridCol w:w="146"/>
        <w:gridCol w:w="271"/>
        <w:gridCol w:w="149"/>
        <w:gridCol w:w="707"/>
        <w:gridCol w:w="211"/>
      </w:tblGrid>
      <w:tr>
        <w:trPr/>
        <w:tc>
          <w:tcPr>
            <w:tcW w:w="6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0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 CMOs and other clinical development related third-party vendor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Milestone payment made to Aurigene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jc w:val="both"/>
        <w:rPr>
          <w:rFonts w:ascii="Times New Roman" w:hAnsi="Times New Roman"/>
          <w:sz w:val="20"/>
        </w:rPr>
      </w:pPr>
      <w:r>
        <w:rPr>
          <w:rFonts w:ascii="Arial" w:hAnsi="Arial"/>
          <w:color w:val="000000"/>
          <w:sz w:val="20"/>
        </w:rPr>
        <w:t>Research and development expenses for the six months ended June 30, 2025 were $74.5 million, compared to $59.0 million for the six months ended June 30, 2024. The increase of $15.5 million was primarily related to (i) increased spending on clinical development-related activities as we continue to advance palazestrant through late-stage clinical trials, (ii) increased spending related to the advancement of OP-3136, (iii) increased personnel-related costs due to higher headcount, and (iv) $5.0 million higher milestone payment to Aurigene, partially offset by a decrease in non-cash stock-based compensation expense of $0.6 million.</w:t>
      </w:r>
      <w:r>
        <w:rPr>
          <w:rFonts w:ascii="Times New Roman" w:hAnsi="Times New Roman"/>
          <w:color w:val="000000"/>
          <w:sz w:val="20"/>
        </w:rPr>
        <w:t xml:space="preserve"> </w:t>
      </w:r>
    </w:p>
    <w:p>
      <w:pPr>
        <w:pStyle w:val="Heading2"/>
        <w:bidi w:val="0"/>
        <w:spacing w:before="24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six months ended June 30, 2025 were $8.2 million compared to $8.9 million for the six months ended June 30, 2024. The decrease of $0.7 million was primarily related to a decrease in non-cash stock-based compensation expense of $0.9 million, partially offset by increased spending on corporate-related costs.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both"/>
        <w:rPr>
          <w:rFonts w:ascii="Arial" w:hAnsi="Arial"/>
          <w:i/>
          <w:color w:val="000000"/>
          <w:sz w:val="20"/>
        </w:rPr>
      </w:pPr>
      <w:r>
        <w:rPr>
          <w:rFonts w:ascii="Arial" w:hAnsi="Arial"/>
          <w:i/>
          <w:color w:val="000000"/>
          <w:sz w:val="20"/>
        </w:rPr>
        <w:t>Other income</w:t>
      </w:r>
    </w:p>
    <w:p>
      <w:pPr>
        <w:pStyle w:val="TextBody"/>
        <w:bidi w:val="0"/>
        <w:spacing w:before="240" w:after="283"/>
        <w:jc w:val="both"/>
        <w:rPr>
          <w:rFonts w:ascii="Arial" w:hAnsi="Arial"/>
          <w:color w:val="000000"/>
          <w:sz w:val="20"/>
        </w:rPr>
      </w:pPr>
      <w:r>
        <w:rPr>
          <w:rFonts w:ascii="Arial" w:hAnsi="Arial"/>
          <w:color w:val="000000"/>
          <w:sz w:val="20"/>
        </w:rPr>
        <w:t>Other income for the six months ended June 30, 2025 was $8.6 million, compared to $6.5 million for the six months ended June 30, 2024. The increase of $2.1 million was primarily due to an increase in interest income from our investments in interest-bearing money market funds and marketable securities.</w:t>
      </w:r>
    </w:p>
    <w:p>
      <w:pPr>
        <w:pStyle w:val="TextBody"/>
        <w:bidi w:val="0"/>
        <w:spacing w:before="0" w:after="240"/>
        <w:jc w:val="both"/>
        <w:rPr/>
      </w:pPr>
      <w:r>
        <w:rPr/>
        <w:t> </w:t>
      </w:r>
    </w:p>
    <w:p>
      <w:pPr>
        <w:pStyle w:val="TextBody"/>
        <w:bidi w:val="0"/>
        <w:jc w:val="both"/>
        <w:rPr>
          <w:rFonts w:ascii="Arial" w:hAnsi="Arial"/>
          <w:b/>
          <w:color w:val="000000"/>
          <w:sz w:val="20"/>
        </w:rPr>
      </w:pPr>
      <w:r>
        <w:rPr>
          <w:rFonts w:ascii="Arial" w:hAnsi="Arial"/>
          <w:b/>
          <w:color w:val="000000"/>
          <w:sz w:val="20"/>
        </w:rPr>
        <w:t>Liquidity and capital resources</w:t>
      </w:r>
    </w:p>
    <w:p>
      <w:pPr>
        <w:pStyle w:val="Heading2"/>
        <w:bidi w:val="0"/>
        <w:spacing w:before="240" w:after="283"/>
        <w:jc w:val="both"/>
        <w:rPr>
          <w:rFonts w:ascii="Arial" w:hAnsi="Arial"/>
          <w:i/>
          <w:color w:val="000000"/>
          <w:sz w:val="20"/>
        </w:rPr>
      </w:pPr>
      <w:r>
        <w:rPr>
          <w:rFonts w:ascii="Arial" w:hAnsi="Arial"/>
          <w:i/>
          <w:color w:val="000000"/>
          <w:sz w:val="20"/>
        </w:rPr>
        <w:t>Sources of liquidity</w:t>
      </w:r>
    </w:p>
    <w:p>
      <w:pPr>
        <w:pStyle w:val="TextBody"/>
        <w:bidi w:val="0"/>
        <w:spacing w:before="240" w:after="283"/>
        <w:jc w:val="both"/>
        <w:rPr>
          <w:rFonts w:ascii="Arial" w:hAnsi="Arial"/>
          <w:color w:val="000000"/>
          <w:sz w:val="20"/>
        </w:rPr>
      </w:pPr>
      <w:r>
        <w:rPr>
          <w:rFonts w:ascii="Arial" w:hAnsi="Arial"/>
          <w:color w:val="000000"/>
          <w:sz w:val="20"/>
        </w:rPr>
        <w:t>Since our inception, we have not generated any revenue from product sales and have incurred significant operating losses and negative cash flows from our operations. Our net losses were $43.8 million and $30.4 million for the three months ended June 30, 2025 and 2024, respectively, and $74.2 million and $61.4 million for the six months ended June 30, 2025 and 2024, respectively. Through June 30, 2025, we had received aggregate gross proceeds of $790.1 million from sales of our common stock, convertible preferred stock and issuance of convertible promissory notes, stock option exercises, sale of stock through the Company’s 2020 Employee Stock Purchase Plan (ESPP).</w:t>
      </w:r>
    </w:p>
    <w:p>
      <w:pPr>
        <w:pStyle w:val="TextBody"/>
        <w:bidi w:val="0"/>
        <w:spacing w:before="240" w:after="283"/>
        <w:jc w:val="both"/>
        <w:rPr>
          <w:rFonts w:ascii="Times New Roman" w:hAnsi="Times New Roman"/>
          <w:sz w:val="20"/>
        </w:rPr>
      </w:pPr>
      <w:r>
        <w:rPr>
          <w:rFonts w:ascii="Arial" w:hAnsi="Arial"/>
          <w:color w:val="000000"/>
          <w:sz w:val="20"/>
        </w:rPr>
        <w:t>As of June 30, 2025, we had $361.9 million in cash, cash equivalents and marketable securities and accumulated deficit of $509.3 million. We had an outstanding liability under our Credit Facility, as defined below, of $3.0 million as of June 30, 2025.</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of which $25.0 million became available in September 2023 (Term Loan A) upon the closing of a private placement and issuance of our common stock to selected institutional and accredited investors pursuant to a securities purchase agreement, and the remaining $25.0 million could have been made available upon approval of the Bank in its discretion. The Original Credit Facility was to mature on August 1, 2027. On June 28, 2024, we entered into the First Amendment to Loan and Security Agreement (the First Amendment) with the Bank, which, among other things, (i) increased the aggregate principal amount of the Original Credit Facility from up to $50.0 million to up to $100.0 million of which the Term Loan A of $25.0 million was immediately available, an additional $25.0 million will become available upon achieving certain milestones related to execution of a first-line pivotal Phase 3 clinical trial of palazestrant in combination with ribociclib, and an additional $50.0 million which may be made available upon approval of the Bank in its discretion, and (ii) extended the maturity date to July 1, 2028 (Maturity Date). On June 27, 2025, we entered into a Second Amendment to Loan and Security Agreement (the Second Amendment, and the Original Loan Agreement, as amended by the First Amendment, the Credit Facility) with the Bank, which, among other things, (i) decreased the interest rate to a floating rate equal to the greater of 6.0% or the prime rate, and (ii) extended the draw period of Term Loan A to January 15, 2026. As of June 30, 2025, we had drawn down $3.0 million from the Credit Facility.</w:t>
      </w:r>
    </w:p>
    <w:p>
      <w:pPr>
        <w:pStyle w:val="TextBody"/>
        <w:bidi w:val="0"/>
        <w:spacing w:before="240" w:after="283"/>
        <w:jc w:val="both"/>
        <w:rPr>
          <w:rFonts w:ascii="Times New Roman" w:hAnsi="Times New Roman"/>
          <w:sz w:val="20"/>
        </w:rPr>
      </w:pPr>
      <w:r>
        <w:rPr>
          <w:rFonts w:ascii="Arial" w:hAnsi="Arial"/>
          <w:color w:val="000000"/>
          <w:sz w:val="20"/>
        </w:rPr>
        <w:t>On November 29, 2024, we entered into a securities purchase agreement for a private placement of (i) 19,928,875 shares of our common stock at a price of $9.08 per share and (ii) pre-funded warrants to purchase up to an aggregate of 7,604,163 shares of our common stock at a price of $9.0799 per pre-funded warrant, which represents the per share purchase price of the common stock sold in the private placement less the $0.0001 per share exercise price for each pre-funded warrant to selected institutional and accredited investors (the 2024 Private Placement). The aggregate gross proceeds for the 2024 Private Placement was approximately $250.0 million. After deducting offering expenses related to the 2024 Private Placement of approximately $13.0 million, the net proceeds to us from the 2024 Private Placement were approximately $237.0 million. Concurrently, on November 29, 2024, we entered in an exchange agreement with an investor and issued to such investor pre-funded warrants to purchase up to 3,420,000 shares of our common stock at an exercise price of $0.0001 per share, in exchange for 3,420,000 shares of our common stock previously outstanding and held by such investor. Thereafter, on January 10, 2025, we entered into exchange agreements with certain investors pursuant to which we issued pre-funded warrants to purchase up to 6,070,000 shares of our common stock at an exercise price of $0.0001 per share, in exchange for 6,070,000 shares of our common stock previously outstanding and held by such investors. Certain holders of pre-funded warrants (together 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such holder’s affiliates and other attribution parties) may not exercise pre-funded warrants held by them to the extent that immediately prior to or after giving effect to such exercise such holder would own more than 9.99% of our outstanding common stock immediately after exercise, which percentage may be changed at the holder’s election to a lower or higher percentage not in excess of 19.99% upon 61 days’ notice to us, subject to the terms of the pre-funded warrants. Refer to Note 12 of our notes to the condensed consolidated financial statements contained in this Quarterly Report on Form 10-Q for further information regarding the exchange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January 5, 2024, we entered into a sales agreement (the 2024 Sales Agreement), with Cowen and Company, LLC (Cowen and Company), as sales agent, pursuant to which we were permitted to offer and sell, from time to time, shares of our common stock, having an aggregate offering price of up to $150.0 million (the 2024 ATM Shares). The sales of the 2024 ATM Shares were made as an “at-the-market” (ATM) equity offering as defined in Rule 415(a)(4) promulgated under the Securities Act. We agreed to pay Cowen and Company a commission of up to 3.0% of the aggregate gross proceeds from any 2024 ATM Shares sold by Cowen and Company. During the year ended December 31, 2024, we issued 1,772,278 shares of our common stock under the Sales Agreement at a weighted-average price of $13.19 for net proceeds of $22.8 million after deducting related issuance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January 6, 2025, we entered into a sales agreement (the 2025 Sales Agreement) with TD Securities (USA) LLC, (TD Cowen) as sales agent, pursuant to which the Company may offer and sell, from time to time, shares of the Company's common stock, having an aggregate offering price of up to $150.0 million (the 2025 ATM Shares). The 2025 Sales Agreement replaced our 2024 Sales Agreement, and no further sales may be made pursuant to the 2024 Sales Agreement. The sales of the 2025 ATM Shares will be made by any method permitted that is deemed to be an ATM equity offering as defined in Rule 415(a)(4) promulgated under the Securities Act, including sales made directly on or through the Nasdaq Global Select Market. We have agreed to pay TD Cowen a commission of up to 3.0% of the aggregate gross proceeds from any 2025 ATM Shares sold by TD Cowen. There were no sales under the 2025 Sales Agreement during the six months ended June 30, 2025 and as of June 30, 2025, $150.0 million remained available for issuance under the 2025 Sales Agreement.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240" w:after="283"/>
        <w:jc w:val="both"/>
        <w:rPr>
          <w:rFonts w:ascii="Times New Roman" w:hAnsi="Times New Roman"/>
          <w:sz w:val="20"/>
        </w:rPr>
      </w:pPr>
      <w:r>
        <w:rPr>
          <w:rFonts w:ascii="Arial" w:hAnsi="Arial"/>
          <w:color w:val="000000"/>
          <w:sz w:val="20"/>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Other than as noted above, we currently have no financing commitments, such as lines of credit or guarantees, that are expected to affect our liquidity over the next five years.</w:t>
      </w:r>
    </w:p>
    <w:p>
      <w:pPr>
        <w:pStyle w:val="Heading2"/>
        <w:bidi w:val="0"/>
        <w:spacing w:before="240" w:after="283"/>
        <w:jc w:val="both"/>
        <w:rPr>
          <w:rFonts w:ascii="Arial" w:hAnsi="Arial"/>
          <w:i/>
          <w:color w:val="000000"/>
          <w:sz w:val="20"/>
        </w:rPr>
      </w:pPr>
      <w:r>
        <w:rPr>
          <w:rFonts w:ascii="Arial" w:hAnsi="Arial"/>
          <w:i/>
          <w:color w:val="000000"/>
          <w:sz w:val="20"/>
        </w:rPr>
        <w:t>Future funding and material cash requirements</w:t>
      </w:r>
    </w:p>
    <w:p>
      <w:pPr>
        <w:pStyle w:val="TextBody"/>
        <w:bidi w:val="0"/>
        <w:spacing w:before="240" w:after="283"/>
        <w:jc w:val="both"/>
        <w:rPr>
          <w:rFonts w:ascii="Times New Roman" w:hAnsi="Times New Roman"/>
          <w:sz w:val="20"/>
        </w:rPr>
      </w:pPr>
      <w:r>
        <w:rPr>
          <w:rFonts w:ascii="Arial" w:hAnsi="Arial"/>
          <w:color w:val="000000"/>
          <w:sz w:val="20"/>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operating as a public company. The amount and timing of our future funding requirements will depend on many factors, including the pace and results of our development efforts.</w:t>
      </w:r>
    </w:p>
    <w:p>
      <w:pPr>
        <w:pStyle w:val="TextBody"/>
        <w:bidi w:val="0"/>
        <w:spacing w:before="240" w:after="283"/>
        <w:jc w:val="both"/>
        <w:rPr>
          <w:rFonts w:ascii="Times New Roman" w:hAnsi="Times New Roman"/>
          <w:sz w:val="20"/>
        </w:rPr>
      </w:pPr>
      <w:r>
        <w:rPr>
          <w:rFonts w:ascii="Arial" w:hAnsi="Arial"/>
          <w:color w:val="000000"/>
          <w:sz w:val="20"/>
        </w:rPr>
        <w:t>We expect our cash, cash equivalents, and marketable securities as of June 30, 2025, as well as the available balance under the Credit Facility, will enable us to fund our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Refer to Notes 9, 10 and 11 of our notes to the condensed consolidated financial statements contained in this Quarterly Report on Form 10-Q for further information regarding our material cash requirements; other than as set forth therein, there have been no material changes outside the ordinary course of business during the three and six months ended June 30, 2025 to our commitments and contingencies disclosed in “Management’s Discussion and Analysis of Financial Condition and Results of Operations” included in our Annual Report on Form 10-K.</w:t>
      </w:r>
    </w:p>
    <w:p>
      <w:pPr>
        <w:pStyle w:val="TextBody"/>
        <w:bidi w:val="0"/>
        <w:spacing w:before="240" w:after="283"/>
        <w:jc w:val="both"/>
        <w:rPr>
          <w:rFonts w:ascii="Arial" w:hAnsi="Arial"/>
          <w:color w:val="000000"/>
          <w:sz w:val="20"/>
        </w:rPr>
      </w:pPr>
      <w:r>
        <w:rPr>
          <w:rFonts w:ascii="Arial" w:hAnsi="Arial"/>
          <w:color w:val="000000"/>
          <w:sz w:val="20"/>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progress, results and costs of product discovery, non-clinical studies and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prioritization and number of our research and development programs;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timing and outcome of regulatory review of our product candidates;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our ability to establish and maintain collaborations on favorable terms, if at all;</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achievement of milestones or occurrence of other developments that trigger payments under any collaboration agreements we enter into;</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are obligated to reimburse, or entitled to reimbursement of, clinical trial costs under collaboration agreements, if any;</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acquire or in-license other product candidates and technologies;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securing manufacturing arrangements for commercial production; and</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establishing or contracting for sales and marketing capabilities if we obtain regulatory approvals to market our product candidates.</w:t>
      </w:r>
    </w:p>
    <w:p>
      <w:pPr>
        <w:pStyle w:val="TextBody"/>
        <w:bidi w:val="0"/>
        <w:spacing w:before="240" w:after="283"/>
        <w:jc w:val="both"/>
        <w:rPr>
          <w:rFonts w:ascii="Arial" w:hAnsi="Arial"/>
          <w:color w:val="000000"/>
          <w:sz w:val="20"/>
        </w:rPr>
      </w:pPr>
      <w:r>
        <w:rPr>
          <w:rFonts w:ascii="Arial" w:hAnsi="Arial"/>
          <w:color w:val="000000"/>
          <w:sz w:val="20"/>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240" w:after="283"/>
        <w:jc w:val="both"/>
        <w:rPr>
          <w:rFonts w:ascii="Times New Roman" w:hAnsi="Times New Roman"/>
          <w:sz w:val="20"/>
        </w:rPr>
      </w:pPr>
      <w:r>
        <w:rPr>
          <w:rFonts w:ascii="Arial" w:hAnsi="Arial"/>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both"/>
        <w:rPr>
          <w:rFonts w:ascii="Arial" w:hAnsi="Arial"/>
          <w:color w:val="000000"/>
          <w:sz w:val="20"/>
        </w:rPr>
      </w:pPr>
      <w:r>
        <w:rPr>
          <w:rFonts w:ascii="Arial" w:hAnsi="Arial"/>
          <w:color w:val="000000"/>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Heading2"/>
        <w:bidi w:val="0"/>
        <w:spacing w:before="240" w:after="283"/>
        <w:jc w:val="both"/>
        <w:rPr>
          <w:rFonts w:ascii="Arial" w:hAnsi="Arial"/>
          <w:i/>
          <w:color w:val="000000"/>
          <w:sz w:val="20"/>
        </w:rPr>
      </w:pPr>
      <w:r>
        <w:rPr>
          <w:rFonts w:ascii="Arial" w:hAnsi="Arial"/>
          <w:i/>
          <w:color w:val="000000"/>
          <w:sz w:val="20"/>
        </w:rPr>
        <w:t>Cash flows</w:t>
      </w:r>
    </w:p>
    <w:p>
      <w:pPr>
        <w:pStyle w:val="TextBody"/>
        <w:bidi w:val="0"/>
        <w:spacing w:before="240" w:after="283"/>
        <w:jc w:val="both"/>
        <w:rPr>
          <w:rFonts w:ascii="Arial" w:hAnsi="Arial"/>
          <w:color w:val="000000"/>
          <w:sz w:val="20"/>
        </w:rPr>
      </w:pPr>
      <w:r>
        <w:rPr>
          <w:rFonts w:ascii="Arial" w:hAnsi="Arial"/>
          <w:color w:val="000000"/>
          <w:sz w:val="20"/>
        </w:rPr>
        <w:t>The following table shows a summary of our cash flows for each of the periods presented:</w:t>
      </w:r>
    </w:p>
    <w:p>
      <w:pPr>
        <w:pStyle w:val="TextBody"/>
        <w:bidi w:val="0"/>
        <w:jc w:val="both"/>
        <w:rPr/>
      </w:pPr>
      <w:r>
        <w:rPr/>
        <w:t> </w:t>
      </w:r>
    </w:p>
    <w:tbl>
      <w:tblPr>
        <w:tblW w:w="7195" w:type="dxa"/>
        <w:jc w:val="left"/>
        <w:tblInd w:w="0" w:type="dxa"/>
        <w:tblLayout w:type="fixed"/>
        <w:tblCellMar>
          <w:top w:w="28" w:type="dxa"/>
          <w:left w:w="28" w:type="dxa"/>
          <w:bottom w:w="28" w:type="dxa"/>
          <w:right w:w="28" w:type="dxa"/>
        </w:tblCellMar>
      </w:tblPr>
      <w:tblGrid>
        <w:gridCol w:w="4456"/>
        <w:gridCol w:w="211"/>
        <w:gridCol w:w="146"/>
        <w:gridCol w:w="751"/>
        <w:gridCol w:w="166"/>
        <w:gridCol w:w="146"/>
        <w:gridCol w:w="211"/>
        <w:gridCol w:w="146"/>
        <w:gridCol w:w="751"/>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2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provided by (used in)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Heading2"/>
        <w:bidi w:val="0"/>
        <w:spacing w:before="40" w:after="283"/>
        <w:jc w:val="both"/>
        <w:rPr>
          <w:rFonts w:ascii="Arial" w:hAnsi="Arial"/>
          <w:i/>
          <w:color w:val="000000"/>
          <w:sz w:val="20"/>
        </w:rPr>
      </w:pPr>
      <w:r>
        <w:rPr>
          <w:rFonts w:ascii="Arial" w:hAnsi="Arial"/>
          <w:i/>
          <w:color w:val="000000"/>
          <w:sz w:val="20"/>
        </w:rPr>
        <w:t>Operating activities</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during the six months ended June 30, 2025 consisted primarily of our net loss of $74.2 million, non-cash interest income on our marketable securities of $3.8 million and net decrease in operating assets and liabilities of $5.2 million, offset by non-cash charges of $9.3 million. The net loss consisted primarily of $74.5 million in research and development expenses and $8.2 million in general and administrative expenses. The non-cash charges consisted primarily of stock-based compensation expense of $9.1 million, depreciation and amortization expenses of $0.3 million, and non-cash lease expense of less than $0.1 million, net of cash payments of $0.6 million. The net decrease in operating assets and liabilities was primarily due to (i) a decrease of $3.6 million in accounts payable, which is primarily related to timing of invoicing by vendors and related payments, (ii) an increase of other assets and long-term deposits of $1.7 million due to project deposits paid to CROs as we advance OP-3136 and prepare initiation activities for OPERA-02, and (iii) an increase in prepaid expenses and other current assets of $1.3 million. The changes are partially offset by an increase of $1.5 million in accrued and other current liabilities.</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during the six months ended June 30, 2024 consisted primarily of our net loss of $61.4 million and non-cash interest income on our marketable securities of $4.5 million, offset by a net increase in operating assets and liabilities of $4.0 million and non-cash charges of $10.8 million. The net loss consisted primarily of $59.0 million in research and development expenses and $8.9 million in general and administrative expenses. The non-cash charges consisted primarily of stock-based compensation expense of $10.6 million, depreciation and amortization expenses of $0.2 million, and non-cash lease expense of less than $0.1 million, net of cash payments of $0.6 million. The net increase in operating assets and liabilities was primarily due to (i) an increase of $3.2 million in accrued and other current liabilities, (ii) an increase of $1.7 million in accounts payable, and (iii) a decrease of $1.6 million in prepaid expenses and other current assets, which is primarily due to the reimbursable research and development costs received from a collaboration partner. The changes were partially offset by an increase of $2.4 million in other assets and long-term deposits.</w:t>
      </w:r>
    </w:p>
    <w:p>
      <w:pPr>
        <w:pStyle w:val="Heading2"/>
        <w:bidi w:val="0"/>
        <w:spacing w:before="240" w:after="283"/>
        <w:jc w:val="both"/>
        <w:rPr>
          <w:rFonts w:ascii="Arial" w:hAnsi="Arial"/>
          <w:i/>
          <w:color w:val="000000"/>
          <w:sz w:val="20"/>
        </w:rPr>
      </w:pPr>
      <w:r>
        <w:rPr>
          <w:rFonts w:ascii="Arial" w:hAnsi="Arial"/>
          <w:i/>
          <w:color w:val="000000"/>
          <w:sz w:val="20"/>
        </w:rPr>
        <w:t>Investing Activities</w:t>
      </w:r>
    </w:p>
    <w:p>
      <w:pPr>
        <w:pStyle w:val="TextBody"/>
        <w:bidi w:val="0"/>
        <w:spacing w:before="240" w:after="283"/>
        <w:jc w:val="both"/>
        <w:rPr>
          <w:rFonts w:ascii="Times New Roman" w:hAnsi="Times New Roman"/>
          <w:sz w:val="20"/>
        </w:rPr>
      </w:pPr>
      <w:r>
        <w:rPr>
          <w:rFonts w:ascii="Arial" w:hAnsi="Arial"/>
          <w:color w:val="000000"/>
          <w:sz w:val="20"/>
        </w:rPr>
        <w:t>Net cash used in investing activities during the six months ended June 30, 2025 was predominantly due to purchases of marketable securities which were partially offset by maturities of marketable securities.</w:t>
      </w:r>
      <w:r>
        <w:rPr>
          <w:rFonts w:ascii="Times New Roman" w:hAnsi="Times New Roman"/>
          <w:color w:val="000000"/>
          <w:sz w:val="20"/>
        </w:rPr>
        <w:t xml:space="preserve"> </w:t>
      </w:r>
    </w:p>
    <w:p>
      <w:pPr>
        <w:pStyle w:val="TextBody"/>
        <w:bidi w:val="0"/>
        <w:spacing w:before="240" w:after="240"/>
        <w:jc w:val="both"/>
        <w:rPr>
          <w:rFonts w:ascii="Arial" w:hAnsi="Arial"/>
          <w:color w:val="000000"/>
          <w:sz w:val="20"/>
        </w:rPr>
      </w:pPr>
      <w:r>
        <w:rPr>
          <w:rFonts w:ascii="Arial" w:hAnsi="Arial"/>
          <w:color w:val="000000"/>
          <w:sz w:val="20"/>
        </w:rPr>
        <w:t>Net cash used in investing activities during the six months ended June 30, 2024 was predominantly due to purchases of marketable securities which were partially offset by maturities of marketable securities.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Financing activities</w:t>
      </w:r>
    </w:p>
    <w:p>
      <w:pPr>
        <w:pStyle w:val="TextBody"/>
        <w:bidi w:val="0"/>
        <w:spacing w:before="240" w:after="283"/>
        <w:jc w:val="both"/>
        <w:rPr>
          <w:rFonts w:ascii="Arial" w:hAnsi="Arial"/>
          <w:color w:val="000000"/>
          <w:sz w:val="20"/>
        </w:rPr>
      </w:pPr>
      <w:r>
        <w:rPr>
          <w:rFonts w:ascii="Arial" w:hAnsi="Arial"/>
          <w:color w:val="000000"/>
          <w:sz w:val="20"/>
        </w:rPr>
        <w:t>Net cash used in financing activities during the six months ended June 30, 2025 was predominately due to the $6.5 million payment of issuance costs related to the 2024 Private Placement, partially offset by $3.0 million draw down under our Credit Facility, $0.7 million from the sale of our common stock under the ESPP, and $0.5 million from the exercise of stock options.</w:t>
      </w:r>
    </w:p>
    <w:p>
      <w:pPr>
        <w:pStyle w:val="TextBody"/>
        <w:bidi w:val="0"/>
        <w:spacing w:before="240" w:after="240"/>
        <w:jc w:val="both"/>
        <w:rPr>
          <w:rFonts w:ascii="Arial" w:hAnsi="Arial"/>
          <w:color w:val="000000"/>
          <w:sz w:val="20"/>
        </w:rPr>
      </w:pPr>
      <w:r>
        <w:rPr>
          <w:rFonts w:ascii="Arial" w:hAnsi="Arial"/>
          <w:color w:val="000000"/>
          <w:sz w:val="20"/>
        </w:rPr>
        <w:t>Net cash provided by financing activities during the six months ended June 30, 2024 consists of $22.8 million in net proceeds from the sale of 2024 ATM Shares, $1.0 million from the exercise of stock options, and $0.7 million from the sale of our common stock under the ESPP.</w:t>
      </w:r>
    </w:p>
    <w:p>
      <w:pPr>
        <w:pStyle w:val="TextBody"/>
        <w:bidi w:val="0"/>
        <w:jc w:val="both"/>
        <w:rPr>
          <w:rFonts w:ascii="Arial" w:hAnsi="Arial"/>
          <w:b/>
          <w:color w:val="000000"/>
          <w:sz w:val="20"/>
        </w:rPr>
      </w:pPr>
      <w:r>
        <w:rPr>
          <w:rFonts w:ascii="Arial" w:hAnsi="Arial"/>
          <w:b/>
          <w:color w:val="000000"/>
          <w:sz w:val="20"/>
        </w:rPr>
        <w:t>Critical accounting policies and significant judgments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are based on our condensed consolidated financial statements, which have been prepared in accordance with U.S. generally accepted accounting principles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sz w:val="20"/>
        </w:rPr>
      </w:pPr>
      <w:r>
        <w:rPr>
          <w:rFonts w:ascii="Arial" w:hAnsi="Arial"/>
          <w:color w:val="000000"/>
          <w:sz w:val="20"/>
        </w:rPr>
        <w:t>During the three months ended June 30, 2025, there were no material changes to our critical accounting policies and estimates as reported in our Annual Report on Form 10-K.</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1" w:name="item3quantitative"/>
      <w:bookmarkEnd w:id="11"/>
      <w:r>
        <w:rPr>
          <w:rFonts w:ascii="Arial" w:hAnsi="Arial"/>
          <w:b/>
          <w:color w:val="000000"/>
          <w:sz w:val="20"/>
        </w:rPr>
        <w:t>Item 3.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During the three months ended June 30, 2025, there were no material changes to our market risk disclosures reported in our Annual Report on Form 10-K.</w:t>
      </w:r>
    </w:p>
    <w:p>
      <w:pPr>
        <w:pStyle w:val="Heading1"/>
        <w:bidi w:val="0"/>
        <w:spacing w:before="240" w:after="283"/>
        <w:jc w:val="both"/>
        <w:rPr>
          <w:rFonts w:ascii="Arial" w:hAnsi="Arial"/>
          <w:b/>
          <w:color w:val="000000"/>
          <w:sz w:val="20"/>
        </w:rPr>
      </w:pPr>
      <w:bookmarkStart w:id="12" w:name="item4controlsandprocedures"/>
      <w:bookmarkEnd w:id="12"/>
      <w:r>
        <w:rPr>
          <w:rFonts w:ascii="Arial" w:hAnsi="Arial"/>
          <w:b/>
          <w:color w:val="000000"/>
          <w:sz w:val="20"/>
        </w:rPr>
        <w:t>Item 4. Controls and Procedures.</w:t>
      </w:r>
    </w:p>
    <w:p>
      <w:pPr>
        <w:pStyle w:val="TextBody"/>
        <w:bidi w:val="0"/>
        <w:spacing w:before="240" w:after="283"/>
        <w:jc w:val="both"/>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As of June 30, 2025,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before="240" w:after="283"/>
        <w:jc w:val="both"/>
        <w:rPr>
          <w:rFonts w:ascii="Arial" w:hAnsi="Arial"/>
          <w:color w:val="000000"/>
          <w:sz w:val="20"/>
        </w:rPr>
      </w:pPr>
      <w:r>
        <w:rPr>
          <w:rFonts w:ascii="Arial" w:hAnsi="Arial"/>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2025, the design and operation of our disclosure controls and procedures were effective at a reasonable assurance level.</w:t>
      </w:r>
    </w:p>
    <w:p>
      <w:pPr>
        <w:pStyle w:val="TextBody"/>
        <w:bidi w:val="0"/>
        <w:spacing w:before="240" w:after="283"/>
        <w:jc w:val="both"/>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Rules 13a-15(d) and 15d-15(d) of the Exchange Act that occurred during the three months ended June 30, 2025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13" w:name="partiiotherinformation_169197"/>
      <w:bookmarkEnd w:id="13"/>
      <w:r>
        <w:rPr>
          <w:rFonts w:ascii="Arial" w:hAnsi="Arial"/>
          <w:b/>
          <w:color w:val="000000"/>
          <w:sz w:val="20"/>
        </w:rPr>
        <w:t>PART II-OTHER INFORMATION</w:t>
      </w:r>
    </w:p>
    <w:p>
      <w:pPr>
        <w:pStyle w:val="Heading1"/>
        <w:bidi w:val="0"/>
        <w:spacing w:before="0" w:after="240"/>
        <w:jc w:val="left"/>
        <w:rPr>
          <w:rFonts w:ascii="Arial" w:hAnsi="Arial"/>
          <w:b/>
          <w:color w:val="000000"/>
          <w:sz w:val="20"/>
        </w:rPr>
      </w:pPr>
      <w:bookmarkStart w:id="14" w:name="item1legalproceedings_105808"/>
      <w:bookmarkEnd w:id="14"/>
      <w:r>
        <w:rPr>
          <w:rFonts w:ascii="Arial" w:hAnsi="Arial"/>
          <w:b/>
          <w:color w:val="000000"/>
          <w:sz w:val="20"/>
        </w:rPr>
        <w:t>Item 1. Legal Proceedings.</w:t>
      </w:r>
    </w:p>
    <w:p>
      <w:pPr>
        <w:pStyle w:val="TextBody"/>
        <w:bidi w:val="0"/>
        <w:spacing w:before="0" w:after="240"/>
        <w:jc w:val="both"/>
        <w:rPr>
          <w:rFonts w:ascii="Arial" w:hAnsi="Arial"/>
          <w:color w:val="000000"/>
          <w:sz w:val="20"/>
        </w:rPr>
      </w:pPr>
      <w:r>
        <w:rPr>
          <w:rFonts w:ascii="Arial" w:hAnsi="Arial"/>
          <w:color w:val="000000"/>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Heading1"/>
        <w:bidi w:val="0"/>
        <w:spacing w:before="0" w:after="240"/>
        <w:jc w:val="left"/>
        <w:rPr>
          <w:rFonts w:ascii="Times New Roman" w:hAnsi="Times New Roman"/>
          <w:sz w:val="20"/>
        </w:rPr>
      </w:pPr>
      <w:bookmarkStart w:id="15" w:name="item_1a_risk_factors"/>
      <w:bookmarkEnd w:id="15"/>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0" w:after="240"/>
        <w:jc w:val="both"/>
        <w:rPr>
          <w:rFonts w:ascii="Arial" w:hAnsi="Arial"/>
          <w:i/>
          <w:color w:val="000000"/>
          <w:sz w:val="20"/>
        </w:rPr>
      </w:pPr>
      <w:r>
        <w:rPr>
          <w:rFonts w:ascii="Arial" w:hAnsi="Arial"/>
          <w:i/>
          <w:color w:val="000000"/>
          <w:sz w:val="20"/>
        </w:rPr>
        <w:t>Our business involves significant risks, some of which are described below. You should carefully consider the following risks, as well as the other information in this Quarterly Report on Form 10</w:t>
        <w:noBreakHyphen/>
        <w:t>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jc w:val="center"/>
        <w:rPr>
          <w:rFonts w:ascii="Arial" w:hAnsi="Arial"/>
          <w:b/>
          <w:color w:val="000000"/>
          <w:sz w:val="20"/>
        </w:rPr>
      </w:pPr>
      <w:r>
        <w:rPr>
          <w:rFonts w:ascii="Arial" w:hAnsi="Arial"/>
          <w:b/>
          <w:color w:val="000000"/>
          <w:sz w:val="20"/>
        </w:rPr>
        <w:t>RISK FACTOR SUMMARY</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no products approved for commercial sale, which may make it difficult for you to evaluate our current business and predict our future success and viability.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incurred net losses since inception, and we expect to continue to incur net losses for the foreseeable future. In addition, we may be unable to continue as a going concern over the long term.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(NDA) to the FDA or similar drug approval filings to comparable foreign authorities. If we are ultimately unable to obtain regulatory approval for palazestrant or OP-3136 or any future product candidate we may develop, we will be unable to generate product revenue and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Even if approved, palazestrant or OP-3136 may not achieve adequate market acceptance among physicians, patients, healthcare payors and others in the medical community necessary for commercial success.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Unfavorable U.S. and global macroeconomic and geopolitical conditions could adversely affect our business, financial condition and results of operations.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In order to successfully implement our plans and strategies, we will need to grow the size of our organization, and we may experience difficulties in managing this growth.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b/>
          <w:color w:val="000000"/>
          <w:sz w:val="20"/>
        </w:rPr>
      </w:pPr>
      <w:r>
        <w:rPr>
          <w:rFonts w:ascii="Arial" w:hAnsi="Arial"/>
          <w:b/>
          <w:color w:val="000000"/>
          <w:sz w:val="20"/>
        </w:rPr>
        <w:t>Risks related to our financial position and the need for additional capital</w:t>
      </w:r>
    </w:p>
    <w:p>
      <w:pPr>
        <w:pStyle w:val="TextBody"/>
        <w:bidi w:val="0"/>
        <w:spacing w:before="0" w:after="240"/>
        <w:jc w:val="both"/>
        <w:rPr>
          <w:rFonts w:ascii="Arial" w:hAnsi="Arial"/>
          <w:b/>
          <w:i/>
          <w:color w:val="000000"/>
          <w:sz w:val="20"/>
        </w:rPr>
      </w:pPr>
      <w:r>
        <w:rPr>
          <w:rFonts w:ascii="Arial" w:hAnsi="Arial"/>
          <w:b/>
          <w:i/>
          <w:color w:val="000000"/>
          <w:sz w:val="20"/>
        </w:rPr>
        <w:t>We have no products approved for commercial sale, which may make it difficult for you to evaluate our current business and predict our future success and viability.</w:t>
      </w:r>
    </w:p>
    <w:p>
      <w:pPr>
        <w:pStyle w:val="TextBody"/>
        <w:bidi w:val="0"/>
        <w:spacing w:before="0" w:after="240"/>
        <w:jc w:val="both"/>
        <w:rPr>
          <w:rFonts w:ascii="Arial" w:hAnsi="Arial"/>
          <w:color w:val="000000"/>
          <w:sz w:val="20"/>
        </w:rPr>
      </w:pPr>
      <w:r>
        <w:rPr>
          <w:rFonts w:ascii="Arial" w:hAnsi="Arial"/>
          <w:color w:val="000000"/>
          <w:sz w:val="20"/>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(OP-1250), securing related intellectual property rights, conducting non-clinical studies, conducting multiple Phase 1/2 studies of palazestrant, initiating and conducting a Phase 3 clinical trial of palazestrant, preparing for another Phase 3 clinical trial of palazestrant, conducting non-clinical studies of OP-3136, and initiating and conducting a Phase 1 study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pStyle w:val="TextBody"/>
        <w:bidi w:val="0"/>
        <w:spacing w:before="0" w:after="240"/>
        <w:jc w:val="both"/>
        <w:rPr>
          <w:rFonts w:ascii="Arial" w:hAnsi="Arial"/>
          <w:color w:val="000000"/>
          <w:sz w:val="20"/>
        </w:rPr>
      </w:pPr>
      <w:r>
        <w:rPr>
          <w:rFonts w:ascii="Arial" w:hAnsi="Arial"/>
          <w:color w:val="000000"/>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pStyle w:val="TextBody"/>
        <w:bidi w:val="0"/>
        <w:spacing w:before="0" w:after="240"/>
        <w:jc w:val="both"/>
        <w:rPr>
          <w:rFonts w:ascii="Arial" w:hAnsi="Arial"/>
          <w:color w:val="000000"/>
          <w:sz w:val="20"/>
        </w:rPr>
      </w:pPr>
      <w:r>
        <w:rPr>
          <w:rFonts w:ascii="Arial" w:hAnsi="Arial"/>
          <w:color w:val="000000"/>
          <w:sz w:val="20"/>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(EMA), or other regulatory authorities to perform clinical trials or non-clinical studies in addition to those that we currently anticipate. Other unanticipated costs may also arise. In addition, if we obtain marketing approval for palazestrant, OP-3136 or other product candidates, we expect to incur significant commercialization expenses related to drug sales, marketing, manufacturing and distribution. Our estimates as to how long until we are able to commercialize one or more of our product candidates are based on assumptions that may prove to be wrong, and we may require more time and resources than we currently anticipate, and may exhaust our available capital resources before we are able to generate any revenue from product sales. In addition,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pStyle w:val="TextBody"/>
        <w:bidi w:val="0"/>
        <w:spacing w:before="0" w:after="240"/>
        <w:jc w:val="both"/>
        <w:rPr>
          <w:rFonts w:ascii="Arial" w:hAnsi="Arial"/>
          <w:color w:val="000000"/>
          <w:sz w:val="20"/>
        </w:rPr>
      </w:pPr>
      <w:r>
        <w:rPr>
          <w:rFonts w:ascii="Arial" w:hAnsi="Arial"/>
          <w:color w:val="000000"/>
          <w:sz w:val="20"/>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pStyle w:val="TextBody"/>
        <w:bidi w:val="0"/>
        <w:spacing w:before="0" w:after="240"/>
        <w:jc w:val="both"/>
        <w:rPr>
          <w:rFonts w:ascii="Times New Roman" w:hAnsi="Times New Roman"/>
          <w:sz w:val="20"/>
        </w:rPr>
      </w:pPr>
      <w:r>
        <w:rPr>
          <w:rFonts w:ascii="Arial" w:hAnsi="Arial"/>
          <w:color w:val="000000"/>
          <w:sz w:val="20"/>
        </w:rPr>
        <w:t>We will be required to obtain additional funding through public or private equity offerings, debt financings, collaborations and licensing arrangements or other sources, which may dilute our stockholders, or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efforts. We also could be required to seek collaborators for palazestrant, OP-3136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We have incurred net losses since inception, and we expect to continue to incur net losses for the foreseeable future. In addition, we may be unable to continue as a going concern over the long term.</w:t>
      </w:r>
    </w:p>
    <w:p>
      <w:pPr>
        <w:pStyle w:val="TextBody"/>
        <w:bidi w:val="0"/>
        <w:spacing w:before="0" w:after="240"/>
        <w:jc w:val="both"/>
        <w:rPr>
          <w:rFonts w:ascii="Arial" w:hAnsi="Arial"/>
          <w:color w:val="000000"/>
          <w:sz w:val="20"/>
        </w:rPr>
      </w:pPr>
      <w:r>
        <w:rPr>
          <w:rFonts w:ascii="Arial" w:hAnsi="Arial"/>
          <w:color w:val="000000"/>
          <w:sz w:val="20"/>
        </w:rPr>
        <w:t>We have incurred net losses in each reporting period since our inception, have not generated any revenue from product sales to date and have financed our operations principally through sales of our equity securities, including sales of our common stock and pre-funded warrants to purchase our common stock to selected institutional and accredited investors in private placement transactions, at-the-market offerings, our initial public offering and private financings. We have incurred net losses of $43.8 million and $30.4 million for the three months ended June 30, 2025 and 2024, respectively. We had an accumulated deficit of $509.3 million as of June 30, 2025. Our losses have resulted principally from expenses incurred in research and development of palazestrant, OP-3136 and from management and administrative costs and other expenses that we have incurred while building our business infrastructure. Our lead product candidate, palazestrant, and OP-3136 are both in clinical trials. As a result, we expect that it will be several years, if ever, before we have a commercialized product and generate revenue from product sales. Even if we succeed in receiving marketing approval for palazestrant or OP-3136 in one of our lead indications and proceed to commercializing palazestrant or OP-3136, we expect that we will continue to incur substantial research and development and other expenses as we continue the clinical development programs for palazestrant in other indications or for OP-3136.</w:t>
      </w:r>
    </w:p>
    <w:p>
      <w:pPr>
        <w:pStyle w:val="TextBody"/>
        <w:bidi w:val="0"/>
        <w:spacing w:before="0" w:after="240"/>
        <w:jc w:val="both"/>
        <w:rPr>
          <w:rFonts w:ascii="Arial" w:hAnsi="Arial"/>
          <w:color w:val="000000"/>
          <w:sz w:val="20"/>
        </w:rPr>
      </w:pPr>
      <w:r>
        <w:rPr>
          <w:rFonts w:ascii="Arial" w:hAnsi="Arial"/>
          <w:color w:val="000000"/>
          <w:sz w:val="20"/>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0" w:after="240"/>
        <w:jc w:val="both"/>
        <w:rPr>
          <w:rFonts w:ascii="Arial" w:hAnsi="Arial"/>
          <w:color w:val="000000"/>
          <w:sz w:val="20"/>
        </w:rPr>
      </w:pPr>
      <w:r>
        <w:rPr>
          <w:rFonts w:ascii="Arial" w:hAnsi="Arial"/>
          <w:color w:val="000000"/>
          <w:sz w:val="20"/>
        </w:rPr>
        <w:t>In addition, our condensed consolidated financial statements for the three months ended June 30, 2025 and 2024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pStyle w:val="TextBody"/>
        <w:bidi w:val="0"/>
        <w:spacing w:before="0" w:after="240"/>
        <w:jc w:val="left"/>
        <w:rPr>
          <w:rFonts w:ascii="Arial" w:hAnsi="Arial"/>
          <w:b/>
          <w:i/>
          <w:color w:val="000000"/>
          <w:sz w:val="20"/>
        </w:rPr>
      </w:pPr>
      <w:r>
        <w:rPr>
          <w:rFonts w:ascii="Arial" w:hAnsi="Arial"/>
          <w:b/>
          <w:i/>
          <w:color w:val="000000"/>
          <w:sz w:val="20"/>
        </w:rPr>
        <w:t>We have never generated revenue from product sales and may never be profitable.</w:t>
      </w:r>
    </w:p>
    <w:p>
      <w:pPr>
        <w:pStyle w:val="TextBody"/>
        <w:bidi w:val="0"/>
        <w:spacing w:before="0" w:after="240"/>
        <w:jc w:val="both"/>
        <w:rPr>
          <w:rFonts w:ascii="Arial" w:hAnsi="Arial"/>
          <w:color w:val="000000"/>
          <w:sz w:val="20"/>
        </w:rPr>
      </w:pPr>
      <w:r>
        <w:rPr>
          <w:rFonts w:ascii="Arial" w:hAnsi="Arial"/>
          <w:color w:val="000000"/>
          <w:sz w:val="20"/>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231F20"/>
          <w:sz w:val="20"/>
        </w:rPr>
      </w:pPr>
      <w:r>
        <w:rPr>
          <w:rFonts w:ascii="Arial" w:hAnsi="Arial"/>
          <w:color w:val="231F20"/>
          <w:sz w:val="20"/>
        </w:rPr>
        <w:t>completing clinical and non-clinical development of our product candidates and programs and identifying and developing new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seeking and obtaining marketing approvals for any product candidates that we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achieving adequate access and reimbursement by government and third-party payors for product candidates that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obtaining market acceptance of product candidates that we develop as viable treatment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addressing any competing technological and market developments;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negotiating favorable terms in any collaboration, licensing or other arrangements into which we may enter and performing our obligations in such 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maintaining, protecting, enforcing and expanding our portfolio of intellectual property rights, including patents, trade secrets and know-how;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defending against third-party interference, infringement or other intellectual property-related claims, if any;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attracting, hiring and retaining qualified personnel.</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jc w:val="both"/>
        <w:rPr>
          <w:rFonts w:ascii="Arial" w:hAnsi="Arial"/>
          <w:b/>
          <w:i/>
          <w:color w:val="000000"/>
          <w:sz w:val="20"/>
        </w:rPr>
      </w:pPr>
      <w:r>
        <w:rPr>
          <w:rFonts w:ascii="Arial" w:hAnsi="Arial"/>
          <w:b/>
          <w:i/>
          <w:color w:val="000000"/>
          <w:sz w:val="20"/>
        </w:rPr>
        <w:t>The terms of the Loan Agreement place restrictions on our operating and financial flexibility. If we raise additional capital through debt financing, the terms of any new debt could further restrict our ability to operate our business.</w:t>
      </w:r>
    </w:p>
    <w:p>
      <w:pPr>
        <w:pStyle w:val="TextBody"/>
        <w:bidi w:val="0"/>
        <w:spacing w:before="240" w:after="283"/>
        <w:jc w:val="both"/>
        <w:rPr>
          <w:rFonts w:ascii="Arial" w:hAnsi="Arial"/>
          <w:color w:val="000000"/>
          <w:sz w:val="20"/>
        </w:rPr>
      </w:pPr>
      <w:r>
        <w:rPr>
          <w:rFonts w:ascii="Arial" w:hAnsi="Arial"/>
          <w:color w:val="000000"/>
          <w:sz w:val="20"/>
        </w:rPr>
        <w:t>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of which $25.0 million became available in September 2023 (Term Loan A) upon the closing of a private placement and issuance of our common stock to selected institutional and accredited investors pursuant to a securities purchase agreement, and the remaining $25.0 million could have been made available upon approval of the Bank in its discretion. The Original Credit Facility was to mature on August 1, 2027. On June 28, 2024, we entered into the First Amendment to Loan and Security Agreement (the First Amendment) with the Bank, which, among other things, (i) increased the aggregate principal amount of the Original Credit Facility from up to $50.0 million to up to $100.0 million of which the Term Loan A of $25.0 million was immediately available, an additional $25.0 million will become available upon achieving certain milestones related to execution of a first-line pivotal Phase 3 clinical trial of palazestrant in combination with ribociclib, and an additional $50.0 million which may be made available upon approval of the Bank in its discretion, and (ii) extended the maturity date to July 1, 2028 (Maturity Date). On June 27, 2025, we entered into a Second Amendment to Loan and Security Agreement (the Second Amendment, together with the Original Loan Agreement and the First Amendment, the Loan Agreement, and such credit facility, the Credit Facility) with the Bank, which, among other things, (i) decreased the interest rate to a floating rate equal to the greater of 6.0% or the prime rate, and (ii) extended the draw period of Term Loan A to January 15, 2026. As of June 30, 2025, we had drawn down $3.0 million from the Credit Facility.</w:t>
      </w:r>
    </w:p>
    <w:p>
      <w:pPr>
        <w:pStyle w:val="TextBody"/>
        <w:bidi w:val="0"/>
        <w:spacing w:before="240" w:after="240"/>
        <w:jc w:val="both"/>
        <w:rPr>
          <w:rFonts w:ascii="Times New Roman" w:hAnsi="Times New Roman"/>
          <w:sz w:val="20"/>
        </w:rPr>
      </w:pPr>
      <w:r>
        <w:rPr>
          <w:rFonts w:ascii="Arial" w:hAnsi="Arial"/>
          <w:color w:val="000000"/>
          <w:sz w:val="20"/>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0" w:after="240"/>
        <w:jc w:val="both"/>
        <w:rPr>
          <w:rFonts w:ascii="Arial" w:hAnsi="Arial"/>
          <w:color w:val="000000"/>
          <w:sz w:val="20"/>
        </w:rPr>
      </w:pPr>
      <w:r>
        <w:rPr>
          <w:rFonts w:ascii="Arial" w:hAnsi="Arial"/>
          <w:color w:val="000000"/>
          <w:sz w:val="20"/>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spacing w:before="0" w:after="240"/>
        <w:jc w:val="both"/>
        <w:rPr>
          <w:rFonts w:ascii="Arial" w:hAnsi="Arial"/>
          <w:b/>
          <w:color w:val="000000"/>
          <w:sz w:val="20"/>
        </w:rPr>
      </w:pPr>
      <w:r>
        <w:rPr>
          <w:rFonts w:ascii="Arial" w:hAnsi="Arial"/>
          <w:b/>
          <w:color w:val="000000"/>
          <w:sz w:val="20"/>
        </w:rPr>
        <w:t>Risks related to the discovery, development and commercialization of our product candidates</w:t>
      </w:r>
    </w:p>
    <w:p>
      <w:pPr>
        <w:pStyle w:val="TextBody"/>
        <w:bidi w:val="0"/>
        <w:spacing w:before="0" w:after="240"/>
        <w:jc w:val="both"/>
        <w:rPr>
          <w:rFonts w:ascii="Arial" w:hAnsi="Arial"/>
          <w:b/>
          <w:i/>
          <w:color w:val="000000"/>
          <w:sz w:val="20"/>
        </w:rPr>
      </w:pPr>
      <w:r>
        <w:rPr>
          <w:rFonts w:ascii="Arial" w:hAnsi="Arial"/>
          <w:b/>
          <w:i/>
          <w:color w:val="000000"/>
          <w:sz w:val="20"/>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pStyle w:val="TextBody"/>
        <w:bidi w:val="0"/>
        <w:spacing w:before="0" w:after="240"/>
        <w:jc w:val="both"/>
        <w:rPr>
          <w:rFonts w:ascii="Arial" w:hAnsi="Arial"/>
          <w:color w:val="000000"/>
          <w:sz w:val="20"/>
        </w:rPr>
      </w:pPr>
      <w:r>
        <w:rPr>
          <w:rFonts w:ascii="Arial" w:hAnsi="Arial"/>
          <w:color w:val="000000"/>
          <w:sz w:val="20"/>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an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pStyle w:val="TextBody"/>
        <w:bidi w:val="0"/>
        <w:spacing w:before="0" w:after="240"/>
        <w:jc w:val="both"/>
        <w:rPr>
          <w:rFonts w:ascii="Times New Roman" w:hAnsi="Times New Roman"/>
          <w:sz w:val="20"/>
        </w:rPr>
      </w:pPr>
      <w:r>
        <w:rPr>
          <w:rFonts w:ascii="Arial" w:hAnsi="Arial"/>
          <w:color w:val="000000"/>
          <w:sz w:val="20"/>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results of subsequent clinical trials. We have a limited operating history and to date have not demonstrated our ability to complete large-scale clinical trials.</w:t>
      </w:r>
    </w:p>
    <w:p>
      <w:pPr>
        <w:pStyle w:val="TextBody"/>
        <w:bidi w:val="0"/>
        <w:spacing w:before="0" w:after="240"/>
        <w:jc w:val="both"/>
        <w:rPr>
          <w:rFonts w:ascii="Arial" w:hAnsi="Arial"/>
          <w:color w:val="000000"/>
          <w:sz w:val="20"/>
        </w:rPr>
      </w:pPr>
      <w:r>
        <w:rPr>
          <w:rFonts w:ascii="Arial" w:hAnsi="Arial"/>
          <w:color w:val="000000"/>
          <w:sz w:val="20"/>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pStyle w:val="TextBody"/>
        <w:bidi w:val="0"/>
        <w:spacing w:before="0" w:after="240"/>
        <w:jc w:val="both"/>
        <w:rPr>
          <w:rFonts w:ascii="Arial" w:hAnsi="Arial"/>
          <w:color w:val="000000"/>
          <w:sz w:val="20"/>
        </w:rPr>
      </w:pPr>
      <w:r>
        <w:rPr>
          <w:rFonts w:ascii="Arial" w:hAnsi="Arial"/>
          <w:color w:val="000000"/>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OP-3136 or product candidates we may develop in the future may also be undergoing surgical, radiation and chemotherapy treatments and may be using other approved products or investigational new drugs, which can cause side effects or adverse events that are unrelated to palazestrant, OP-3136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We do not know whether our current clinical trial of palazestrant,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to market, our ability to create long-term stockholder value will be limited.</w:t>
      </w:r>
    </w:p>
    <w:p>
      <w:pPr>
        <w:pStyle w:val="TextBody"/>
        <w:bidi w:val="0"/>
        <w:spacing w:before="0" w:after="240"/>
        <w:jc w:val="both"/>
        <w:rPr>
          <w:rFonts w:ascii="Arial" w:hAnsi="Arial"/>
          <w:color w:val="000000"/>
          <w:sz w:val="20"/>
        </w:rPr>
      </w:pPr>
      <w:r>
        <w:rPr>
          <w:rFonts w:ascii="Arial" w:hAnsi="Arial"/>
          <w:color w:val="000000"/>
          <w:sz w:val="20"/>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spacing w:before="0" w:after="240"/>
        <w:jc w:val="both"/>
        <w:rPr>
          <w:rFonts w:ascii="Times New Roman" w:hAnsi="Times New Roman"/>
          <w:sz w:val="20"/>
        </w:rPr>
      </w:pPr>
      <w:r>
        <w:rPr>
          <w:rFonts w:ascii="Arial" w:hAnsi="Arial"/>
          <w:color w:val="000000"/>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for support of a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rendering our clinical data insufficient for approval, which may lead to the FDA, European Commission or comparable foreign regulatory authorities delaying, limiting or denying approval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of palazestrant or OP-3136, including and any other indication we are seeking for approval under palazestrant or OP-3136.</w:t>
      </w:r>
    </w:p>
    <w:p>
      <w:pPr>
        <w:pStyle w:val="TextBody"/>
        <w:bidi w:val="0"/>
        <w:spacing w:before="0" w:after="240"/>
        <w:jc w:val="both"/>
        <w:rPr>
          <w:rFonts w:ascii="Arial" w:hAnsi="Arial"/>
          <w:b/>
          <w:i/>
          <w:color w:val="000000"/>
          <w:sz w:val="20"/>
        </w:rPr>
      </w:pPr>
      <w:r>
        <w:rPr>
          <w:rFonts w:ascii="Arial" w:hAnsi="Arial"/>
          <w:b/>
          <w:i/>
          <w:color w:val="000000"/>
          <w:sz w:val="20"/>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The time required to obtain approval by the FDA, European Commission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0" w:after="240"/>
        <w:jc w:val="both"/>
        <w:rPr>
          <w:rFonts w:ascii="Arial" w:hAnsi="Arial"/>
          <w:color w:val="000000"/>
          <w:sz w:val="20"/>
        </w:rPr>
      </w:pPr>
      <w:r>
        <w:rPr>
          <w:rFonts w:ascii="Arial" w:hAnsi="Arial"/>
          <w:color w:val="000000"/>
          <w:sz w:val="20"/>
        </w:rPr>
        <w:t>Applications for palazestrant or OP-3136 could fail to receive regulatory approval for many reasons,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the design, implementation or results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population studied in the clinical trial may not be sufficiently broad or representative to assure efficacy and safety in the full population for which we seek approval;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our interpretation of data from non-clinical studies or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data collected from clinical trials of palazestrant or OP-3136 may not be sufficient to support the submission of an NDA, or other submission or to obtain regulatory approval in the United States or elsewhere;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be unable to demonstrate to the FDA, European Commission or other comparable foreign regulatory authorities that palazestrant's or OP-3136’s risk-benefit ratio for its proposed indication is acceptable;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approval policies or regulations of the FDA, European Commission or other comparable foreign regulatory authorities may significantly change in a manner rendering our clinical data insufficient for approval.</w:t>
      </w:r>
    </w:p>
    <w:p>
      <w:pPr>
        <w:pStyle w:val="TextBody"/>
        <w:bidi w:val="0"/>
        <w:spacing w:before="0" w:after="240"/>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pStyle w:val="TextBody"/>
        <w:bidi w:val="0"/>
        <w:spacing w:before="0" w:after="240"/>
        <w:jc w:val="both"/>
        <w:rPr>
          <w:rFonts w:ascii="Times New Roman" w:hAnsi="Times New Roman"/>
          <w:sz w:val="20"/>
        </w:rPr>
      </w:pPr>
      <w:r>
        <w:rPr>
          <w:rFonts w:ascii="Arial" w:hAnsi="Arial"/>
          <w:color w:val="000000"/>
          <w:sz w:val="20"/>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(REMS), or comparable foreign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strategy. Certain regulatory authorities may grant approval contingent on the performance of costly post-marketing clinical trials or may approve palazestrant or OP-3136 with a label that does not include the labeling claims necessary or desirable for success.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Delays in clinical trials are common and have many causes, and any delay could result in increased costs to us and jeopardize or delay our ability to obtain regulatory approval and commence product sales.</w:t>
      </w:r>
    </w:p>
    <w:p>
      <w:pPr>
        <w:pStyle w:val="TextBody"/>
        <w:bidi w:val="0"/>
        <w:spacing w:before="0" w:after="240"/>
        <w:jc w:val="both"/>
        <w:rPr>
          <w:rFonts w:ascii="Arial" w:hAnsi="Arial"/>
          <w:color w:val="000000"/>
          <w:sz w:val="20"/>
        </w:rPr>
      </w:pPr>
      <w:r>
        <w:rPr>
          <w:rFonts w:ascii="Arial" w:hAnsi="Arial"/>
          <w:color w:val="000000"/>
          <w:sz w:val="20"/>
        </w:rPr>
        <w:t>We may experience delays in clinical trials of palazestrant, OP-3136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EMA, the European Commission or comparable foreign regulatory authorities disagreeing as to the design or implementation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obtaining regulatory authorizations to commence a trial or reaching a consensus with regulatory authorities on trial design;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obtaining approval from one or more institutional review boards (IRBs), or positive Ethics Committee opinions;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to clinical trial protocol;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clinical sites deviating from trial protocol or dropping out of a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manufacturing sufficient quantities of product candidates or obtaining sufficient quantities of combination therapies for use in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subjects failing to enroll or remain in our trial at the rate we expect, or failing to return for post- treatment follow-up;</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subjects choosing an alternative treatment for the indication for which we are developing palazestrant or OP-3136, or participating in competing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lack of adequate funding to continue the clinical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subjects experiencing severe or unexpected drug-related adverse effects;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authorities imposing a clinical hold;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disruptions at the FDA and other agencies or regulatory authorities, including as a result of legislative actions or a government shutdown;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occurrence of serious adverse events in trials of the same class of agents conducted by other companies;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selection of clinical end points that require prolonged periods of clinical observation or analysis of the resulting data;</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shutdowns, either temporarily or permanently, of any facility manufacturing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any of their components, including by order from the FDA, competent authorities of EU Member States or comparable foreign regulatory authorities due to violations of current good manufacturing practice (cGMP) regulations or other applicable requirements, or infections or cross-contaminations of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in the manufacturing process;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changes to our manufacturing process that may be necessary or desired;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contractors not performing data collection or analysis in a timely or accurate manner; 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0" w:after="240"/>
        <w:jc w:val="both"/>
        <w:rPr>
          <w:rFonts w:ascii="Times New Roman" w:hAnsi="Times New Roman"/>
          <w:sz w:val="20"/>
        </w:rPr>
      </w:pPr>
      <w:r>
        <w:rPr>
          <w:rFonts w:ascii="Arial" w:hAnsi="Arial"/>
          <w:color w:val="000000"/>
          <w:sz w:val="20"/>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 xml:space="preserve">or comparable foreign regulatory authorities. Such authorities may impose such a suspension, variation or termination due to a number of factors, including failure to conduct the clinical trial in accordance with regulatory requirements or our clinical protocols, inspection of the clinical trial operations or trial site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pStyle w:val="TextBody"/>
        <w:bidi w:val="0"/>
        <w:spacing w:before="0" w:after="240"/>
        <w:jc w:val="both"/>
        <w:rPr>
          <w:rFonts w:ascii="Arial" w:hAnsi="Arial"/>
          <w:color w:val="000000"/>
          <w:sz w:val="20"/>
        </w:rPr>
      </w:pPr>
      <w:r>
        <w:rPr>
          <w:rFonts w:ascii="Arial" w:hAnsi="Arial"/>
          <w:color w:val="000000"/>
          <w:sz w:val="20"/>
        </w:rPr>
        <w:t>Further, conducting clinical trials in foreign countries, as we may do for palazestrant, OP-3136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0" w:after="240"/>
        <w:jc w:val="both"/>
        <w:rPr>
          <w:rFonts w:ascii="Arial" w:hAnsi="Arial"/>
          <w:color w:val="000000"/>
          <w:sz w:val="20"/>
        </w:rPr>
      </w:pPr>
      <w:r>
        <w:rPr>
          <w:rFonts w:ascii="Arial" w:hAnsi="Arial"/>
          <w:color w:val="000000"/>
          <w:sz w:val="20"/>
        </w:rPr>
        <w:t>If we experience delays in the completion of, or termination of, any clinical trial of palazestrant, OP-3136 or any product candidates we may develop in the future, the commercial prospects of palazestrant, OP-3136 or any product candidates we may develop in the future will be harmed, and our ability to generate product revenues from palazestrant, OP-3136 or any product candidates we may develop in the future will be delayed. Moreover, any delays in completing our clinical trials will increase our costs, slow down palazestrant’s, OP-3136's or any product candidates we may develop in the future’s development and approval process and jeopardize our ability to commence product sales and generate revenues.</w:t>
      </w:r>
    </w:p>
    <w:p>
      <w:pPr>
        <w:pStyle w:val="TextBody"/>
        <w:bidi w:val="0"/>
        <w:spacing w:before="0" w:after="240"/>
        <w:jc w:val="both"/>
        <w:rPr>
          <w:rFonts w:ascii="Times New Roman" w:hAnsi="Times New Roman"/>
          <w:sz w:val="20"/>
        </w:rPr>
      </w:pPr>
      <w:r>
        <w:rPr>
          <w:rFonts w:ascii="Arial" w:hAnsi="Arial"/>
          <w:color w:val="000000"/>
          <w:sz w:val="20"/>
        </w:rPr>
        <w:t>In addition, many of the factors that cause, or lead to, termination, variation or suspension of, or a delay in the commencement or completion of, clinical trials may also ultimately lead to the denial of regulatory approval of palazestrant, OP-3136 or any product candidates we may develop in the future. Any delays in our clinical trials that occur as a result could shorten any period during which we may have the exclusive right to commercialize palazestrant, OP-3136 or any product candidates we may develop in the future and our competitors may be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able to bring products to market before we do, and the commercial viability of palazestrant, OP-3136 or any product candidates we may develop in the future could be significantly reduced. Any of these occurrences may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pStyle w:val="TextBody"/>
        <w:bidi w:val="0"/>
        <w:spacing w:before="0" w:after="240"/>
        <w:jc w:val="both"/>
        <w:rPr>
          <w:rFonts w:ascii="Arial" w:hAnsi="Arial"/>
          <w:color w:val="000000"/>
          <w:sz w:val="20"/>
        </w:rPr>
      </w:pPr>
      <w:r>
        <w:rPr>
          <w:rFonts w:ascii="Arial" w:hAnsi="Arial"/>
          <w:color w:val="000000"/>
          <w:sz w:val="20"/>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0" w:after="240"/>
        <w:jc w:val="both"/>
        <w:rPr>
          <w:rFonts w:ascii="Arial" w:hAnsi="Arial"/>
          <w:b/>
          <w:i/>
          <w:color w:val="000000"/>
          <w:sz w:val="20"/>
        </w:rPr>
      </w:pPr>
      <w:r>
        <w:rPr>
          <w:rFonts w:ascii="Arial" w:hAnsi="Arial"/>
          <w:b/>
          <w:i/>
          <w:color w:val="000000"/>
          <w:sz w:val="20"/>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pStyle w:val="TextBody"/>
        <w:bidi w:val="0"/>
        <w:spacing w:before="0" w:after="240"/>
        <w:jc w:val="both"/>
        <w:rPr>
          <w:rFonts w:ascii="Arial" w:hAnsi="Arial"/>
          <w:color w:val="000000"/>
          <w:sz w:val="20"/>
        </w:rPr>
      </w:pPr>
      <w:r>
        <w:rPr>
          <w:rFonts w:ascii="Arial" w:hAnsi="Arial"/>
          <w:color w:val="000000"/>
          <w:sz w:val="20"/>
        </w:rPr>
        <w:t>We are currently focused on pursuing a variety of target indications for palazestrant, and we have expended, and plan to continue to expend, significant resources to pursue these and other indications for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240"/>
        <w:jc w:val="both"/>
        <w:rPr>
          <w:rFonts w:ascii="Arial" w:hAnsi="Arial"/>
          <w:color w:val="000000"/>
          <w:sz w:val="20"/>
        </w:rPr>
      </w:pPr>
      <w:r>
        <w:rPr>
          <w:rFonts w:ascii="Arial" w:hAnsi="Arial"/>
          <w:color w:val="000000"/>
          <w:sz w:val="20"/>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Even if approved, palazestrant or OP-3136 may not achieve adequate market acceptance among physicians, patients, healthcare payors and others in the medical community necessary for commercial success.</w:t>
      </w:r>
    </w:p>
    <w:p>
      <w:pPr>
        <w:pStyle w:val="TextBody"/>
        <w:bidi w:val="0"/>
        <w:spacing w:before="0" w:after="240"/>
        <w:jc w:val="both"/>
        <w:rPr>
          <w:rFonts w:ascii="Arial" w:hAnsi="Arial"/>
          <w:color w:val="000000"/>
          <w:sz w:val="20"/>
        </w:rPr>
      </w:pPr>
      <w:r>
        <w:rPr>
          <w:rFonts w:ascii="Arial" w:hAnsi="Arial"/>
          <w:color w:val="000000"/>
          <w:sz w:val="20"/>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efficacy and safety profile as demonstrated in clinical trials compared to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of market introduction of the product candidate as well as competitive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clinical indications for which the product candidate is approved;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restrictions on the use of palazestrant or OP-3136, such as boxed warnings or contraindications in labeling, or a REMS, or comparable foreign strategy, if any, which may not be required of alternative treatments and competitor products;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the potential and perceived advantages of product candidates over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cost of treatment in relation to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pricing and the availability of coverage and adequate reimbursement by third-party payors, including government authorities;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 xml:space="preserve">the availability of palazestrant or </w:t>
      </w:r>
      <w:r>
        <w:rPr>
          <w:rFonts w:ascii="Arial" w:hAnsi="Arial"/>
          <w:color w:val="000000"/>
          <w:sz w:val="20"/>
        </w:rPr>
        <w:t xml:space="preserve">OP-3136 </w:t>
      </w:r>
      <w:r>
        <w:rPr>
          <w:rFonts w:ascii="Arial" w:hAnsi="Arial"/>
          <w:color w:val="231F20"/>
          <w:sz w:val="20"/>
        </w:rPr>
        <w:t>for use as a combination therapy;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relative convenience and ease of administration;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willingness of the target patient population to try new therapies and of physicians to prescribe these therapies;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effectiveness of sales and marketing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unfavorable publicity relating to palazestrant, OP-3136 or similar approved products or product candidates in development by third parties;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approval of other new therapies for the same indications.</w:t>
      </w:r>
    </w:p>
    <w:p>
      <w:pPr>
        <w:pStyle w:val="TextBody"/>
        <w:bidi w:val="0"/>
        <w:spacing w:before="0" w:after="240"/>
        <w:jc w:val="both"/>
        <w:rPr>
          <w:rFonts w:ascii="Arial" w:hAnsi="Arial"/>
          <w:color w:val="000000"/>
          <w:sz w:val="20"/>
        </w:rPr>
      </w:pPr>
      <w:r>
        <w:rPr>
          <w:rFonts w:ascii="Arial" w:hAnsi="Arial"/>
          <w:color w:val="000000"/>
          <w:sz w:val="20"/>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before="0" w:after="240"/>
        <w:jc w:val="both"/>
        <w:rPr>
          <w:rFonts w:ascii="Arial" w:hAnsi="Arial"/>
          <w:color w:val="000000"/>
          <w:sz w:val="20"/>
        </w:rPr>
      </w:pPr>
      <w:r>
        <w:rPr>
          <w:rFonts w:ascii="Arial" w:hAnsi="Arial"/>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before="0" w:after="240"/>
        <w:jc w:val="both"/>
        <w:rPr>
          <w:rFonts w:ascii="Arial" w:hAnsi="Arial"/>
          <w:color w:val="000000"/>
          <w:sz w:val="20"/>
        </w:rPr>
      </w:pPr>
      <w:r>
        <w:rPr>
          <w:rFonts w:ascii="Arial" w:hAnsi="Arial"/>
          <w:color w:val="000000"/>
          <w:sz w:val="20"/>
        </w:rPr>
        <w:t>Patient enrollment may also be affected if our competitors have ongoing clinical trials for product candidates that are under development for the same indications as palazestrant, OP-3136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size and nature of the patient population;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severity of the disease under investigation;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availability and efficacy of approved drugs for the disease under investigation;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patient eligibility criteria for the trial in question as defined in the protocol;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perceived risks and benefits of the product candidate under study;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efforts to facilitate timely enrollment in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patient referral practices of physicians;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ability to monitor patients adequately during and after treatment;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proximity and availability of clinical trial sites for prospective patients;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continued enrollment of prospective patients by clinical trial sites;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risk that patients enrolled in clinical trials will drop out of the trials before completion or, because they may be late-stage cancer patients, will not survive the full terms of the clinical trials;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level of resources that clinical sites have to conduct a growing number of clinical studies.</w:t>
      </w:r>
    </w:p>
    <w:p>
      <w:pPr>
        <w:pStyle w:val="TextBody"/>
        <w:bidi w:val="0"/>
        <w:spacing w:before="0" w:after="240"/>
        <w:jc w:val="both"/>
        <w:rPr>
          <w:rFonts w:ascii="Arial" w:hAnsi="Arial"/>
          <w:color w:val="000000"/>
          <w:sz w:val="20"/>
        </w:rPr>
      </w:pPr>
      <w:r>
        <w:rPr>
          <w:rFonts w:ascii="Arial" w:hAnsi="Arial"/>
          <w:color w:val="000000"/>
          <w:sz w:val="20"/>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 we may develop and jeopardize our ability to obtain marketing approval for the sale of palazestrant, OP-3136 or any product candidate we may develop in the future. Furthermore, even if we are able to enroll a sufficient number of patients for our clinical trials, we may have difficulty maintaining enrollment of such patients in our clinical trials.</w:t>
      </w:r>
    </w:p>
    <w:p>
      <w:pPr>
        <w:pStyle w:val="TextBody"/>
        <w:bidi w:val="0"/>
        <w:spacing w:before="0" w:after="240"/>
        <w:jc w:val="both"/>
        <w:rPr>
          <w:rFonts w:ascii="Arial" w:hAnsi="Arial"/>
          <w:b/>
          <w:i/>
          <w:color w:val="000000"/>
          <w:sz w:val="20"/>
        </w:rPr>
      </w:pPr>
      <w:r>
        <w:rPr>
          <w:rFonts w:ascii="Arial" w:hAnsi="Arial"/>
          <w:b/>
          <w:i/>
          <w:color w:val="000000"/>
          <w:sz w:val="20"/>
        </w:rPr>
        <w:t>We intend to develop palazestrant, and may develop OP-3136 or future product candidates, in combination with other therapies, which exposes us to additional risks.</w:t>
      </w:r>
    </w:p>
    <w:p>
      <w:pPr>
        <w:pStyle w:val="TextBody"/>
        <w:bidi w:val="0"/>
        <w:spacing w:before="0" w:after="240"/>
        <w:jc w:val="both"/>
        <w:rPr>
          <w:rFonts w:ascii="Times New Roman" w:hAnsi="Times New Roman"/>
          <w:sz w:val="20"/>
        </w:rPr>
      </w:pPr>
      <w:r>
        <w:rPr>
          <w:rFonts w:ascii="Arial" w:hAnsi="Arial"/>
          <w:color w:val="000000"/>
          <w:sz w:val="20"/>
        </w:rPr>
        <w:t>We intend to develop palazestrant, and may develop OP-3136 or other future product candidates, in combination with one or more other approved or unapproved therapies to treat cancer or other diseases. For example, we have a Phase 1/2 study of palazestrant in a combination trial with a CDK4/6 inhibitor, and additional Phase 1/2 studies of palazestrant in combination with another CDK4/6 inhibitor and with a PI3Ka inhibitor. We also expect to initiate OPERA-02, a proposed Phase 3 clinical trial of palazestrant in combination with a CDK4/6 inhibitor, ribociclib, in the third quarter of 2025.</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we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 we may develop, are replaced as the standard of care for the indications we choose for palazestrant, OP-3136 or any future product candidate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bidi w:val="0"/>
        <w:spacing w:before="0" w:after="240"/>
        <w:jc w:val="both"/>
        <w:rPr>
          <w:rFonts w:ascii="Times New Roman" w:hAnsi="Times New Roman"/>
          <w:sz w:val="20"/>
        </w:rPr>
      </w:pPr>
      <w:r>
        <w:rPr>
          <w:rFonts w:ascii="Arial" w:hAnsi="Arial"/>
          <w:color w:val="000000"/>
          <w:sz w:val="20"/>
        </w:rPr>
        <w:t>We also may choose to evaluate palazestrant, OP-3136 or future product candidates in combination with one or more cancer therapies that have not yet been approved for marketing by the FDA, European Commission or comparable foreign regulatory authorities. We will not be able to market and sell palazestrant, OP-3136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including the potential for serious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adverse effects, delay in their clinical trials and lack of FDA, European Commission or comparable foreign regulatory approval.</w:t>
      </w:r>
    </w:p>
    <w:p>
      <w:pPr>
        <w:pStyle w:val="TextBody"/>
        <w:bidi w:val="0"/>
        <w:spacing w:before="0" w:after="240"/>
        <w:jc w:val="both"/>
        <w:rPr>
          <w:rFonts w:ascii="Arial" w:hAnsi="Arial"/>
          <w:color w:val="000000"/>
          <w:sz w:val="20"/>
        </w:rPr>
      </w:pPr>
      <w:r>
        <w:rPr>
          <w:rFonts w:ascii="Arial" w:hAnsi="Arial"/>
          <w:color w:val="000000"/>
          <w:sz w:val="20"/>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pStyle w:val="TextBody"/>
        <w:bidi w:val="0"/>
        <w:spacing w:before="0" w:after="240"/>
        <w:jc w:val="both"/>
        <w:rPr>
          <w:rFonts w:ascii="Arial" w:hAnsi="Arial"/>
          <w:b/>
          <w:i/>
          <w:color w:val="000000"/>
          <w:sz w:val="20"/>
        </w:rPr>
      </w:pPr>
      <w:r>
        <w:rPr>
          <w:rFonts w:ascii="Arial" w:hAnsi="Arial"/>
          <w:b/>
          <w:i/>
          <w:color w:val="000000"/>
          <w:sz w:val="20"/>
        </w:rPr>
        <w:t>Risks associated with the in-licensing or acquisition of drug candidates could cause substantial delays in the pre-clinical and clinical development of our drug candidates.</w:t>
      </w:r>
    </w:p>
    <w:p>
      <w:pPr>
        <w:pStyle w:val="TextBody"/>
        <w:bidi w:val="0"/>
        <w:spacing w:before="0" w:after="240"/>
        <w:jc w:val="both"/>
        <w:rPr>
          <w:rFonts w:ascii="Times New Roman" w:hAnsi="Times New Roman"/>
          <w:sz w:val="20"/>
        </w:rPr>
      </w:pPr>
      <w:r>
        <w:rPr>
          <w:rFonts w:ascii="Arial" w:hAnsi="Arial"/>
          <w:color w:val="000000"/>
          <w:sz w:val="20"/>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may be subject to the continuation of and our compliance with the terms of any such agreements.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jc w:val="both"/>
        <w:rPr>
          <w:rFonts w:ascii="Arial" w:hAnsi="Arial"/>
          <w:b/>
          <w:i/>
          <w:color w:val="000000"/>
          <w:sz w:val="20"/>
        </w:rPr>
      </w:pPr>
      <w:r>
        <w:rPr>
          <w:rFonts w:ascii="Arial" w:hAnsi="Arial"/>
          <w:b/>
          <w:i/>
          <w:color w:val="000000"/>
          <w:sz w:val="20"/>
        </w:rPr>
        <w:t>The incidence and prevalence for target patient populations of palazestrant and OP-3136 are based on estimates and third-party sources.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color w:val="000000"/>
          <w:sz w:val="20"/>
        </w:rPr>
      </w:pPr>
      <w:r>
        <w:rPr>
          <w:rFonts w:ascii="Arial" w:hAnsi="Arial"/>
          <w:color w:val="000000"/>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pStyle w:val="TextBody"/>
        <w:bidi w:val="0"/>
        <w:spacing w:before="0" w:after="240"/>
        <w:jc w:val="both"/>
        <w:rPr>
          <w:rFonts w:ascii="Arial" w:hAnsi="Arial"/>
          <w:color w:val="000000"/>
          <w:sz w:val="20"/>
        </w:rPr>
      </w:pPr>
      <w:r>
        <w:rPr>
          <w:rFonts w:ascii="Arial" w:hAnsi="Arial"/>
          <w:color w:val="000000"/>
          <w:sz w:val="20"/>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b/>
          <w:i/>
          <w:color w:val="000000"/>
          <w:sz w:val="20"/>
        </w:rPr>
      </w:pPr>
      <w:r>
        <w:rPr>
          <w:rFonts w:ascii="Arial" w:hAnsi="Arial"/>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jc w:val="both"/>
        <w:rPr>
          <w:rFonts w:ascii="Times New Roman" w:hAnsi="Times New Roman"/>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0" w:after="240"/>
        <w:jc w:val="both"/>
        <w:rPr>
          <w:rFonts w:ascii="Arial" w:hAnsi="Arial"/>
          <w:color w:val="000000"/>
          <w:sz w:val="20"/>
        </w:rPr>
      </w:pPr>
      <w:r>
        <w:rPr>
          <w:rFonts w:ascii="Arial" w:hAnsi="Arial"/>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bidi w:val="0"/>
        <w:spacing w:before="0" w:after="240"/>
        <w:jc w:val="both"/>
        <w:rPr>
          <w:rFonts w:ascii="Arial" w:hAnsi="Arial"/>
          <w:color w:val="000000"/>
          <w:sz w:val="20"/>
        </w:rPr>
      </w:pPr>
      <w:r>
        <w:rPr>
          <w:rFonts w:ascii="Arial" w:hAnsi="Arial"/>
          <w:color w:val="000000"/>
          <w:sz w:val="20"/>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jc w:val="both"/>
        <w:rPr>
          <w:rFonts w:ascii="Arial" w:hAnsi="Arial"/>
          <w:color w:val="000000"/>
          <w:sz w:val="20"/>
        </w:rPr>
      </w:pPr>
      <w:r>
        <w:rPr>
          <w:rFonts w:ascii="Arial" w:hAnsi="Arial"/>
          <w:color w:val="000000"/>
          <w:sz w:val="20"/>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pStyle w:val="TextBody"/>
        <w:bidi w:val="0"/>
        <w:spacing w:before="0" w:after="240"/>
        <w:jc w:val="both"/>
        <w:rPr>
          <w:rFonts w:ascii="Arial" w:hAnsi="Arial"/>
          <w:color w:val="000000"/>
          <w:sz w:val="20"/>
        </w:rPr>
      </w:pPr>
      <w:r>
        <w:rPr>
          <w:rFonts w:ascii="Arial" w:hAnsi="Arial"/>
          <w:color w:val="00000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product candidate that we may develop in the future.</w:t>
      </w:r>
    </w:p>
    <w:p>
      <w:pPr>
        <w:pStyle w:val="TextBody"/>
        <w:bidi w:val="0"/>
        <w:spacing w:before="0" w:after="240"/>
        <w:jc w:val="both"/>
        <w:rPr>
          <w:rFonts w:ascii="Arial" w:hAnsi="Arial"/>
          <w:color w:val="000000"/>
          <w:sz w:val="20"/>
        </w:rPr>
      </w:pPr>
      <w:r>
        <w:rPr>
          <w:rFonts w:ascii="Arial" w:hAnsi="Arial"/>
          <w:color w:val="000000"/>
          <w:sz w:val="20"/>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before="0" w:after="240"/>
        <w:jc w:val="both"/>
        <w:rPr>
          <w:rFonts w:ascii="Times New Roman" w:hAnsi="Times New Roman"/>
          <w:sz w:val="20"/>
        </w:rPr>
      </w:pPr>
      <w:r>
        <w:rPr>
          <w:rFonts w:ascii="Arial" w:hAnsi="Arial"/>
          <w:color w:val="000000"/>
          <w:sz w:val="20"/>
        </w:rPr>
        <w:t>For example, if we are successful in developing palazestrant, it may compete against existing products and product candidates in development, to the extent any such product candidates are approved, for the treatment of ER+ breast cancer, including fulvestrant, marketed as Faslodex® by AstraZeneca PLC and or any generic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equivalents of Faslodex® that are marketed or in development; elacestrant, marketed as ORSERDU</w:t>
      </w:r>
      <w:r>
        <w:rPr>
          <w:rFonts w:ascii="Arial" w:hAnsi="Arial"/>
          <w:color w:val="000000"/>
          <w:sz w:val="13"/>
        </w:rPr>
        <w:t>TM</w:t>
      </w:r>
      <w:r>
        <w:rPr>
          <w:rFonts w:ascii="Arial" w:hAnsi="Arial"/>
          <w:color w:val="000000"/>
          <w:sz w:val="20"/>
        </w:rPr>
        <w:t>by Stemline Therapeutics Inc.; giredestrant (GDC-9545), being developed by Roche Holding AG/Genentech, Inc.; camizestrant (AZD9833), being developed by AstraZeneca PLC; imlunestrant (LY3484356), being developed by Eli Lilly and Co.; vepdegestrant (ARV-471), being developed by Arvinas, Inc. in partnership with Pfizer, Inc.; and lasofoxifene, being developed by Sermonix Pharmaceuticals. There are also a number of KAT6 inhibitor product candidates in development that may compete with OP-3136 including PF-07248144, which is being developed by Pfizer, and MEN2312, which is being developed by Stemline Therapeutics.</w:t>
      </w:r>
    </w:p>
    <w:p>
      <w:pPr>
        <w:pStyle w:val="TextBody"/>
        <w:bidi w:val="0"/>
        <w:spacing w:before="0" w:after="240"/>
        <w:jc w:val="both"/>
        <w:rPr>
          <w:rFonts w:ascii="Arial" w:hAnsi="Arial"/>
          <w:color w:val="000000"/>
          <w:sz w:val="20"/>
        </w:rPr>
      </w:pPr>
      <w:r>
        <w:rPr>
          <w:rFonts w:ascii="Arial" w:hAnsi="Arial"/>
          <w:color w:val="000000"/>
          <w:sz w:val="20"/>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pStyle w:val="TextBody"/>
        <w:bidi w:val="0"/>
        <w:spacing w:before="0" w:after="240"/>
        <w:jc w:val="both"/>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or product candidates we may develop in the future obsolete, less competitive or not economical. If we are unable to compete effectively, our opportunity to generate revenue from the sale of our product we may develop, if approved, would be adversely affected.</w:t>
      </w:r>
    </w:p>
    <w:p>
      <w:pPr>
        <w:pStyle w:val="TextBody"/>
        <w:bidi w:val="0"/>
        <w:spacing w:before="0" w:after="240"/>
        <w:jc w:val="both"/>
        <w:rPr>
          <w:rFonts w:ascii="Arial" w:hAnsi="Arial"/>
          <w:b/>
          <w:i/>
          <w:color w:val="000000"/>
          <w:sz w:val="20"/>
        </w:rPr>
      </w:pPr>
      <w:r>
        <w:rPr>
          <w:rFonts w:ascii="Arial" w:hAnsi="Arial"/>
          <w:b/>
          <w:i/>
          <w:color w:val="000000"/>
          <w:sz w:val="20"/>
        </w:rPr>
        <w:t>Changes in methods of palazestrant manufacturing or formulation may result in additional costs or delay.</w:t>
      </w:r>
    </w:p>
    <w:p>
      <w:pPr>
        <w:pStyle w:val="TextBody"/>
        <w:bidi w:val="0"/>
        <w:spacing w:before="0" w:after="240"/>
        <w:jc w:val="both"/>
        <w:rPr>
          <w:rFonts w:ascii="Arial" w:hAnsi="Arial"/>
          <w:color w:val="000000"/>
          <w:sz w:val="20"/>
        </w:rPr>
      </w:pPr>
      <w:r>
        <w:rPr>
          <w:rFonts w:ascii="Arial" w:hAnsi="Arial"/>
          <w:color w:val="000000"/>
          <w:sz w:val="20"/>
        </w:rPr>
        <w:t>As palazestrant progresses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pStyle w:val="TextBody"/>
        <w:bidi w:val="0"/>
        <w:spacing w:before="0" w:after="240"/>
        <w:jc w:val="both"/>
        <w:rPr>
          <w:rFonts w:ascii="Arial" w:hAnsi="Arial"/>
          <w:b/>
          <w:i/>
          <w:color w:val="000000"/>
          <w:sz w:val="20"/>
        </w:rPr>
      </w:pPr>
      <w:r>
        <w:rPr>
          <w:rFonts w:ascii="Arial" w:hAnsi="Arial"/>
          <w:b/>
          <w:i/>
          <w:color w:val="000000"/>
          <w:sz w:val="20"/>
        </w:rPr>
        <w:t>Any product candidate we develop may become subject to unfavorable third-party coverage and reimbursement practices, as well as pricing regulations.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OP-3136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0" w:after="240"/>
        <w:jc w:val="both"/>
        <w:rPr>
          <w:rFonts w:ascii="Arial" w:hAnsi="Arial"/>
          <w:color w:val="000000"/>
          <w:sz w:val="20"/>
        </w:rPr>
      </w:pPr>
      <w:r>
        <w:rPr>
          <w:rFonts w:ascii="Arial" w:hAnsi="Arial"/>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0" w:after="240"/>
        <w:jc w:val="both"/>
        <w:rPr>
          <w:rFonts w:ascii="Arial" w:hAnsi="Arial"/>
          <w:color w:val="000000"/>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0" w:after="240"/>
        <w:jc w:val="both"/>
        <w:rPr>
          <w:rFonts w:ascii="Times New Roman" w:hAnsi="Times New Roman"/>
          <w:sz w:val="20"/>
        </w:rPr>
      </w:pPr>
      <w:r>
        <w:rPr>
          <w:rFonts w:ascii="Arial" w:hAnsi="Arial"/>
          <w:color w:val="000000"/>
          <w:sz w:val="20"/>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including European Union (EU)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0" w:after="240"/>
        <w:jc w:val="both"/>
        <w:rPr>
          <w:rFonts w:ascii="Arial" w:hAnsi="Arial"/>
          <w:color w:val="000000"/>
          <w:sz w:val="20"/>
        </w:rPr>
      </w:pPr>
      <w:r>
        <w:rPr>
          <w:rFonts w:ascii="Arial" w:hAnsi="Arial"/>
          <w:color w:val="000000"/>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spacing w:before="0" w:after="240"/>
        <w:jc w:val="both"/>
        <w:rPr>
          <w:rFonts w:ascii="Arial" w:hAnsi="Arial"/>
          <w:b/>
          <w:i/>
          <w:color w:val="000000"/>
          <w:sz w:val="20"/>
        </w:rPr>
      </w:pPr>
      <w:r>
        <w:rPr>
          <w:rFonts w:ascii="Arial" w:hAnsi="Arial"/>
          <w:b/>
          <w:i/>
          <w:color w:val="000000"/>
          <w:sz w:val="20"/>
        </w:rPr>
        <w:t>Guidelines and recommendations published by various organizations can reduce the use of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pStyle w:val="TextBody"/>
        <w:bidi w:val="0"/>
        <w:spacing w:before="0" w:after="240"/>
        <w:jc w:val="left"/>
        <w:rPr>
          <w:rFonts w:ascii="Arial" w:hAnsi="Arial"/>
          <w:b/>
          <w:color w:val="000000"/>
          <w:sz w:val="20"/>
        </w:rPr>
      </w:pPr>
      <w:r>
        <w:rPr>
          <w:rFonts w:ascii="Arial" w:hAnsi="Arial"/>
          <w:b/>
          <w:color w:val="000000"/>
          <w:sz w:val="20"/>
        </w:rPr>
        <w:t>Risks related to regulatory approval and other legal compliance matters</w:t>
      </w:r>
    </w:p>
    <w:p>
      <w:pPr>
        <w:pStyle w:val="TextBody"/>
        <w:bidi w:val="0"/>
        <w:spacing w:before="0" w:after="240"/>
        <w:jc w:val="both"/>
        <w:rPr>
          <w:rFonts w:ascii="Arial" w:hAnsi="Arial"/>
          <w:b/>
          <w:i/>
          <w:color w:val="000000"/>
          <w:sz w:val="20"/>
        </w:rPr>
      </w:pPr>
      <w:r>
        <w:rPr>
          <w:rFonts w:ascii="Arial" w:hAnsi="Arial"/>
          <w:b/>
          <w:i/>
          <w:color w:val="000000"/>
          <w:sz w:val="20"/>
        </w:rPr>
        <w:t>We may be unable to obtain U.S. or foreign regulatory approvals and, as a result, may be unable to commercialize palazestrant, OP-3136 or any future product candidate we may develop.</w:t>
      </w:r>
    </w:p>
    <w:p>
      <w:pPr>
        <w:pStyle w:val="TextBody"/>
        <w:bidi w:val="0"/>
        <w:spacing w:before="0" w:after="240"/>
        <w:jc w:val="both"/>
        <w:rPr>
          <w:rFonts w:ascii="Arial" w:hAnsi="Arial"/>
          <w:color w:val="000000"/>
          <w:sz w:val="20"/>
        </w:rPr>
      </w:pPr>
      <w:r>
        <w:rPr>
          <w:rFonts w:ascii="Arial" w:hAnsi="Arial"/>
          <w:color w:val="000000"/>
          <w:sz w:val="20"/>
        </w:rPr>
        <w:t>Palazestrant and OP-3136 are,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pStyle w:val="TextBody"/>
        <w:bidi w:val="0"/>
        <w:spacing w:before="0" w:after="240"/>
        <w:jc w:val="both"/>
        <w:rPr>
          <w:rFonts w:ascii="Arial" w:hAnsi="Arial"/>
          <w:color w:val="000000"/>
          <w:sz w:val="20"/>
        </w:rPr>
      </w:pPr>
      <w:r>
        <w:rPr>
          <w:rFonts w:ascii="Arial" w:hAnsi="Arial"/>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pStyle w:val="TextBody"/>
        <w:bidi w:val="0"/>
        <w:spacing w:before="0" w:after="240"/>
        <w:jc w:val="both"/>
        <w:rPr>
          <w:rFonts w:ascii="Times New Roman" w:hAnsi="Times New Roman"/>
          <w:sz w:val="20"/>
        </w:rPr>
      </w:pPr>
      <w:r>
        <w:rPr>
          <w:rFonts w:ascii="Arial" w:hAnsi="Arial"/>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FDA has the authority to require a REMS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240"/>
        <w:jc w:val="both"/>
        <w:rPr>
          <w:rFonts w:ascii="Arial" w:hAnsi="Arial"/>
          <w:color w:val="000000"/>
          <w:sz w:val="20"/>
        </w:rPr>
      </w:pPr>
      <w:r>
        <w:rPr>
          <w:rFonts w:ascii="Arial" w:hAnsi="Arial"/>
          <w:color w:val="000000"/>
          <w:sz w:val="20"/>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0" w:after="240"/>
        <w:jc w:val="both"/>
        <w:rPr>
          <w:rFonts w:ascii="Arial" w:hAnsi="Arial"/>
          <w:b/>
          <w:i/>
          <w:color w:val="000000"/>
          <w:sz w:val="20"/>
        </w:rPr>
      </w:pPr>
      <w:r>
        <w:rPr>
          <w:rFonts w:ascii="Arial" w:hAnsi="Arial"/>
          <w:b/>
          <w:i/>
          <w:color w:val="000000"/>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Palazestrant, OP-3136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jc w:val="both"/>
        <w:rPr>
          <w:rFonts w:ascii="Arial" w:hAnsi="Arial"/>
          <w:color w:val="000000"/>
          <w:sz w:val="20"/>
        </w:rPr>
      </w:pPr>
      <w:r>
        <w:rPr>
          <w:rFonts w:ascii="Arial" w:hAnsi="Arial"/>
          <w:color w:val="000000"/>
          <w:sz w:val="20"/>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For example, the most common side effects we have seen in patients treated with palazestrant in our clinical trials are nausea, fatigue, vomiting, constipation, headaches, and neutropenia.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Any of these occurrences may significantly harm our business, financial condition, results of operations and prospects.</w:t>
      </w:r>
    </w:p>
    <w:p>
      <w:pPr>
        <w:pStyle w:val="TextBody"/>
        <w:bidi w:val="0"/>
        <w:jc w:val="both"/>
        <w:rPr>
          <w:rFonts w:ascii="Times New Roman" w:hAnsi="Times New Roman"/>
          <w:sz w:val="20"/>
        </w:rPr>
      </w:pPr>
      <w:r>
        <w:rPr>
          <w:rFonts w:ascii="Arial" w:hAnsi="Arial"/>
          <w:color w:val="000000"/>
          <w:sz w:val="20"/>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many factors, including other therapies or medications that such patients may be using or due to the gravity of such patients’ illnesses.</w:t>
      </w:r>
    </w:p>
    <w:p>
      <w:pPr>
        <w:pStyle w:val="TextBody"/>
        <w:bidi w:val="0"/>
        <w:jc w:val="both"/>
        <w:rPr>
          <w:rFonts w:ascii="Times New Roman" w:hAnsi="Times New Roman"/>
          <w:sz w:val="20"/>
        </w:rPr>
      </w:pPr>
      <w:r>
        <w:rPr>
          <w:rFonts w:ascii="Arial" w:hAnsi="Arial"/>
          <w:color w:val="000000"/>
          <w:sz w:val="20"/>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hAnsi="Arial"/>
          <w:color w:val="231F20"/>
          <w:sz w:val="20"/>
        </w:rPr>
        <w:t>competent authorities of EU Member States</w:t>
      </w:r>
      <w:r>
        <w:rPr>
          <w:rFonts w:ascii="Arial" w:hAnsi="Arial"/>
          <w:color w:val="000000"/>
          <w:sz w:val="20"/>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including our potential collaboration, financing or other business opportunities. Further, if palazestrant or OP-3136 obtains marketing approval, toxicities associated with palazestrant or OP-3136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pStyle w:val="TextBody"/>
        <w:bidi w:val="0"/>
        <w:spacing w:before="0" w:after="240"/>
        <w:jc w:val="both"/>
        <w:rPr>
          <w:rFonts w:ascii="Arial" w:hAnsi="Arial"/>
          <w:b/>
          <w:i/>
          <w:color w:val="000000"/>
          <w:sz w:val="20"/>
        </w:rPr>
      </w:pPr>
      <w:r>
        <w:rPr>
          <w:rFonts w:ascii="Arial" w:hAnsi="Arial"/>
          <w:b/>
          <w:i/>
          <w:color w:val="000000"/>
          <w:sz w:val="20"/>
        </w:rPr>
        <w:t>The FDA, EMA, the European Commission and other comparable foreign regulatory authorities may not accept data from trials conducted in locations outside of their jurisdiction.</w:t>
      </w:r>
    </w:p>
    <w:p>
      <w:pPr>
        <w:pStyle w:val="TextBody"/>
        <w:bidi w:val="0"/>
        <w:spacing w:before="0" w:after="240"/>
        <w:jc w:val="both"/>
        <w:rPr>
          <w:rFonts w:ascii="Times New Roman" w:hAnsi="Times New Roman"/>
          <w:sz w:val="20"/>
        </w:rPr>
      </w:pPr>
      <w:r>
        <w:rPr>
          <w:rFonts w:ascii="Arial" w:hAnsi="Arial"/>
          <w:color w:val="000000"/>
          <w:sz w:val="20"/>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palazestrant, OP-3136 or any future product candidates we may develop not receiving approval for commercialization in the applicable jurisdiction.</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pStyle w:val="TextBody"/>
        <w:bidi w:val="0"/>
        <w:spacing w:before="0" w:after="240"/>
        <w:jc w:val="both"/>
        <w:rPr>
          <w:rFonts w:ascii="Arial" w:hAnsi="Arial"/>
          <w:color w:val="000000"/>
          <w:sz w:val="20"/>
        </w:rPr>
      </w:pPr>
      <w:r>
        <w:rPr>
          <w:rFonts w:ascii="Arial" w:hAnsi="Arial"/>
          <w:color w:val="000000"/>
          <w:sz w:val="20"/>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0" w:after="240"/>
        <w:jc w:val="both"/>
        <w:rPr>
          <w:rFonts w:ascii="Arial" w:hAnsi="Arial"/>
          <w:color w:val="000000"/>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pStyle w:val="TextBody"/>
        <w:bidi w:val="0"/>
        <w:spacing w:before="0" w:after="240"/>
        <w:jc w:val="both"/>
        <w:rPr>
          <w:rFonts w:ascii="Arial" w:hAnsi="Arial"/>
          <w:b/>
          <w:i/>
          <w:color w:val="000000"/>
          <w:sz w:val="20"/>
        </w:rPr>
      </w:pPr>
      <w:r>
        <w:rPr>
          <w:rFonts w:ascii="Arial" w:hAnsi="Arial"/>
          <w:b/>
          <w:i/>
          <w:color w:val="000000"/>
          <w:sz w:val="20"/>
        </w:rPr>
        <w:t>Even if palazestrant, OP-3136 or any product candidate we develop in the future, receives regulatory approval, it will be subject to significant post-marketing regulatory requirements and oversight.</w:t>
      </w:r>
    </w:p>
    <w:p>
      <w:pPr>
        <w:pStyle w:val="TextBody"/>
        <w:bidi w:val="0"/>
        <w:jc w:val="both"/>
        <w:rPr>
          <w:rFonts w:ascii="Arial" w:hAnsi="Arial"/>
          <w:color w:val="000000"/>
          <w:sz w:val="20"/>
        </w:rPr>
      </w:pPr>
      <w:r>
        <w:rPr>
          <w:rFonts w:ascii="Arial" w:hAnsi="Arial"/>
          <w:color w:val="000000"/>
          <w:sz w:val="20"/>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European Commission or applicable foreign regulatory authorities approve palazestrant, OP-3136 or any product candidate we develop in the future, the manufacturing processes, labeling, packaging, distribution, adverse event reporting, storage, advertising, promotion, import, export and recordkeeping for palazestrant or OP-3136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and other foreign regulatory requirements may subject our company to administrative or judicially imposed sanctions, including:</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delays in or the rejection of product approvals;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restrictions on our ability to conduct clinical trials, including full or partial clinical holds on ongoing or planned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restrictions on the products, manufacturers or manufacturing process;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warning letters;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civil and criminal penalties;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injunctions;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suspension, variation or withdrawal of regulatory approvals;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product seizures, detentions or import bans;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voluntary or mandatory product recalls and publicity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total or partial suspension of production;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imposition of restrictions on operations, including costly new manufacturing requirements.</w:t>
      </w:r>
    </w:p>
    <w:p>
      <w:pPr>
        <w:pStyle w:val="TextBody"/>
        <w:bidi w:val="0"/>
        <w:spacing w:before="0" w:after="240"/>
        <w:jc w:val="both"/>
        <w:rPr>
          <w:rFonts w:ascii="Arial" w:hAnsi="Arial"/>
          <w:color w:val="000000"/>
          <w:sz w:val="20"/>
        </w:rPr>
      </w:pPr>
      <w:r>
        <w:rPr>
          <w:rFonts w:ascii="Arial" w:hAnsi="Arial"/>
          <w:color w:val="000000"/>
          <w:sz w:val="20"/>
        </w:rPr>
        <w:t>The occurrence of any event or penalty described above may inhibit our ability to commercialize palazestrant, OP-3136 or any product candidate we may develop in the future and generate revenue and could require us to expend significant time and resources in response and could generate negative publicity.</w:t>
      </w:r>
    </w:p>
    <w:p>
      <w:pPr>
        <w:pStyle w:val="TextBody"/>
        <w:bidi w:val="0"/>
        <w:spacing w:before="0" w:after="240"/>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palazestrant, OP-3136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The FDA and other regulatory authorities actively enforce the laws and regulations prohibiting the promotion of off-label uses.</w:t>
      </w:r>
    </w:p>
    <w:p>
      <w:pPr>
        <w:pStyle w:val="TextBody"/>
        <w:bidi w:val="0"/>
        <w:spacing w:before="0" w:after="240"/>
        <w:jc w:val="both"/>
        <w:rPr>
          <w:rFonts w:ascii="Arial" w:hAnsi="Arial"/>
          <w:color w:val="000000"/>
          <w:sz w:val="20"/>
        </w:rPr>
      </w:pPr>
      <w:r>
        <w:rPr>
          <w:rFonts w:ascii="Arial" w:hAnsi="Arial"/>
          <w:color w:val="000000"/>
          <w:sz w:val="20"/>
        </w:rPr>
        <w:t>If palazestrant, OP-3136 or any future product candidate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pStyle w:val="TextBody"/>
        <w:bidi w:val="0"/>
        <w:jc w:val="both"/>
        <w:rPr>
          <w:rFonts w:ascii="Times New Roman" w:hAnsi="Times New Roman"/>
          <w:sz w:val="20"/>
        </w:rPr>
      </w:pPr>
      <w:r>
        <w:rPr>
          <w:rFonts w:ascii="Arial" w:hAnsi="Arial"/>
          <w:b/>
          <w:i/>
          <w:color w:val="000000"/>
          <w:sz w:val="20"/>
        </w:rPr>
        <w:t>Disruptions at the FDA, EMA, the European Commission applicable foreign regulatory authorities, the SEC, and other government agencies and regulatory authorities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b/>
          <w:i/>
          <w:color w:val="000000"/>
          <w:sz w:val="20"/>
        </w:rPr>
      </w:pPr>
      <w:r>
        <w:rPr>
          <w:rFonts w:ascii="Arial" w:hAnsi="Arial"/>
          <w:b/>
          <w:i/>
          <w:color w:val="000000"/>
          <w:sz w:val="20"/>
        </w:rPr>
        <w:t>functions on which the operation of our business may rely, which could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pStyle w:val="TextBody"/>
        <w:bidi w:val="0"/>
        <w:jc w:val="both"/>
        <w:rPr>
          <w:rFonts w:ascii="Arial" w:hAnsi="Arial"/>
          <w:color w:val="000000"/>
          <w:sz w:val="20"/>
        </w:rPr>
      </w:pPr>
      <w:r>
        <w:rPr>
          <w:rFonts w:ascii="Arial" w:hAnsi="Arial"/>
          <w:color w:val="000000"/>
          <w:sz w:val="20"/>
        </w:rPr>
        <w:t>Disruptions at the FDA and other authorities may also slow the time necessary for new drugs to be reviewed and/or approved by necessary government authorities,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pStyle w:val="TextBody"/>
        <w:bidi w:val="0"/>
        <w:jc w:val="both"/>
        <w:rPr>
          <w:rFonts w:ascii="Arial" w:hAnsi="Arial"/>
          <w:b/>
          <w:i/>
          <w:color w:val="000000"/>
          <w:sz w:val="20"/>
        </w:rPr>
      </w:pPr>
      <w:r>
        <w:rPr>
          <w:rFonts w:ascii="Arial" w:hAnsi="Arial"/>
          <w:b/>
          <w:i/>
          <w:color w:val="000000"/>
          <w:sz w:val="20"/>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pStyle w:val="TextBody"/>
        <w:bidi w:val="0"/>
        <w:jc w:val="both"/>
        <w:rPr>
          <w:rFonts w:ascii="Arial" w:hAnsi="Arial"/>
          <w:color w:val="000000"/>
          <w:sz w:val="20"/>
        </w:rPr>
      </w:pPr>
      <w:r>
        <w:rPr>
          <w:rFonts w:ascii="Arial" w:hAnsi="Arial"/>
          <w:color w:val="000000"/>
          <w:sz w:val="20"/>
        </w:rPr>
        <w:t>We may in the future seek approval for palazestrant, OP-3136 or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bidi w:val="0"/>
        <w:spacing w:before="0" w:after="240"/>
        <w:jc w:val="both"/>
        <w:rPr>
          <w:rFonts w:ascii="Times New Roman" w:hAnsi="Times New Roman"/>
          <w:sz w:val="20"/>
        </w:rPr>
      </w:pPr>
      <w:r>
        <w:rPr>
          <w:rFonts w:ascii="Arial" w:hAnsi="Arial"/>
          <w:color w:val="000000"/>
          <w:sz w:val="20"/>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pStyle w:val="TextBody"/>
        <w:bidi w:val="0"/>
        <w:spacing w:before="0" w:after="240"/>
        <w:jc w:val="both"/>
        <w:rPr>
          <w:rFonts w:ascii="Arial" w:hAnsi="Arial"/>
          <w:b/>
          <w:i/>
          <w:color w:val="000000"/>
          <w:sz w:val="20"/>
        </w:rPr>
      </w:pPr>
      <w:r>
        <w:rPr>
          <w:rFonts w:ascii="Arial" w:hAnsi="Arial"/>
          <w:b/>
          <w:i/>
          <w:color w:val="000000"/>
          <w:sz w:val="20"/>
        </w:rPr>
        <w:t>We may face difficulties from changes to current regulations and future legislation.</w:t>
      </w:r>
    </w:p>
    <w:p>
      <w:pPr>
        <w:pStyle w:val="TextBody"/>
        <w:bidi w:val="0"/>
        <w:spacing w:before="0" w:after="240"/>
        <w:jc w:val="both"/>
        <w:rPr>
          <w:rFonts w:ascii="Arial" w:hAnsi="Arial"/>
          <w:color w:val="000000"/>
          <w:sz w:val="20"/>
        </w:rPr>
      </w:pPr>
      <w:r>
        <w:rPr>
          <w:rFonts w:ascii="Arial" w:hAnsi="Arial"/>
          <w:color w:val="000000"/>
          <w:sz w:val="20"/>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Arial" w:hAnsi="Arial"/>
          <w:color w:val="000000"/>
          <w:sz w:val="20"/>
        </w:rPr>
      </w:pPr>
      <w:r>
        <w:rPr>
          <w:rFonts w:ascii="Arial" w:hAnsi="Arial"/>
          <w:color w:val="000000"/>
          <w:sz w:val="20"/>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and amendments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current administration will impact the ACA and our business.</w:t>
      </w:r>
    </w:p>
    <w:p>
      <w:pPr>
        <w:pStyle w:val="TextBody"/>
        <w:bidi w:val="0"/>
        <w:spacing w:before="0" w:after="240"/>
        <w:jc w:val="both"/>
        <w:rPr>
          <w:rFonts w:ascii="Arial" w:hAnsi="Arial"/>
          <w:color w:val="000000"/>
          <w:sz w:val="20"/>
        </w:rPr>
      </w:pPr>
      <w:r>
        <w:rPr>
          <w:rFonts w:ascii="Arial" w:hAnsi="Arial"/>
          <w:color w:val="000000"/>
          <w:sz w:val="20"/>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These laws may result in additional reductions in Medicare and other healthcare funding, which could have a material adverse effect on potential customers for our drugs, if approved, and accordingly, our business.</w:t>
      </w:r>
    </w:p>
    <w:p>
      <w:pPr>
        <w:pStyle w:val="TextBody"/>
        <w:bidi w:val="0"/>
        <w:spacing w:before="0" w:after="240"/>
        <w:jc w:val="both"/>
        <w:rPr>
          <w:rFonts w:ascii="Arial" w:hAnsi="Arial"/>
          <w:color w:val="000000"/>
          <w:sz w:val="20"/>
        </w:rPr>
      </w:pPr>
      <w:r>
        <w:rPr>
          <w:rFonts w:ascii="Arial" w:hAnsi="Arial"/>
          <w:color w:val="000000"/>
          <w:sz w:val="20"/>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jc w:val="both"/>
        <w:rPr>
          <w:rFonts w:ascii="Times New Roman" w:hAnsi="Times New Roman"/>
          <w:sz w:val="20"/>
        </w:rPr>
      </w:pPr>
      <w:r>
        <w:rPr>
          <w:rFonts w:ascii="Arial" w:hAnsi="Arial"/>
          <w:color w:val="000000"/>
          <w:sz w:val="20"/>
        </w:rPr>
        <w:t>For example, the IRA, among other things, (1) directs the U.S. Department of Health and Human Services (HHS) to negotiate the price of certain high-expenditure single-source drugs that have been on the market for seven years covered under Medicare (the Medicare Drug Negotiation Program) and (2) imposes rebates under Medicare Part B and Medicare Part D to penalize price increases that outpace inflation. These provisions began to take effect progressively in fiscal year 2023. On August 15, 2024, HHS announced the agreed-upon reimbursement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program cuts, rescinding a Biden administration executive order tasking the Center for Medicare and Medicaid Innovation to consider new payment and healthcare models to limit drug spending and eliminating the Biden administration’s executive order that directed HHS to establishing an artificial intelligence (AI) task force and developing a strategic plan, directing HHS to use the IRA to lower prescription drug costs for Medicare through a variety of initiatives, including by improving upon the IRA, and directing certain federal agencies to enforce existing law regarding hospital and price plan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pStyle w:val="TextBody"/>
        <w:bidi w:val="0"/>
        <w:jc w:val="both"/>
        <w:rPr>
          <w:rFonts w:ascii="Arial" w:hAnsi="Arial"/>
          <w:color w:val="000000"/>
          <w:sz w:val="20"/>
        </w:rPr>
      </w:pPr>
      <w:r>
        <w:rPr>
          <w:rFonts w:ascii="Arial" w:hAnsi="Arial"/>
          <w:color w:val="000000"/>
          <w:sz w:val="20"/>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(CTR), which was adopted in April 2014 and repeals the EU Clinical Trials Directive (CTD),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are subject to the provisions of the CTR. Compliance with the CTR requirements by us and our third-party service providers, such as CROs, may impact our development plans.</w:t>
      </w:r>
    </w:p>
    <w:p>
      <w:pPr>
        <w:pStyle w:val="TextBody"/>
        <w:bidi w:val="0"/>
        <w:jc w:val="both"/>
        <w:rPr>
          <w:rFonts w:ascii="Times New Roman" w:hAnsi="Times New Roman"/>
          <w:sz w:val="20"/>
        </w:rPr>
      </w:pPr>
      <w:r>
        <w:rPr>
          <w:rFonts w:ascii="Arial" w:hAnsi="Arial"/>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was adopted in the EU. This Regulation, which entered into application on January 12, 2025 and has a phased implementation,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w:t>
      </w:r>
    </w:p>
    <w:p>
      <w:pPr>
        <w:pStyle w:val="TextBody"/>
        <w:bidi w:val="0"/>
        <w:jc w:val="both"/>
        <w:rPr>
          <w:rFonts w:ascii="Arial" w:hAnsi="Arial"/>
          <w:color w:val="000000"/>
          <w:sz w:val="20"/>
        </w:rPr>
      </w:pPr>
      <w:r>
        <w:rPr>
          <w:rFonts w:ascii="Arial" w:hAnsi="Arial"/>
          <w:color w:val="000000"/>
          <w:sz w:val="20"/>
        </w:rPr>
        <w:t>In light of the fact that the United Kingdom has left the EU, Regulation No 2021/2282 on HTA will not apply in the United Kingdom.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p>
    <w:p>
      <w:pPr>
        <w:pStyle w:val="TextBody"/>
        <w:bidi w:val="0"/>
        <w:jc w:val="both"/>
        <w:rPr>
          <w:rFonts w:ascii="Times New Roman" w:hAnsi="Times New Roman"/>
          <w:sz w:val="20"/>
        </w:rPr>
      </w:pPr>
      <w:r>
        <w:rPr>
          <w:rFonts w:ascii="Arial" w:hAnsi="Arial"/>
          <w:color w:val="000000"/>
          <w:sz w:val="20"/>
        </w:rPr>
        <w:t>Legislators, policymakers and healthcare insurance funds in the EU and the United Kingdom may continue to propose and implement cost-containing measures to keep healthcare costs down, particularly due to the financial strain that the COVID-19 pandemic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In addition, on April 26, 2023, the European Commission adopted a proposal for a new Directive and Regulation to revise the existing pharmaceutical legislation and on April 10, 2024, the Parliament adopted its related position.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number of changes to the regulatory framework governing medicinal products, including a decrease in data and market exclusivity opportunities for our product candidates in the EU and make them open to generic or biosimilar competition earlier than is currently the case with a related reduction in reimbursement status.</w:t>
      </w:r>
    </w:p>
    <w:p>
      <w:pPr>
        <w:pStyle w:val="TextBody"/>
        <w:bidi w:val="0"/>
        <w:spacing w:before="0" w:after="160"/>
        <w:jc w:val="left"/>
        <w:rPr>
          <w:rFonts w:ascii="Arial" w:hAnsi="Arial"/>
          <w:color w:val="000000"/>
          <w:sz w:val="20"/>
        </w:rPr>
      </w:pPr>
      <w:r>
        <w:rPr>
          <w:rFonts w:ascii="Arial" w:hAnsi="Arial"/>
          <w:color w:val="000000"/>
          <w:sz w:val="20"/>
        </w:rPr>
        <w:t>If we are slow or unable to adapt to changes in existing requirements or the adoption of new requirements or policies, our development plans may be impacted.</w:t>
      </w:r>
    </w:p>
    <w:p>
      <w:pPr>
        <w:pStyle w:val="TextBody"/>
        <w:bidi w:val="0"/>
        <w:spacing w:before="0" w:after="240"/>
        <w:jc w:val="both"/>
        <w:rPr>
          <w:rFonts w:ascii="Arial" w:hAnsi="Arial"/>
          <w:color w:val="000000"/>
          <w:sz w:val="20"/>
        </w:rPr>
      </w:pPr>
      <w:r>
        <w:rPr>
          <w:rFonts w:ascii="Arial" w:hAnsi="Arial"/>
          <w:color w:val="000000"/>
          <w:sz w:val="20"/>
        </w:rPr>
        <w:t>We expect that the recent reform activity, as well as other healthcare reform measures that may be adopted in the future, particularly in light of the recent U.S. Presidential and Congressional elections,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if any, may be on the marketing approvals of palazestrant, OP-3136 or any future product candidates we may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240"/>
        <w:jc w:val="both"/>
        <w:rPr>
          <w:rFonts w:ascii="Arial" w:hAnsi="Arial"/>
          <w:color w:val="000000"/>
          <w:sz w:val="20"/>
        </w:rPr>
      </w:pPr>
      <w:r>
        <w:rPr>
          <w:rFonts w:ascii="Arial" w:hAnsi="Arial"/>
          <w:color w:val="000000"/>
          <w:sz w:val="20"/>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HIPAA, as amended by the Health Information Technology for Economic and Clinical Health Act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hAnsi="Arial"/>
          <w:color w:val="000000"/>
          <w:sz w:val="20"/>
        </w:rPr>
        <w:t>doctors, dentists, optometrists, podiatrists and chiropractors), other healthcare professionals (such as physician assistants and nurse practitioners),</w:t>
      </w:r>
      <w:r>
        <w:rPr>
          <w:color w:val="231F20"/>
        </w:rPr>
        <w:t xml:space="preserve"> </w:t>
      </w:r>
      <w:r>
        <w:rPr>
          <w:rFonts w:ascii="Arial" w:hAnsi="Arial"/>
          <w:color w:val="231F20"/>
          <w:sz w:val="20"/>
        </w:rPr>
        <w:t>and teaching hospitals, as well as information regarding ownership and investment interests held by such physicians and their immediate family members. The information reported is publicly available on a searchable website, with disclosure required annually; and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analogous state and foreign laws and regulations, such as state and foreign anti-kickback and false claims laws, may apply to sales or marketing arrangements and claims involving healthcare items or services reimbursed by non- governmental third-party payors, including private insurers.</w:t>
      </w:r>
    </w:p>
    <w:p>
      <w:pPr>
        <w:pStyle w:val="TextBody"/>
        <w:bidi w:val="0"/>
        <w:jc w:val="both"/>
        <w:rPr>
          <w:rFonts w:ascii="Arial" w:hAnsi="Arial"/>
          <w:color w:val="000000"/>
          <w:sz w:val="20"/>
        </w:rPr>
      </w:pPr>
      <w:r>
        <w:rPr>
          <w:rFonts w:ascii="Arial" w:hAnsi="Arial"/>
          <w:color w:val="000000"/>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pStyle w:val="TextBody"/>
        <w:bidi w:val="0"/>
        <w:jc w:val="both"/>
        <w:rPr>
          <w:rFonts w:ascii="Arial" w:hAnsi="Arial"/>
          <w:color w:val="000000"/>
          <w:sz w:val="20"/>
        </w:rPr>
      </w:pPr>
      <w:r>
        <w:rPr>
          <w:rFonts w:ascii="Arial" w:hAnsi="Arial"/>
          <w:color w:val="000000"/>
          <w:sz w:val="20"/>
        </w:rPr>
        <w:t>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and foreign laws may require biotechnology companies to report information on the pricing of certain drug products. Some state and local laws may require the registration of pharmaceutical sales representatives.</w:t>
      </w:r>
    </w:p>
    <w:p>
      <w:pPr>
        <w:pStyle w:val="TextBody"/>
        <w:bidi w:val="0"/>
        <w:jc w:val="both"/>
        <w:rPr>
          <w:rFonts w:ascii="Arial" w:hAnsi="Arial"/>
          <w:color w:val="000000"/>
          <w:sz w:val="20"/>
        </w:rPr>
      </w:pPr>
      <w:r>
        <w:rPr>
          <w:rFonts w:ascii="Arial" w:hAnsi="Arial"/>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0" w:after="240"/>
        <w:jc w:val="both"/>
        <w:rPr>
          <w:rFonts w:ascii="Arial" w:hAnsi="Arial"/>
          <w:b/>
          <w:i/>
          <w:color w:val="000000"/>
          <w:sz w:val="20"/>
        </w:rPr>
      </w:pPr>
      <w:r>
        <w:rPr>
          <w:rFonts w:ascii="Arial" w:hAnsi="Arial"/>
          <w:b/>
          <w:i/>
          <w:color w:val="000000"/>
          <w:sz w:val="20"/>
        </w:rPr>
        <w:t>We and the third parties with whom we work are subject to stringent and evolving U.S. and foreign laws, regulations, rules, contractual obligations, policies and other obligations related to data privacy and security. Our (or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jc w:val="both"/>
        <w:rPr>
          <w:rFonts w:ascii="Times New Roman" w:hAnsi="Times New Roman"/>
          <w:sz w:val="20"/>
        </w:rPr>
      </w:pPr>
      <w:r>
        <w:rPr>
          <w:rFonts w:ascii="Arial" w:hAnsi="Arial"/>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Outside the United States, an increasing number of laws, regulations, and industry standards govern data privacy and security. For example, the GDPR imposes strict requirements for processing personal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pStyle w:val="TextBody"/>
        <w:bidi w:val="0"/>
        <w:jc w:val="both"/>
        <w:rPr>
          <w:rFonts w:ascii="Arial" w:hAnsi="Arial"/>
          <w:color w:val="000000"/>
          <w:sz w:val="20"/>
        </w:rPr>
      </w:pPr>
      <w:r>
        <w:rPr>
          <w:rFonts w:ascii="Arial" w:hAnsi="Arial"/>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are considered ‘inadequate’. Other jurisdictions may adopt or have already adopted similarly stringent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and the UK Extension thereto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spacing w:before="0" w:after="240"/>
        <w:jc w:val="both"/>
        <w:rPr>
          <w:rFonts w:ascii="Arial" w:hAnsi="Arial"/>
          <w:color w:val="000000"/>
          <w:sz w:val="20"/>
        </w:rPr>
      </w:pPr>
      <w:r>
        <w:rPr>
          <w:rFonts w:ascii="Arial" w:hAnsi="Arial"/>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pStyle w:val="TextBody"/>
        <w:bidi w:val="0"/>
        <w:spacing w:before="0" w:after="240"/>
        <w:jc w:val="both"/>
        <w:rPr>
          <w:rFonts w:ascii="Arial" w:hAnsi="Arial"/>
          <w:color w:val="000000"/>
          <w:sz w:val="20"/>
        </w:rPr>
      </w:pPr>
      <w:r>
        <w:rPr>
          <w:rFonts w:ascii="Arial" w:hAnsi="Arial"/>
          <w:color w:val="000000"/>
          <w:sz w:val="20"/>
        </w:rPr>
        <w:t>Additionally, the California Privacy Rights Act (CPRA) significantly modified the CCPA, including by expanding consumers’ rights with respect to certain sensitive personal information. The CPRA also created a new state agency that will be vested with authority to implement and enforce the CCPA and the CPRA. In addition, numerous states have passed comprehensive privacy laws that have gone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We are also bound, and may in the future become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financial condition, results of operations and prospects.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Any actual or perceived failure by us or the third parties with whom we work to comply with these laws, regulations, or other obligations would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jc w:val="both"/>
        <w:rPr>
          <w:rFonts w:ascii="Times New Roman" w:hAnsi="Times New Roman"/>
          <w:sz w:val="20"/>
        </w:rPr>
      </w:pPr>
      <w:r>
        <w:rPr>
          <w:rFonts w:ascii="Arial" w:hAnsi="Arial"/>
          <w:color w:val="000000"/>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will cause us to incur substantial costs or require us to change our business practices and compliance procedures in a manner adverse to our business.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Any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attempt to mitigate the associated risks but there is no assurance that privacy and security-related safeguards will protect us from all risks associated with the third-party processing, storage and transmission of such information.</w:t>
      </w:r>
    </w:p>
    <w:p>
      <w:pPr>
        <w:pStyle w:val="TextBody"/>
        <w:bidi w:val="0"/>
        <w:spacing w:before="0" w:after="240"/>
        <w:jc w:val="both"/>
        <w:rPr>
          <w:rFonts w:ascii="Arial" w:hAnsi="Arial"/>
          <w:b/>
          <w:i/>
          <w:color w:val="000000"/>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0" w:after="240"/>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240"/>
        <w:jc w:val="both"/>
        <w:rPr>
          <w:rFonts w:ascii="Arial" w:hAnsi="Arial"/>
          <w:color w:val="000000"/>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0" w:after="240"/>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jc w:val="both"/>
        <w:rPr>
          <w:rFonts w:ascii="Arial" w:hAnsi="Arial"/>
          <w:b/>
          <w:i/>
          <w:color w:val="000000"/>
          <w:sz w:val="20"/>
        </w:rPr>
      </w:pPr>
      <w:r>
        <w:rPr>
          <w:rFonts w:ascii="Arial" w:hAnsi="Arial"/>
          <w:b/>
          <w:i/>
          <w:color w:val="000000"/>
          <w:sz w:val="20"/>
        </w:rPr>
        <w:t>Our research and development activities could be affected or delayed as a result of possible restrictions on animal testing.</w:t>
      </w:r>
    </w:p>
    <w:p>
      <w:pPr>
        <w:pStyle w:val="TextBody"/>
        <w:bidi w:val="0"/>
        <w:spacing w:before="0" w:after="240"/>
        <w:jc w:val="both"/>
        <w:rPr>
          <w:rFonts w:ascii="Arial" w:hAnsi="Arial"/>
          <w:color w:val="000000"/>
          <w:sz w:val="20"/>
        </w:rPr>
      </w:pPr>
      <w:r>
        <w:rPr>
          <w:rFonts w:ascii="Arial" w:hAnsi="Arial"/>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240"/>
        <w:jc w:val="both"/>
        <w:rPr>
          <w:rFonts w:ascii="Arial" w:hAnsi="Arial"/>
          <w:color w:val="000000"/>
          <w:sz w:val="20"/>
        </w:rPr>
      </w:pPr>
      <w:r>
        <w:rPr>
          <w:rFonts w:ascii="Arial" w:hAnsi="Arial"/>
          <w:color w:val="000000"/>
          <w:sz w:val="20"/>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0" w:after="240"/>
        <w:jc w:val="both"/>
        <w:rPr>
          <w:rFonts w:ascii="Arial" w:hAnsi="Arial"/>
          <w:color w:val="000000"/>
          <w:sz w:val="20"/>
        </w:rPr>
      </w:pPr>
      <w:r>
        <w:rPr>
          <w:rFonts w:ascii="Arial" w:hAnsi="Arial"/>
          <w:color w:val="000000"/>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employee matters, managing our growth and other risks related to our business</w:t>
      </w:r>
    </w:p>
    <w:p>
      <w:pPr>
        <w:pStyle w:val="TextBody"/>
        <w:bidi w:val="0"/>
        <w:spacing w:before="0" w:after="240"/>
        <w:jc w:val="both"/>
        <w:rPr>
          <w:rFonts w:ascii="Arial" w:hAnsi="Arial"/>
          <w:b/>
          <w:i/>
          <w:color w:val="000000"/>
          <w:sz w:val="20"/>
        </w:rPr>
      </w:pPr>
      <w:r>
        <w:rPr>
          <w:rFonts w:ascii="Arial" w:hAnsi="Arial"/>
          <w:b/>
          <w:i/>
          <w:color w:val="000000"/>
          <w:sz w:val="20"/>
        </w:rPr>
        <w:t>Unfavorable U.S. and global macroeconomic and geopolitical conditions could adversely affect our business, financial condition and results of operations.</w:t>
      </w:r>
    </w:p>
    <w:p>
      <w:pPr>
        <w:pStyle w:val="TextBody"/>
        <w:bidi w:val="0"/>
        <w:spacing w:before="0" w:after="240"/>
        <w:jc w:val="both"/>
        <w:rPr>
          <w:rFonts w:ascii="Times New Roman" w:hAnsi="Times New Roman"/>
          <w:sz w:val="20"/>
        </w:rPr>
      </w:pPr>
      <w:r>
        <w:rPr>
          <w:rFonts w:ascii="Arial" w:hAnsi="Arial"/>
          <w:color w:val="000000"/>
          <w:sz w:val="20"/>
        </w:rPr>
        <w:t>Our results of operations could be adversely affected by general conditions in the U.S. and global economies, the U.S. and global financial markets and adverse geopolitical and macroeconomic developments,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financial markets, the availability and cost of credit, investor and consumer confidence, and the strength of the economies in which we, our manufacturers and our suppliers operate.</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0" w:after="240"/>
        <w:jc w:val="both"/>
        <w:rPr>
          <w:rFonts w:ascii="Arial" w:hAnsi="Arial"/>
          <w:b/>
          <w:i/>
          <w:color w:val="000000"/>
          <w:sz w:val="20"/>
        </w:rPr>
      </w:pPr>
      <w:r>
        <w:rPr>
          <w:rFonts w:ascii="Arial" w:hAnsi="Arial"/>
          <w:b/>
          <w:i/>
          <w:color w:val="000000"/>
          <w:sz w:val="20"/>
        </w:rPr>
        <w:t>International trade policies, including tariffs, sanctions and trade barriers may adversely affect our business, financial condition, results of operations and prospects.</w:t>
      </w:r>
    </w:p>
    <w:p>
      <w:pPr>
        <w:pStyle w:val="TextBody"/>
        <w:bidi w:val="0"/>
        <w:spacing w:before="0" w:after="240"/>
        <w:jc w:val="both"/>
        <w:rPr>
          <w:rFonts w:ascii="Times New Roman" w:hAnsi="Times New Roman"/>
          <w:sz w:val="20"/>
        </w:rPr>
      </w:pPr>
      <w:r>
        <w:rPr>
          <w:rFonts w:ascii="Arial" w:hAnsi="Arial"/>
          <w:color w:val="000000"/>
          <w:sz w:val="20"/>
        </w:rPr>
        <w:t>We operate in a global economy, which includes utilizing third-party suppliers in countries outside of the United States. The current international trade and regulatory environment is subject to significant ongoing uncertainty.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0" w:after="240"/>
        <w:jc w:val="both"/>
        <w:rPr>
          <w:rFonts w:ascii="Arial" w:hAnsi="Arial"/>
          <w:color w:val="000000"/>
          <w:sz w:val="20"/>
        </w:rPr>
      </w:pPr>
      <w:r>
        <w:rPr>
          <w:rFonts w:ascii="Arial" w:hAnsi="Arial"/>
          <w:color w:val="000000"/>
          <w:sz w:val="20"/>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which among other factors, could negatively impact our ability to secure additional financing on favorable terms or at all. In addition, as we advance toward commercialization in the future, tariffs and trade restrictions could hinder our ability to establish cost-effective production capabilities and negative impact our growth prospects.</w:t>
      </w:r>
    </w:p>
    <w:p>
      <w:pPr>
        <w:pStyle w:val="TextBody"/>
        <w:bidi w:val="0"/>
        <w:spacing w:before="0" w:after="240"/>
        <w:jc w:val="both"/>
        <w:rPr>
          <w:rFonts w:ascii="Times New Roman" w:hAnsi="Times New Roman"/>
          <w:sz w:val="20"/>
        </w:rPr>
      </w:pPr>
      <w:r>
        <w:rPr>
          <w:rFonts w:ascii="Arial" w:hAnsi="Arial"/>
          <w:color w:val="000000"/>
          <w:sz w:val="20"/>
        </w:rPr>
        <w:t>The complexity of announced or future tariffs may also increase the risk that we or our collaborators, partners, vendors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on or increase the complexity to our business.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 and in our Annual Report on Form 10-K for the fiscal year ended December 31, 2024.</w:t>
      </w:r>
    </w:p>
    <w:p>
      <w:pPr>
        <w:pStyle w:val="TextBody"/>
        <w:bidi w:val="0"/>
        <w:spacing w:before="0" w:after="240"/>
        <w:jc w:val="left"/>
        <w:rPr>
          <w:rFonts w:ascii="Arial" w:hAnsi="Arial"/>
          <w:b/>
          <w:i/>
          <w:color w:val="000000"/>
          <w:sz w:val="20"/>
        </w:rPr>
      </w:pPr>
      <w:r>
        <w:rPr>
          <w:rFonts w:ascii="Arial" w:hAnsi="Arial"/>
          <w:b/>
          <w:i/>
          <w:color w:val="000000"/>
          <w:sz w:val="20"/>
        </w:rPr>
        <w:t>Our success is highly dependent on our ability to attract and retain highly skilled executive officers and employees.</w:t>
      </w:r>
    </w:p>
    <w:p>
      <w:pPr>
        <w:pStyle w:val="TextBody"/>
        <w:bidi w:val="0"/>
        <w:spacing w:before="0" w:after="240"/>
        <w:jc w:val="both"/>
        <w:rPr>
          <w:rFonts w:ascii="Arial" w:hAnsi="Arial"/>
          <w:color w:val="000000"/>
          <w:sz w:val="20"/>
        </w:rPr>
      </w:pPr>
      <w:r>
        <w:rPr>
          <w:rFonts w:ascii="Arial" w:hAnsi="Arial"/>
          <w:color w:val="000000"/>
          <w:sz w:val="20"/>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pStyle w:val="TextBody"/>
        <w:bidi w:val="0"/>
        <w:spacing w:before="0" w:after="240"/>
        <w:jc w:val="both"/>
        <w:rPr>
          <w:rFonts w:ascii="Arial" w:hAnsi="Arial"/>
          <w:color w:val="000000"/>
          <w:sz w:val="20"/>
        </w:rPr>
      </w:pPr>
      <w:r>
        <w:rPr>
          <w:rFonts w:ascii="Arial" w:hAnsi="Arial"/>
          <w:color w:val="000000"/>
          <w:sz w:val="20"/>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240"/>
        <w:jc w:val="both"/>
        <w:rPr>
          <w:rFonts w:ascii="Arial" w:hAnsi="Arial"/>
          <w:color w:val="000000"/>
          <w:sz w:val="20"/>
        </w:rPr>
      </w:pPr>
      <w:r>
        <w:rPr>
          <w:rFonts w:ascii="Arial" w:hAnsi="Arial"/>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other product candidate will be limited and the potential for successfully growing our business will be harmed.</w:t>
      </w:r>
    </w:p>
    <w:p>
      <w:pPr>
        <w:pStyle w:val="TextBody"/>
        <w:bidi w:val="0"/>
        <w:spacing w:before="0" w:after="240"/>
        <w:jc w:val="both"/>
        <w:rPr>
          <w:rFonts w:ascii="Arial" w:hAnsi="Arial"/>
          <w:b/>
          <w:i/>
          <w:color w:val="000000"/>
          <w:sz w:val="20"/>
        </w:rPr>
      </w:pPr>
      <w:r>
        <w:rPr>
          <w:rFonts w:ascii="Arial" w:hAnsi="Arial"/>
          <w:b/>
          <w:i/>
          <w:color w:val="000000"/>
          <w:sz w:val="20"/>
        </w:rPr>
        <w:t>If we are unable to establish sales or marketing capabilities or enter into agreements with third parties to sell or market palazestrant, OP-3136 or any product candidate we may develop in the future, we may not be able to successfully sell or market palazestrant, OP-3136 or any future product candidate we may develop that obtain regulatory approval.</w:t>
      </w:r>
    </w:p>
    <w:p>
      <w:pPr>
        <w:pStyle w:val="TextBody"/>
        <w:bidi w:val="0"/>
        <w:spacing w:before="0" w:after="240"/>
        <w:jc w:val="both"/>
        <w:rPr>
          <w:rFonts w:ascii="Arial" w:hAnsi="Arial"/>
          <w:color w:val="000000"/>
          <w:sz w:val="20"/>
        </w:rPr>
      </w:pPr>
      <w:r>
        <w:rPr>
          <w:rFonts w:ascii="Arial" w:hAnsi="Arial"/>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 we may develop. We may not be successful in accomplishing these required tasks.</w:t>
      </w:r>
    </w:p>
    <w:p>
      <w:pPr>
        <w:pStyle w:val="TextBody"/>
        <w:bidi w:val="0"/>
        <w:spacing w:before="0" w:after="240"/>
        <w:jc w:val="both"/>
        <w:rPr>
          <w:rFonts w:ascii="Times New Roman" w:hAnsi="Times New Roman"/>
          <w:sz w:val="20"/>
        </w:rPr>
      </w:pPr>
      <w:r>
        <w:rPr>
          <w:rFonts w:ascii="Arial" w:hAnsi="Arial"/>
          <w:color w:val="000000"/>
          <w:sz w:val="20"/>
        </w:rPr>
        <w:t>Establishing an internal sales or marketing team with technical expertise and supporting distribution capabilities to commercialize palazestrant, OP-3136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OP-3136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0" w:after="240"/>
        <w:jc w:val="both"/>
        <w:rPr>
          <w:rFonts w:ascii="Arial" w:hAnsi="Arial"/>
          <w:b/>
          <w:i/>
          <w:color w:val="000000"/>
          <w:sz w:val="20"/>
        </w:rPr>
      </w:pPr>
      <w:r>
        <w:rPr>
          <w:rFonts w:ascii="Arial" w:hAnsi="Arial"/>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0" w:after="240"/>
        <w:jc w:val="both"/>
        <w:rPr>
          <w:rFonts w:ascii="Arial" w:hAnsi="Arial"/>
          <w:color w:val="000000"/>
          <w:sz w:val="20"/>
        </w:rPr>
      </w:pPr>
      <w:r>
        <w:rPr>
          <w:rFonts w:ascii="Arial" w:hAnsi="Arial"/>
          <w:color w:val="000000"/>
          <w:sz w:val="20"/>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pStyle w:val="TextBody"/>
        <w:bidi w:val="0"/>
        <w:spacing w:before="0" w:after="240"/>
        <w:jc w:val="both"/>
        <w:rPr>
          <w:rFonts w:ascii="Arial" w:hAnsi="Arial"/>
          <w:color w:val="000000"/>
          <w:sz w:val="20"/>
        </w:rPr>
      </w:pPr>
      <w:r>
        <w:rPr>
          <w:rFonts w:ascii="Arial" w:hAnsi="Arial"/>
          <w:color w:val="000000"/>
          <w:sz w:val="20"/>
        </w:rPr>
        <w:t>Factors that may affect our ability to commercialize palazestrant, OP-3136 or any future product candidate we may develop, on our own include recruiting and retaining adequate numbers of effective sales and marketing personnel, obtaining access to or our failure to educate physicians on the benefits of prescribing or ordering palazestrant, OP-3136 or any future product candidates we may develop and other unforeseen costs associated with creating an independent sales and marketing organization. Developing a sales and marketing organization will be expensive and time-consuming and could delay the launch of palazestrant, OP-3136 or any future product candidate we may develop. We may not be able to build an effective sales and marketing organization. If we are unable to build our own distribution and marketing capabilities or to find suitable partners for the commercialization of palazestrant, OP-3136 or any future product candidate we may develop, we may not generate revenues from such product candidate or be able to reach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In order to successfully implement our plans and strategies, we will need to grow the size of our organization, and we may experience difficulties in managing this growth.</w:t>
      </w:r>
    </w:p>
    <w:p>
      <w:pPr>
        <w:pStyle w:val="TextBody"/>
        <w:bidi w:val="0"/>
        <w:spacing w:before="0" w:after="240"/>
        <w:jc w:val="both"/>
        <w:rPr>
          <w:rFonts w:ascii="Arial" w:hAnsi="Arial"/>
          <w:color w:val="000000"/>
          <w:sz w:val="20"/>
        </w:rPr>
      </w:pPr>
      <w:r>
        <w:rPr>
          <w:rFonts w:ascii="Arial" w:hAnsi="Arial"/>
          <w:color w:val="000000"/>
          <w:sz w:val="20"/>
        </w:rPr>
        <w:t>As of June 30, 2025, we had 117 employees, 116 of whom were full-time, consisting of clinical, research, operations, regulatory, and administrative personnel. Thirty-three of our employees hold Ph.D. or M.D. degrees.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identifying, recruiting, integrating, maintaining and motivating additional employees;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managing our internal development efforts effectively, including the clinical, FDA, EMA and other comparable foreign regulatory authorities’ review process for palazestrant, OP-3136 and any other future product candidates we may develop, while complying with any contractual obligations to contractors and other third parties we may have;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improving our operational, financial and management controls, reporting systems and procedures.</w:t>
      </w:r>
    </w:p>
    <w:p>
      <w:pPr>
        <w:pStyle w:val="TextBody"/>
        <w:bidi w:val="0"/>
        <w:spacing w:before="0" w:after="240"/>
        <w:jc w:val="both"/>
        <w:rPr>
          <w:rFonts w:ascii="Arial" w:hAnsi="Arial"/>
          <w:color w:val="000000"/>
          <w:sz w:val="20"/>
        </w:rPr>
      </w:pPr>
      <w:r>
        <w:rPr>
          <w:rFonts w:ascii="Arial" w:hAnsi="Arial"/>
          <w:color w:val="000000"/>
          <w:sz w:val="20"/>
        </w:rPr>
        <w:t>In addition, we expect to be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0" w:after="240"/>
        <w:jc w:val="both"/>
        <w:rPr>
          <w:rFonts w:ascii="Arial" w:hAnsi="Arial"/>
          <w:color w:val="000000"/>
          <w:sz w:val="20"/>
        </w:rPr>
      </w:pPr>
      <w:r>
        <w:rPr>
          <w:rFonts w:ascii="Arial" w:hAnsi="Arial"/>
          <w:color w:val="000000"/>
          <w:sz w:val="20"/>
        </w:rPr>
        <w:t>If we are not able to effectively expand our organization by hiring new employees and/or engaging additional third-party service providers, we may not be able to successfully implement the tasks necessary to further develop and commercialize palazestrant, OP-3136 and any other future product candidates we may develop and, accordingly, may not achieve our research, development and commercialization goals.</w:t>
      </w:r>
    </w:p>
    <w:p>
      <w:pPr>
        <w:pStyle w:val="TextBody"/>
        <w:bidi w:val="0"/>
        <w:jc w:val="both"/>
        <w:rPr>
          <w:rFonts w:ascii="Arial" w:hAnsi="Arial"/>
          <w:b/>
          <w:i/>
          <w:color w:val="000000"/>
          <w:sz w:val="20"/>
        </w:rPr>
      </w:pPr>
      <w:r>
        <w:rPr>
          <w:rFonts w:ascii="Arial" w:hAnsi="Arial"/>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pStyle w:val="TextBody"/>
        <w:bidi w:val="0"/>
        <w:jc w:val="both"/>
        <w:rPr>
          <w:rFonts w:ascii="Arial" w:hAnsi="Arial"/>
          <w:color w:val="000000"/>
          <w:sz w:val="20"/>
        </w:rPr>
      </w:pPr>
      <w:r>
        <w:rPr>
          <w:rFonts w:ascii="Arial" w:hAnsi="Arial"/>
          <w:color w:val="000000"/>
          <w:sz w:val="20"/>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would be vulnerable to a heightened risk of these attacks, including retaliatory cyber-attacks, that could materially disrupt our systems and operations.</w:t>
      </w:r>
    </w:p>
    <w:p>
      <w:pPr>
        <w:pStyle w:val="TextBody"/>
        <w:bidi w:val="0"/>
        <w:jc w:val="both"/>
        <w:rPr>
          <w:rFonts w:ascii="Times New Roman" w:hAnsi="Times New Roman"/>
          <w:sz w:val="20"/>
        </w:rPr>
      </w:pPr>
      <w:r>
        <w:rPr>
          <w:rFonts w:ascii="Arial" w:hAnsi="Arial"/>
          <w:color w:val="000000"/>
          <w:sz w:val="20"/>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intentional misconduct or unconventional error by those with authorized access,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obligations to us, any award may be insufficient to cover our damages, or we may be unable to recover such award.</w:t>
      </w:r>
    </w:p>
    <w:p>
      <w:pPr>
        <w:pStyle w:val="TextBody"/>
        <w:bidi w:val="0"/>
        <w:spacing w:before="0" w:after="240"/>
        <w:jc w:val="both"/>
        <w:rPr>
          <w:rFonts w:ascii="Times New Roman" w:hAnsi="Times New Roman"/>
          <w:sz w:val="20"/>
        </w:rPr>
      </w:pPr>
      <w:r>
        <w:rPr>
          <w:rFonts w:ascii="Arial" w:hAnsi="Arial"/>
          <w:color w:val="000000"/>
          <w:sz w:val="20"/>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are not able to anticipate all types of security incidents, and we cannot implement preventive measures effective against all such security incidents. A security incident or other interruption could disrupt our ability (and that of third parties upon whom we rely) to run our business. We could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 due to encryption and device security practices.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pStyle w:val="TextBody"/>
        <w:bidi w:val="0"/>
        <w:jc w:val="both"/>
        <w:rPr>
          <w:rFonts w:ascii="Arial" w:hAnsi="Arial"/>
          <w:color w:val="000000"/>
          <w:sz w:val="20"/>
        </w:rPr>
      </w:pPr>
      <w:r>
        <w:rPr>
          <w:rFonts w:ascii="Arial" w:hAnsi="Arial"/>
          <w:color w:val="000000"/>
          <w:sz w:val="20"/>
        </w:rPr>
        <w:t>Applicable data privacy and security obligations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spacing w:before="0" w:after="240"/>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0" w:after="240"/>
        <w:jc w:val="both"/>
        <w:rPr>
          <w:rFonts w:ascii="Arial" w:hAnsi="Arial"/>
          <w:b/>
          <w:i/>
          <w:color w:val="000000"/>
          <w:sz w:val="20"/>
        </w:rPr>
      </w:pPr>
      <w:r>
        <w:rPr>
          <w:rFonts w:ascii="Arial" w:hAnsi="Arial"/>
          <w:b/>
          <w:i/>
          <w:color w:val="000000"/>
          <w:sz w:val="20"/>
        </w:rPr>
        <w:t>EU drug marketing and reimbursement regulations may materially affect our ability to market and receive coverage for our product in the EU Member States.</w:t>
      </w:r>
    </w:p>
    <w:p>
      <w:pPr>
        <w:pStyle w:val="TextBody"/>
        <w:bidi w:val="0"/>
        <w:spacing w:before="0" w:after="240"/>
        <w:jc w:val="both"/>
        <w:rPr>
          <w:rFonts w:ascii="Times New Roman" w:hAnsi="Times New Roman"/>
          <w:sz w:val="20"/>
        </w:rPr>
      </w:pPr>
      <w:r>
        <w:rPr>
          <w:rFonts w:ascii="Arial" w:hAnsi="Arial"/>
          <w:color w:val="000000"/>
          <w:sz w:val="20"/>
        </w:rPr>
        <w:t>We intend to seek approval to market palazestrant or OP-3136 in both the United States and in selected foreign jurisdictions. If we obtain approval in one or more foreign jurisdictions for palazestrant or OP-3136, we will be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subject to rules and regulations in those jurisdictions. In some foreign countries, particularly those in the EU, the pricing of drugs is subject to governmental control and other market regulations which could put pressure on the pricing and usage of palazestrant or OP-3136. In these countries, pricing negotiations with governmental authorities can take considerable time after obtaining marketing approval of a product candidate. In addition, market acceptance and sales of palazestrant or OP-3136 will depend significantly on the availability of adequate coverage and reimbursement from third-party payors for palazestrant or OP-3136 and may be affected by existing and future healthcare reform measures.</w:t>
      </w:r>
    </w:p>
    <w:p>
      <w:pPr>
        <w:pStyle w:val="TextBody"/>
        <w:bidi w:val="0"/>
        <w:jc w:val="both"/>
        <w:rPr>
          <w:rFonts w:ascii="Arial" w:hAnsi="Arial"/>
          <w:color w:val="000000"/>
          <w:sz w:val="20"/>
        </w:rPr>
      </w:pPr>
      <w:r>
        <w:rPr>
          <w:rFonts w:ascii="Arial" w:hAnsi="Arial"/>
          <w:color w:val="000000"/>
          <w:sz w:val="20"/>
        </w:rPr>
        <w:t>Moreover, in most foreign countries, including a number of EU Member States, the proposed pricing for a drug must be approved before it may be lawfully marketed. The requirements governing drug pricing and reimbursement vary widely from country to country. For example, the EU provides options for EU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pStyle w:val="TextBody"/>
        <w:bidi w:val="0"/>
        <w:jc w:val="both"/>
        <w:rPr>
          <w:rFonts w:ascii="Arial" w:hAnsi="Arial"/>
          <w:color w:val="000000"/>
          <w:sz w:val="20"/>
        </w:rPr>
      </w:pPr>
      <w:r>
        <w:rPr>
          <w:rFonts w:ascii="Arial" w:hAnsi="Arial"/>
          <w:color w:val="000000"/>
          <w:sz w:val="20"/>
        </w:rPr>
        <w:t>Legislators, policymakers and healthcare insurance funds in the EU may continue to propose and implement cost-containing measures to keep healthcare costs down, particularly due to the financial strain that the COVID-19 pandemic placed on national healthcare systems of EU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spacing w:before="0" w:after="240"/>
        <w:jc w:val="both"/>
        <w:rPr>
          <w:rFonts w:ascii="Arial" w:hAnsi="Arial"/>
          <w:b/>
          <w:i/>
          <w:color w:val="000000"/>
          <w:sz w:val="20"/>
        </w:rPr>
      </w:pPr>
      <w:r>
        <w:rPr>
          <w:rFonts w:ascii="Arial" w:hAnsi="Arial"/>
          <w:b/>
          <w:i/>
          <w:color w:val="000000"/>
          <w:sz w:val="20"/>
        </w:rPr>
        <w:t>Business disruptions could seriously harm our future revenue and financial condition and increase our costs and expenses.</w:t>
      </w:r>
    </w:p>
    <w:p>
      <w:pPr>
        <w:pStyle w:val="TextBody"/>
        <w:bidi w:val="0"/>
        <w:spacing w:before="0" w:after="240"/>
        <w:jc w:val="both"/>
        <w:rPr>
          <w:rFonts w:ascii="Arial" w:hAnsi="Arial"/>
          <w:color w:val="000000"/>
          <w:sz w:val="20"/>
        </w:rPr>
      </w:pPr>
      <w:r>
        <w:rPr>
          <w:rFonts w:ascii="Arial" w:hAnsi="Arial"/>
          <w:color w:val="000000"/>
          <w:sz w:val="20"/>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bidi w:val="0"/>
        <w:spacing w:before="0" w:after="240"/>
        <w:jc w:val="both"/>
        <w:rPr>
          <w:rFonts w:ascii="Arial" w:hAnsi="Arial"/>
          <w:b/>
          <w:i/>
          <w:color w:val="000000"/>
          <w:sz w:val="20"/>
        </w:rPr>
      </w:pPr>
      <w:r>
        <w:rPr>
          <w:rFonts w:ascii="Arial" w:hAnsi="Arial"/>
          <w:b/>
          <w:i/>
          <w:color w:val="000000"/>
          <w:sz w:val="20"/>
        </w:rPr>
        <w:t>Our ability to utilize our net operating loss carryforwards and certain other tax attributes may be limited.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Our net operating loss (NOL) carryforwards could expire unused and be unavailable to offset future income tax liabilities because of their limited duration or other restrictions. Under current U.S. federal tax law,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is limited to 80% of current year taxable income. It is uncertain if and to what extent various states will conform to current U.S. federal tax law.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0" w:after="240"/>
        <w:jc w:val="both"/>
        <w:rPr>
          <w:rFonts w:ascii="Arial" w:hAnsi="Arial"/>
          <w:color w:val="000000"/>
          <w:sz w:val="20"/>
        </w:rPr>
      </w:pPr>
      <w:r>
        <w:rPr>
          <w:rFonts w:ascii="Arial" w:hAnsi="Arial"/>
          <w:color w:val="000000"/>
          <w:sz w:val="20"/>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pStyle w:val="TextBody"/>
        <w:bidi w:val="0"/>
        <w:spacing w:before="0" w:after="240"/>
        <w:jc w:val="both"/>
        <w:rPr>
          <w:rFonts w:ascii="Arial" w:hAnsi="Arial"/>
          <w:b/>
          <w:i/>
          <w:color w:val="000000"/>
          <w:sz w:val="20"/>
        </w:rPr>
      </w:pPr>
      <w:r>
        <w:rPr>
          <w:rFonts w:ascii="Arial" w:hAnsi="Arial"/>
          <w:b/>
          <w:i/>
          <w:color w:val="000000"/>
          <w:sz w:val="20"/>
        </w:rPr>
        <w:t>A variety of risks associated with marketing palazestrant, OP-3136 or any future product candidate we may develop internationally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differing regulatory requirements and reimbursement regimes in foreign countries;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unexpected changes in tariffs, trade barriers, price and exchange controls and other regulatory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economic weakness, including inflation, or political instability in particular foreign economies and markets;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compliance with tax, employment, immigration and labor laws for employees living or traveling abroad;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foreign taxes, including withholding of payroll taxes;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foreign currency fluctuations, which could result in increased operating expenses and reduced revenue, and other obligations incident to doing business in another country;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difficulties staffing and managing foreign operations;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workforce uncertainty in countries where labor unrest is more common than in the United States;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potential liability under the FCPA or comparable foreign regulations;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challenges enforcing our contractual and intellectual property rights, especially in those foreign countries that do not respect and protect intellectual property rights to the same extent as the United States;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production shortages resulting from any events affecting raw material supply or manufacturing capabilities abroad;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business interruptions resulting from geo-political actions, including war and terrorism.</w:t>
      </w:r>
    </w:p>
    <w:p>
      <w:pPr>
        <w:pStyle w:val="TextBody"/>
        <w:bidi w:val="0"/>
        <w:spacing w:before="0" w:after="240"/>
        <w:jc w:val="both"/>
        <w:rPr>
          <w:rFonts w:ascii="Arial" w:hAnsi="Arial"/>
          <w:color w:val="000000"/>
          <w:sz w:val="20"/>
        </w:rPr>
      </w:pPr>
      <w:r>
        <w:rPr>
          <w:rFonts w:ascii="Arial" w:hAnsi="Arial"/>
          <w:color w:val="000000"/>
          <w:sz w:val="20"/>
        </w:rPr>
        <w:t>These and other risks associated with our international operations may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0" w:after="240"/>
        <w:jc w:val="both"/>
        <w:rPr>
          <w:rFonts w:ascii="Arial" w:hAnsi="Arial"/>
          <w:b/>
          <w:i/>
          <w:color w:val="000000"/>
          <w:sz w:val="20"/>
        </w:rPr>
      </w:pPr>
      <w:r>
        <w:rPr>
          <w:rFonts w:ascii="Arial" w:hAnsi="Arial"/>
          <w:b/>
          <w:i/>
          <w:color w:val="000000"/>
          <w:sz w:val="20"/>
        </w:rPr>
        <w:t>Our success depends on our ability to protect our intellectual property and our proprietary technologies.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 proprietary technologies and their uses,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0" w:after="240"/>
        <w:jc w:val="both"/>
        <w:rPr>
          <w:rFonts w:ascii="Arial" w:hAnsi="Arial"/>
          <w:color w:val="000000"/>
          <w:sz w:val="20"/>
        </w:rPr>
      </w:pPr>
      <w:r>
        <w:rPr>
          <w:rFonts w:ascii="Arial" w:hAnsi="Arial"/>
          <w:color w:val="000000"/>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bidi w:val="0"/>
        <w:spacing w:before="0" w:after="240"/>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cannot be certain that the claims in our U.S. pending patent applications, and corresponding international patent applications, will be considered patentable by the United States Patent and Trademark Office (USPTO) courts in the United States or by the patent offices and courts in foreign countries, nor can we be certain that the claims in our issued patent(s) will not be found invalid or unenforceable if challenged.</w:t>
      </w:r>
    </w:p>
    <w:p>
      <w:pPr>
        <w:pStyle w:val="TextBody"/>
        <w:bidi w:val="0"/>
        <w:spacing w:before="0" w:after="240"/>
        <w:jc w:val="both"/>
        <w:rPr>
          <w:rFonts w:ascii="Times New Roman" w:hAnsi="Times New Roman"/>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palazestrant, OP-3136 or any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future product candidates we may develop by obtaining and defending patents. These risks and uncertainties include the following:</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patent applications must be filed in advance of certain events (</w:t>
      </w:r>
      <w:r>
        <w:rPr>
          <w:rFonts w:ascii="Arial" w:hAnsi="Arial"/>
          <w:i/>
          <w:color w:val="231F20"/>
          <w:sz w:val="20"/>
        </w:rPr>
        <w:t xml:space="preserve">e.g., </w:t>
      </w:r>
      <w:r>
        <w:rPr>
          <w:rFonts w:ascii="Arial" w:hAnsi="Arial"/>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patent applications may not result in any patents being issued;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patents may be challenged, invalidated, modified, revoked, circumvented, found to be unenforceable or otherwise may not provide any competitive advantage;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there may be significant pressure on the U.S. government and international governmental bodies to limit the scope of patent protection both inside and outside the United States;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0" w:after="240"/>
        <w:jc w:val="both"/>
        <w:rPr>
          <w:rFonts w:ascii="Arial" w:hAnsi="Arial"/>
          <w:color w:val="000000"/>
          <w:sz w:val="20"/>
        </w:rPr>
      </w:pPr>
      <w:r>
        <w:rPr>
          <w:rFonts w:ascii="Arial" w:hAnsi="Arial"/>
          <w:color w:val="000000"/>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0" w:after="240"/>
        <w:jc w:val="both"/>
        <w:rPr>
          <w:rFonts w:ascii="Arial" w:hAnsi="Arial"/>
          <w:color w:val="000000"/>
          <w:sz w:val="20"/>
        </w:rPr>
      </w:pPr>
      <w:r>
        <w:rPr>
          <w:rFonts w:ascii="Arial" w:hAnsi="Arial"/>
          <w:color w:val="000000"/>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0" w:after="240"/>
        <w:jc w:val="both"/>
        <w:rPr>
          <w:rFonts w:ascii="Arial" w:hAnsi="Arial"/>
          <w:color w:val="000000"/>
          <w:sz w:val="20"/>
        </w:rPr>
      </w:pPr>
      <w:r>
        <w:rPr>
          <w:rFonts w:ascii="Arial" w:hAnsi="Arial"/>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pStyle w:val="TextBody"/>
        <w:bidi w:val="0"/>
        <w:spacing w:before="0" w:after="240"/>
        <w:jc w:val="both"/>
        <w:rPr>
          <w:rFonts w:ascii="Arial" w:hAnsi="Arial"/>
          <w:color w:val="000000"/>
          <w:sz w:val="20"/>
        </w:rPr>
      </w:pPr>
      <w:r>
        <w:rPr>
          <w:rFonts w:ascii="Arial" w:hAnsi="Arial"/>
          <w:color w:val="000000"/>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0" w:after="240"/>
        <w:jc w:val="both"/>
        <w:rPr>
          <w:rFonts w:ascii="Arial" w:hAnsi="Arial"/>
          <w:color w:val="000000"/>
          <w:sz w:val="20"/>
        </w:rPr>
      </w:pPr>
      <w:r>
        <w:rPr>
          <w:rFonts w:ascii="Arial" w:hAnsi="Arial"/>
          <w:color w:val="000000"/>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0" w:after="240"/>
        <w:jc w:val="both"/>
        <w:rPr>
          <w:rFonts w:ascii="Arial" w:hAnsi="Arial"/>
          <w:color w:val="000000"/>
          <w:sz w:val="20"/>
        </w:rPr>
      </w:pPr>
      <w:r>
        <w:rPr>
          <w:rFonts w:ascii="Arial" w:hAnsi="Arial"/>
          <w:color w:val="000000"/>
          <w:sz w:val="20"/>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pStyle w:val="TextBody"/>
        <w:bidi w:val="0"/>
        <w:spacing w:before="0" w:after="240"/>
        <w:jc w:val="both"/>
        <w:rPr>
          <w:rFonts w:ascii="Times New Roman" w:hAnsi="Times New Roman"/>
          <w:sz w:val="20"/>
        </w:rPr>
      </w:pPr>
      <w:r>
        <w:rPr>
          <w:rFonts w:ascii="Arial" w:hAnsi="Arial"/>
          <w:color w:val="000000"/>
          <w:sz w:val="20"/>
        </w:rPr>
        <w:t>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rights do not necessarily address all potential threats to our competitive advantage.</w:t>
      </w:r>
    </w:p>
    <w:p>
      <w:pPr>
        <w:pStyle w:val="TextBody"/>
        <w:bidi w:val="0"/>
        <w:spacing w:before="0" w:after="240"/>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not be able to detect infringement of our issued patents;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others may be able to develop products that are similar to palazestrant, or any future product candidates we may develop, but that are not covered by the claims of the patents that we may in-license in the future or 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competitors may seek or may have already obtained patents that will limit, interfere with or eliminate our ability to make, use and sell palazestrant or any future product candidates we may develop;</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not have been the first to make the inventions covered by the issued patents or patent application that we may in-license in the future or 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be found not have been the first to file patent applications covering certain of our or their inventions;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others may independently develop similar or alternative technologies or duplicate any of our technologies without infringing our intellectual property rights;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it is possible that the pending patent applications we may in-license in the future or own will not lead to issued patents;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it is possible that there are prior public disclosures that could invalidate our patents, or parts of our patents, for which we are not aware;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issued patents that we hold rights to may be held invalid or unenforceable, as a result of legal challenges by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issued patents may not have sufficient term or geographic scope to provide meaningful protection;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not develop additional proprietary technologies that are patentable;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patents of others may have an adverse effect on our business;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choose not to file a patent in order to maintain certain trade secrets, and a third party may subsequently file a patent covering such intellectual property.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pStyle w:val="TextBody"/>
        <w:bidi w:val="0"/>
        <w:spacing w:before="0" w:after="240"/>
        <w:jc w:val="both"/>
        <w:rPr>
          <w:rFonts w:ascii="Arial" w:hAnsi="Arial"/>
          <w:color w:val="000000"/>
          <w:sz w:val="20"/>
        </w:rPr>
      </w:pPr>
      <w:r>
        <w:rPr>
          <w:rFonts w:ascii="Arial" w:hAnsi="Arial"/>
          <w:color w:val="000000"/>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spacing w:before="0" w:after="240"/>
        <w:jc w:val="both"/>
        <w:rPr>
          <w:rFonts w:ascii="Times New Roman" w:hAnsi="Times New Roman"/>
          <w:sz w:val="20"/>
        </w:rPr>
      </w:pPr>
      <w:r>
        <w:rPr>
          <w:rFonts w:ascii="Arial" w:hAnsi="Arial"/>
          <w:color w:val="000000"/>
          <w:sz w:val="20"/>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pStyle w:val="TextBody"/>
        <w:bidi w:val="0"/>
        <w:spacing w:before="0" w:after="240"/>
        <w:jc w:val="both"/>
        <w:rPr>
          <w:rFonts w:ascii="Arial" w:hAnsi="Arial"/>
          <w:color w:val="000000"/>
          <w:sz w:val="20"/>
        </w:rPr>
      </w:pPr>
      <w:r>
        <w:rPr>
          <w:rFonts w:ascii="Arial" w:hAnsi="Arial"/>
          <w:color w:val="000000"/>
          <w:sz w:val="20"/>
        </w:rPr>
        <w:t>Any claims of patent infringement, misappropriation or other violations asserted by third parties would be time consuming and could: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 in costly litigation that may cause negative publicity;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cause development delays;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prevent us from commercializing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require us to develop non-infringing technology, which may not be possible on a cost-effective basis;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 us to significant liability to third parties; 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0" w:after="240"/>
        <w:jc w:val="both"/>
        <w:rPr>
          <w:rFonts w:ascii="Arial" w:hAnsi="Arial"/>
          <w:color w:val="000000"/>
          <w:sz w:val="20"/>
        </w:rPr>
      </w:pPr>
      <w:r>
        <w:rPr>
          <w:rFonts w:ascii="Arial" w:hAnsi="Arial"/>
          <w:color w:val="000000"/>
          <w:sz w:val="20"/>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pStyle w:val="TextBody"/>
        <w:bidi w:val="0"/>
        <w:spacing w:before="0" w:after="240"/>
        <w:jc w:val="both"/>
        <w:rPr>
          <w:rFonts w:ascii="Arial" w:hAnsi="Arial"/>
          <w:color w:val="000000"/>
          <w:sz w:val="20"/>
        </w:rPr>
      </w:pPr>
      <w:r>
        <w:rPr>
          <w:rFonts w:ascii="Arial" w:hAnsi="Arial"/>
          <w:color w:val="000000"/>
          <w:sz w:val="20"/>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not be successful in obtaining or maintaining necessary rights from third parties for that we identify as necessary for palazestrant or OP-3136 through acquisitions and in-licenses.</w:t>
      </w:r>
    </w:p>
    <w:p>
      <w:pPr>
        <w:pStyle w:val="TextBody"/>
        <w:bidi w:val="0"/>
        <w:spacing w:before="0" w:after="240"/>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pStyle w:val="TextBody"/>
        <w:bidi w:val="0"/>
        <w:spacing w:before="0" w:after="240"/>
        <w:jc w:val="both"/>
        <w:rPr>
          <w:rFonts w:ascii="Arial" w:hAnsi="Arial"/>
          <w:color w:val="000000"/>
          <w:sz w:val="20"/>
        </w:rPr>
      </w:pPr>
      <w:r>
        <w:rPr>
          <w:rFonts w:ascii="Arial" w:hAnsi="Arial"/>
          <w:color w:val="000000"/>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0" w:after="240"/>
        <w:jc w:val="both"/>
        <w:rPr>
          <w:rFonts w:ascii="Arial" w:hAnsi="Arial"/>
          <w:color w:val="000000"/>
          <w:sz w:val="20"/>
        </w:rPr>
      </w:pPr>
      <w:r>
        <w:rPr>
          <w:rFonts w:ascii="Arial" w:hAnsi="Arial"/>
          <w:color w:val="000000"/>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0" w:after="240"/>
        <w:jc w:val="both"/>
        <w:rPr>
          <w:rFonts w:ascii="Arial" w:hAnsi="Arial"/>
          <w:color w:val="000000"/>
          <w:sz w:val="20"/>
        </w:rPr>
      </w:pPr>
      <w:r>
        <w:rPr>
          <w:rFonts w:ascii="Arial" w:hAnsi="Arial"/>
          <w:color w:val="000000"/>
          <w:sz w:val="20"/>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pStyle w:val="TextBody"/>
        <w:bidi w:val="0"/>
        <w:spacing w:before="0" w:after="240"/>
        <w:jc w:val="both"/>
        <w:rPr>
          <w:rFonts w:ascii="Arial" w:hAnsi="Arial"/>
          <w:color w:val="000000"/>
          <w:sz w:val="20"/>
        </w:rPr>
      </w:pPr>
      <w:r>
        <w:rPr>
          <w:rFonts w:ascii="Arial" w:hAnsi="Arial"/>
          <w:color w:val="000000"/>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litigation may lead to unfavorable publicity that harms our reputation and causes the market price of our common shares to decline.</w:t>
      </w:r>
    </w:p>
    <w:p>
      <w:pPr>
        <w:pStyle w:val="TextBody"/>
        <w:bidi w:val="0"/>
        <w:spacing w:before="0" w:after="240"/>
        <w:jc w:val="both"/>
        <w:rPr>
          <w:rFonts w:ascii="Arial" w:hAnsi="Arial"/>
          <w:color w:val="000000"/>
          <w:sz w:val="20"/>
        </w:rPr>
      </w:pPr>
      <w:r>
        <w:rPr>
          <w:rFonts w:ascii="Arial" w:hAnsi="Arial"/>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0" w:after="240"/>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bidi w:val="0"/>
        <w:spacing w:before="0" w:after="240"/>
        <w:jc w:val="both"/>
        <w:rPr>
          <w:rFonts w:ascii="Arial" w:hAnsi="Arial"/>
          <w:color w:val="000000"/>
          <w:sz w:val="20"/>
        </w:rPr>
      </w:pPr>
      <w:r>
        <w:rPr>
          <w:rFonts w:ascii="Arial" w:hAnsi="Arial"/>
          <w:color w:val="000000"/>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0" w:after="240"/>
        <w:jc w:val="both"/>
        <w:rPr>
          <w:rFonts w:ascii="Arial" w:hAnsi="Arial"/>
          <w:color w:val="000000"/>
          <w:sz w:val="20"/>
        </w:rPr>
      </w:pPr>
      <w:r>
        <w:rPr>
          <w:rFonts w:ascii="Arial" w:hAnsi="Arial"/>
          <w:color w:val="000000"/>
          <w:sz w:val="20"/>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 we may develop or (2) invent any of the inventions claimed in the patents or patent applications.</w:t>
      </w:r>
    </w:p>
    <w:p>
      <w:pPr>
        <w:pStyle w:val="TextBody"/>
        <w:bidi w:val="0"/>
        <w:spacing w:before="0" w:after="240"/>
        <w:jc w:val="both"/>
        <w:rPr>
          <w:rFonts w:ascii="Times New Roman" w:hAnsi="Times New Roman"/>
          <w:sz w:val="20"/>
        </w:rPr>
      </w:pPr>
      <w:r>
        <w:rPr>
          <w:rFonts w:ascii="Arial" w:hAnsi="Arial"/>
          <w:color w:val="000000"/>
          <w:sz w:val="20"/>
        </w:rPr>
        <w:t>The Leahy-Smith Act also includes a number of significant changes that affect the way patent applications will be prosecuted and also may affect patent litigation. These include allowing third-party submission of prior art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240"/>
        <w:jc w:val="both"/>
        <w:rPr>
          <w:rFonts w:ascii="Arial" w:hAnsi="Arial"/>
          <w:color w:val="000000"/>
          <w:sz w:val="20"/>
        </w:rPr>
      </w:pPr>
      <w:r>
        <w:rPr>
          <w:rFonts w:ascii="Arial" w:hAnsi="Arial"/>
          <w:color w:val="000000"/>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Changes in U.S. patent law, or laws in other countries, could diminish the value of patents in general, thereby impairing our ability to protect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0" w:after="240"/>
        <w:jc w:val="both"/>
        <w:rPr>
          <w:rFonts w:ascii="Arial" w:hAnsi="Arial"/>
          <w:color w:val="000000"/>
          <w:sz w:val="20"/>
        </w:rPr>
      </w:pPr>
      <w:r>
        <w:rPr>
          <w:rFonts w:ascii="Arial" w:hAnsi="Arial"/>
          <w:color w:val="000000"/>
          <w:sz w:val="20"/>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challenging the inventorship or ownership of our patents and other intellectual property.</w:t>
      </w:r>
    </w:p>
    <w:p>
      <w:pPr>
        <w:pStyle w:val="TextBody"/>
        <w:bidi w:val="0"/>
        <w:spacing w:before="0" w:after="240"/>
        <w:jc w:val="both"/>
        <w:rPr>
          <w:rFonts w:ascii="Arial" w:hAnsi="Arial"/>
          <w:color w:val="000000"/>
          <w:sz w:val="20"/>
        </w:rPr>
      </w:pPr>
      <w:r>
        <w:rPr>
          <w:rFonts w:ascii="Arial" w:hAnsi="Arial"/>
          <w:color w:val="000000"/>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w:t>
      </w:r>
    </w:p>
    <w:p>
      <w:pPr>
        <w:pStyle w:val="TextBody"/>
        <w:bidi w:val="0"/>
        <w:spacing w:before="0" w:after="240"/>
        <w:jc w:val="both"/>
        <w:rPr>
          <w:rFonts w:ascii="Arial" w:hAnsi="Arial"/>
          <w:color w:val="000000"/>
          <w:sz w:val="20"/>
        </w:rPr>
      </w:pPr>
      <w:r>
        <w:rPr>
          <w:rFonts w:ascii="Arial" w:hAnsi="Arial"/>
          <w:color w:val="000000"/>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Patent terms may be inadequate to protect our competitive position on palazestrant, OP-3136 or any future product candidates we may develop for an adequate amount of time.</w:t>
      </w:r>
    </w:p>
    <w:p>
      <w:pPr>
        <w:pStyle w:val="TextBody"/>
        <w:bidi w:val="0"/>
        <w:spacing w:before="0" w:after="240"/>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240"/>
        <w:jc w:val="both"/>
        <w:rPr>
          <w:rFonts w:ascii="Arial" w:hAnsi="Arial"/>
          <w:color w:val="000000"/>
          <w:sz w:val="20"/>
        </w:rPr>
      </w:pPr>
      <w:r>
        <w:rPr>
          <w:rFonts w:ascii="Arial" w:hAnsi="Arial"/>
          <w:color w:val="000000"/>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bidi w:val="0"/>
        <w:spacing w:before="0" w:after="240"/>
        <w:jc w:val="both"/>
        <w:rPr>
          <w:rFonts w:ascii="Arial" w:hAnsi="Arial"/>
          <w:color w:val="000000"/>
          <w:sz w:val="20"/>
        </w:rPr>
      </w:pPr>
      <w:r>
        <w:rPr>
          <w:rFonts w:ascii="Arial" w:hAnsi="Arial"/>
          <w:color w:val="000000"/>
          <w:sz w:val="20"/>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do not obtain patent term extension for palazestrant, OP-3136 or any future product candidates we may develop, our business, financial condition, results of operations and prospects may be significantly harmed.</w:t>
      </w:r>
    </w:p>
    <w:p>
      <w:pPr>
        <w:pStyle w:val="TextBody"/>
        <w:bidi w:val="0"/>
        <w:spacing w:before="0" w:after="240"/>
        <w:jc w:val="both"/>
        <w:rPr>
          <w:rFonts w:ascii="Arial" w:hAnsi="Arial"/>
          <w:color w:val="000000"/>
          <w:sz w:val="20"/>
        </w:rPr>
      </w:pPr>
      <w:r>
        <w:rPr>
          <w:rFonts w:ascii="Arial" w:hAnsi="Arial"/>
          <w:color w:val="000000"/>
          <w:sz w:val="20"/>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bidi w:val="0"/>
        <w:spacing w:before="0" w:after="240"/>
        <w:jc w:val="both"/>
        <w:rPr>
          <w:rFonts w:ascii="Arial" w:hAnsi="Arial"/>
          <w:b/>
          <w:i/>
          <w:color w:val="000000"/>
          <w:sz w:val="20"/>
        </w:rPr>
      </w:pPr>
      <w:r>
        <w:rPr>
          <w:rFonts w:ascii="Arial" w:hAnsi="Arial"/>
          <w:b/>
          <w:i/>
          <w:color w:val="000000"/>
          <w:sz w:val="20"/>
        </w:rPr>
        <w:t>We will not be able to protect our intellectual property rights throughout the world.</w:t>
      </w:r>
    </w:p>
    <w:p>
      <w:pPr>
        <w:pStyle w:val="TextBody"/>
        <w:bidi w:val="0"/>
        <w:spacing w:before="0" w:after="240"/>
        <w:jc w:val="both"/>
        <w:rPr>
          <w:rFonts w:ascii="Times New Roman" w:hAnsi="Times New Roman"/>
          <w:sz w:val="20"/>
        </w:rPr>
      </w:pPr>
      <w:r>
        <w:rPr>
          <w:rFonts w:ascii="Arial" w:hAnsi="Arial"/>
          <w:color w:val="000000"/>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pStyle w:val="TextBody"/>
        <w:bidi w:val="0"/>
        <w:spacing w:before="0" w:after="240"/>
        <w:jc w:val="both"/>
        <w:rPr>
          <w:rFonts w:ascii="Arial" w:hAnsi="Arial"/>
          <w:color w:val="000000"/>
          <w:sz w:val="20"/>
        </w:rPr>
      </w:pPr>
      <w:r>
        <w:rPr>
          <w:rFonts w:ascii="Arial" w:hAnsi="Arial"/>
          <w:color w:val="000000"/>
          <w:sz w:val="20"/>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pStyle w:val="TextBody"/>
        <w:bidi w:val="0"/>
        <w:spacing w:before="0" w:after="240"/>
        <w:jc w:val="both"/>
        <w:rPr>
          <w:rFonts w:ascii="Arial" w:hAnsi="Arial"/>
          <w:color w:val="000000"/>
          <w:sz w:val="20"/>
        </w:rPr>
      </w:pPr>
      <w:r>
        <w:rPr>
          <w:rFonts w:ascii="Arial" w:hAnsi="Arial"/>
          <w:color w:val="000000"/>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0" w:after="240"/>
        <w:jc w:val="both"/>
        <w:rPr>
          <w:rFonts w:ascii="Times New Roman" w:hAnsi="Times New Roman"/>
          <w:sz w:val="20"/>
        </w:rPr>
      </w:pPr>
      <w:r>
        <w:rPr>
          <w:rFonts w:ascii="Arial" w:hAnsi="Arial"/>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0" w:after="240"/>
        <w:jc w:val="left"/>
        <w:rPr>
          <w:rFonts w:ascii="Arial" w:hAnsi="Arial"/>
          <w:b/>
          <w:i/>
          <w:color w:val="000000"/>
          <w:sz w:val="20"/>
        </w:rPr>
      </w:pPr>
      <w:r>
        <w:rPr>
          <w:rFonts w:ascii="Arial" w:hAnsi="Arial"/>
          <w:b/>
          <w:i/>
          <w:color w:val="000000"/>
          <w:sz w:val="20"/>
        </w:rPr>
        <w:t>If we are unable to protect the confidentiality of our trade secrets, our business, financial condition, results of operations, prospects and competitive position would be significantly harmed.</w:t>
      </w:r>
    </w:p>
    <w:p>
      <w:pPr>
        <w:pStyle w:val="TextBody"/>
        <w:bidi w:val="0"/>
        <w:spacing w:before="0" w:after="240"/>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0" w:after="240"/>
        <w:jc w:val="both"/>
        <w:rPr>
          <w:rFonts w:ascii="Arial" w:hAnsi="Arial"/>
          <w:color w:val="000000"/>
          <w:sz w:val="20"/>
        </w:rPr>
      </w:pPr>
      <w:r>
        <w:rPr>
          <w:rFonts w:ascii="Arial" w:hAnsi="Arial"/>
          <w:color w:val="000000"/>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that we or our employees have wrongfully used or disclosed alleged confidential information or trade secrets.</w:t>
      </w:r>
    </w:p>
    <w:p>
      <w:pPr>
        <w:pStyle w:val="TextBody"/>
        <w:bidi w:val="0"/>
        <w:spacing w:before="0" w:after="240"/>
        <w:jc w:val="both"/>
        <w:rPr>
          <w:rFonts w:ascii="Times New Roman" w:hAnsi="Times New Roman"/>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successful in defending against these claims, litigation could result in substantial costs and be a distraction to our management team and other employees.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rights to develop and commercialize our technology and product candidates may be subject, in part, to the terms and conditions of licenses granted to us by others.</w:t>
      </w:r>
    </w:p>
    <w:p>
      <w:pPr>
        <w:pStyle w:val="TextBody"/>
        <w:bidi w:val="0"/>
        <w:spacing w:before="0" w:after="240"/>
        <w:jc w:val="both"/>
        <w:rPr>
          <w:rFonts w:ascii="Arial" w:hAnsi="Arial"/>
          <w:color w:val="000000"/>
          <w:sz w:val="20"/>
        </w:rPr>
      </w:pPr>
      <w:r>
        <w:rPr>
          <w:rFonts w:ascii="Arial" w:hAnsi="Arial"/>
          <w:color w:val="000000"/>
          <w:sz w:val="20"/>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spacing w:before="0" w:after="240"/>
        <w:jc w:val="both"/>
        <w:rPr>
          <w:rFonts w:ascii="Arial" w:hAnsi="Arial"/>
          <w:color w:val="000000"/>
          <w:sz w:val="20"/>
        </w:rPr>
      </w:pPr>
      <w:r>
        <w:rPr>
          <w:rFonts w:ascii="Arial" w:hAnsi="Arial"/>
          <w:color w:val="000000"/>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0" w:after="240"/>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0" w:after="240"/>
        <w:jc w:val="both"/>
        <w:rPr>
          <w:rFonts w:ascii="Arial" w:hAnsi="Arial"/>
          <w:color w:val="000000"/>
          <w:sz w:val="20"/>
        </w:rPr>
      </w:pPr>
      <w:r>
        <w:rPr>
          <w:rFonts w:ascii="Arial" w:hAnsi="Arial"/>
          <w:color w:val="000000"/>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240"/>
        <w:jc w:val="both"/>
        <w:rPr>
          <w:rFonts w:ascii="Times New Roman" w:hAnsi="Times New Roman"/>
          <w:sz w:val="20"/>
        </w:rPr>
      </w:pPr>
      <w:r>
        <w:rPr>
          <w:rFonts w:ascii="Arial" w:hAnsi="Arial"/>
          <w:color w:val="000000"/>
          <w:sz w:val="20"/>
        </w:rPr>
        <w:t>We may need to obtain additional licenses from existing licensors and others to advance our research or allow commercialization of product candidates we develop. It is possible that we may be unable to obtain additional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0" w:after="240"/>
        <w:jc w:val="both"/>
        <w:rPr>
          <w:rFonts w:ascii="Arial" w:hAnsi="Arial"/>
          <w:color w:val="000000"/>
          <w:sz w:val="20"/>
        </w:rPr>
      </w:pPr>
      <w:r>
        <w:rPr>
          <w:rFonts w:ascii="Arial" w:hAnsi="Arial"/>
          <w:color w:val="000000"/>
          <w:sz w:val="20"/>
        </w:rPr>
        <w:t>Disputes may arise between us and our past, current or future licensors regarding intellectual property subject to a license agreement,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scope of rights granted under the license agreement and other interpretation-related issues;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whether and the extent to which our technology and processes infringe on intellectual property of the licensor that is not subject to the licensing agreement;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right to sublicense patents and other rights to third parties;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diligence obligations under the license agreement and what activities satisfy those diligence obligations;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right to transfer or assign the license;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inventorship and ownership of inventions and know-how resulting from the joint creation or use of intellectual property by our licensors and us and our partners;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priority of invention of patented technology.</w:t>
      </w:r>
    </w:p>
    <w:p>
      <w:pPr>
        <w:pStyle w:val="TextBody"/>
        <w:bidi w:val="0"/>
        <w:spacing w:before="0" w:after="240"/>
        <w:jc w:val="both"/>
        <w:rPr>
          <w:rFonts w:ascii="Arial" w:hAnsi="Arial"/>
          <w:color w:val="000000"/>
          <w:sz w:val="20"/>
        </w:rPr>
      </w:pPr>
      <w:r>
        <w:rPr>
          <w:rFonts w:ascii="Arial" w:hAnsi="Arial"/>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0" w:after="240"/>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spacing w:before="0" w:after="240"/>
        <w:jc w:val="both"/>
        <w:rPr>
          <w:rFonts w:ascii="Times New Roman" w:hAnsi="Times New Roman"/>
          <w:sz w:val="20"/>
        </w:rPr>
      </w:pPr>
      <w:r>
        <w:rPr>
          <w:rFonts w:ascii="Arial" w:hAnsi="Arial"/>
          <w:b/>
          <w:i/>
          <w:color w:val="000000"/>
          <w:sz w:val="20"/>
        </w:rPr>
        <w:t>Intellectual property discovered through government funded programs may be subject to federal regulations such as “march-in” rights, certain reporting requirements and a preference for U.S.-based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companies. Compliance with such regulations may limit our exclusive rights and limit our ability to contract with non-U.S. manufacturers.</w:t>
      </w:r>
    </w:p>
    <w:p>
      <w:pPr>
        <w:pStyle w:val="TextBody"/>
        <w:bidi w:val="0"/>
        <w:spacing w:before="0" w:after="240"/>
        <w:jc w:val="both"/>
        <w:rPr>
          <w:rFonts w:ascii="Arial" w:hAnsi="Arial"/>
          <w:color w:val="000000"/>
          <w:sz w:val="20"/>
        </w:rPr>
      </w:pPr>
      <w:r>
        <w:rPr>
          <w:rFonts w:ascii="Arial" w:hAnsi="Arial"/>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0" w:after="240"/>
        <w:jc w:val="both"/>
        <w:rPr>
          <w:rFonts w:ascii="Arial" w:hAnsi="Arial"/>
          <w:b/>
          <w:i/>
          <w:color w:val="000000"/>
          <w:sz w:val="20"/>
        </w:rPr>
      </w:pPr>
      <w:r>
        <w:rPr>
          <w:rFonts w:ascii="Arial" w:hAnsi="Arial"/>
          <w:b/>
          <w:i/>
          <w:color w:val="000000"/>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before="0" w:after="240"/>
        <w:jc w:val="both"/>
        <w:rPr>
          <w:rFonts w:ascii="Arial" w:hAnsi="Arial"/>
          <w:color w:val="000000"/>
          <w:sz w:val="20"/>
        </w:rPr>
      </w:pPr>
      <w:r>
        <w:rPr>
          <w:rFonts w:ascii="Arial" w:hAnsi="Arial"/>
          <w:color w:val="000000"/>
          <w:sz w:val="20"/>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pStyle w:val="TextBody"/>
        <w:bidi w:val="0"/>
        <w:spacing w:before="0" w:after="240"/>
        <w:jc w:val="both"/>
        <w:rPr>
          <w:rFonts w:ascii="Arial" w:hAnsi="Arial"/>
          <w:color w:val="000000"/>
          <w:sz w:val="20"/>
        </w:rPr>
      </w:pPr>
      <w:r>
        <w:rPr>
          <w:rFonts w:ascii="Arial" w:hAnsi="Arial"/>
          <w:color w:val="000000"/>
          <w:sz w:val="20"/>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0" w:after="240"/>
        <w:jc w:val="both"/>
        <w:rPr>
          <w:rFonts w:ascii="Arial" w:hAnsi="Arial"/>
          <w:color w:val="000000"/>
          <w:sz w:val="20"/>
        </w:rPr>
      </w:pPr>
      <w:r>
        <w:rPr>
          <w:rFonts w:ascii="Arial" w:hAnsi="Arial"/>
          <w:color w:val="000000"/>
          <w:sz w:val="20"/>
        </w:rPr>
        <w:t>We expect to continue to rely on third-party manufacturers for the commercial supply of palazestrant,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disruptions resulting from the impact of public health pandemics or epidemics;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reduction or termination of production or deliveries by suppliers, or the raising of prices or renegotiation of terms;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the termination or nonrenewal of arrangements or agreements by our third-party contractors at a time that is costly or inconvenient for us;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breach by the third-party contractors of our agreements with them;</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failure of third-party contractors to comply with applicable regulatory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specifications;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mislabeling of clinical supplies, potentially resulting in the wrong dose amounts being supplied or active drug or placebo not being properly identified;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misappropriation of our proprietary information, including our trade secrets and know-how.</w:t>
      </w:r>
    </w:p>
    <w:p>
      <w:pPr>
        <w:pStyle w:val="TextBody"/>
        <w:bidi w:val="0"/>
        <w:jc w:val="both"/>
        <w:rPr>
          <w:rFonts w:ascii="Arial" w:hAnsi="Arial"/>
          <w:color w:val="000000"/>
          <w:sz w:val="20"/>
        </w:rPr>
      </w:pPr>
      <w:r>
        <w:rPr>
          <w:rFonts w:ascii="Arial" w:hAnsi="Arial"/>
          <w:color w:val="000000"/>
          <w:sz w:val="20"/>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pStyle w:val="TextBody"/>
        <w:bidi w:val="0"/>
        <w:jc w:val="both"/>
        <w:rPr>
          <w:rFonts w:ascii="Times New Roman" w:hAnsi="Times New Roman"/>
          <w:sz w:val="20"/>
        </w:rPr>
      </w:pPr>
      <w:r>
        <w:rPr>
          <w:rFonts w:ascii="Arial" w:hAnsi="Arial"/>
          <w:color w:val="000000"/>
          <w:sz w:val="20"/>
        </w:rPr>
        <w:t>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as amended by Amendment No. 1 to Amended and Restated Clinical Collaboration and Supply Agreement between us and Novartis, and Amendment No. 2 to Amended and Restated Clinical Collaboration and Supply Agreement between us and Novartis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study may be delayed and the cost to us to conduct this trial may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significantly increase, which would significantly harm our business, financial condition, results of operations and prospects. In addition, for our Phase 3 clinical trial of palazestrant in combination with ribociclib in ER+/HER2- frontline advanced or metastatic breast cancer, we entered into a Clinical Trial Collaboration and Supply Agreement with Novartis Pharma. Under the terms of the Novartis Pharma Agreement, Novartis Pharma will manufacture and supply ribociclib. If Novartis Pharma is unable to timely manufacture or supply ribociclib, or if the Novartis Pharma Agreement terminates and we are unable to obtain ribociclib on the current terms, our Phase 3 clinical trial may be delayed and the cost to us to conduct this trial may significantly increase. Either of these outcomes would significantly harm our business, financial condition, results of operations and prospects. Refer to Note 10 of our notes to the condensed consolidated financial statements contained in this Quarterly Report on Form 10-Q for further information regarding the Novartis Agreement and the Novartis Pharma Agreement.</w:t>
      </w:r>
    </w:p>
    <w:p>
      <w:pPr>
        <w:pStyle w:val="TextBody"/>
        <w:bidi w:val="0"/>
        <w:spacing w:before="0" w:after="240"/>
        <w:jc w:val="both"/>
        <w:rPr>
          <w:rFonts w:ascii="Arial" w:hAnsi="Arial"/>
          <w:color w:val="000000"/>
          <w:sz w:val="20"/>
        </w:rPr>
      </w:pPr>
      <w:r>
        <w:rPr>
          <w:rFonts w:ascii="Arial" w:hAnsi="Arial"/>
          <w:color w:val="000000"/>
          <w:sz w:val="20"/>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pStyle w:val="TextBody"/>
        <w:bidi w:val="0"/>
        <w:spacing w:before="0" w:after="240"/>
        <w:jc w:val="both"/>
        <w:rPr>
          <w:rFonts w:ascii="Arial" w:hAnsi="Arial"/>
          <w:b/>
          <w:i/>
          <w:color w:val="000000"/>
          <w:sz w:val="20"/>
        </w:rPr>
      </w:pPr>
      <w:r>
        <w:rPr>
          <w:rFonts w:ascii="Arial" w:hAnsi="Arial"/>
          <w:b/>
          <w:i/>
          <w:color w:val="000000"/>
          <w:sz w:val="20"/>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pStyle w:val="TextBody"/>
        <w:bidi w:val="0"/>
        <w:spacing w:before="0" w:after="240"/>
        <w:jc w:val="both"/>
        <w:rPr>
          <w:rFonts w:ascii="Arial" w:hAnsi="Arial"/>
          <w:color w:val="000000"/>
          <w:sz w:val="20"/>
        </w:rPr>
      </w:pPr>
      <w:r>
        <w:rPr>
          <w:rFonts w:ascii="Arial" w:hAnsi="Arial"/>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pStyle w:val="TextBody"/>
        <w:bidi w:val="0"/>
        <w:spacing w:before="0" w:after="240"/>
        <w:jc w:val="both"/>
        <w:rPr>
          <w:rFonts w:ascii="Arial" w:hAnsi="Arial"/>
          <w:color w:val="000000"/>
          <w:sz w:val="20"/>
        </w:rPr>
      </w:pPr>
      <w:r>
        <w:rPr>
          <w:rFonts w:ascii="Arial" w:hAnsi="Arial"/>
          <w:color w:val="000000"/>
          <w:sz w:val="20"/>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increased operating expenses and cash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assumption of contingent liabilities;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issuance of our equity securities;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assimilation of operations, intellectual property and products of an acquired company, including difficulties associated with integrating new personnel;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the diversion of our management’s attention from our existing programs and initiatives in pursuing such a strategic merger or acquisition;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retention of key employees, the loss of key personnel and uncertainties in our ability to maintain key business relationships;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risk of delay in receiving or the failure to receive anticipated benefits of any such transactions, or of facing unanticipated challenges;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risks and uncertainties associated with the other party to such a transaction, including the prospects of that party and their existing products or product candidates and marketing approvals;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0" w:after="240"/>
        <w:jc w:val="both"/>
        <w:rPr>
          <w:rFonts w:ascii="Arial" w:hAnsi="Arial"/>
          <w:color w:val="000000"/>
          <w:sz w:val="20"/>
        </w:rPr>
      </w:pPr>
      <w:r>
        <w:rPr>
          <w:rFonts w:ascii="Arial" w:hAnsi="Arial"/>
          <w:color w:val="000000"/>
          <w:sz w:val="20"/>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240"/>
        <w:jc w:val="both"/>
        <w:rPr>
          <w:rFonts w:ascii="Arial" w:hAnsi="Arial"/>
          <w:b/>
          <w:i/>
          <w:color w:val="000000"/>
          <w:sz w:val="20"/>
        </w:rPr>
      </w:pPr>
      <w:r>
        <w:rPr>
          <w:rFonts w:ascii="Arial" w:hAnsi="Arial"/>
          <w:b/>
          <w:i/>
          <w:color w:val="000000"/>
          <w:sz w:val="20"/>
        </w:rPr>
        <w:t>We have entered into collaborations with third parties for the development and commercialization of palazestrant. If those collaborations are not successful, we may not be able to capitalize on the market potential of palazestrant.</w:t>
      </w:r>
    </w:p>
    <w:p>
      <w:pPr>
        <w:pStyle w:val="TextBody"/>
        <w:bidi w:val="0"/>
        <w:spacing w:before="0" w:after="240"/>
        <w:jc w:val="both"/>
        <w:rPr>
          <w:rFonts w:ascii="Arial" w:hAnsi="Arial"/>
          <w:color w:val="000000"/>
          <w:sz w:val="20"/>
        </w:rPr>
      </w:pPr>
      <w:r>
        <w:rPr>
          <w:rFonts w:ascii="Arial" w:hAnsi="Arial"/>
          <w:color w:val="000000"/>
          <w:sz w:val="20"/>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pStyle w:val="TextBody"/>
        <w:bidi w:val="0"/>
        <w:spacing w:before="0" w:after="240"/>
        <w:jc w:val="both"/>
        <w:rPr>
          <w:rFonts w:ascii="Arial" w:hAnsi="Arial"/>
          <w:color w:val="000000"/>
          <w:sz w:val="20"/>
        </w:rPr>
      </w:pPr>
      <w:r>
        <w:rPr>
          <w:rFonts w:ascii="Arial" w:hAnsi="Arial"/>
          <w:color w:val="000000"/>
          <w:sz w:val="20"/>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have significant discretion in determining the efforts and resources that they will apply to these collaborations and may not perform their obligations as expected;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 xml:space="preserve">collaborators could independently develop, or develop with third parties, products that compete directly or indirectly with palazestrant if the collaborators believe that competitive products are more likely to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231F20"/>
          <w:sz w:val="20"/>
        </w:rPr>
      </w:pPr>
      <w:r>
        <w:rPr>
          <w:rFonts w:ascii="Arial" w:hAnsi="Arial"/>
          <w:color w:val="231F20"/>
          <w:sz w:val="20"/>
        </w:rPr>
        <w:t>be successfully developed or can be commercialized under terms that are more economically attractive than ours;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collaboration agreements may not lead to development or commercialization of product candidates in the most efficient manner or at all;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before="0" w:after="240"/>
        <w:jc w:val="both"/>
        <w:rPr>
          <w:rFonts w:ascii="Arial" w:hAnsi="Arial"/>
          <w:b/>
          <w:i/>
          <w:color w:val="000000"/>
          <w:sz w:val="20"/>
        </w:rPr>
      </w:pPr>
      <w:r>
        <w:rPr>
          <w:rFonts w:ascii="Arial" w:hAnsi="Arial"/>
          <w:b/>
          <w:i/>
          <w:color w:val="000000"/>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0" w:after="240"/>
        <w:jc w:val="both"/>
        <w:rPr>
          <w:rFonts w:ascii="Arial" w:hAnsi="Arial"/>
          <w:color w:val="000000"/>
          <w:sz w:val="20"/>
        </w:rPr>
      </w:pPr>
      <w:r>
        <w:rPr>
          <w:rFonts w:ascii="Arial" w:hAnsi="Arial"/>
          <w:color w:val="000000"/>
          <w:sz w:val="20"/>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240"/>
        <w:jc w:val="both"/>
        <w:rPr>
          <w:rFonts w:ascii="Arial" w:hAnsi="Arial"/>
          <w:color w:val="000000"/>
          <w:sz w:val="20"/>
        </w:rPr>
      </w:pPr>
      <w:r>
        <w:rPr>
          <w:rFonts w:ascii="Arial" w:hAnsi="Arial"/>
          <w:color w:val="000000"/>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jc w:val="both"/>
        <w:rPr>
          <w:rFonts w:ascii="Arial" w:hAnsi="Arial"/>
          <w:color w:val="000000"/>
          <w:sz w:val="20"/>
        </w:rPr>
      </w:pPr>
      <w:r>
        <w:rPr>
          <w:rFonts w:ascii="Arial" w:hAnsi="Arial"/>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pStyle w:val="TextBody"/>
        <w:bidi w:val="0"/>
        <w:spacing w:before="0" w:after="240"/>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0" w:after="240"/>
        <w:jc w:val="both"/>
        <w:rPr>
          <w:rFonts w:ascii="Arial" w:hAnsi="Arial"/>
          <w:b/>
          <w:i/>
          <w:color w:val="000000"/>
          <w:sz w:val="20"/>
        </w:rPr>
      </w:pPr>
      <w:r>
        <w:rPr>
          <w:rFonts w:ascii="Arial" w:hAnsi="Arial"/>
          <w:b/>
          <w:i/>
          <w:color w:val="000000"/>
          <w:sz w:val="20"/>
        </w:rPr>
        <w:t>An active trading market for our common stock may not be sustained.</w:t>
      </w:r>
    </w:p>
    <w:p>
      <w:pPr>
        <w:pStyle w:val="TextBody"/>
        <w:bidi w:val="0"/>
        <w:spacing w:before="0" w:after="240"/>
        <w:jc w:val="both"/>
        <w:rPr>
          <w:rFonts w:ascii="Arial" w:hAnsi="Arial"/>
          <w:color w:val="000000"/>
          <w:sz w:val="20"/>
        </w:rPr>
      </w:pPr>
      <w:r>
        <w:rPr>
          <w:rFonts w:ascii="Arial" w:hAnsi="Arial"/>
          <w:color w:val="000000"/>
          <w:sz w:val="20"/>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pStyle w:val="TextBody"/>
        <w:bidi w:val="0"/>
        <w:spacing w:before="0" w:after="240"/>
        <w:jc w:val="both"/>
        <w:rPr>
          <w:rFonts w:ascii="Arial" w:hAnsi="Arial"/>
          <w:b/>
          <w:i/>
          <w:color w:val="000000"/>
          <w:sz w:val="20"/>
        </w:rPr>
      </w:pPr>
      <w:r>
        <w:rPr>
          <w:rFonts w:ascii="Arial" w:hAnsi="Arial"/>
          <w:b/>
          <w:i/>
          <w:color w:val="000000"/>
          <w:sz w:val="20"/>
        </w:rPr>
        <w:t>The price of our stock has been and may continue to be volatile, and you could lose all or part of your investment.</w:t>
      </w:r>
    </w:p>
    <w:p>
      <w:pPr>
        <w:pStyle w:val="TextBody"/>
        <w:bidi w:val="0"/>
        <w:spacing w:before="0" w:after="240"/>
        <w:jc w:val="both"/>
        <w:rPr>
          <w:rFonts w:ascii="Arial" w:hAnsi="Arial"/>
          <w:color w:val="000000"/>
          <w:sz w:val="20"/>
        </w:rPr>
      </w:pPr>
      <w:r>
        <w:rPr>
          <w:rFonts w:ascii="Arial" w:hAnsi="Arial"/>
          <w:color w:val="000000"/>
          <w:sz w:val="20"/>
        </w:rPr>
        <w:t>The trading price of our common stock has been and may continue to be highly volatile and subject to wide fluctuations in response to various factors, some of which we cannot control. For example, the closing price of our common stock from January 1, 2024 to August 7, 2025 has ranged from a low of $3.06 to a high of $16.62.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0" w:after="240"/>
        <w:jc w:val="both"/>
        <w:rPr>
          <w:rFonts w:ascii="Arial" w:hAnsi="Arial"/>
          <w:color w:val="000000"/>
          <w:sz w:val="20"/>
        </w:rPr>
      </w:pPr>
      <w:r>
        <w:rPr>
          <w:rFonts w:ascii="Arial" w:hAnsi="Arial"/>
          <w:color w:val="000000"/>
          <w:sz w:val="20"/>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the timing and results of non-clinical studies and clinical trials of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or those of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success of competitive products or announcements by potential competitors of their product development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actions with respect to our product candidates or our competitors’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our growth rate relative to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or legal developments in the United States and other countries;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developments or disputes concerning patent applications, issued patents or other proprietary rights;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recruitment or departure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announcements by us or our competitors of significant acquisitions, strategic collaborations, joint ventures, collaborations or capital commitments;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estimates as to financial results, development timelines or recommendations by securities analysts;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fluctuations in the valuation of companies perceived by investors to be comparable to us;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market conditions in the pharmaceutical and biotechnology sector;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the structure of healthcare payment systems;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share price and volume fluctuations attributable to inconsistent trading volume levels of our shares;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announcement or expectation of additional financing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sales of our common stock by us, our insiders or our other stockholders;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w:t>
      </w:r>
    </w:p>
    <w:p>
      <w:pPr>
        <w:pStyle w:val="TextBody"/>
        <w:bidi w:val="0"/>
        <w:spacing w:before="0" w:after="240"/>
        <w:jc w:val="both"/>
        <w:rPr>
          <w:rFonts w:ascii="Arial" w:hAnsi="Arial"/>
          <w:color w:val="000000"/>
          <w:sz w:val="20"/>
        </w:rPr>
      </w:pPr>
      <w:r>
        <w:rPr>
          <w:rFonts w:ascii="Arial" w:hAnsi="Arial"/>
          <w:color w:val="000000"/>
          <w:sz w:val="20"/>
        </w:rPr>
        <w:t>In addition, the trading prices for common stock of other biopharmaceutical companies have been highly volatile as a result of factors unrelated to the specific company or its technology.</w:t>
      </w:r>
    </w:p>
    <w:p>
      <w:pPr>
        <w:pStyle w:val="TextBody"/>
        <w:bidi w:val="0"/>
        <w:jc w:val="both"/>
        <w:rPr>
          <w:rFonts w:ascii="Arial" w:hAnsi="Arial"/>
          <w:color w:val="000000"/>
          <w:sz w:val="20"/>
        </w:rPr>
      </w:pPr>
      <w:r>
        <w:rPr>
          <w:rFonts w:ascii="Arial" w:hAnsi="Arial"/>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0" w:after="240"/>
        <w:jc w:val="both"/>
        <w:rPr>
          <w:rFonts w:ascii="Arial" w:hAnsi="Arial"/>
          <w:b/>
          <w:i/>
          <w:color w:val="000000"/>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spacing w:before="0" w:after="240"/>
        <w:jc w:val="both"/>
        <w:rPr>
          <w:rFonts w:ascii="Arial" w:hAnsi="Arial"/>
          <w:color w:val="000000"/>
          <w:sz w:val="20"/>
        </w:rPr>
      </w:pPr>
      <w:r>
        <w:rPr>
          <w:rFonts w:ascii="Arial" w:hAnsi="Arial"/>
          <w:color w:val="000000"/>
          <w:sz w:val="20"/>
        </w:rPr>
        <w:t>We expect our operating results to be subject to quarterly fluctuations. Our net loss and other operating results will be affected by numerous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variations in the level of expense related to the ongoing development of palazestrant, OP-3136 or future development programs;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status of enrollment for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impacts from geopolitical and macroeconomic events on us or third parties with which we engage;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results of clinical trials, or the addition or termination of clinical trials or funding support by us or potential future partners;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execution of any collaboration, licensing or similar arrangements, and the timing of payments we may make or receive under potential future arrangements or the termination or modification of any such potential future arrangements;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intellectual property infringement, misappropriation or violation lawsuit or opposition, interference or cancellation proceeding in which we may become involved;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additions and departures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strategic decisions by us or our competitors, such as acquisitions, divestitures, spin-offs, joint ventures, strategic investments or changes in business strategy;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pPr>
      <w:r>
        <w:rPr>
          <w:rFonts w:ascii="Arial" w:hAnsi="Arial"/>
          <w:color w:val="231F20"/>
          <w:sz w:val="20"/>
        </w:rPr>
        <w:t>if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receive regulatory approval, the timing and terms of such approval and market acceptance and demand for such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regulatory developments affecting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those of our competitors;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general market and economic conditions.</w:t>
      </w:r>
    </w:p>
    <w:p>
      <w:pPr>
        <w:pStyle w:val="TextBody"/>
        <w:bidi w:val="0"/>
        <w:spacing w:before="0" w:after="240"/>
        <w:jc w:val="both"/>
        <w:rPr>
          <w:rFonts w:ascii="Arial" w:hAnsi="Arial"/>
          <w:color w:val="000000"/>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0" w:after="240"/>
        <w:jc w:val="both"/>
        <w:rPr>
          <w:rFonts w:ascii="Arial" w:hAnsi="Arial"/>
          <w:b/>
          <w:i/>
          <w:color w:val="000000"/>
          <w:sz w:val="20"/>
        </w:rPr>
      </w:pPr>
      <w:r>
        <w:rPr>
          <w:rFonts w:ascii="Arial" w:hAnsi="Arial"/>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0" w:after="240"/>
        <w:jc w:val="both"/>
        <w:rPr>
          <w:rFonts w:ascii="Arial" w:hAnsi="Arial"/>
          <w:color w:val="000000"/>
          <w:sz w:val="20"/>
        </w:rPr>
      </w:pPr>
      <w:r>
        <w:rPr>
          <w:rFonts w:ascii="Arial" w:hAnsi="Arial"/>
          <w:color w:val="000000"/>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240"/>
        <w:jc w:val="both"/>
        <w:rPr>
          <w:rFonts w:ascii="Arial" w:hAnsi="Arial"/>
          <w:b/>
          <w:i/>
          <w:color w:val="000000"/>
          <w:sz w:val="20"/>
        </w:rPr>
      </w:pPr>
      <w:r>
        <w:rPr>
          <w:rFonts w:ascii="Arial" w:hAnsi="Arial"/>
          <w:b/>
          <w:i/>
          <w:color w:val="000000"/>
          <w:sz w:val="20"/>
        </w:rPr>
        <w:t>Sales of a substantial number of shares of our common stock in the public market could cause our stock price to fall.</w:t>
      </w:r>
    </w:p>
    <w:p>
      <w:pPr>
        <w:pStyle w:val="TextBody"/>
        <w:bidi w:val="0"/>
        <w:spacing w:before="0" w:after="240"/>
        <w:jc w:val="both"/>
        <w:rPr>
          <w:rFonts w:ascii="Arial" w:hAnsi="Arial"/>
          <w:color w:val="000000"/>
          <w:sz w:val="20"/>
        </w:rPr>
      </w:pPr>
      <w:r>
        <w:rPr>
          <w:rFonts w:ascii="Arial" w:hAnsi="Arial"/>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jc w:val="both"/>
        <w:rPr>
          <w:rFonts w:ascii="Arial" w:hAnsi="Arial"/>
          <w:color w:val="000000"/>
          <w:sz w:val="20"/>
        </w:rPr>
      </w:pPr>
      <w:r>
        <w:rPr>
          <w:rFonts w:ascii="Arial" w:hAnsi="Arial"/>
          <w:color w:val="000000"/>
          <w:sz w:val="20"/>
        </w:rPr>
        <w:t>As of August 7, 2025, we had 68,634,329 shares of common stock and pre-funded warrants to purchase up to 17,094,163 shares of common stock outstanding (which are immediately exercisable at an exercise price of $0.0001 per share of common stock, subject to beneficial ownership limitations). Refer to Notes 2 and 12 of our notes to the condensed consolidated financial statements contained in this Quarterly Report on Form 10-Q for further information regarding the pre-funded warrants. Shares issued upon the exercise of any such pre-funded warrants as well as stock options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bidi w:val="0"/>
        <w:spacing w:before="80" w:after="283"/>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We were obligated to file registration statements with the Securities and Exchange Commission to register all of the shares, including shares issuable upon the exercise of pre-funded warrants, issued in each of our private placement transactions for public resale, and are required to maintain effectiveness of both registration statements until the earliest of (i) the second anniversary of the effective date of such registration statement, (ii) such time as all of the shares issued in such private placement have been sold pursuant to such registration statement, or (iii) such time as the shares issued in such private placement become eligible for resale by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non-affiliates without any volume limitations or other restrictions pursuant to Rule 144(b)(1)(i) under the Securities Act or any other rule of similar effect. In January 2025, we filed a universal shelf registration statement pursuant to which we may offer and sell shares from time to time, including 2025 ATM Shares pursuant to our at-the-marketing offering program currently in place.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bidi w:val="0"/>
        <w:spacing w:before="0" w:after="240"/>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Raising additional capital may cause dilution to our existing stockholders, restrict our operations or require us to relinquish rights to palazestrant, OP-3136 or future product candidates we may develop on unfavorable terms to us.</w:t>
      </w:r>
    </w:p>
    <w:p>
      <w:pPr>
        <w:pStyle w:val="TextBody"/>
        <w:bidi w:val="0"/>
        <w:jc w:val="both"/>
        <w:rPr>
          <w:rFonts w:ascii="Arial" w:hAnsi="Arial"/>
          <w:color w:val="000000"/>
          <w:sz w:val="20"/>
        </w:rPr>
      </w:pPr>
      <w:r>
        <w:rPr>
          <w:rFonts w:ascii="Arial" w:hAnsi="Arial"/>
          <w:color w:val="000000"/>
          <w:sz w:val="20"/>
        </w:rPr>
        <w:t>We have in the past, and may again in the future seek additional capital through a variety of means, including through public or private equity offerings, debt financings or other sources, including up-front payments and milestone payments from strategic collaborations. For example, in December 2024, we completed a private placement of 19,928,875 shares of our common stock and pre-funded warrants to purchase up to 7,604,163 shares of our common stock to selected institutional and accredited investors pursuant to a securities purchase and exchange agreement in connection with the 2024 Private Placement. In addition, in January 2025, we entered into the 2025 Sales Agreement with TD Cowen pursuant to which we may offer and sell, from time to time through TD Cowen, at our option, shares of our common stock having an aggregate offering price of up to $150.0 million in one or more at-the-market offerings which replaced the 2024 Sales Agreement with Cowen and Company. As of the quarter ended June 30, 2025, we have issued 1,772,278 shares of our common stock under the 2024 Sales Agreement and we have not issued any shares of common stock under the 2025 Sales Agreement. To the extent that we raise additional capital through the sale of equity or convertible debt or equity securities, including pursuant to exercises of outstanding pre-funded warrants or sales under the 2025 Sales Agreement, your ownership interest will be diluted, our stock price could fall and the terms may include liquidation or other preferences that adversely affect your rights as a stockholder. Future financing activities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before="0" w:after="240"/>
        <w:jc w:val="both"/>
        <w:rPr>
          <w:rFonts w:ascii="Arial" w:hAnsi="Arial"/>
          <w:b/>
          <w:i/>
          <w:color w:val="000000"/>
          <w:sz w:val="20"/>
        </w:rPr>
      </w:pPr>
      <w:r>
        <w:rPr>
          <w:rFonts w:ascii="Arial" w:hAnsi="Arial"/>
          <w:b/>
          <w:i/>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color w:val="000000"/>
          <w:sz w:val="20"/>
        </w:rPr>
      </w:pPr>
      <w:r>
        <w:rPr>
          <w:rFonts w:ascii="Arial" w:hAnsi="Arial"/>
          <w:color w:val="000000"/>
          <w:sz w:val="20"/>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2024,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New or future changes to tax laws could materially adversely affect our company.</w:t>
      </w:r>
    </w:p>
    <w:p>
      <w:pPr>
        <w:pStyle w:val="TextBody"/>
        <w:bidi w:val="0"/>
        <w:spacing w:before="0" w:after="240"/>
        <w:jc w:val="both"/>
        <w:rPr>
          <w:rFonts w:ascii="Times New Roman" w:hAnsi="Times New Roman"/>
          <w:sz w:val="20"/>
        </w:rPr>
      </w:pPr>
      <w:r>
        <w:rPr>
          <w:rFonts w:ascii="Arial" w:hAnsi="Arial"/>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passed the Inflation Reduction Act in 2022,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r>
        <w:rPr>
          <w:rFonts w:ascii="Times New Roman" w:hAnsi="Times New Roman"/>
          <w:color w:val="000000"/>
          <w:sz w:val="20"/>
        </w:rPr>
        <w:t xml:space="preserve"> </w:t>
      </w:r>
    </w:p>
    <w:p>
      <w:pPr>
        <w:pStyle w:val="TextBody"/>
        <w:bidi w:val="0"/>
        <w:spacing w:before="0" w:after="240"/>
        <w:jc w:val="both"/>
        <w:rPr>
          <w:rFonts w:ascii="Arial" w:hAnsi="Arial"/>
          <w:b/>
          <w:i/>
          <w:color w:val="000000"/>
          <w:sz w:val="20"/>
        </w:rPr>
      </w:pPr>
      <w:r>
        <w:rPr>
          <w:rFonts w:ascii="Arial" w:hAnsi="Arial"/>
          <w:b/>
          <w:i/>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 classified Board of Directors such that not all members of our Board of Directors are elected at one time;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allow the authorized number of our directors to be changed only by resolution of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limit the manner in which stockholders can remove directors from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our stockholders from calling a special meeting of our stockholders;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cumulative voting;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amended and restated certificate of incorporations or amended and restated bylaws.</w:t>
      </w:r>
    </w:p>
    <w:p>
      <w:pPr>
        <w:pStyle w:val="TextBody"/>
        <w:bidi w:val="0"/>
        <w:spacing w:before="0" w:after="240"/>
        <w:jc w:val="both"/>
        <w:rPr>
          <w:rFonts w:ascii="Times New Roman" w:hAnsi="Times New Roman"/>
          <w:sz w:val="20"/>
        </w:rPr>
      </w:pPr>
      <w:r>
        <w:rPr>
          <w:rFonts w:ascii="Arial" w:hAnsi="Arial"/>
          <w:color w:val="000000"/>
          <w:sz w:val="20"/>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40"/>
        <w:jc w:val="both"/>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derivative action or proceeding brought on our behalf;</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of breach of fiduciary duty;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arising under the DGCL, our amended and restated certificate of incorporation or our amended and restated bylaws;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that is governed by the internal-affairs doctrine or otherwise related to our internal affairs.</w:t>
      </w:r>
    </w:p>
    <w:p>
      <w:pPr>
        <w:pStyle w:val="TextBody"/>
        <w:bidi w:val="0"/>
        <w:spacing w:before="0" w:after="240"/>
        <w:jc w:val="both"/>
        <w:rPr>
          <w:rFonts w:ascii="Arial" w:hAnsi="Arial"/>
          <w:color w:val="000000"/>
          <w:sz w:val="20"/>
        </w:rPr>
      </w:pPr>
      <w:r>
        <w:rPr>
          <w:rFonts w:ascii="Arial" w:hAnsi="Arial"/>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240"/>
        <w:jc w:val="both"/>
        <w:rPr>
          <w:rFonts w:ascii="Arial" w:hAnsi="Arial"/>
          <w:color w:val="000000"/>
          <w:sz w:val="20"/>
        </w:rPr>
      </w:pPr>
      <w:r>
        <w:rPr>
          <w:rFonts w:ascii="Arial" w:hAnsi="Arial"/>
          <w:color w:val="000000"/>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do not currently intend to pay dividends on our common stock and, consequently, your ability to achieve a return on your investment will depend on appreciation of the value of our common stock.</w:t>
      </w:r>
    </w:p>
    <w:p>
      <w:pPr>
        <w:pStyle w:val="TextBody"/>
        <w:bidi w:val="0"/>
        <w:spacing w:before="0" w:after="240"/>
        <w:jc w:val="both"/>
        <w:rPr>
          <w:rFonts w:ascii="Arial" w:hAnsi="Arial"/>
          <w:color w:val="000000"/>
          <w:sz w:val="20"/>
        </w:rPr>
      </w:pPr>
      <w:r>
        <w:rPr>
          <w:rFonts w:ascii="Arial" w:hAnsi="Arial"/>
          <w:color w:val="000000"/>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color w:val="000000"/>
          <w:sz w:val="20"/>
        </w:rPr>
      </w:pPr>
      <w:r>
        <w:rPr>
          <w:rFonts w:ascii="Arial" w:hAnsi="Arial"/>
          <w:b/>
          <w:color w:val="000000"/>
          <w:sz w:val="20"/>
        </w:rPr>
        <w:t>General risk factors</w:t>
      </w:r>
    </w:p>
    <w:p>
      <w:pPr>
        <w:pStyle w:val="TextBody"/>
        <w:bidi w:val="0"/>
        <w:spacing w:before="0" w:after="240"/>
        <w:jc w:val="both"/>
        <w:rPr>
          <w:rFonts w:ascii="Arial" w:hAnsi="Arial"/>
          <w:b/>
          <w:i/>
          <w:color w:val="000000"/>
          <w:sz w:val="20"/>
        </w:rPr>
      </w:pPr>
      <w:r>
        <w:rPr>
          <w:rFonts w:ascii="Arial" w:hAnsi="Arial"/>
          <w:b/>
          <w:i/>
          <w:color w:val="000000"/>
          <w:sz w:val="20"/>
        </w:rPr>
        <w:t>The requirements of being a public company may strain our resources, result in more litigation and divert management’s attention.</w:t>
      </w:r>
    </w:p>
    <w:p>
      <w:pPr>
        <w:pStyle w:val="TextBody"/>
        <w:bidi w:val="0"/>
        <w:spacing w:before="0" w:after="240"/>
        <w:jc w:val="both"/>
        <w:rPr>
          <w:rFonts w:ascii="Arial" w:hAnsi="Arial"/>
          <w:color w:val="000000"/>
          <w:sz w:val="20"/>
        </w:rPr>
      </w:pPr>
      <w:r>
        <w:rPr>
          <w:rFonts w:ascii="Arial" w:hAnsi="Arial"/>
          <w:color w:val="000000"/>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0" w:after="240"/>
        <w:jc w:val="both"/>
        <w:rPr>
          <w:rFonts w:ascii="Arial" w:hAnsi="Arial"/>
          <w:color w:val="000000"/>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0" w:after="240"/>
        <w:jc w:val="both"/>
        <w:rPr>
          <w:rFonts w:ascii="Arial" w:hAnsi="Arial"/>
          <w:color w:val="000000"/>
          <w:sz w:val="20"/>
        </w:rPr>
      </w:pPr>
      <w:r>
        <w:rPr>
          <w:rFonts w:ascii="Arial" w:hAnsi="Arial"/>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jc w:val="both"/>
        <w:rPr>
          <w:rFonts w:ascii="Arial" w:hAnsi="Arial"/>
          <w:color w:val="000000"/>
          <w:sz w:val="20"/>
        </w:rPr>
      </w:pPr>
      <w:r>
        <w:rPr>
          <w:rFonts w:ascii="Arial" w:hAnsi="Arial"/>
          <w:color w:val="000000"/>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Even if any such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40"/>
        <w:jc w:val="both"/>
        <w:rPr>
          <w:rFonts w:ascii="Times New Roman" w:hAnsi="Times New Roman"/>
          <w:sz w:val="20"/>
        </w:rPr>
      </w:pPr>
      <w:r>
        <w:rPr>
          <w:rFonts w:ascii="Arial" w:hAnsi="Arial"/>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bidi w:val="0"/>
        <w:spacing w:before="0" w:after="240"/>
        <w:jc w:val="both"/>
        <w:rPr>
          <w:rFonts w:ascii="Arial" w:hAnsi="Arial"/>
          <w:b/>
          <w:i/>
          <w:color w:val="000000"/>
          <w:sz w:val="20"/>
        </w:rPr>
      </w:pPr>
      <w:r>
        <w:rPr>
          <w:rFonts w:ascii="Arial" w:hAnsi="Arial"/>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0" w:after="240"/>
        <w:jc w:val="both"/>
        <w:rPr>
          <w:rFonts w:ascii="Arial" w:hAnsi="Arial"/>
          <w:color w:val="000000"/>
          <w:sz w:val="20"/>
        </w:rPr>
      </w:pPr>
      <w:r>
        <w:rPr>
          <w:rFonts w:ascii="Arial" w:hAnsi="Arial"/>
          <w:color w:val="000000"/>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240"/>
        <w:jc w:val="both"/>
        <w:rPr>
          <w:rFonts w:ascii="Arial" w:hAnsi="Arial"/>
          <w:b/>
          <w:i/>
          <w:color w:val="000000"/>
          <w:sz w:val="20"/>
        </w:rPr>
      </w:pPr>
      <w:r>
        <w:rPr>
          <w:rFonts w:ascii="Arial" w:hAnsi="Arial"/>
          <w:b/>
          <w:i/>
          <w:color w:val="000000"/>
          <w:sz w:val="20"/>
        </w:rPr>
        <w:t>Our disclosure controls and procedures may not prevent or detect all errors or acts of fraud.</w:t>
      </w:r>
    </w:p>
    <w:p>
      <w:pPr>
        <w:pStyle w:val="TextBody"/>
        <w:bidi w:val="0"/>
        <w:spacing w:before="0" w:after="240"/>
        <w:jc w:val="both"/>
        <w:rPr>
          <w:rFonts w:ascii="Arial" w:hAnsi="Arial"/>
          <w:color w:val="000000"/>
          <w:sz w:val="20"/>
        </w:rPr>
      </w:pPr>
      <w:r>
        <w:rPr>
          <w:rFonts w:ascii="Arial" w:hAnsi="Arial"/>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240"/>
        <w:jc w:val="both"/>
        <w:rPr>
          <w:rFonts w:ascii="Arial" w:hAnsi="Arial"/>
          <w:color w:val="000000"/>
          <w:sz w:val="20"/>
        </w:rPr>
      </w:pPr>
      <w:r>
        <w:rPr>
          <w:rFonts w:ascii="Arial" w:hAnsi="Arial"/>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spacing w:before="240" w:after="283"/>
        <w:jc w:val="both"/>
        <w:rPr>
          <w:rFonts w:ascii="Arial" w:hAnsi="Arial"/>
          <w:b/>
          <w:color w:val="000000"/>
          <w:sz w:val="20"/>
        </w:rPr>
      </w:pPr>
      <w:bookmarkStart w:id="16" w:name="item2unregisteredsalesofequitysecurities"/>
      <w:bookmarkEnd w:id="16"/>
      <w:r>
        <w:rPr>
          <w:rFonts w:ascii="Arial" w:hAnsi="Arial"/>
          <w:b/>
          <w:color w:val="000000"/>
          <w:sz w:val="20"/>
        </w:rPr>
        <w:t>Item 2. Unregistered Sales of Equity Securities and Use of Proceeds.</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There were no sales of equity securities during the period covered by this report that were not registered under the Securities Act and were not previously reported in a Current Report on Form 8-K filed by the Company.</w:t>
      </w:r>
    </w:p>
    <w:p>
      <w:pPr>
        <w:pStyle w:val="TextBody"/>
        <w:bidi w:val="0"/>
        <w:spacing w:before="240" w:after="283"/>
        <w:jc w:val="both"/>
        <w:rPr>
          <w:rFonts w:ascii="Arial" w:hAnsi="Arial"/>
          <w:b/>
          <w:color w:val="000000"/>
          <w:sz w:val="20"/>
        </w:rPr>
      </w:pPr>
      <w:r>
        <w:rPr>
          <w:rFonts w:ascii="Arial" w:hAnsi="Arial"/>
          <w:b/>
          <w:color w:val="000000"/>
          <w:sz w:val="20"/>
        </w:rPr>
        <w:t>Repurchase of Shares of Company Equity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Heading1"/>
        <w:bidi w:val="0"/>
        <w:spacing w:before="240" w:after="283"/>
        <w:jc w:val="both"/>
        <w:rPr>
          <w:rFonts w:ascii="Arial" w:hAnsi="Arial"/>
          <w:b/>
          <w:color w:val="000000"/>
          <w:sz w:val="20"/>
        </w:rPr>
      </w:pPr>
      <w:bookmarkStart w:id="17" w:name="item3defaultsuponseniorsecurities_285444"/>
      <w:bookmarkEnd w:id="17"/>
      <w:r>
        <w:rPr>
          <w:rFonts w:ascii="Arial" w:hAnsi="Arial"/>
          <w:b/>
          <w:color w:val="000000"/>
          <w:sz w:val="20"/>
        </w:rPr>
        <w:t>Item 3. Defaults Upon Senior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Heading1"/>
        <w:bidi w:val="0"/>
        <w:spacing w:before="240" w:after="283"/>
        <w:jc w:val="both"/>
        <w:rPr>
          <w:rFonts w:ascii="Arial" w:hAnsi="Arial"/>
          <w:b/>
          <w:color w:val="000000"/>
          <w:sz w:val="20"/>
        </w:rPr>
      </w:pPr>
      <w:bookmarkStart w:id="18" w:name="item4minesafetydisclosures_363877"/>
      <w:bookmarkEnd w:id="18"/>
      <w:r>
        <w:rPr>
          <w:rFonts w:ascii="Arial" w:hAnsi="Arial"/>
          <w:b/>
          <w:color w:val="000000"/>
          <w:sz w:val="20"/>
        </w:rPr>
        <w:t>Item 4. Mine Safety Disclosures.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Heading1"/>
        <w:bidi w:val="0"/>
        <w:spacing w:before="240" w:after="283"/>
        <w:jc w:val="both"/>
        <w:rPr>
          <w:rFonts w:ascii="Arial" w:hAnsi="Arial"/>
          <w:b/>
          <w:color w:val="000000"/>
          <w:sz w:val="20"/>
        </w:rPr>
      </w:pPr>
      <w:bookmarkStart w:id="19" w:name="item5otherinformation_250924"/>
      <w:bookmarkEnd w:id="19"/>
      <w:r>
        <w:rPr>
          <w:rFonts w:ascii="Arial" w:hAnsi="Arial"/>
          <w:b/>
          <w:color w:val="000000"/>
          <w:sz w:val="20"/>
        </w:rPr>
        <w:t>Item 5. Other Information.</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0" w:after="16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jc w:val="left"/>
        <w:rPr>
          <w:rFonts w:ascii="Arial" w:hAnsi="Arial"/>
          <w:b/>
          <w:color w:val="000000"/>
          <w:sz w:val="20"/>
        </w:rPr>
      </w:pPr>
      <w:bookmarkStart w:id="20" w:name="item6exhibits_686387"/>
      <w:bookmarkEnd w:id="20"/>
      <w:r>
        <w:rPr>
          <w:rFonts w:ascii="Arial" w:hAnsi="Arial"/>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67"/>
        <w:gridCol w:w="5726"/>
        <w:gridCol w:w="976"/>
        <w:gridCol w:w="1068"/>
        <w:gridCol w:w="766"/>
        <w:gridCol w:w="802"/>
      </w:tblGrid>
      <w:tr>
        <w:trPr/>
        <w:tc>
          <w:tcPr>
            <w:tcW w:w="867" w:type="dxa"/>
            <w:tcBorders/>
            <w:vAlign w:val="center"/>
          </w:tcPr>
          <w:p>
            <w:pPr>
              <w:pStyle w:val="TableContents"/>
              <w:bidi w:val="0"/>
              <w:spacing w:before="0" w:after="283"/>
              <w:jc w:val="left"/>
              <w:rPr>
                <w:sz w:val="4"/>
                <w:szCs w:val="4"/>
              </w:rPr>
            </w:pPr>
            <w:r>
              <w:rPr>
                <w:sz w:val="4"/>
                <w:szCs w:val="4"/>
              </w:rPr>
            </w:r>
          </w:p>
        </w:tc>
        <w:tc>
          <w:tcPr>
            <w:tcW w:w="57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867"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2"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br/>
              <w:t>Number</w:t>
            </w:r>
          </w:p>
        </w:tc>
        <w:tc>
          <w:tcPr>
            <w:tcW w:w="57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Schedule</w:t>
              <w:br/>
              <w:t>Form</w:t>
            </w:r>
          </w:p>
        </w:tc>
        <w:tc>
          <w:tcPr>
            <w:tcW w:w="106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Number</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8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w:t>
              <w:br/>
              <w:t>Date</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w:t>
              </w:r>
            </w:hyperlink>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11/23/2020</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w:t>
              </w:r>
            </w:hyperlink>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12/16/2022</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10_1.htm">
              <w:r>
                <w:rPr>
                  <w:rStyle w:val="InternetLink"/>
                  <w:rFonts w:ascii="Arial" w:hAnsi="Arial"/>
                  <w:color w:val="0000FF"/>
                  <w:sz w:val="20"/>
                  <w:u w:val="single"/>
                </w:rPr>
                <w:t>Olema Pharmaceuticals, Inc. Amended and Restated Non-Employee Director Compensation Policy</w:t>
              </w:r>
            </w:hyperlink>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10_2.htm">
              <w:r>
                <w:rPr>
                  <w:rStyle w:val="InternetLink"/>
                  <w:rFonts w:ascii="Arial" w:hAnsi="Arial"/>
                  <w:color w:val="0000FF"/>
                  <w:sz w:val="20"/>
                  <w:u w:val="single"/>
                </w:rPr>
                <w:t>Second Amendment to Loan and Security Agreement by and between the Registrant and Silicon Valley Bank, a division of First-Citizens Bank &amp; Trust Company, dated June 27, 2025</w:t>
              </w:r>
            </w:hyperlink>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31_1.htm">
              <w:r>
                <w:rPr>
                  <w:rStyle w:val="InternetLink"/>
                  <w:rFonts w:ascii="Arial" w:hAnsi="Arial"/>
                  <w:color w:val="0000FF"/>
                  <w:sz w:val="20"/>
                  <w:u w:val="single"/>
                </w:rPr>
                <w:t>Certification of Chief Executive Officer Pursuant to Rules 13a</w:t>
                <w:noBreakHyphen/>
                <w:t>14(a) and 15d</w:t>
                <w:noBreakHyphen/>
                <w:t>14(a) under the Securities Exchange Act of 1934, as Adopted Pursuant to Section 302 of the Sarbanes-Oxley Act of 2002.</w:t>
              </w:r>
            </w:hyperlink>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31_2.htm">
              <w:r>
                <w:rPr>
                  <w:rStyle w:val="InternetLink"/>
                  <w:rFonts w:ascii="Arial" w:hAnsi="Arial"/>
                  <w:color w:val="0000FF"/>
                  <w:sz w:val="20"/>
                  <w:u w:val="single"/>
                </w:rPr>
                <w:t>Certification of Chief Financial Officer Pursuant to Rules 13a</w:t>
                <w:noBreakHyphen/>
                <w:t>14(a) and 15d</w:t>
                <w:noBreakHyphen/>
                <w:t>14(a) under the Securities Exchange Act of 1934, as Adopted Pursuant to Section 302 of the Sarbanes-Oxley Act of 2002.</w:t>
              </w:r>
            </w:hyperlink>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32_1.htm">
              <w:r>
                <w:rPr>
                  <w:rStyle w:val="InternetLink"/>
                  <w:rFonts w:ascii="Arial" w:hAnsi="Arial"/>
                  <w:color w:val="0000FF"/>
                  <w:sz w:val="20"/>
                  <w:u w:val="single"/>
                </w:rPr>
                <w:t>Certification of Chief Executive Officer and Chief Financial Officer Pursuant to 18 U.S.C. Section 1350, as Adopted Pursuant to Section 906 of the Sarbanes-Oxley Act of 2002.</w:t>
              </w:r>
            </w:hyperlink>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5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5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5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Filed herewith.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Indicates management contract or compensatory plan or arrangement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both"/>
        <w:rPr/>
      </w:pPr>
      <w:r>
        <w:rPr/>
        <w:t> </w:t>
      </w:r>
    </w:p>
    <w:tbl>
      <w:tblPr>
        <w:tblW w:w="7848" w:type="dxa"/>
        <w:jc w:val="left"/>
        <w:tblInd w:w="0" w:type="dxa"/>
        <w:tblLayout w:type="fixed"/>
        <w:tblCellMar>
          <w:top w:w="28" w:type="dxa"/>
          <w:left w:w="28" w:type="dxa"/>
          <w:bottom w:w="28" w:type="dxa"/>
          <w:right w:w="28" w:type="dxa"/>
        </w:tblCellMar>
      </w:tblPr>
      <w:tblGrid>
        <w:gridCol w:w="2071"/>
        <w:gridCol w:w="406"/>
        <w:gridCol w:w="5371"/>
      </w:tblGrid>
      <w:tr>
        <w:trPr/>
        <w:tc>
          <w:tcPr>
            <w:tcW w:w="20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Olema Pharmaceuticals, Inc.</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Sean Bohen, M.D., Ph.D.</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Sean Bohen, M.D., Ph.D.</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Executive Officer</w:t>
            </w:r>
            <w:r>
              <w:rPr>
                <w:rFonts w:ascii="Arial" w:hAnsi="Arial"/>
                <w:color w:val="000000"/>
                <w:sz w:val="2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Shane Kovacs</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Shane Kovacs</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Operating and Financial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Financial Officer and Principal Accounting Officer</w:t>
            </w: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right"/>
        <w:rPr/>
      </w:pPr>
      <w:bookmarkStart w:id="21" w:name="olma-ex10_1.htm"/>
      <w:bookmarkStart w:id="22" w:name="ksolmaex10_1"/>
      <w:bookmarkEnd w:id="21"/>
      <w:bookmarkEnd w:id="22"/>
      <w:r>
        <w:rPr/>
        <w:t> </w:t>
      </w:r>
      <w:r>
        <w:br w:type="page"/>
      </w:r>
    </w:p>
    <w:p>
      <w:pPr>
        <w:pStyle w:val="TextBody"/>
        <w:bidi w:val="0"/>
        <w:jc w:val="right"/>
        <w:rPr>
          <w:rFonts w:ascii="Times New Roman" w:hAnsi="Times New Roman"/>
          <w:b/>
          <w:smallCaps/>
          <w:color w:val="000000"/>
          <w:sz w:val="24"/>
        </w:rPr>
      </w:pPr>
      <w:r>
        <w:rPr>
          <w:rFonts w:ascii="Times New Roman" w:hAnsi="Times New Roman"/>
          <w:b/>
          <w:smallCaps/>
          <w:color w:val="000000"/>
          <w:sz w:val="24"/>
        </w:rPr>
        <w:t>Exhibit 10.1</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Olema Pharmaceuticals, Inc.</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Olema Pharmaceuticals,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Eligible Director</w:t>
      </w:r>
      <w:r>
        <w:rPr>
          <w:rFonts w:ascii="Times New Roman" w:hAnsi="Times New Roman"/>
          <w:color w:val="000000"/>
          <w:sz w:val="20"/>
        </w:rPr>
        <w:t>”</w:t>
      </w:r>
      <w:r>
        <w:rPr>
          <w:rFonts w:ascii="Times New Roman" w:hAnsi="Times New Roman"/>
          <w:color w:val="000000"/>
          <w:sz w:val="22"/>
        </w:rPr>
        <w:t>) will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An Eligible Director may decline all or any portion of his or her compensation by giving notice to the Company prior to the date cash is to be paid or equity awards are to be granted, as the case may be. This Policy may be amended at any time in the sole discretion of the Board, or by the Compensation Committee of the Board at the recommendation of the Board.</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both"/>
        <w:rPr>
          <w:rFonts w:ascii="Times New Roman" w:hAnsi="Times New Roman"/>
          <w:sz w:val="20"/>
        </w:rPr>
      </w:pPr>
      <w:r>
        <w:rPr>
          <w:rFonts w:ascii="Times New Roman" w:hAnsi="Times New Roman"/>
          <w:color w:val="000000"/>
          <w:sz w:val="22"/>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his or her first quarterly installment will be pro-rated based on days served in the applicable quarter. All annual cash fees are vested upon payment.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u w:val="single"/>
        </w:rPr>
        <w:t>Annual Board Service Retainer</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All Eligible Directors: $40,000</w:t>
      </w:r>
    </w:p>
    <w:p>
      <w:pPr>
        <w:pStyle w:val="TextBody"/>
        <w:bidi w:val="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Non-executive chairperson of the Board: $70,000 (inclusive of Annual Board Service Retainer)</w:t>
      </w:r>
    </w:p>
    <w:p>
      <w:pPr>
        <w:pStyle w:val="TextBody"/>
        <w:bidi w:val="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u w:val="single"/>
        </w:rPr>
        <w:t>Annual Committee Member (non-Chair) Service Retainer</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Member of the Audit Committee: $8,000 until June 30, 2025; $10,000 thereafter</w:t>
      </w:r>
    </w:p>
    <w:p>
      <w:pPr>
        <w:pStyle w:val="TextBody"/>
        <w:bidi w:val="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Member of the Compensation Committee: $6,000 until June 30, 2025; $7,500 thereafter</w:t>
      </w:r>
    </w:p>
    <w:p>
      <w:pPr>
        <w:pStyle w:val="TextBody"/>
        <w:bidi w:val="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Member of the Nominating and Corporate Governance Committee: $5,000</w:t>
      </w:r>
    </w:p>
    <w:p>
      <w:pPr>
        <w:pStyle w:val="TextBody"/>
        <w:bidi w:val="0"/>
        <w:jc w:val="both"/>
        <w:rPr>
          <w:rFonts w:ascii="Times New Roman" w:hAnsi="Times New Roman"/>
          <w:color w:val="000000"/>
          <w:sz w:val="22"/>
        </w:rPr>
      </w:pPr>
      <w:r>
        <w:rPr>
          <w:rFonts w:ascii="Times New Roman" w:hAnsi="Times New Roman"/>
          <w:color w:val="000000"/>
          <w:sz w:val="22"/>
        </w:rPr>
        <w:t>d. Member of the Science and Technology Committee: $7,500</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Annual Committee Chair Service Retainer (inclusive of Committee Member Service Retainer)</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Chairperson of the Audit Committee: $18,750 until June 30, 2025; $20,000 thereafter</w:t>
      </w:r>
    </w:p>
    <w:p>
      <w:pPr>
        <w:pStyle w:val="TextBody"/>
        <w:bidi w:val="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Chairperson of the Compensation Committee: $12,000 until June 30, 2025; $15,000 thereafter</w:t>
      </w:r>
    </w:p>
    <w:p>
      <w:pPr>
        <w:pStyle w:val="TextBody"/>
        <w:bidi w:val="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Chairperson of the Nominating and Corporate Governance Committee: $10,000</w:t>
      </w:r>
    </w:p>
    <w:p>
      <w:pPr>
        <w:pStyle w:val="TextBody"/>
        <w:bidi w:val="0"/>
        <w:jc w:val="both"/>
        <w:rPr>
          <w:rFonts w:ascii="Times New Roman" w:hAnsi="Times New Roman"/>
          <w:color w:val="000000"/>
          <w:sz w:val="22"/>
        </w:rPr>
      </w:pPr>
      <w:r>
        <w:rPr>
          <w:rFonts w:ascii="Times New Roman" w:hAnsi="Times New Roman"/>
          <w:color w:val="000000"/>
          <w:sz w:val="22"/>
        </w:rPr>
        <w:t>d. Chairperson of the Science and Technology Committee: $15,000</w:t>
      </w:r>
    </w:p>
    <w:p>
      <w:pPr>
        <w:pStyle w:val="TextBody"/>
        <w:bidi w:val="0"/>
        <w:jc w:val="both"/>
        <w:rPr>
          <w:rFonts w:ascii="Times New Roman" w:hAnsi="Times New Roman"/>
          <w:sz w:val="20"/>
        </w:rPr>
      </w:pPr>
      <w:r>
        <w:rPr>
          <w:rFonts w:ascii="Times New Roman" w:hAnsi="Times New Roman"/>
          <w:color w:val="000000"/>
          <w:sz w:val="22"/>
        </w:rPr>
        <w:t>The Company will also reimburse each of the Eligible Directors for his or her travel expenses incurred in connection with his or her attendance at Board and committee meetings. Such reimbursements shall be paid on the same date as the annual cash fees are paid.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Equity Compensation</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equity compensation set forth below will be granted under the Company’s 2020 Equity Incentive Plan, as the same may be amended or restated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Capitalized terms used below not otherwise defined in this Policy shall have the meanings given to them in the Plan All stock options granted under this Policy will be nonstatutory stock options, with an exercise price per share equal to 100% of the Fair Market Value (as defined in the Plan) of the underlying common stock on the date of grant, a term of 10 years from the date of grant (subject to earlier termination in connection with a termination of service as provided in the Plan), and subject to all the terms, conditions and limits set forth in the Plan and the applicable award agreement. For the avoidance of doubt, the share numbers in this Policy shall be subject to adjustment as provided in the Plan.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u w:val="single"/>
        </w:rPr>
        <w:t>Initial Grant</w:t>
      </w:r>
      <w:r>
        <w:rPr>
          <w:rFonts w:ascii="Times New Roman" w:hAnsi="Times New Roman"/>
          <w:color w:val="000000"/>
          <w:sz w:val="22"/>
        </w:rPr>
        <w:t>: For each Eligible Director who is first elected or appointed to the Board after the effective date of this Policy,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to purchase a number of shares of the Company’s common stock equal to 24,150 shares of the Company’s common stock. The shares subject to each such stock option will vest monthly over a three-year period, subject to the Eligible Director’s Continuous Service on each vesting date, and will vest in full upon a Change in Control, subject to the Eligible Director’s Continuous Service through such date. In addition, on the date of such Eligible Director’s initial election or appointment to the Board (or, if such date is not a market trading day, the first market trading day thereafter), such Eligible Director shall automatically, and without further action by the Board or Compensation Committee of the Board, be granted an additional stock option representing the Annual Grant (as defined below) he or she would have received had he or she been elected to the Board at the prior annual meeting of stockholders, pro-rated for the partial year of service. For example, if an Eligible Director is appointed to the Board on December 1, 2025, and the Company’s last annual meeting were on June 1, 2026, the Eligible Director would receive an additional pro-rated grant for 50% of the Annual Grant, with such pro-rated grant vesting upon the earlier of (a) the first anniversary of the date the Annual Grants to non-employee directors were last made and (b) the next annual meeting of stockholders. Such additional option will vest in full upon a Change in Control, subject to the Eligible Director’s Continuous Service through such date.</w:t>
      </w:r>
    </w:p>
    <w:p>
      <w:pPr>
        <w:pStyle w:val="TextBody"/>
        <w:bidi w:val="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u w:val="single"/>
        </w:rPr>
        <w:t>Annual Grant</w:t>
      </w:r>
      <w:r>
        <w:rPr>
          <w:rFonts w:ascii="Times New Roman" w:hAnsi="Times New Roman"/>
          <w:color w:val="000000"/>
          <w:sz w:val="22"/>
        </w:rPr>
        <w:t>: On the first market trading day after each annual stockholders meeting of the Company, each Eligible Director who continues to serve as a member of the Board through and following such stockholders meeting will be automatically, and without further action by the Board or Compensation Committee of the Board, granted a stock option to purchase 24,150 shares of the Company’s common stock (the “</w:t>
      </w:r>
      <w:r>
        <w:rPr>
          <w:rFonts w:ascii="Times New Roman" w:hAnsi="Times New Roman"/>
          <w:b/>
          <w:i/>
          <w:color w:val="000000"/>
          <w:sz w:val="22"/>
        </w:rPr>
        <w:t>Annual Grant</w:t>
      </w:r>
      <w:r>
        <w:rPr>
          <w:rFonts w:ascii="Times New Roman" w:hAnsi="Times New Roman"/>
          <w:color w:val="000000"/>
          <w:sz w:val="20"/>
        </w:rPr>
        <w:t>”</w:t>
      </w:r>
      <w:r>
        <w:rPr>
          <w:rFonts w:ascii="Times New Roman" w:hAnsi="Times New Roman"/>
          <w:color w:val="000000"/>
          <w:sz w:val="22"/>
        </w:rPr>
        <w:t>). The shares subject to each such stock option will vest monthly over a one-year period following the grant date, and will vest in full on the date of the Company’s next annual stockholders meeting if such stock option is not otherwise fully vested by such date, subject to the Eligible Director’s Continuous Service on each vesting date. Such option will vest in full upon a Change in Control, subject to the Eligible Director’s Continuous Service through such date.</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Compensation Limits</w:t>
      </w:r>
    </w:p>
    <w:p>
      <w:pPr>
        <w:pStyle w:val="TextBody"/>
        <w:bidi w:val="0"/>
        <w:jc w:val="both"/>
        <w:rPr>
          <w:rFonts w:ascii="Times New Roman" w:hAnsi="Times New Roman"/>
          <w:sz w:val="20"/>
        </w:rPr>
      </w:pPr>
      <w:r>
        <w:rPr>
          <w:rFonts w:ascii="Times New Roman" w:hAnsi="Times New Roman"/>
          <w:color w:val="000000"/>
          <w:sz w:val="22"/>
        </w:rPr>
        <w:t>Notwithstanding anything to the contrary in this Policy, all compensation payable under this Policy will be subject to any limits on the maximum amount of Eligible Director compensation set forth in the Plan, as in effect from time to time.</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Adopted by the Board of Directors: June 10,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olma-ex10_2.htm"/>
      <w:bookmarkStart w:id="24" w:name="ksolmaex10_2"/>
      <w:bookmarkEnd w:id="23"/>
      <w:bookmarkEnd w:id="24"/>
      <w:r>
        <w:rPr>
          <w:rFonts w:ascii="Times New Roman" w:hAnsi="Times New Roman"/>
          <w:b/>
          <w:color w:val="000000"/>
          <w:sz w:val="24"/>
        </w:rPr>
        <w:t>Exhibit 10.2</w:t>
      </w:r>
      <w:r>
        <w:br w:type="page"/>
      </w:r>
    </w:p>
    <w:p>
      <w:pPr>
        <w:pStyle w:val="TextBody"/>
        <w:bidi w:val="0"/>
        <w:jc w:val="center"/>
        <w:rPr/>
      </w:pPr>
      <w:r>
        <w:rPr>
          <w:rFonts w:cs="Tahoma;sans-serif"/>
          <w:bCs/>
          <w:color w:val="000000"/>
          <w:szCs w:val="24"/>
        </w:rPr>
        <w:t>﻿</w:t>
      </w:r>
      <w:r>
        <w:rPr>
          <w:rFonts w:ascii="Times New Roman" w:hAnsi="Times New Roman"/>
          <w:b/>
          <w:color w:val="000000"/>
          <w:sz w:val="24"/>
        </w:rPr>
        <w:br/>
      </w:r>
      <w:r>
        <w:rPr>
          <w:rFonts w:ascii="Times New Roman" w:hAnsi="Times New Roman"/>
          <w:color w:val="000000"/>
          <w:sz w:val="20"/>
        </w:rPr>
        <w:t> </w:t>
      </w:r>
    </w:p>
    <w:p>
      <w:pPr>
        <w:pStyle w:val="TextBody"/>
        <w:bidi w:val="0"/>
        <w:jc w:val="center"/>
        <w:rPr>
          <w:rFonts w:ascii="Times New Roman" w:hAnsi="Times New Roman"/>
          <w:sz w:val="20"/>
        </w:rPr>
      </w:pPr>
      <w:r>
        <w:rPr>
          <w:rFonts w:ascii="Times New Roman" w:hAnsi="Times New Roman"/>
          <w:b/>
          <w:color w:val="000000"/>
          <w:sz w:val="24"/>
        </w:rPr>
        <w:t xml:space="preserve">SECOND </w:t>
      </w:r>
      <w:r>
        <w:rPr>
          <w:rFonts w:ascii="Times New Roman" w:hAnsi="Times New Roman"/>
          <w:b/>
          <w:caps/>
          <w:color w:val="000000"/>
          <w:sz w:val="24"/>
        </w:rPr>
        <w:t>amendment</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4"/>
        </w:rPr>
        <w:t>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4"/>
        </w:rPr>
        <w:t>Loan and security</w:t>
      </w:r>
      <w:r>
        <w:rPr>
          <w:rFonts w:ascii="Times New Roman" w:hAnsi="Times New Roman"/>
          <w:color w:val="000000"/>
          <w:sz w:val="20"/>
        </w:rPr>
        <w:t xml:space="preserve"> </w:t>
      </w:r>
      <w:r>
        <w:rPr>
          <w:rFonts w:ascii="Times New Roman" w:hAnsi="Times New Roman"/>
          <w:b/>
          <w:caps/>
          <w:color w:val="000000"/>
          <w:sz w:val="24"/>
        </w:rPr>
        <w:t>agreement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Second Amendment to Loan and Security Agreement (this</w:t>
      </w:r>
      <w:r>
        <w:rPr>
          <w:rFonts w:ascii="Times New Roman" w:hAnsi="Times New Roman"/>
          <w:color w:val="000000"/>
          <w:sz w:val="20"/>
        </w:rPr>
        <w:t xml:space="preserve"> “</w:t>
      </w:r>
      <w:r>
        <w:rPr>
          <w:rFonts w:ascii="Times New Roman" w:hAnsi="Times New Roman"/>
          <w:color w:val="000000"/>
          <w:sz w:val="24"/>
        </w:rPr>
        <w:t>Amendment”) is entered into this 27</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 xml:space="preserve">day of June, 2025, by and between </w:t>
      </w:r>
      <w:r>
        <w:rPr>
          <w:rFonts w:ascii="Times New Roman" w:hAnsi="Times New Roman"/>
          <w:b/>
          <w:caps/>
          <w:color w:val="000000"/>
          <w:sz w:val="24"/>
        </w:rPr>
        <w:t xml:space="preserve">Silicon Valley Bank, a division of First-Citizens Bank &amp; Trust Company </w:t>
      </w:r>
      <w:r>
        <w:rPr>
          <w:rFonts w:ascii="Times New Roman" w:hAnsi="Times New Roman"/>
          <w:color w:val="000000"/>
          <w:sz w:val="24"/>
        </w:rPr>
        <w:t>(“</w:t>
      </w:r>
      <w:r>
        <w:rPr>
          <w:rFonts w:ascii="Times New Roman" w:hAnsi="Times New Roman"/>
          <w:b/>
          <w:color w:val="000000"/>
          <w:sz w:val="24"/>
        </w:rPr>
        <w:t>Bank</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aps/>
          <w:color w:val="000000"/>
          <w:sz w:val="24"/>
        </w:rPr>
        <w:t>OLEMA PHARMACEUTICALS, INC.</w:t>
      </w:r>
      <w:r>
        <w:rPr>
          <w:rFonts w:ascii="Times New Roman" w:hAnsi="Times New Roman"/>
          <w:color w:val="000000"/>
          <w:sz w:val="24"/>
        </w:rPr>
        <w:t>, a Delaware corporation (“</w:t>
      </w:r>
      <w:r>
        <w:rPr>
          <w:rFonts w:ascii="Times New Roman" w:hAnsi="Times New Roman"/>
          <w:b/>
          <w:color w:val="000000"/>
          <w:sz w:val="24"/>
        </w:rPr>
        <w:t>Borrower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Bank and Borrower have entered into that certain Loan and Security Agreement dated as of September 5, 2023, as further amended by that certain First Amendment to Loan and Security Agreement dated as of June 28, 2024 (as the same may from time to time be amended, modified, supplemented or restated, the “Loan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Bank has extended credit to Borrower for the purposes permitted in the Loan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C.</w:t>
      </w:r>
      <w:r>
        <w:rPr>
          <w:rFonts w:ascii="Times New Roman" w:hAnsi="Times New Roman"/>
          <w:color w:val="000000"/>
          <w:sz w:val="20"/>
        </w:rPr>
        <w:t xml:space="preserve"> </w:t>
      </w:r>
      <w:r>
        <w:rPr>
          <w:rFonts w:ascii="Times New Roman" w:hAnsi="Times New Roman"/>
          <w:color w:val="000000"/>
          <w:sz w:val="24"/>
        </w:rPr>
        <w:t>Borrower has requested that Bank amend the Loan Agreement to make certain revisions to the Loan Agreement as more fully set forth herein.</w:t>
      </w:r>
    </w:p>
    <w:p>
      <w:pPr>
        <w:pStyle w:val="TextBody"/>
        <w:bidi w:val="0"/>
        <w:spacing w:before="0" w:after="240"/>
        <w:jc w:val="both"/>
        <w:rPr>
          <w:rFonts w:ascii="Times New Roman" w:hAnsi="Times New Roman"/>
          <w:sz w:val="20"/>
        </w:rPr>
      </w:pPr>
      <w:r>
        <w:rPr>
          <w:rFonts w:ascii="Times New Roman" w:hAnsi="Times New Roman"/>
          <w:b/>
          <w:color w:val="000000"/>
          <w:sz w:val="24"/>
        </w:rPr>
        <w:t>D.</w:t>
      </w:r>
      <w:r>
        <w:rPr>
          <w:rFonts w:ascii="Times New Roman" w:hAnsi="Times New Roman"/>
          <w:color w:val="000000"/>
          <w:sz w:val="20"/>
        </w:rPr>
        <w:t xml:space="preserve"> </w:t>
      </w:r>
      <w:r>
        <w:rPr>
          <w:rFonts w:ascii="Times New Roman" w:hAnsi="Times New Roman"/>
          <w:color w:val="000000"/>
          <w:sz w:val="24"/>
        </w:rPr>
        <w:t>Bank has agreed to so amend certain provisions of the Loan Agreement, but only to the extent, in accordance with the terms, subject to the conditions and in reliance upon the representations and warranties set forth below.</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Agreement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0"/>
        </w:rPr>
        <w:t xml:space="preserve"> </w:t>
      </w:r>
      <w:r>
        <w:rPr>
          <w:rFonts w:ascii="Times New Roman" w:hAnsi="Times New Roman"/>
          <w:color w:val="000000"/>
          <w:sz w:val="24"/>
        </w:rPr>
        <w:t>in consideration of the foregoing recitals and other good and valuable consideration, the receipt and adequacy of which is hereby acknowledged, and intending to be legally bound, the parties hereto agree as follows: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pPr>
      <w:r>
        <w:rPr>
          <w:rFonts w:ascii="Times New Roman" w:hAnsi="Times New Roman"/>
          <w:b/>
          <w:color w:val="000000"/>
          <w:sz w:val="24"/>
        </w:rPr>
        <w:t>Definitions.</w:t>
      </w:r>
      <w:r>
        <w:rPr>
          <w:color w:val="000000"/>
        </w:rPr>
        <w:t xml:space="preserve"> </w:t>
      </w:r>
      <w:r>
        <w:rPr>
          <w:rFonts w:ascii="Times New Roman" w:hAnsi="Times New Roman"/>
          <w:color w:val="000000"/>
          <w:sz w:val="24"/>
        </w:rPr>
        <w:t>Capitalized terms used but not defined in this Amendment shall have the meanings given to them in the Loan Agreement.</w:t>
      </w:r>
    </w:p>
    <w:p>
      <w:pPr>
        <w:pStyle w:val="TextBody"/>
        <w:bidi w:val="0"/>
        <w:spacing w:before="0" w:after="12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Amendments to Loan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Section 1.1 (Term Loan)</w:t>
      </w:r>
      <w:r>
        <w:rPr>
          <w:rFonts w:ascii="Times New Roman" w:hAnsi="Times New Roman"/>
          <w:color w:val="000000"/>
          <w:sz w:val="24"/>
        </w:rPr>
        <w:t>. Section 1.1(a) of the Loan Agreement is amended in its entirety and replaced with the following:</w:t>
      </w:r>
    </w:p>
    <w:p>
      <w:pPr>
        <w:pStyle w:val="TextBody"/>
        <w:bidi w:val="0"/>
        <w:jc w:val="both"/>
        <w:rPr/>
      </w:pPr>
      <w:r>
        <w:rPr>
          <w:color w:val="000000"/>
        </w:rPr>
        <w:t xml:space="preserve">“ </w:t>
      </w:r>
      <w:r>
        <w:rPr>
          <w:rFonts w:ascii="Times New Roman" w:hAnsi="Times New Roman"/>
          <w:color w:val="000000"/>
          <w:sz w:val="24"/>
        </w:rPr>
        <w:t xml:space="preserve">(a) </w:t>
      </w:r>
      <w:r>
        <w:rPr>
          <w:rFonts w:ascii="Times New Roman" w:hAnsi="Times New Roman"/>
          <w:color w:val="000000"/>
          <w:sz w:val="24"/>
          <w:u w:val="single"/>
        </w:rPr>
        <w:t>Availability</w:t>
      </w:r>
      <w:r>
        <w:rPr>
          <w:rFonts w:ascii="Times New Roman" w:hAnsi="Times New Roman"/>
          <w:color w:val="000000"/>
          <w:sz w:val="24"/>
        </w:rPr>
        <w:t>. Subject to the terms and conditions of this Agreement, upon Borrower’s request, during Draw Period A, Bank shall make term loan advances in an amount not exceeding the Term A Loan Availability Amount (each such advance is referred to herein as a “</w:t>
      </w:r>
      <w:r>
        <w:rPr>
          <w:rFonts w:ascii="Times New Roman" w:hAnsi="Times New Roman"/>
          <w:b/>
          <w:color w:val="000000"/>
          <w:sz w:val="24"/>
        </w:rPr>
        <w:t>Term A Loan Advance</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Term A Loan Advances</w:t>
      </w:r>
      <w:r>
        <w:rPr>
          <w:rFonts w:ascii="Times New Roman" w:hAnsi="Times New Roman"/>
          <w:color w:val="000000"/>
          <w:sz w:val="20"/>
        </w:rPr>
        <w:t>”</w:t>
      </w:r>
      <w:r>
        <w:rPr>
          <w:rFonts w:ascii="Times New Roman" w:hAnsi="Times New Roman"/>
          <w:color w:val="000000"/>
          <w:sz w:val="24"/>
        </w:rPr>
        <w:t>); provided that, on or about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Second Amendment Effective Date, Borrower shall request, and Bank shall make, a Term A Loan Advance in an original principal amount of at least $3,000,000.00. Subject to the terms and conditions of this Agreement, upon Borrower’s request, during Draw Period B, Bank shall make term loan advances in an amount not exceeding the Term B Loan Availability Amount (each such advance is referred to herein as a “</w:t>
      </w:r>
      <w:r>
        <w:rPr>
          <w:rFonts w:ascii="Times New Roman" w:hAnsi="Times New Roman"/>
          <w:b/>
          <w:color w:val="000000"/>
          <w:sz w:val="24"/>
        </w:rPr>
        <w:t>Term B Loan Advance</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Term B Loan Advances</w:t>
      </w:r>
      <w:r>
        <w:rPr>
          <w:rFonts w:ascii="Times New Roman" w:hAnsi="Times New Roman"/>
          <w:color w:val="000000"/>
          <w:sz w:val="20"/>
        </w:rPr>
        <w:t>”</w:t>
      </w:r>
      <w:r>
        <w:rPr>
          <w:rFonts w:ascii="Times New Roman" w:hAnsi="Times New Roman"/>
          <w:color w:val="000000"/>
          <w:sz w:val="24"/>
        </w:rPr>
        <w:t>). Subject to the terms and conditions of this Agreement, upon Borrower’s request, during Draw Period C, Bank shall make term loan advances in an amount not exceeding the Term C Loan Availability Amount (each such advance is referred to herein as a “</w:t>
      </w:r>
      <w:r>
        <w:rPr>
          <w:rFonts w:ascii="Times New Roman" w:hAnsi="Times New Roman"/>
          <w:b/>
          <w:color w:val="000000"/>
          <w:sz w:val="24"/>
        </w:rPr>
        <w:t>Term C Loan Advance</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Term C Loan Advances</w:t>
      </w:r>
      <w:r>
        <w:rPr>
          <w:rFonts w:ascii="Times New Roman" w:hAnsi="Times New Roman"/>
          <w:color w:val="000000"/>
          <w:sz w:val="20"/>
        </w:rPr>
        <w:t>”</w:t>
      </w:r>
      <w:r>
        <w:rPr>
          <w:rFonts w:ascii="Times New Roman" w:hAnsi="Times New Roman"/>
          <w:color w:val="000000"/>
          <w:sz w:val="24"/>
        </w:rPr>
        <w:t>). The Term A Loan Advances, the Term B Loan Advances, and the Term C Loan Advances are each referred to herein as a “</w:t>
      </w:r>
      <w:r>
        <w:rPr>
          <w:rFonts w:ascii="Times New Roman" w:hAnsi="Times New Roman"/>
          <w:b/>
          <w:color w:val="000000"/>
          <w:sz w:val="24"/>
        </w:rPr>
        <w:t>Term Loan Advance</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Term Loan Advances</w:t>
      </w:r>
      <w:r>
        <w:rPr>
          <w:rFonts w:ascii="Times New Roman" w:hAnsi="Times New Roman"/>
          <w:color w:val="000000"/>
          <w:sz w:val="20"/>
        </w:rPr>
        <w:t>”</w:t>
      </w:r>
      <w:r>
        <w:rPr>
          <w:rFonts w:ascii="Times New Roman" w:hAnsi="Times New Roman"/>
          <w:color w:val="000000"/>
          <w:sz w:val="24"/>
        </w:rPr>
        <w:t>. Borrower may request Term Loan Advances as set forth on Schedule I hereto.”</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Section 12.2 (Definitions)</w:t>
      </w:r>
      <w:r>
        <w:rPr>
          <w:rFonts w:ascii="Times New Roman" w:hAnsi="Times New Roman"/>
          <w:color w:val="000000"/>
          <w:sz w:val="24"/>
        </w:rPr>
        <w:t>. The following new term and its respective definition is hereby inserted to appear alphabetically in Section 12.2 thereof:</w:t>
      </w:r>
    </w:p>
    <w:p>
      <w:pPr>
        <w:pStyle w:val="TextBody"/>
        <w:bidi w:val="0"/>
        <w:jc w:val="left"/>
        <w:rPr/>
      </w:pPr>
      <w:r>
        <w:rPr>
          <w:color w:val="000000"/>
        </w:rPr>
        <w:t>“ “</w:t>
      </w:r>
      <w:r>
        <w:rPr>
          <w:rFonts w:ascii="Times New Roman" w:hAnsi="Times New Roman"/>
          <w:b/>
          <w:color w:val="000000"/>
          <w:sz w:val="24"/>
        </w:rPr>
        <w:t>Second Amendment Effective Date</w:t>
      </w:r>
      <w:r>
        <w:rPr>
          <w:rFonts w:ascii="Times New Roman" w:hAnsi="Times New Roman"/>
          <w:color w:val="000000"/>
          <w:sz w:val="20"/>
        </w:rPr>
        <w:t xml:space="preserve">” </w:t>
      </w:r>
      <w:r>
        <w:rPr>
          <w:rFonts w:ascii="Times New Roman" w:hAnsi="Times New Roman"/>
          <w:color w:val="000000"/>
          <w:sz w:val="24"/>
        </w:rPr>
        <w:t>is June 27, 2025.”</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Section 12.2 (Definitions)</w:t>
      </w:r>
      <w:r>
        <w:rPr>
          <w:rFonts w:ascii="Times New Roman" w:hAnsi="Times New Roman"/>
          <w:color w:val="000000"/>
          <w:sz w:val="24"/>
        </w:rPr>
        <w:t>. The following term, appearing in Section 12.2 is amended in its entirety and replaced with the following:</w:t>
      </w:r>
    </w:p>
    <w:p>
      <w:pPr>
        <w:pStyle w:val="TextBody"/>
        <w:bidi w:val="0"/>
        <w:jc w:val="left"/>
        <w:rPr/>
      </w:pPr>
      <w:r>
        <w:rPr>
          <w:color w:val="000000"/>
        </w:rPr>
        <w:t>“ “</w:t>
      </w:r>
      <w:r>
        <w:rPr>
          <w:rFonts w:ascii="Times New Roman" w:hAnsi="Times New Roman"/>
          <w:b/>
          <w:color w:val="000000"/>
          <w:sz w:val="24"/>
        </w:rPr>
        <w:t>Designated Deposit Account</w:t>
      </w:r>
      <w:r>
        <w:rPr>
          <w:rFonts w:ascii="Times New Roman" w:hAnsi="Times New Roman"/>
          <w:color w:val="000000"/>
          <w:sz w:val="20"/>
        </w:rPr>
        <w:t xml:space="preserve">” </w:t>
      </w:r>
      <w:r>
        <w:rPr>
          <w:rFonts w:ascii="Times New Roman" w:hAnsi="Times New Roman"/>
          <w:color w:val="000000"/>
          <w:sz w:val="24"/>
        </w:rPr>
        <w:t>is the SVB Operating Account.”</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Schedule I (Loan Terms)</w:t>
      </w:r>
      <w:r>
        <w:rPr>
          <w:rFonts w:ascii="Times New Roman" w:hAnsi="Times New Roman"/>
          <w:color w:val="000000"/>
          <w:sz w:val="24"/>
        </w:rPr>
        <w:t>. The following rows appearing on Schedule I to the Loan Agreement are amended in their entirety and replaced with the following:</w:t>
      </w:r>
    </w:p>
    <w:tbl>
      <w:tblPr>
        <w:tblW w:w="10205" w:type="dxa"/>
        <w:jc w:val="left"/>
        <w:tblInd w:w="0" w:type="dxa"/>
        <w:tblLayout w:type="fixed"/>
        <w:tblCellMar>
          <w:top w:w="28" w:type="dxa"/>
          <w:left w:w="28" w:type="dxa"/>
          <w:bottom w:w="28" w:type="dxa"/>
          <w:right w:w="28" w:type="dxa"/>
        </w:tblCellMar>
      </w:tblPr>
      <w:tblGrid>
        <w:gridCol w:w="2087"/>
        <w:gridCol w:w="8118"/>
      </w:tblGrid>
      <w:tr>
        <w:trPr/>
        <w:tc>
          <w:tcPr>
            <w:tcW w:w="2087" w:type="dxa"/>
            <w:tcBorders/>
            <w:vAlign w:val="center"/>
          </w:tcPr>
          <w:p>
            <w:pPr>
              <w:pStyle w:val="TableContents"/>
              <w:bidi w:val="0"/>
              <w:spacing w:before="0" w:after="283"/>
              <w:jc w:val="left"/>
              <w:rPr>
                <w:sz w:val="4"/>
                <w:szCs w:val="4"/>
              </w:rPr>
            </w:pPr>
            <w:r>
              <w:rPr>
                <w:sz w:val="4"/>
                <w:szCs w:val="4"/>
              </w:rPr>
            </w:r>
          </w:p>
        </w:tc>
        <w:tc>
          <w:tcPr>
            <w:tcW w:w="8118" w:type="dxa"/>
            <w:tcBorders/>
            <w:vAlign w:val="center"/>
          </w:tcPr>
          <w:p>
            <w:pPr>
              <w:pStyle w:val="TableContents"/>
              <w:bidi w:val="0"/>
              <w:spacing w:before="0" w:after="283"/>
              <w:jc w:val="left"/>
              <w:rPr>
                <w:sz w:val="4"/>
                <w:szCs w:val="4"/>
              </w:rPr>
            </w:pPr>
            <w:r>
              <w:rPr>
                <w:sz w:val="4"/>
                <w:szCs w:val="4"/>
              </w:rPr>
            </w:r>
          </w:p>
        </w:tc>
      </w:tr>
      <w:tr>
        <w:trPr/>
        <w:tc>
          <w:tcPr>
            <w:tcW w:w="20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1.2(b)(i) – Interest Rate – Term Loan Advances</w:t>
            </w:r>
          </w:p>
        </w:tc>
        <w:tc>
          <w:tcPr>
            <w:tcW w:w="811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 xml:space="preserve">The outstanding principal amount of any Term Loan Advance shall accrue interest at a floating rate per annum equal to the greater of (1) 6.0% and (2) the Prime Rate, which interest shall be payable in accordance with Section 1.2(a). </w:t>
            </w:r>
          </w:p>
        </w:tc>
      </w:tr>
      <w:tr>
        <w:trPr/>
        <w:tc>
          <w:tcPr>
            <w:tcW w:w="208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“Draw Period A”</w:t>
            </w:r>
          </w:p>
        </w:tc>
        <w:tc>
          <w:tcPr>
            <w:tcW w:w="8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both"/>
              <w:rPr/>
            </w:pPr>
            <w:r>
              <w:rPr>
                <w:color w:val="000000"/>
              </w:rPr>
              <w:t>“</w:t>
            </w:r>
            <w:r>
              <w:rPr>
                <w:rFonts w:ascii="Times New Roman" w:hAnsi="Times New Roman"/>
                <w:b/>
                <w:color w:val="000000"/>
                <w:sz w:val="20"/>
              </w:rPr>
              <w:t>Draw Period A</w:t>
            </w:r>
            <w:r>
              <w:rPr>
                <w:rFonts w:ascii="Times New Roman" w:hAnsi="Times New Roman"/>
                <w:color w:val="000000"/>
                <w:sz w:val="20"/>
              </w:rPr>
              <w:t>” is the period commencing as of the Effective Date and ending on January 15, 2026.</w:t>
            </w:r>
          </w:p>
        </w:tc>
      </w:tr>
    </w:tbl>
    <w:p>
      <w:pPr>
        <w:pStyle w:val="TextBody"/>
        <w:bidi w:val="0"/>
        <w:spacing w:before="0" w:after="240"/>
        <w:jc w:val="both"/>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Limitation of Amendments.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Amendment shall be construed in connection with and as part of the Loan Documents and all terms, conditions, representations, warranties, covenants and agreements set forth in the Loan Documents, except as herein amended, are hereby ratified and confirmed and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shall remain in full force and effect.</w:t>
      </w:r>
      <w:r>
        <w:rPr>
          <w:color w:val="000000"/>
        </w:rPr>
        <w:t xml:space="preserv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To induce Bank to enter into this Amendment, Borrower hereby represents and warrants to Bank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has the power and authority to execute and deliver this Amendment and to perform its obligations under the Loan Agreement, as amended by this Amendment;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organizational documents of Borrower delivered to Bank on the Effective Date remain true, accurate and complete and have not been amended, supplemented or restated and are and continue to be in full force and effect;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execution and delivery by Borrower of this Amendment and the performance by Borrower of its obligations under the Loan Agreement, as amended by this Amendment, have been duly authorized;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execution and delivery by Borrower of this Amendment and the 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both"/>
        <w:rPr/>
      </w:pPr>
      <w:r>
        <w:rPr>
          <w:rFonts w:ascii="Times New Roman" w:hAnsi="Times New Roman"/>
          <w:b/>
          <w:color w:val="000000"/>
          <w:sz w:val="24"/>
        </w:rPr>
        <w:t>Ratification of Perfection Certificate</w:t>
      </w:r>
      <w:r>
        <w:rPr>
          <w:rFonts w:ascii="Times New Roman" w:hAnsi="Times New Roman"/>
          <w:color w:val="000000"/>
          <w:sz w:val="24"/>
        </w:rPr>
        <w:t>. Borrower hereby ratifies, confirms and reaffirms, all and singular, the terms and disclosures contained in a certain Perfection Certificate dated as of June 28, 2024 between Borrower and Bank and acknowledges, confirms and agrees that the disclosures and information provided to Bank in such Perfection Certificate have not changed in any material respect, as of the date hereof.</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both"/>
        <w:rPr/>
      </w:pPr>
      <w:r>
        <w:rPr>
          <w:rFonts w:ascii="Times New Roman" w:hAnsi="Times New Roman"/>
          <w:b/>
          <w:color w:val="000000"/>
          <w:sz w:val="24"/>
        </w:rPr>
        <w:t>Fees and Expenses.</w:t>
      </w:r>
      <w:r>
        <w:rPr>
          <w:color w:val="000000"/>
        </w:rPr>
        <w:t xml:space="preserve"> </w:t>
      </w:r>
      <w:r>
        <w:rPr>
          <w:rFonts w:ascii="Times New Roman" w:hAnsi="Times New Roman"/>
          <w:color w:val="000000"/>
          <w:sz w:val="24"/>
        </w:rPr>
        <w:t>Borrower shall reimburse Bank for all unreimbursed Bank Expenses, including without limitation, all legal fees and expenses incurred in connection with this Amendment.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pPr>
      <w:r>
        <w:rPr>
          <w:rFonts w:ascii="Times New Roman" w:hAnsi="Times New Roman"/>
          <w:b/>
          <w:color w:val="000000"/>
          <w:sz w:val="24"/>
        </w:rPr>
        <w:t xml:space="preserve">Governing Law. </w:t>
      </w:r>
      <w:r>
        <w:rPr>
          <w:rFonts w:ascii="Times New Roman" w:hAnsi="Times New Roman"/>
          <w:color w:val="000000"/>
          <w:sz w:val="24"/>
        </w:rPr>
        <w:t>This Amendment shall be governed and construed in accordance with the laws of the</w:t>
      </w:r>
      <w:r>
        <w:rPr>
          <w:color w:val="000000"/>
        </w:rPr>
        <w:t xml:space="preserve"> </w:t>
      </w:r>
      <w:r>
        <w:rPr>
          <w:rFonts w:ascii="Times New Roman" w:hAnsi="Times New Roman"/>
          <w:color w:val="000000"/>
          <w:sz w:val="24"/>
        </w:rPr>
        <w:t>State of California, without giving effect to conflicts of laws principles.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both"/>
        <w:rPr/>
      </w:pPr>
      <w:r>
        <w:rPr>
          <w:rFonts w:ascii="Times New Roman" w:hAnsi="Times New Roman"/>
          <w:b/>
          <w:color w:val="000000"/>
          <w:sz w:val="24"/>
        </w:rPr>
        <w:t>Integration</w:t>
      </w:r>
      <w:r>
        <w:rPr>
          <w:rFonts w:ascii="Times New Roman" w:hAnsi="Times New Roman"/>
          <w:color w:val="000000"/>
          <w:sz w:val="24"/>
        </w:rPr>
        <w:t>. This Amendment and the Loan Documents represent the entire agreement about this 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9.</w:t>
      </w:r>
    </w:p>
    <w:p>
      <w:pPr>
        <w:pStyle w:val="TextBody"/>
        <w:bidi w:val="0"/>
        <w:spacing w:before="0" w:after="240"/>
        <w:jc w:val="both"/>
        <w:rPr/>
      </w:pPr>
      <w:r>
        <w:rPr>
          <w:rFonts w:ascii="Times New Roman" w:hAnsi="Times New Roman"/>
          <w:b/>
          <w:color w:val="000000"/>
          <w:sz w:val="24"/>
        </w:rPr>
        <w:t>Counterparts.</w:t>
      </w:r>
      <w:r>
        <w:rPr>
          <w:color w:val="000000"/>
        </w:rPr>
        <w:t xml:space="preserve"> </w:t>
      </w:r>
      <w:r>
        <w:rPr>
          <w:rFonts w:ascii="Times New Roman" w:hAnsi="Times New Roman"/>
          <w:color w:val="000000"/>
          <w:sz w:val="24"/>
        </w:rPr>
        <w:t>This Amendment may be executed in any number of counterparts and all of such counterparts taken together shall be deemed to constitute one and the same instrument. Each party hereto may execute this Amendment by electronic means and recognizes and accepts the use of electronic signatures and records by any other party hereto in connection with the execution and storage hereof.</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10.</w:t>
      </w:r>
    </w:p>
    <w:p>
      <w:pPr>
        <w:pStyle w:val="TextBody"/>
        <w:bidi w:val="0"/>
        <w:spacing w:before="0" w:after="240"/>
        <w:jc w:val="both"/>
        <w:rPr/>
      </w:pPr>
      <w:r>
        <w:rPr>
          <w:rFonts w:ascii="Times New Roman" w:hAnsi="Times New Roman"/>
          <w:b/>
          <w:color w:val="000000"/>
          <w:sz w:val="24"/>
        </w:rPr>
        <w:t>Effectiveness</w:t>
      </w:r>
      <w:r>
        <w:rPr>
          <w:rFonts w:ascii="Times New Roman" w:hAnsi="Times New Roman"/>
          <w:color w:val="000000"/>
          <w:sz w:val="24"/>
        </w:rPr>
        <w:t>. This Amendment shall be deemed effective upon the due execution and delivery to Bank of this Amendment by each party hereto.</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smallCaps/>
          <w:color w:val="000000"/>
          <w:sz w:val="20"/>
        </w:rPr>
        <w:t xml:space="preserve"> </w:t>
      </w:r>
      <w:r>
        <w:rPr>
          <w:rFonts w:ascii="Times New Roman" w:hAnsi="Times New Roman"/>
          <w:color w:val="000000"/>
          <w:sz w:val="24"/>
        </w:rPr>
        <w:t>the parties hereto have caused this Amendment to be executed as of the date first written above.</w:t>
      </w:r>
    </w:p>
    <w:p>
      <w:pPr>
        <w:pStyle w:val="TextBody"/>
        <w:bidi w:val="0"/>
        <w:jc w:val="left"/>
        <w:rPr/>
      </w:pPr>
      <w:r>
        <w:rPr/>
        <w:t> </w:t>
      </w:r>
    </w:p>
    <w:p>
      <w:pPr>
        <w:pStyle w:val="TextBody"/>
        <w:bidi w:val="0"/>
        <w:jc w:val="left"/>
        <w:rPr/>
      </w:pPr>
      <w:r>
        <w:rPr/>
        <w:t> </w:t>
      </w:r>
    </w:p>
    <w:tbl>
      <w:tblPr>
        <w:tblW w:w="9377" w:type="dxa"/>
        <w:jc w:val="left"/>
        <w:tblInd w:w="0" w:type="dxa"/>
        <w:tblLayout w:type="fixed"/>
        <w:tblCellMar>
          <w:top w:w="28" w:type="dxa"/>
          <w:left w:w="28" w:type="dxa"/>
          <w:bottom w:w="28" w:type="dxa"/>
          <w:right w:w="28" w:type="dxa"/>
        </w:tblCellMar>
      </w:tblPr>
      <w:tblGrid>
        <w:gridCol w:w="5071"/>
        <w:gridCol w:w="4306"/>
      </w:tblGrid>
      <w:tr>
        <w:trPr/>
        <w:tc>
          <w:tcPr>
            <w:tcW w:w="507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BANK</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BORROWER</w:t>
            </w:r>
          </w:p>
        </w:tc>
      </w:tr>
      <w:tr>
        <w:trPr/>
        <w:tc>
          <w:tcPr>
            <w:tcW w:w="507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aps/>
                <w:color w:val="000000"/>
                <w:sz w:val="24"/>
              </w:rPr>
            </w:pPr>
            <w:r>
              <w:rPr>
                <w:rFonts w:ascii="Times New Roman" w:hAnsi="Times New Roman"/>
                <w:caps/>
                <w:color w:val="000000"/>
                <w:sz w:val="24"/>
              </w:rPr>
              <w:t>First-Citizens Bank &amp; Trust Company</w:t>
            </w:r>
          </w:p>
          <w:p>
            <w:pPr>
              <w:pStyle w:val="TableContents"/>
              <w:bidi w:val="0"/>
              <w:jc w:val="left"/>
              <w:rPr/>
            </w:pPr>
            <w:r>
              <w:rPr/>
              <w:t> </w:t>
            </w:r>
          </w:p>
          <w:p>
            <w:pPr>
              <w:pStyle w:val="TableContents"/>
              <w:bidi w:val="0"/>
              <w:jc w:val="left"/>
              <w:rPr/>
            </w:pPr>
            <w:r>
              <w:rPr/>
              <w:t> </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By: __/s/ Peter Sletteland____________</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Name: Peter Sletteland</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Title: Managing Director</w:t>
            </w:r>
          </w:p>
        </w:tc>
        <w:tc>
          <w:tcPr>
            <w:tcW w:w="43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OLEMA PHARMACEUTICALS, INC.</w:t>
            </w:r>
          </w:p>
          <w:p>
            <w:pPr>
              <w:pStyle w:val="TableContents"/>
              <w:bidi w:val="0"/>
              <w:jc w:val="left"/>
              <w:rPr/>
            </w:pPr>
            <w:r>
              <w:rPr/>
              <w:t> </w:t>
            </w:r>
          </w:p>
          <w:p>
            <w:pPr>
              <w:pStyle w:val="TableContents"/>
              <w:bidi w:val="0"/>
              <w:jc w:val="left"/>
              <w:rPr/>
            </w:pPr>
            <w:r>
              <w:rPr/>
              <w:t> </w:t>
            </w:r>
          </w:p>
          <w:p>
            <w:pPr>
              <w:pStyle w:val="TableContents"/>
              <w:bidi w:val="0"/>
              <w:spacing w:before="120" w:after="283"/>
              <w:jc w:val="left"/>
              <w:rPr/>
            </w:pPr>
            <w:r>
              <w:rPr/>
              <w:t> </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By: _/s/ Shane Kovacs_____________</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Name: Shane Kovacs</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Title: Chief Operating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5" w:name="olma-ex31_1.htm"/>
      <w:bookmarkStart w:id="26" w:name="ksolmaex31_1"/>
      <w:bookmarkEnd w:id="25"/>
      <w:bookmarkEnd w:id="26"/>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Sean Bohen,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68" w:type="dxa"/>
        <w:jc w:val="left"/>
        <w:tblInd w:w="0" w:type="dxa"/>
        <w:tblLayout w:type="fixed"/>
        <w:tblCellMar>
          <w:top w:w="28" w:type="dxa"/>
          <w:left w:w="28" w:type="dxa"/>
          <w:bottom w:w="28" w:type="dxa"/>
          <w:right w:w="28" w:type="dxa"/>
        </w:tblCellMar>
      </w:tblPr>
      <w:tblGrid>
        <w:gridCol w:w="1951"/>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7" w:name="olma-ex31_2.htm"/>
      <w:bookmarkStart w:id="28" w:name="ksolmaex31_2"/>
      <w:bookmarkEnd w:id="27"/>
      <w:bookmarkEnd w:id="28"/>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Shane Kovacs,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28" w:type="dxa"/>
        <w:jc w:val="left"/>
        <w:tblInd w:w="0" w:type="dxa"/>
        <w:tblLayout w:type="fixed"/>
        <w:tblCellMar>
          <w:top w:w="28" w:type="dxa"/>
          <w:left w:w="28" w:type="dxa"/>
          <w:bottom w:w="28" w:type="dxa"/>
          <w:right w:w="28" w:type="dxa"/>
        </w:tblCellMar>
      </w:tblPr>
      <w:tblGrid>
        <w:gridCol w:w="1951"/>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olma-ex32_1.htm"/>
      <w:bookmarkStart w:id="30" w:name="ksolmaex32_1"/>
      <w:bookmarkEnd w:id="29"/>
      <w:bookmarkEnd w:id="3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2025,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5568" w:type="dxa"/>
        <w:jc w:val="left"/>
        <w:tblInd w:w="0" w:type="dxa"/>
        <w:tblLayout w:type="fixed"/>
        <w:tblCellMar>
          <w:top w:w="28" w:type="dxa"/>
          <w:left w:w="28" w:type="dxa"/>
          <w:bottom w:w="28" w:type="dxa"/>
          <w:right w:w="28" w:type="dxa"/>
        </w:tblCellMar>
      </w:tblPr>
      <w:tblGrid>
        <w:gridCol w:w="1951"/>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bl>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84/000110465920128482/tm2027048d18_ex3-1.htm" TargetMode="External"/><Relationship Id="rId3" Type="http://schemas.openxmlformats.org/officeDocument/2006/relationships/hyperlink" Target="https://www.sec.gov/Archives/edgar/data/1750284/000155837022018762/olma-20221215xex3d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72970</Words>
  <Characters>411467</Characters>
  <CharactersWithSpaces>485417</CharactersWithSpaces>
  <Paragraphs>7099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