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248920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ind w:left="1"/>
        <w:spacing w:after="0"/>
        <w:rPr>
          <w:sz w:val="20"/>
          <w:szCs w:val="20"/>
          <w:color w:val="auto"/>
        </w:rPr>
      </w:pPr>
      <w:r>
        <w:rPr>
          <w:rFonts w:ascii="Arial" w:cs="Arial" w:eastAsia="Arial" w:hAnsi="Arial"/>
          <w:sz w:val="14"/>
          <w:szCs w:val="14"/>
          <w:b w:val="1"/>
          <w:bCs w:val="1"/>
          <w:color w:val="auto"/>
        </w:rPr>
        <w:t>(Mark One)</w:t>
      </w:r>
    </w:p>
    <w:p>
      <w:pPr>
        <w:spacing w:after="0" w:line="126" w:lineRule="exact"/>
        <w:rPr>
          <w:sz w:val="24"/>
          <w:szCs w:val="24"/>
          <w:color w:val="auto"/>
        </w:rPr>
      </w:pPr>
    </w:p>
    <w:p>
      <w:pPr>
        <w:ind w:left="461" w:hanging="461"/>
        <w:spacing w:after="0"/>
        <w:tabs>
          <w:tab w:leader="none" w:pos="461"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461" w:hanging="461"/>
        <w:spacing w:after="0"/>
        <w:tabs>
          <w:tab w:leader="none" w:pos="461"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12" w:lineRule="exact"/>
        <w:rPr>
          <w:sz w:val="24"/>
          <w:szCs w:val="24"/>
          <w:color w:val="auto"/>
        </w:rPr>
      </w:pPr>
    </w:p>
    <w:p>
      <w:pPr>
        <w:ind w:left="2981"/>
        <w:spacing w:after="0"/>
        <w:rPr>
          <w:sz w:val="20"/>
          <w:szCs w:val="20"/>
          <w:color w:val="auto"/>
        </w:rPr>
      </w:pPr>
      <w:r>
        <w:rPr>
          <w:rFonts w:ascii="Arial" w:cs="Arial" w:eastAsia="Arial" w:hAnsi="Arial"/>
          <w:sz w:val="18"/>
          <w:szCs w:val="18"/>
          <w:b w:val="1"/>
          <w:bCs w:val="1"/>
          <w:color w:val="auto"/>
        </w:rPr>
        <w:t>For the transition period from _______ to _______</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001-39712</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OLEMA PHARMACEUTICALS, INC.</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09" w:lineRule="exact"/>
        <w:rPr>
          <w:sz w:val="24"/>
          <w:szCs w:val="24"/>
          <w:color w:val="auto"/>
        </w:rPr>
      </w:pPr>
    </w:p>
    <w:tbl>
      <w:tblPr>
        <w:tblLayout w:type="fixed"/>
        <w:tblInd w:w="1381" w:type="dxa"/>
        <w:tblCellMar>
          <w:top w:w="0" w:type="dxa"/>
          <w:left w:w="0" w:type="dxa"/>
          <w:bottom w:w="0" w:type="dxa"/>
          <w:right w:w="0" w:type="dxa"/>
        </w:tblCellMar>
      </w:tblPr>
      <w:tr>
        <w:trPr>
          <w:trHeight w:val="207"/>
        </w:trPr>
        <w:tc>
          <w:tcPr>
            <w:tcW w:w="4040" w:type="dxa"/>
            <w:vAlign w:val="bottom"/>
          </w:tcPr>
          <w:p>
            <w:pPr>
              <w:jc w:val="center"/>
              <w:ind w:right="1625"/>
              <w:spacing w:after="0"/>
              <w:rPr>
                <w:sz w:val="20"/>
                <w:szCs w:val="20"/>
                <w:color w:val="auto"/>
              </w:rPr>
            </w:pPr>
            <w:r>
              <w:rPr>
                <w:rFonts w:ascii="Arial" w:cs="Arial" w:eastAsia="Arial" w:hAnsi="Arial"/>
                <w:sz w:val="18"/>
                <w:szCs w:val="18"/>
                <w:b w:val="1"/>
                <w:bCs w:val="1"/>
                <w:color w:val="auto"/>
                <w:w w:val="98"/>
              </w:rPr>
              <w:t>Delaware</w:t>
            </w:r>
          </w:p>
        </w:tc>
        <w:tc>
          <w:tcPr>
            <w:tcW w:w="2760" w:type="dxa"/>
            <w:vAlign w:val="bottom"/>
          </w:tcPr>
          <w:p>
            <w:pPr>
              <w:jc w:val="right"/>
              <w:spacing w:after="0"/>
              <w:rPr>
                <w:sz w:val="20"/>
                <w:szCs w:val="20"/>
                <w:color w:val="auto"/>
              </w:rPr>
            </w:pPr>
            <w:r>
              <w:rPr>
                <w:rFonts w:ascii="Arial" w:cs="Arial" w:eastAsia="Arial" w:hAnsi="Arial"/>
                <w:sz w:val="18"/>
                <w:szCs w:val="18"/>
                <w:b w:val="1"/>
                <w:bCs w:val="1"/>
                <w:color w:val="auto"/>
              </w:rPr>
              <w:t>30-0409740</w:t>
            </w:r>
          </w:p>
        </w:tc>
      </w:tr>
      <w:tr>
        <w:trPr>
          <w:trHeight w:val="135"/>
        </w:trPr>
        <w:tc>
          <w:tcPr>
            <w:tcW w:w="4040" w:type="dxa"/>
            <w:vAlign w:val="bottom"/>
          </w:tcPr>
          <w:p>
            <w:pPr>
              <w:jc w:val="center"/>
              <w:ind w:right="1625"/>
              <w:spacing w:after="0" w:line="135" w:lineRule="exact"/>
              <w:rPr>
                <w:sz w:val="20"/>
                <w:szCs w:val="20"/>
                <w:color w:val="auto"/>
              </w:rPr>
            </w:pPr>
            <w:r>
              <w:rPr>
                <w:rFonts w:ascii="Arial" w:cs="Arial" w:eastAsia="Arial" w:hAnsi="Arial"/>
                <w:sz w:val="13"/>
                <w:szCs w:val="13"/>
                <w:b w:val="1"/>
                <w:bCs w:val="1"/>
                <w:color w:val="auto"/>
                <w:w w:val="97"/>
              </w:rPr>
              <w:t>(State or other jurisdiction of</w:t>
            </w:r>
          </w:p>
        </w:tc>
        <w:tc>
          <w:tcPr>
            <w:tcW w:w="2760" w:type="dxa"/>
            <w:vAlign w:val="bottom"/>
          </w:tcPr>
          <w:p>
            <w:pPr>
              <w:jc w:val="center"/>
              <w:ind w:left="1646"/>
              <w:spacing w:after="0" w:line="135" w:lineRule="exact"/>
              <w:rPr>
                <w:sz w:val="20"/>
                <w:szCs w:val="20"/>
                <w:color w:val="auto"/>
              </w:rPr>
            </w:pPr>
            <w:r>
              <w:rPr>
                <w:rFonts w:ascii="Arial" w:cs="Arial" w:eastAsia="Arial" w:hAnsi="Arial"/>
                <w:sz w:val="13"/>
                <w:szCs w:val="13"/>
                <w:b w:val="1"/>
                <w:bCs w:val="1"/>
                <w:color w:val="auto"/>
                <w:w w:val="96"/>
              </w:rPr>
              <w:t>(I.R.S. Employer</w:t>
            </w:r>
          </w:p>
        </w:tc>
      </w:tr>
      <w:tr>
        <w:trPr>
          <w:trHeight w:val="126"/>
        </w:trPr>
        <w:tc>
          <w:tcPr>
            <w:tcW w:w="4040" w:type="dxa"/>
            <w:vAlign w:val="bottom"/>
          </w:tcPr>
          <w:p>
            <w:pPr>
              <w:jc w:val="center"/>
              <w:ind w:right="1645"/>
              <w:spacing w:after="0" w:line="126" w:lineRule="exact"/>
              <w:rPr>
                <w:sz w:val="20"/>
                <w:szCs w:val="20"/>
                <w:color w:val="auto"/>
              </w:rPr>
            </w:pPr>
            <w:r>
              <w:rPr>
                <w:rFonts w:ascii="Arial" w:cs="Arial" w:eastAsia="Arial" w:hAnsi="Arial"/>
                <w:sz w:val="13"/>
                <w:szCs w:val="13"/>
                <w:b w:val="1"/>
                <w:bCs w:val="1"/>
                <w:color w:val="auto"/>
                <w:w w:val="96"/>
              </w:rPr>
              <w:t>incorporation or organization)</w:t>
            </w:r>
          </w:p>
        </w:tc>
        <w:tc>
          <w:tcPr>
            <w:tcW w:w="2760" w:type="dxa"/>
            <w:vAlign w:val="bottom"/>
          </w:tcPr>
          <w:p>
            <w:pPr>
              <w:jc w:val="center"/>
              <w:ind w:left="1626"/>
              <w:spacing w:after="0" w:line="126" w:lineRule="exact"/>
              <w:rPr>
                <w:sz w:val="20"/>
                <w:szCs w:val="20"/>
                <w:color w:val="auto"/>
              </w:rPr>
            </w:pPr>
            <w:r>
              <w:rPr>
                <w:rFonts w:ascii="Arial" w:cs="Arial" w:eastAsia="Arial" w:hAnsi="Arial"/>
                <w:sz w:val="13"/>
                <w:szCs w:val="13"/>
                <w:b w:val="1"/>
                <w:bCs w:val="1"/>
                <w:color w:val="auto"/>
                <w:w w:val="96"/>
              </w:rPr>
              <w:t>Identification No.)</w:t>
            </w:r>
          </w:p>
        </w:tc>
      </w:tr>
      <w:tr>
        <w:trPr>
          <w:trHeight w:val="211"/>
        </w:trPr>
        <w:tc>
          <w:tcPr>
            <w:tcW w:w="4040" w:type="dxa"/>
            <w:vAlign w:val="bottom"/>
          </w:tcPr>
          <w:p>
            <w:pPr>
              <w:jc w:val="center"/>
              <w:ind w:right="1645"/>
              <w:spacing w:after="0" w:line="211" w:lineRule="exact"/>
              <w:rPr>
                <w:sz w:val="20"/>
                <w:szCs w:val="20"/>
                <w:color w:val="auto"/>
              </w:rPr>
            </w:pPr>
            <w:r>
              <w:rPr>
                <w:rFonts w:ascii="Arial" w:cs="Arial" w:eastAsia="Arial" w:hAnsi="Arial"/>
                <w:sz w:val="17"/>
                <w:szCs w:val="17"/>
                <w:b w:val="1"/>
                <w:bCs w:val="1"/>
                <w:color w:val="auto"/>
              </w:rPr>
              <w:t>512 2</w:t>
            </w:r>
            <w:r>
              <w:rPr>
                <w:rFonts w:ascii="Arial" w:cs="Arial" w:eastAsia="Arial" w:hAnsi="Arial"/>
                <w:sz w:val="24"/>
                <w:szCs w:val="24"/>
                <w:b w:val="1"/>
                <w:bCs w:val="1"/>
                <w:color w:val="auto"/>
                <w:vertAlign w:val="superscript"/>
              </w:rPr>
              <w:t>nd</w:t>
            </w:r>
            <w:r>
              <w:rPr>
                <w:rFonts w:ascii="Arial" w:cs="Arial" w:eastAsia="Arial" w:hAnsi="Arial"/>
                <w:sz w:val="17"/>
                <w:szCs w:val="17"/>
                <w:b w:val="1"/>
                <w:bCs w:val="1"/>
                <w:color w:val="auto"/>
              </w:rPr>
              <w:t xml:space="preserve"> Street, 4</w:t>
            </w:r>
            <w:r>
              <w:rPr>
                <w:rFonts w:ascii="Arial" w:cs="Arial" w:eastAsia="Arial" w:hAnsi="Arial"/>
                <w:sz w:val="24"/>
                <w:szCs w:val="24"/>
                <w:b w:val="1"/>
                <w:bCs w:val="1"/>
                <w:color w:val="auto"/>
                <w:vertAlign w:val="superscript"/>
              </w:rPr>
              <w:t>th</w:t>
            </w:r>
            <w:r>
              <w:rPr>
                <w:rFonts w:ascii="Arial" w:cs="Arial" w:eastAsia="Arial" w:hAnsi="Arial"/>
                <w:sz w:val="17"/>
                <w:szCs w:val="17"/>
                <w:b w:val="1"/>
                <w:bCs w:val="1"/>
                <w:color w:val="auto"/>
              </w:rPr>
              <w:t xml:space="preserve"> Floor</w:t>
            </w:r>
          </w:p>
        </w:tc>
        <w:tc>
          <w:tcPr>
            <w:tcW w:w="2760" w:type="dxa"/>
            <w:vAlign w:val="bottom"/>
          </w:tcPr>
          <w:p>
            <w:pPr>
              <w:spacing w:after="0"/>
              <w:rPr>
                <w:sz w:val="18"/>
                <w:szCs w:val="18"/>
                <w:color w:val="auto"/>
              </w:rPr>
            </w:pPr>
          </w:p>
        </w:tc>
      </w:tr>
      <w:tr>
        <w:trPr>
          <w:trHeight w:val="203"/>
        </w:trPr>
        <w:tc>
          <w:tcPr>
            <w:tcW w:w="4040" w:type="dxa"/>
            <w:vAlign w:val="bottom"/>
          </w:tcPr>
          <w:p>
            <w:pPr>
              <w:jc w:val="center"/>
              <w:ind w:right="1625"/>
              <w:spacing w:after="0" w:line="203" w:lineRule="exact"/>
              <w:rPr>
                <w:sz w:val="20"/>
                <w:szCs w:val="20"/>
                <w:color w:val="auto"/>
              </w:rPr>
            </w:pPr>
            <w:r>
              <w:rPr>
                <w:rFonts w:ascii="Arial" w:cs="Arial" w:eastAsia="Arial" w:hAnsi="Arial"/>
                <w:sz w:val="18"/>
                <w:szCs w:val="18"/>
                <w:b w:val="1"/>
                <w:bCs w:val="1"/>
                <w:color w:val="auto"/>
                <w:w w:val="99"/>
              </w:rPr>
              <w:t>San Francisco, CA</w:t>
            </w:r>
          </w:p>
        </w:tc>
        <w:tc>
          <w:tcPr>
            <w:tcW w:w="2760" w:type="dxa"/>
            <w:vAlign w:val="bottom"/>
          </w:tcPr>
          <w:p>
            <w:pPr>
              <w:jc w:val="right"/>
              <w:ind w:right="206"/>
              <w:spacing w:after="0" w:line="203" w:lineRule="exact"/>
              <w:rPr>
                <w:sz w:val="20"/>
                <w:szCs w:val="20"/>
                <w:color w:val="auto"/>
              </w:rPr>
            </w:pPr>
            <w:r>
              <w:rPr>
                <w:rFonts w:ascii="Arial" w:cs="Arial" w:eastAsia="Arial" w:hAnsi="Arial"/>
                <w:sz w:val="18"/>
                <w:szCs w:val="18"/>
                <w:b w:val="1"/>
                <w:bCs w:val="1"/>
                <w:color w:val="auto"/>
              </w:rPr>
              <w:t>94107</w:t>
            </w:r>
          </w:p>
        </w:tc>
      </w:tr>
      <w:tr>
        <w:trPr>
          <w:trHeight w:val="172"/>
        </w:trPr>
        <w:tc>
          <w:tcPr>
            <w:tcW w:w="4040" w:type="dxa"/>
            <w:vAlign w:val="bottom"/>
          </w:tcPr>
          <w:p>
            <w:pPr>
              <w:jc w:val="center"/>
              <w:ind w:right="1625"/>
              <w:spacing w:after="0"/>
              <w:rPr>
                <w:sz w:val="20"/>
                <w:szCs w:val="20"/>
                <w:color w:val="auto"/>
              </w:rPr>
            </w:pPr>
            <w:r>
              <w:rPr>
                <w:rFonts w:ascii="Arial" w:cs="Arial" w:eastAsia="Arial" w:hAnsi="Arial"/>
                <w:sz w:val="13"/>
                <w:szCs w:val="13"/>
                <w:b w:val="1"/>
                <w:bCs w:val="1"/>
                <w:color w:val="auto"/>
                <w:w w:val="96"/>
              </w:rPr>
              <w:t>(Address of principal executive offices)</w:t>
            </w:r>
          </w:p>
        </w:tc>
        <w:tc>
          <w:tcPr>
            <w:tcW w:w="2760" w:type="dxa"/>
            <w:vAlign w:val="bottom"/>
          </w:tcPr>
          <w:p>
            <w:pPr>
              <w:jc w:val="center"/>
              <w:ind w:left="1626"/>
              <w:spacing w:after="0"/>
              <w:rPr>
                <w:sz w:val="20"/>
                <w:szCs w:val="20"/>
                <w:color w:val="auto"/>
              </w:rPr>
            </w:pPr>
            <w:r>
              <w:rPr>
                <w:rFonts w:ascii="Arial" w:cs="Arial" w:eastAsia="Arial" w:hAnsi="Arial"/>
                <w:sz w:val="13"/>
                <w:szCs w:val="13"/>
                <w:b w:val="1"/>
                <w:bCs w:val="1"/>
                <w:color w:val="auto"/>
                <w:w w:val="96"/>
              </w:rPr>
              <w:t>(Zip Code)</w:t>
            </w:r>
          </w:p>
        </w:tc>
      </w:tr>
    </w:tbl>
    <w:p>
      <w:pPr>
        <w:spacing w:after="0" w:line="165" w:lineRule="exact"/>
        <w:rPr>
          <w:sz w:val="24"/>
          <w:szCs w:val="24"/>
          <w:color w:val="auto"/>
        </w:rPr>
      </w:pPr>
    </w:p>
    <w:p>
      <w:pPr>
        <w:ind w:left="2221"/>
        <w:spacing w:after="0"/>
        <w:rPr>
          <w:sz w:val="20"/>
          <w:szCs w:val="20"/>
          <w:color w:val="auto"/>
        </w:rPr>
      </w:pPr>
      <w:r>
        <w:rPr>
          <w:rFonts w:ascii="Arial" w:cs="Arial" w:eastAsia="Arial" w:hAnsi="Arial"/>
          <w:sz w:val="18"/>
          <w:szCs w:val="18"/>
          <w:b w:val="1"/>
          <w:bCs w:val="1"/>
          <w:color w:val="auto"/>
        </w:rPr>
        <w:t>Registrant’s telephone number, including area code: (650) 243-5555</w:t>
      </w:r>
    </w:p>
    <w:p>
      <w:pPr>
        <w:spacing w:after="0" w:line="135" w:lineRule="exact"/>
        <w:rPr>
          <w:sz w:val="24"/>
          <w:szCs w:val="24"/>
          <w:color w:val="auto"/>
        </w:rPr>
      </w:pPr>
    </w:p>
    <w:p>
      <w:pPr>
        <w:ind w:left="1"/>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34" w:lineRule="exact"/>
        <w:rPr>
          <w:sz w:val="24"/>
          <w:szCs w:val="24"/>
          <w:color w:val="auto"/>
        </w:rPr>
      </w:pPr>
    </w:p>
    <w:tbl>
      <w:tblPr>
        <w:tblLayout w:type="fixed"/>
        <w:tblInd w:w="11" w:type="dxa"/>
        <w:tblCellMar>
          <w:top w:w="0" w:type="dxa"/>
          <w:left w:w="0" w:type="dxa"/>
          <w:bottom w:w="0" w:type="dxa"/>
          <w:right w:w="0" w:type="dxa"/>
        </w:tblCellMar>
      </w:tblPr>
      <w:tr>
        <w:trPr>
          <w:trHeight w:val="203"/>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 of Securities Registered</w:t>
            </w:r>
          </w:p>
        </w:tc>
        <w:tc>
          <w:tcPr>
            <w:tcW w:w="1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w:t>
            </w:r>
          </w:p>
        </w:tc>
        <w:tc>
          <w:tcPr>
            <w:tcW w:w="51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Securities are Registered</w:t>
            </w:r>
          </w:p>
        </w:tc>
      </w:tr>
      <w:tr>
        <w:trPr>
          <w:trHeight w:val="183"/>
        </w:trPr>
        <w:tc>
          <w:tcPr>
            <w:tcW w:w="374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Common Stock, par value $0.0001 per share</w:t>
            </w:r>
          </w:p>
        </w:tc>
        <w:tc>
          <w:tcPr>
            <w:tcW w:w="13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OLMA</w:t>
            </w:r>
          </w:p>
        </w:tc>
        <w:tc>
          <w:tcPr>
            <w:tcW w:w="51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The Nasdaq Global Select Market</w:t>
            </w:r>
          </w:p>
        </w:tc>
      </w:tr>
    </w:tbl>
    <w:p>
      <w:pPr>
        <w:spacing w:after="0" w:line="188" w:lineRule="exact"/>
        <w:rPr>
          <w:sz w:val="24"/>
          <w:szCs w:val="24"/>
          <w:color w:val="auto"/>
        </w:rPr>
      </w:pPr>
    </w:p>
    <w:p>
      <w:pPr>
        <w:jc w:val="both"/>
        <w:ind w:left="1" w:right="20"/>
        <w:spacing w:after="0" w:line="20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97" w:lineRule="exact"/>
        <w:rPr>
          <w:sz w:val="24"/>
          <w:szCs w:val="24"/>
          <w:color w:val="auto"/>
        </w:rPr>
      </w:pPr>
    </w:p>
    <w:p>
      <w:pPr>
        <w:jc w:val="both"/>
        <w:ind w:left="1" w:right="40"/>
        <w:spacing w:after="0" w:line="202"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1" w:lineRule="exact"/>
        <w:rPr>
          <w:sz w:val="24"/>
          <w:szCs w:val="24"/>
          <w:color w:val="auto"/>
        </w:rPr>
      </w:pPr>
    </w:p>
    <w:p>
      <w:pPr>
        <w:jc w:val="both"/>
        <w:ind w:left="1" w:right="20"/>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5" w:lineRule="exact"/>
        <w:rPr>
          <w:sz w:val="24"/>
          <w:szCs w:val="24"/>
          <w:color w:val="auto"/>
        </w:rPr>
      </w:pPr>
    </w:p>
    <w:tbl>
      <w:tblPr>
        <w:tblLayout w:type="fixed"/>
        <w:tblInd w:w="1" w:type="dxa"/>
        <w:tblCellMar>
          <w:top w:w="0" w:type="dxa"/>
          <w:left w:w="0" w:type="dxa"/>
          <w:bottom w:w="0" w:type="dxa"/>
          <w:right w:w="0" w:type="dxa"/>
        </w:tblCellMar>
      </w:tblPr>
      <w:tr>
        <w:trPr>
          <w:trHeight w:val="203"/>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04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4840" w:type="dxa"/>
            <w:vAlign w:val="bottom"/>
          </w:tcPr>
          <w:p>
            <w:pPr>
              <w:ind w:left="2840"/>
              <w:spacing w:after="0"/>
              <w:rPr>
                <w:sz w:val="20"/>
                <w:szCs w:val="20"/>
                <w:color w:val="auto"/>
              </w:rPr>
            </w:pPr>
            <w:r>
              <w:rPr>
                <w:rFonts w:ascii="Arial" w:cs="Arial" w:eastAsia="Arial" w:hAnsi="Arial"/>
                <w:sz w:val="16"/>
                <w:szCs w:val="16"/>
                <w:color w:val="auto"/>
              </w:rPr>
              <w:t>Accelerated filer</w:t>
            </w:r>
          </w:p>
        </w:tc>
        <w:tc>
          <w:tcPr>
            <w:tcW w:w="200" w:type="dxa"/>
            <w:vAlign w:val="bottom"/>
          </w:tcPr>
          <w:p>
            <w:pPr>
              <w:ind w:left="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3"/>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304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4840" w:type="dxa"/>
            <w:vAlign w:val="bottom"/>
          </w:tcPr>
          <w:p>
            <w:pPr>
              <w:ind w:left="2840"/>
              <w:spacing w:after="0"/>
              <w:rPr>
                <w:sz w:val="20"/>
                <w:szCs w:val="20"/>
                <w:color w:val="auto"/>
              </w:rPr>
            </w:pPr>
            <w:r>
              <w:rPr>
                <w:rFonts w:ascii="Arial" w:cs="Arial" w:eastAsia="Arial" w:hAnsi="Arial"/>
                <w:sz w:val="16"/>
                <w:szCs w:val="16"/>
                <w:color w:val="auto"/>
              </w:rPr>
              <w:t>Smaller reporting company</w:t>
            </w:r>
          </w:p>
        </w:tc>
        <w:tc>
          <w:tcPr>
            <w:tcW w:w="200" w:type="dxa"/>
            <w:vAlign w:val="bottom"/>
          </w:tcPr>
          <w:p>
            <w:pPr>
              <w:ind w:left="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19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04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4840" w:type="dxa"/>
            <w:vAlign w:val="bottom"/>
          </w:tcPr>
          <w:p>
            <w:pPr>
              <w:spacing w:after="0"/>
              <w:rPr>
                <w:sz w:val="22"/>
                <w:szCs w:val="22"/>
                <w:color w:val="auto"/>
              </w:rPr>
            </w:pPr>
          </w:p>
        </w:tc>
        <w:tc>
          <w:tcPr>
            <w:tcW w:w="200" w:type="dxa"/>
            <w:vAlign w:val="bottom"/>
          </w:tcPr>
          <w:p>
            <w:pPr>
              <w:spacing w:after="0"/>
              <w:rPr>
                <w:sz w:val="22"/>
                <w:szCs w:val="22"/>
                <w:color w:val="auto"/>
              </w:rPr>
            </w:pPr>
          </w:p>
        </w:tc>
      </w:tr>
    </w:tbl>
    <w:p>
      <w:pPr>
        <w:spacing w:after="0" w:line="136" w:lineRule="exact"/>
        <w:rPr>
          <w:sz w:val="24"/>
          <w:szCs w:val="24"/>
          <w:color w:val="auto"/>
        </w:rPr>
      </w:pPr>
    </w:p>
    <w:p>
      <w:pPr>
        <w:ind w:left="1" w:right="20"/>
        <w:spacing w:after="0" w:line="20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0" w:lineRule="exact"/>
        <w:rPr>
          <w:sz w:val="24"/>
          <w:szCs w:val="24"/>
          <w:color w:val="auto"/>
        </w:rPr>
      </w:pPr>
    </w:p>
    <w:p>
      <w:pPr>
        <w:ind w:left="1" w:right="1200"/>
        <w:spacing w:after="0" w:line="289"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November 4, 2022, the registrant had 40,455,427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464820</wp:posOffset>
            </wp:positionV>
            <wp:extent cx="64979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-5715</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36195</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1"/>
          </w:cols>
          <w:pgMar w:left="839" w:top="661" w:right="81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100" w:type="dxa"/>
        <w:tblCellMar>
          <w:top w:w="0" w:type="dxa"/>
          <w:left w:w="0" w:type="dxa"/>
          <w:bottom w:w="0" w:type="dxa"/>
          <w:right w:w="0" w:type="dxa"/>
        </w:tblCellMar>
      </w:tblPr>
      <w:tr>
        <w:trPr>
          <w:trHeight w:val="247"/>
        </w:trPr>
        <w:tc>
          <w:tcPr>
            <w:tcW w:w="1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920" w:type="dxa"/>
            <w:vAlign w:val="bottom"/>
            <w:gridSpan w:val="8"/>
          </w:tcPr>
          <w:p>
            <w:pPr>
              <w:jc w:val="center"/>
              <w:ind w:right="2780"/>
              <w:spacing w:after="0"/>
              <w:rPr>
                <w:sz w:val="20"/>
                <w:szCs w:val="20"/>
                <w:color w:val="auto"/>
              </w:rPr>
            </w:pPr>
            <w:r>
              <w:rPr>
                <w:rFonts w:ascii="Arial" w:cs="Arial" w:eastAsia="Arial" w:hAnsi="Arial"/>
                <w:sz w:val="18"/>
                <w:szCs w:val="18"/>
                <w:b w:val="1"/>
                <w:bCs w:val="1"/>
                <w:color w:val="auto"/>
                <w:w w:val="98"/>
              </w:rPr>
              <w:t>Table of Contents</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9"/>
        </w:trPr>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60" w:type="dxa"/>
            <w:vAlign w:val="bottom"/>
            <w:gridSpan w:val="11"/>
          </w:tcPr>
          <w:p>
            <w:pPr>
              <w:jc w:val="center"/>
              <w:ind w:right="2360"/>
              <w:spacing w:after="0"/>
              <w:rPr>
                <w:sz w:val="20"/>
                <w:szCs w:val="20"/>
                <w:color w:val="auto"/>
              </w:rPr>
            </w:pPr>
            <w:r>
              <w:rPr>
                <w:rFonts w:ascii="Arial" w:cs="Arial" w:eastAsia="Arial" w:hAnsi="Arial"/>
                <w:sz w:val="18"/>
                <w:szCs w:val="18"/>
                <w:b w:val="1"/>
                <w:bCs w:val="1"/>
                <w:color w:val="auto"/>
                <w:w w:val="99"/>
              </w:rPr>
              <w:t>PART I-FINANCIAL INFORMATION</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60" w:type="dxa"/>
            <w:vAlign w:val="bottom"/>
            <w:gridSpan w:val="19"/>
          </w:tcPr>
          <w:p>
            <w:pPr>
              <w:spacing w:after="0"/>
              <w:rPr>
                <w:sz w:val="20"/>
                <w:szCs w:val="20"/>
                <w:color w:val="auto"/>
              </w:rPr>
            </w:pPr>
            <w:r>
              <w:rPr>
                <w:rFonts w:ascii="Arial" w:cs="Arial" w:eastAsia="Arial" w:hAnsi="Arial"/>
                <w:sz w:val="18"/>
                <w:szCs w:val="18"/>
                <w:b w:val="1"/>
                <w:bCs w:val="1"/>
                <w:color w:val="auto"/>
              </w:rPr>
              <w:t>Item 1. Financial Statements.</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82"/>
        </w:trPr>
        <w:tc>
          <w:tcPr>
            <w:tcW w:w="8260" w:type="dxa"/>
            <w:vAlign w:val="bottom"/>
            <w:gridSpan w:val="19"/>
            <w:vMerge w:val="restart"/>
          </w:tcPr>
          <w:p>
            <w:pPr>
              <w:spacing w:after="0"/>
              <w:rPr>
                <w:sz w:val="20"/>
                <w:szCs w:val="20"/>
                <w:color w:val="auto"/>
              </w:rPr>
            </w:pPr>
            <w:r>
              <w:rPr>
                <w:rFonts w:ascii="Arial" w:cs="Arial" w:eastAsia="Arial" w:hAnsi="Arial"/>
                <w:sz w:val="18"/>
                <w:szCs w:val="18"/>
                <w:color w:val="0000EE"/>
              </w:rPr>
              <w:t>PART I. FINANCIAL INFORMATION</w:t>
            </w:r>
          </w:p>
        </w:tc>
        <w:tc>
          <w:tcPr>
            <w:tcW w:w="5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260" w:type="dxa"/>
            <w:vAlign w:val="bottom"/>
            <w:gridSpan w:val="19"/>
            <w:vMerge w:val="continue"/>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183"/>
        </w:trPr>
        <w:tc>
          <w:tcPr>
            <w:tcW w:w="8260" w:type="dxa"/>
            <w:vAlign w:val="bottom"/>
            <w:gridSpan w:val="19"/>
          </w:tcPr>
          <w:p>
            <w:pPr>
              <w:spacing w:after="0" w:line="182" w:lineRule="exact"/>
              <w:rPr>
                <w:sz w:val="20"/>
                <w:szCs w:val="20"/>
                <w:color w:val="auto"/>
              </w:rPr>
            </w:pPr>
            <w:r>
              <w:rPr>
                <w:rFonts w:ascii="Arial" w:cs="Arial" w:eastAsia="Arial" w:hAnsi="Arial"/>
                <w:sz w:val="18"/>
                <w:szCs w:val="18"/>
                <w:color w:val="0000EE"/>
              </w:rPr>
              <w:t>Item 1. Financial Statements (unaudited)</w:t>
            </w: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60" w:type="dxa"/>
            <w:vAlign w:val="bottom"/>
            <w:tcBorders>
              <w:top w:val="single" w:sz="8" w:color="0000EE"/>
              <w:bottom w:val="single" w:sz="8" w:color="0000EE"/>
            </w:tcBorders>
            <w:gridSpan w:val="10"/>
          </w:tcPr>
          <w:p>
            <w:pPr>
              <w:spacing w:after="0" w:line="182" w:lineRule="exact"/>
              <w:rPr>
                <w:sz w:val="20"/>
                <w:szCs w:val="20"/>
                <w:color w:val="auto"/>
              </w:rPr>
            </w:pPr>
            <w:r>
              <w:rPr>
                <w:rFonts w:ascii="Arial" w:cs="Arial" w:eastAsia="Arial" w:hAnsi="Arial"/>
                <w:sz w:val="18"/>
                <w:szCs w:val="18"/>
                <w:color w:val="0000EE"/>
                <w:w w:val="97"/>
              </w:rPr>
              <w:t>Condensed Consolidated Balance Sheets</w:t>
            </w:r>
          </w:p>
        </w:tc>
        <w:tc>
          <w:tcPr>
            <w:tcW w:w="80" w:type="dxa"/>
            <w:vAlign w:val="bottom"/>
            <w:tcBorders>
              <w:bottom w:val="single" w:sz="8" w:color="0000EE"/>
            </w:tcBorders>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3340" w:type="dxa"/>
            <w:vAlign w:val="bottom"/>
            <w:gridSpan w:val="11"/>
          </w:tcPr>
          <w:p>
            <w:pPr>
              <w:spacing w:after="0" w:line="182" w:lineRule="exact"/>
              <w:rPr>
                <w:sz w:val="20"/>
                <w:szCs w:val="20"/>
                <w:color w:val="auto"/>
              </w:rPr>
            </w:pPr>
            <w:r>
              <w:rPr>
                <w:rFonts w:ascii="Arial" w:cs="Arial" w:eastAsia="Arial" w:hAnsi="Arial"/>
                <w:sz w:val="18"/>
                <w:szCs w:val="18"/>
                <w:color w:val="0000EE"/>
              </w:rPr>
              <w:t>Condensed Consolidated Statements of</w:t>
            </w:r>
          </w:p>
        </w:tc>
        <w:tc>
          <w:tcPr>
            <w:tcW w:w="4920" w:type="dxa"/>
            <w:vAlign w:val="bottom"/>
            <w:gridSpan w:val="8"/>
          </w:tcPr>
          <w:p>
            <w:pPr>
              <w:spacing w:after="0" w:line="182" w:lineRule="exact"/>
              <w:rPr>
                <w:sz w:val="20"/>
                <w:szCs w:val="20"/>
                <w:color w:val="auto"/>
              </w:rPr>
            </w:pPr>
            <w:r>
              <w:rPr>
                <w:rFonts w:ascii="Arial" w:cs="Arial" w:eastAsia="Arial" w:hAnsi="Arial"/>
                <w:sz w:val="18"/>
                <w:szCs w:val="18"/>
                <w:color w:val="0000EE"/>
              </w:rPr>
              <w:t>Operations and Comprehensive Loss</w:t>
            </w: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6220" w:type="dxa"/>
            <w:vAlign w:val="bottom"/>
            <w:tcBorders>
              <w:top w:val="single" w:sz="8" w:color="0000EE"/>
            </w:tcBorders>
            <w:gridSpan w:val="17"/>
          </w:tcPr>
          <w:p>
            <w:pPr>
              <w:spacing w:after="0" w:line="182" w:lineRule="exact"/>
              <w:rPr>
                <w:sz w:val="20"/>
                <w:szCs w:val="20"/>
                <w:color w:val="auto"/>
              </w:rPr>
            </w:pPr>
            <w:r>
              <w:rPr>
                <w:rFonts w:ascii="Arial" w:cs="Arial" w:eastAsia="Arial" w:hAnsi="Arial"/>
                <w:sz w:val="18"/>
                <w:szCs w:val="18"/>
                <w:color w:val="0000EE"/>
              </w:rPr>
              <w:t>Condensed Consolidated Statements of Stockholders’ Equity</w:t>
            </w:r>
          </w:p>
        </w:tc>
        <w:tc>
          <w:tcPr>
            <w:tcW w:w="1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4880" w:type="dxa"/>
            <w:vAlign w:val="bottom"/>
            <w:tcBorders>
              <w:top w:val="single" w:sz="8" w:color="0000EE"/>
            </w:tcBorders>
            <w:gridSpan w:val="13"/>
          </w:tcPr>
          <w:p>
            <w:pPr>
              <w:spacing w:after="0" w:line="182" w:lineRule="exact"/>
              <w:rPr>
                <w:sz w:val="20"/>
                <w:szCs w:val="20"/>
                <w:color w:val="auto"/>
              </w:rPr>
            </w:pPr>
            <w:r>
              <w:rPr>
                <w:rFonts w:ascii="Arial" w:cs="Arial" w:eastAsia="Arial" w:hAnsi="Arial"/>
                <w:sz w:val="18"/>
                <w:szCs w:val="18"/>
                <w:color w:val="0000EE"/>
              </w:rPr>
              <w:t>Condensed Consolidated Statements of Cash Flows</w:t>
            </w: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2"/>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line="20" w:lineRule="exact"/>
              <w:rPr>
                <w:sz w:val="1"/>
                <w:szCs w:val="1"/>
                <w:color w:val="auto"/>
              </w:rPr>
            </w:pPr>
          </w:p>
        </w:tc>
      </w:tr>
      <w:tr>
        <w:trPr>
          <w:trHeight w:val="183"/>
        </w:trPr>
        <w:tc>
          <w:tcPr>
            <w:tcW w:w="5360" w:type="dxa"/>
            <w:vAlign w:val="bottom"/>
            <w:tcBorders>
              <w:bottom w:val="single" w:sz="8" w:color="0000EE"/>
            </w:tcBorders>
            <w:gridSpan w:val="15"/>
          </w:tcPr>
          <w:p>
            <w:pPr>
              <w:spacing w:after="0" w:line="182" w:lineRule="exact"/>
              <w:rPr>
                <w:sz w:val="20"/>
                <w:szCs w:val="20"/>
                <w:color w:val="auto"/>
              </w:rPr>
            </w:pPr>
            <w:r>
              <w:rPr>
                <w:rFonts w:ascii="Arial" w:cs="Arial" w:eastAsia="Arial" w:hAnsi="Arial"/>
                <w:sz w:val="18"/>
                <w:szCs w:val="18"/>
                <w:color w:val="0000EE"/>
                <w:w w:val="99"/>
              </w:rPr>
              <w:t>Notes to Unaudited Condensed Consolidated Financial Statements</w:t>
            </w:r>
          </w:p>
        </w:tc>
        <w:tc>
          <w:tcPr>
            <w:tcW w:w="2900" w:type="dxa"/>
            <w:vAlign w:val="bottom"/>
            <w:gridSpan w:val="4"/>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60" w:type="dxa"/>
            <w:vAlign w:val="bottom"/>
            <w:gridSpan w:val="19"/>
          </w:tcPr>
          <w:p>
            <w:pPr>
              <w:spacing w:after="0" w:line="182" w:lineRule="exact"/>
              <w:rPr>
                <w:sz w:val="20"/>
                <w:szCs w:val="20"/>
                <w:color w:val="auto"/>
              </w:rPr>
            </w:pPr>
            <w:r>
              <w:rPr>
                <w:rFonts w:ascii="Arial" w:cs="Arial" w:eastAsia="Arial" w:hAnsi="Arial"/>
                <w:sz w:val="18"/>
                <w:szCs w:val="18"/>
                <w:color w:val="0000EE"/>
              </w:rPr>
              <w:t>Item 2. Management’s Discussion and Analysis of Financial Condition and Results of Operations</w:t>
            </w: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3"/>
        </w:trPr>
        <w:tc>
          <w:tcPr>
            <w:tcW w:w="768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8"/>
                <w:szCs w:val="18"/>
                <w:color w:val="0000EE"/>
              </w:rPr>
              <w:t>Item 3. Quantitative and Qualitative Disclosures About Market Risk</w:t>
            </w:r>
          </w:p>
        </w:tc>
        <w:tc>
          <w:tcPr>
            <w:tcW w:w="580" w:type="dxa"/>
            <w:vAlign w:val="bottom"/>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83"/>
        </w:trPr>
        <w:tc>
          <w:tcPr>
            <w:tcW w:w="5320" w:type="dxa"/>
            <w:vAlign w:val="bottom"/>
            <w:tcBorders>
              <w:top w:val="single" w:sz="8" w:color="0000EE"/>
            </w:tcBorders>
            <w:gridSpan w:val="14"/>
          </w:tcPr>
          <w:p>
            <w:pPr>
              <w:spacing w:after="0" w:line="182" w:lineRule="exact"/>
              <w:rPr>
                <w:sz w:val="20"/>
                <w:szCs w:val="20"/>
                <w:color w:val="auto"/>
              </w:rPr>
            </w:pPr>
            <w:r>
              <w:rPr>
                <w:rFonts w:ascii="Arial" w:cs="Arial" w:eastAsia="Arial" w:hAnsi="Arial"/>
                <w:sz w:val="18"/>
                <w:szCs w:val="18"/>
                <w:color w:val="0000EE"/>
              </w:rPr>
              <w:t>Item 4. Controls and Procedures</w:t>
            </w:r>
          </w:p>
        </w:tc>
        <w:tc>
          <w:tcPr>
            <w:tcW w:w="140" w:type="dxa"/>
            <w:vAlign w:val="bottom"/>
            <w:gridSpan w:val="2"/>
          </w:tcPr>
          <w:p>
            <w:pPr>
              <w:spacing w:after="0"/>
              <w:rPr>
                <w:sz w:val="15"/>
                <w:szCs w:val="15"/>
                <w:color w:val="auto"/>
              </w:rPr>
            </w:pPr>
          </w:p>
        </w:tc>
        <w:tc>
          <w:tcPr>
            <w:tcW w:w="2800" w:type="dxa"/>
            <w:vAlign w:val="bottom"/>
            <w:gridSpan w:val="3"/>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83"/>
        </w:trPr>
        <w:tc>
          <w:tcPr>
            <w:tcW w:w="2600" w:type="dxa"/>
            <w:vAlign w:val="bottom"/>
            <w:tcBorders>
              <w:top w:val="single" w:sz="8" w:color="0000EE"/>
              <w:bottom w:val="single" w:sz="8" w:color="0000EE"/>
            </w:tcBorders>
            <w:gridSpan w:val="6"/>
          </w:tcPr>
          <w:p>
            <w:pPr>
              <w:spacing w:after="0" w:line="182" w:lineRule="exact"/>
              <w:rPr>
                <w:sz w:val="20"/>
                <w:szCs w:val="20"/>
                <w:color w:val="auto"/>
              </w:rPr>
            </w:pPr>
            <w:r>
              <w:rPr>
                <w:rFonts w:ascii="Arial" w:cs="Arial" w:eastAsia="Arial" w:hAnsi="Arial"/>
                <w:sz w:val="18"/>
                <w:szCs w:val="18"/>
                <w:color w:val="0000EE"/>
                <w:w w:val="96"/>
              </w:rPr>
              <w:t>PART II. OTHER INFORMATION</w:t>
            </w:r>
          </w:p>
        </w:tc>
        <w:tc>
          <w:tcPr>
            <w:tcW w:w="40" w:type="dxa"/>
            <w:vAlign w:val="bottom"/>
            <w:tcBorders>
              <w:bottom w:val="single" w:sz="8" w:color="0000EE"/>
            </w:tcBorders>
          </w:tcPr>
          <w:p>
            <w:pPr>
              <w:spacing w:after="0"/>
              <w:rPr>
                <w:sz w:val="15"/>
                <w:szCs w:val="15"/>
                <w:color w:val="auto"/>
              </w:rPr>
            </w:pPr>
          </w:p>
        </w:tc>
        <w:tc>
          <w:tcPr>
            <w:tcW w:w="520" w:type="dxa"/>
            <w:vAlign w:val="bottom"/>
            <w:gridSpan w:val="2"/>
          </w:tcPr>
          <w:p>
            <w:pPr>
              <w:spacing w:after="0"/>
              <w:rPr>
                <w:sz w:val="15"/>
                <w:szCs w:val="15"/>
                <w:color w:val="auto"/>
              </w:rPr>
            </w:pPr>
          </w:p>
        </w:tc>
        <w:tc>
          <w:tcPr>
            <w:tcW w:w="2300" w:type="dxa"/>
            <w:vAlign w:val="bottom"/>
            <w:gridSpan w:val="7"/>
          </w:tcPr>
          <w:p>
            <w:pPr>
              <w:spacing w:after="0"/>
              <w:rPr>
                <w:sz w:val="15"/>
                <w:szCs w:val="15"/>
                <w:color w:val="auto"/>
              </w:rPr>
            </w:pPr>
          </w:p>
        </w:tc>
        <w:tc>
          <w:tcPr>
            <w:tcW w:w="2800" w:type="dxa"/>
            <w:vAlign w:val="bottom"/>
            <w:gridSpan w:val="3"/>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83"/>
        </w:trPr>
        <w:tc>
          <w:tcPr>
            <w:tcW w:w="2640" w:type="dxa"/>
            <w:vAlign w:val="bottom"/>
            <w:gridSpan w:val="7"/>
          </w:tcPr>
          <w:p>
            <w:pPr>
              <w:spacing w:after="0" w:line="182" w:lineRule="exact"/>
              <w:rPr>
                <w:sz w:val="20"/>
                <w:szCs w:val="20"/>
                <w:color w:val="auto"/>
              </w:rPr>
            </w:pPr>
            <w:r>
              <w:rPr>
                <w:rFonts w:ascii="Arial" w:cs="Arial" w:eastAsia="Arial" w:hAnsi="Arial"/>
                <w:sz w:val="18"/>
                <w:szCs w:val="18"/>
                <w:color w:val="0000EE"/>
              </w:rPr>
              <w:t>Item 1. Legal Proceedings</w:t>
            </w:r>
          </w:p>
        </w:tc>
        <w:tc>
          <w:tcPr>
            <w:tcW w:w="520" w:type="dxa"/>
            <w:vAlign w:val="bottom"/>
            <w:gridSpan w:val="2"/>
          </w:tcPr>
          <w:p>
            <w:pPr>
              <w:spacing w:after="0"/>
              <w:rPr>
                <w:sz w:val="15"/>
                <w:szCs w:val="15"/>
                <w:color w:val="auto"/>
              </w:rPr>
            </w:pPr>
          </w:p>
        </w:tc>
        <w:tc>
          <w:tcPr>
            <w:tcW w:w="2300" w:type="dxa"/>
            <w:vAlign w:val="bottom"/>
            <w:gridSpan w:val="7"/>
          </w:tcPr>
          <w:p>
            <w:pPr>
              <w:spacing w:after="0"/>
              <w:rPr>
                <w:sz w:val="15"/>
                <w:szCs w:val="15"/>
                <w:color w:val="auto"/>
              </w:rPr>
            </w:pPr>
          </w:p>
        </w:tc>
        <w:tc>
          <w:tcPr>
            <w:tcW w:w="2800" w:type="dxa"/>
            <w:vAlign w:val="bottom"/>
            <w:gridSpan w:val="3"/>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83"/>
        </w:trPr>
        <w:tc>
          <w:tcPr>
            <w:tcW w:w="2100" w:type="dxa"/>
            <w:vAlign w:val="bottom"/>
            <w:tcBorders>
              <w:top w:val="single" w:sz="8" w:color="0000EE"/>
            </w:tcBorders>
            <w:gridSpan w:val="4"/>
          </w:tcPr>
          <w:p>
            <w:pPr>
              <w:spacing w:after="0" w:line="182" w:lineRule="exact"/>
              <w:rPr>
                <w:sz w:val="20"/>
                <w:szCs w:val="20"/>
                <w:color w:val="auto"/>
              </w:rPr>
            </w:pPr>
            <w:r>
              <w:rPr>
                <w:rFonts w:ascii="Arial" w:cs="Arial" w:eastAsia="Arial" w:hAnsi="Arial"/>
                <w:sz w:val="18"/>
                <w:szCs w:val="18"/>
                <w:color w:val="0000EE"/>
              </w:rPr>
              <w:t>Item 1A. Risk Factors</w:t>
            </w:r>
          </w:p>
        </w:tc>
        <w:tc>
          <w:tcPr>
            <w:tcW w:w="440" w:type="dxa"/>
            <w:vAlign w:val="bottom"/>
          </w:tcPr>
          <w:p>
            <w:pPr>
              <w:spacing w:after="0"/>
              <w:rPr>
                <w:sz w:val="15"/>
                <w:szCs w:val="15"/>
                <w:color w:val="auto"/>
              </w:rPr>
            </w:pPr>
          </w:p>
        </w:tc>
        <w:tc>
          <w:tcPr>
            <w:tcW w:w="620" w:type="dxa"/>
            <w:vAlign w:val="bottom"/>
            <w:gridSpan w:val="4"/>
          </w:tcPr>
          <w:p>
            <w:pPr>
              <w:spacing w:after="0"/>
              <w:rPr>
                <w:sz w:val="15"/>
                <w:szCs w:val="15"/>
                <w:color w:val="auto"/>
              </w:rPr>
            </w:pPr>
          </w:p>
        </w:tc>
        <w:tc>
          <w:tcPr>
            <w:tcW w:w="2300" w:type="dxa"/>
            <w:vAlign w:val="bottom"/>
            <w:gridSpan w:val="7"/>
          </w:tcPr>
          <w:p>
            <w:pPr>
              <w:spacing w:after="0"/>
              <w:rPr>
                <w:sz w:val="15"/>
                <w:szCs w:val="15"/>
                <w:color w:val="auto"/>
              </w:rPr>
            </w:pPr>
          </w:p>
        </w:tc>
        <w:tc>
          <w:tcPr>
            <w:tcW w:w="2800" w:type="dxa"/>
            <w:vAlign w:val="bottom"/>
            <w:gridSpan w:val="3"/>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83"/>
        </w:trPr>
        <w:tc>
          <w:tcPr>
            <w:tcW w:w="172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rPr>
              <w:t>Item 2. Unregistered</w:t>
            </w:r>
          </w:p>
        </w:tc>
        <w:tc>
          <w:tcPr>
            <w:tcW w:w="6540" w:type="dxa"/>
            <w:vAlign w:val="bottom"/>
            <w:gridSpan w:val="17"/>
          </w:tcPr>
          <w:p>
            <w:pPr>
              <w:spacing w:after="0" w:line="182" w:lineRule="exact"/>
              <w:rPr>
                <w:sz w:val="20"/>
                <w:szCs w:val="20"/>
                <w:color w:val="auto"/>
              </w:rPr>
            </w:pPr>
            <w:r>
              <w:rPr>
                <w:rFonts w:ascii="Arial" w:cs="Arial" w:eastAsia="Arial" w:hAnsi="Arial"/>
                <w:sz w:val="18"/>
                <w:szCs w:val="18"/>
                <w:color w:val="0000EE"/>
              </w:rPr>
              <w:t>Sales of Equity Securities and Use of Proceeds</w:t>
            </w: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83"/>
        </w:trPr>
        <w:tc>
          <w:tcPr>
            <w:tcW w:w="5460" w:type="dxa"/>
            <w:vAlign w:val="bottom"/>
            <w:tcBorders>
              <w:top w:val="single" w:sz="8" w:color="0000EE"/>
            </w:tcBorders>
            <w:gridSpan w:val="16"/>
          </w:tcPr>
          <w:p>
            <w:pPr>
              <w:spacing w:after="0" w:line="182" w:lineRule="exact"/>
              <w:rPr>
                <w:sz w:val="20"/>
                <w:szCs w:val="20"/>
                <w:color w:val="auto"/>
              </w:rPr>
            </w:pPr>
            <w:r>
              <w:rPr>
                <w:rFonts w:ascii="Arial" w:cs="Arial" w:eastAsia="Arial" w:hAnsi="Arial"/>
                <w:sz w:val="18"/>
                <w:szCs w:val="18"/>
                <w:color w:val="0000EE"/>
              </w:rPr>
              <w:t>Item 3. Defaults Upon Senior Securities</w:t>
            </w:r>
          </w:p>
        </w:tc>
        <w:tc>
          <w:tcPr>
            <w:tcW w:w="2800" w:type="dxa"/>
            <w:vAlign w:val="bottom"/>
            <w:gridSpan w:val="3"/>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83"/>
        </w:trPr>
        <w:tc>
          <w:tcPr>
            <w:tcW w:w="3160" w:type="dxa"/>
            <w:vAlign w:val="bottom"/>
            <w:tcBorders>
              <w:top w:val="single" w:sz="8" w:color="0000EE"/>
            </w:tcBorders>
            <w:gridSpan w:val="9"/>
          </w:tcPr>
          <w:p>
            <w:pPr>
              <w:spacing w:after="0" w:line="182" w:lineRule="exact"/>
              <w:rPr>
                <w:sz w:val="20"/>
                <w:szCs w:val="20"/>
                <w:color w:val="auto"/>
              </w:rPr>
            </w:pPr>
            <w:r>
              <w:rPr>
                <w:rFonts w:ascii="Arial" w:cs="Arial" w:eastAsia="Arial" w:hAnsi="Arial"/>
                <w:sz w:val="18"/>
                <w:szCs w:val="18"/>
                <w:color w:val="0000EE"/>
              </w:rPr>
              <w:t>Item 4. Mine Safety Disclosures</w:t>
            </w:r>
          </w:p>
        </w:tc>
        <w:tc>
          <w:tcPr>
            <w:tcW w:w="5100" w:type="dxa"/>
            <w:vAlign w:val="bottom"/>
            <w:gridSpan w:val="10"/>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83"/>
        </w:trPr>
        <w:tc>
          <w:tcPr>
            <w:tcW w:w="254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EE"/>
              </w:rPr>
              <w:t>Item 5. Other Information</w:t>
            </w:r>
          </w:p>
        </w:tc>
        <w:tc>
          <w:tcPr>
            <w:tcW w:w="5720" w:type="dxa"/>
            <w:vAlign w:val="bottom"/>
            <w:gridSpan w:val="14"/>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83"/>
        </w:trPr>
        <w:tc>
          <w:tcPr>
            <w:tcW w:w="124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99"/>
              </w:rPr>
              <w:t>Item 6. Exhibits</w:t>
            </w:r>
          </w:p>
        </w:tc>
        <w:tc>
          <w:tcPr>
            <w:tcW w:w="760" w:type="dxa"/>
            <w:vAlign w:val="bottom"/>
            <w:tcBorders>
              <w:top w:val="single" w:sz="8" w:color="0000EE"/>
            </w:tcBorders>
            <w:gridSpan w:val="2"/>
          </w:tcPr>
          <w:p>
            <w:pPr>
              <w:spacing w:after="0"/>
              <w:rPr>
                <w:sz w:val="15"/>
                <w:szCs w:val="15"/>
                <w:color w:val="auto"/>
              </w:rPr>
            </w:pPr>
          </w:p>
        </w:tc>
        <w:tc>
          <w:tcPr>
            <w:tcW w:w="6260" w:type="dxa"/>
            <w:vAlign w:val="bottom"/>
            <w:gridSpan w:val="16"/>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Olema Pharmaceuticals,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color w:val="auto"/>
        </w:rPr>
        <w:t>(Amounts in thousands, except for share amounts)</w:t>
      </w: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772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231F20"/>
              </w:rPr>
              <w:t>September 30,</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231F20"/>
              </w:rPr>
              <w:t>December 31,</w:t>
            </w:r>
          </w:p>
        </w:tc>
      </w:tr>
      <w:tr>
        <w:trPr>
          <w:trHeight w:val="184"/>
        </w:trPr>
        <w:tc>
          <w:tcPr>
            <w:tcW w:w="7720" w:type="dxa"/>
            <w:vAlign w:val="bottom"/>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1180" w:type="dxa"/>
            <w:vAlign w:val="bottom"/>
          </w:tcPr>
          <w:p>
            <w:pPr>
              <w:jc w:val="right"/>
              <w:ind w:right="328"/>
              <w:spacing w:after="0"/>
              <w:rPr>
                <w:sz w:val="20"/>
                <w:szCs w:val="20"/>
                <w:color w:val="auto"/>
              </w:rPr>
            </w:pPr>
            <w:r>
              <w:rPr>
                <w:rFonts w:ascii="Arial" w:cs="Arial" w:eastAsia="Arial" w:hAnsi="Arial"/>
                <w:sz w:val="14"/>
                <w:szCs w:val="14"/>
                <w:b w:val="1"/>
                <w:bCs w:val="1"/>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-7620</wp:posOffset>
            </wp:positionV>
            <wp:extent cx="564896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ind w:left="60"/>
        <w:spacing w:after="0" w:line="234" w:lineRule="auto"/>
        <w:rPr>
          <w:sz w:val="20"/>
          <w:szCs w:val="20"/>
          <w:color w:val="auto"/>
        </w:rPr>
      </w:pPr>
      <w:r>
        <w:rPr>
          <w:rFonts w:ascii="Arial" w:cs="Arial" w:eastAsia="Arial" w:hAnsi="Arial"/>
          <w:sz w:val="18"/>
          <w:szCs w:val="18"/>
          <w:color w:val="auto"/>
        </w:rPr>
        <w:t>Assets</w:t>
      </w:r>
    </w:p>
    <w:p>
      <w:pPr>
        <w:ind w:left="60"/>
        <w:spacing w:after="0" w:line="235" w:lineRule="auto"/>
        <w:rPr>
          <w:sz w:val="20"/>
          <w:szCs w:val="20"/>
          <w:color w:val="auto"/>
        </w:rPr>
      </w:pPr>
      <w:r>
        <w:rPr>
          <w:rFonts w:ascii="Arial" w:cs="Arial" w:eastAsia="Arial" w:hAnsi="Arial"/>
          <w:sz w:val="18"/>
          <w:szCs w:val="18"/>
          <w:color w:val="auto"/>
        </w:rPr>
        <w:t>Current assets:</w:t>
      </w:r>
    </w:p>
    <w:p>
      <w:pPr>
        <w:ind w:left="160"/>
        <w:spacing w:after="0" w:line="235" w:lineRule="auto"/>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ind w:left="160"/>
        <w:spacing w:after="0" w:line="235" w:lineRule="auto"/>
        <w:rPr>
          <w:sz w:val="20"/>
          <w:szCs w:val="20"/>
          <w:color w:val="auto"/>
        </w:rPr>
      </w:pPr>
      <w:r>
        <w:rPr>
          <w:rFonts w:ascii="Arial" w:cs="Arial" w:eastAsia="Arial" w:hAnsi="Arial"/>
          <w:sz w:val="18"/>
          <w:szCs w:val="18"/>
          <w:color w:val="auto"/>
        </w:rPr>
        <w:t>Marketable securities</w:t>
      </w:r>
    </w:p>
    <w:p>
      <w:pPr>
        <w:ind w:left="160"/>
        <w:spacing w:after="0"/>
        <w:rPr>
          <w:sz w:val="20"/>
          <w:szCs w:val="20"/>
          <w:color w:val="auto"/>
        </w:rPr>
      </w:pPr>
      <w:r>
        <w:rPr>
          <w:rFonts w:ascii="Arial" w:cs="Arial" w:eastAsia="Arial" w:hAnsi="Arial"/>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-130175</wp:posOffset>
            </wp:positionV>
            <wp:extent cx="564896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Total current assets</w:t>
      </w:r>
    </w:p>
    <w:p>
      <w:pPr>
        <w:ind w:left="60"/>
        <w:spacing w:after="0" w:line="234" w:lineRule="auto"/>
        <w:rPr>
          <w:sz w:val="20"/>
          <w:szCs w:val="20"/>
          <w:color w:val="auto"/>
        </w:rPr>
      </w:pPr>
      <w:r>
        <w:rPr>
          <w:rFonts w:ascii="Arial" w:cs="Arial" w:eastAsia="Arial" w:hAnsi="Arial"/>
          <w:sz w:val="18"/>
          <w:szCs w:val="18"/>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ind w:left="60"/>
        <w:spacing w:after="0" w:line="235" w:lineRule="auto"/>
        <w:rPr>
          <w:sz w:val="20"/>
          <w:szCs w:val="20"/>
          <w:color w:val="auto"/>
        </w:rPr>
      </w:pPr>
      <w:r>
        <w:rPr>
          <w:rFonts w:ascii="Arial" w:cs="Arial" w:eastAsia="Arial" w:hAnsi="Arial"/>
          <w:sz w:val="18"/>
          <w:szCs w:val="18"/>
          <w:color w:val="auto"/>
        </w:rPr>
        <w:t>Operating lease right-of-use assets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-130175</wp:posOffset>
            </wp:positionV>
            <wp:extent cx="564896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3175</wp:posOffset>
            </wp:positionV>
            <wp:extent cx="564896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Liabilities and stockholders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equity</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-127635</wp:posOffset>
            </wp:positionV>
            <wp:extent cx="564896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ind w:left="160"/>
        <w:spacing w:after="0" w:line="234" w:lineRule="auto"/>
        <w:rPr>
          <w:sz w:val="20"/>
          <w:szCs w:val="20"/>
          <w:color w:val="auto"/>
        </w:rPr>
      </w:pPr>
      <w:r>
        <w:rPr>
          <w:rFonts w:ascii="Arial" w:cs="Arial" w:eastAsia="Arial" w:hAnsi="Arial"/>
          <w:sz w:val="18"/>
          <w:szCs w:val="18"/>
          <w:color w:val="auto"/>
        </w:rPr>
        <w:t>Accounts payable</w:t>
      </w:r>
    </w:p>
    <w:p>
      <w:pPr>
        <w:ind w:left="160"/>
        <w:spacing w:after="0" w:line="235" w:lineRule="auto"/>
        <w:rPr>
          <w:sz w:val="20"/>
          <w:szCs w:val="20"/>
          <w:color w:val="auto"/>
        </w:rPr>
      </w:pPr>
      <w:r>
        <w:rPr>
          <w:rFonts w:ascii="Arial" w:cs="Arial" w:eastAsia="Arial" w:hAnsi="Arial"/>
          <w:sz w:val="18"/>
          <w:szCs w:val="18"/>
          <w:color w:val="auto"/>
        </w:rPr>
        <w:t>Operating lease liabilities,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ind w:left="160"/>
        <w:spacing w:after="0" w:line="234" w:lineRule="auto"/>
        <w:rPr>
          <w:sz w:val="20"/>
          <w:szCs w:val="20"/>
          <w:color w:val="auto"/>
        </w:rPr>
      </w:pPr>
      <w:r>
        <w:rPr>
          <w:rFonts w:ascii="Arial" w:cs="Arial" w:eastAsia="Arial" w:hAnsi="Arial"/>
          <w:sz w:val="18"/>
          <w:szCs w:val="18"/>
          <w:color w:val="auto"/>
        </w:rPr>
        <w:t>Other current liabilities</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tabs>
          <w:tab w:leader="none" w:pos="500" w:val="left"/>
          <w:tab w:leader="none" w:pos="1320" w:val="left"/>
          <w:tab w:leader="none" w:pos="1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26,804</w:t>
        <w:tab/>
        <w:t>$</w:t>
      </w:r>
      <w:r>
        <w:rPr>
          <w:sz w:val="20"/>
          <w:szCs w:val="20"/>
          <w:color w:val="auto"/>
        </w:rPr>
        <w:tab/>
      </w:r>
      <w:r>
        <w:rPr>
          <w:rFonts w:ascii="Arial" w:cs="Arial" w:eastAsia="Arial" w:hAnsi="Arial"/>
          <w:sz w:val="17"/>
          <w:szCs w:val="17"/>
          <w:color w:val="auto"/>
        </w:rPr>
        <w:t>13,812</w:t>
      </w:r>
    </w:p>
    <w:p>
      <w:pPr>
        <w:spacing w:after="0" w:line="9" w:lineRule="exact"/>
        <w:rPr>
          <w:sz w:val="20"/>
          <w:szCs w:val="20"/>
          <w:color w:val="auto"/>
        </w:rPr>
      </w:pPr>
    </w:p>
    <w:p>
      <w:pPr>
        <w:jc w:val="both"/>
        <w:ind w:left="420"/>
        <w:spacing w:after="0"/>
        <w:tabs>
          <w:tab w:leader="none" w:pos="1700" w:val="left"/>
        </w:tabs>
        <w:rPr>
          <w:sz w:val="20"/>
          <w:szCs w:val="20"/>
          <w:color w:val="auto"/>
        </w:rPr>
      </w:pPr>
      <w:r>
        <w:rPr>
          <w:rFonts w:ascii="Arial" w:cs="Arial" w:eastAsia="Arial" w:hAnsi="Arial"/>
          <w:sz w:val="18"/>
          <w:szCs w:val="18"/>
          <w:color w:val="auto"/>
        </w:rPr>
        <w:t>195,796</w:t>
      </w:r>
      <w:r>
        <w:rPr>
          <w:sz w:val="20"/>
          <w:szCs w:val="20"/>
          <w:color w:val="auto"/>
        </w:rPr>
        <w:tab/>
      </w:r>
      <w:r>
        <w:rPr>
          <w:rFonts w:ascii="Arial" w:cs="Arial" w:eastAsia="Arial" w:hAnsi="Arial"/>
          <w:sz w:val="18"/>
          <w:szCs w:val="18"/>
          <w:color w:val="auto"/>
        </w:rPr>
        <w:t>273,438</w:t>
      </w:r>
    </w:p>
    <w:p>
      <w:pPr>
        <w:jc w:val="both"/>
        <w:ind w:left="620"/>
        <w:spacing w:after="0"/>
        <w:tabs>
          <w:tab w:leader="none" w:pos="1900" w:val="left"/>
        </w:tabs>
        <w:rPr>
          <w:sz w:val="20"/>
          <w:szCs w:val="20"/>
          <w:color w:val="auto"/>
        </w:rPr>
      </w:pPr>
      <w:r>
        <w:rPr>
          <w:rFonts w:ascii="Arial" w:cs="Arial" w:eastAsia="Arial" w:hAnsi="Arial"/>
          <w:sz w:val="18"/>
          <w:szCs w:val="18"/>
          <w:color w:val="auto"/>
        </w:rPr>
        <w:t>2,458</w:t>
      </w:r>
      <w:r>
        <w:rPr>
          <w:sz w:val="20"/>
          <w:szCs w:val="20"/>
          <w:color w:val="auto"/>
        </w:rPr>
        <w:tab/>
      </w:r>
      <w:r>
        <w:rPr>
          <w:rFonts w:ascii="Arial" w:cs="Arial" w:eastAsia="Arial" w:hAnsi="Arial"/>
          <w:sz w:val="18"/>
          <w:szCs w:val="18"/>
          <w:color w:val="auto"/>
        </w:rPr>
        <w:t>3,435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15513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jc w:val="both"/>
        <w:ind w:left="420"/>
        <w:spacing w:after="0"/>
        <w:tabs>
          <w:tab w:leader="none" w:pos="1700" w:val="left"/>
        </w:tabs>
        <w:rPr>
          <w:sz w:val="20"/>
          <w:szCs w:val="20"/>
          <w:color w:val="auto"/>
        </w:rPr>
      </w:pPr>
      <w:r>
        <w:rPr>
          <w:rFonts w:ascii="Arial" w:cs="Arial" w:eastAsia="Arial" w:hAnsi="Arial"/>
          <w:sz w:val="18"/>
          <w:szCs w:val="18"/>
          <w:color w:val="auto"/>
        </w:rPr>
        <w:t>225,058</w:t>
      </w:r>
      <w:r>
        <w:rPr>
          <w:sz w:val="20"/>
          <w:szCs w:val="20"/>
          <w:color w:val="auto"/>
        </w:rPr>
        <w:tab/>
      </w:r>
      <w:r>
        <w:rPr>
          <w:rFonts w:ascii="Arial" w:cs="Arial" w:eastAsia="Arial" w:hAnsi="Arial"/>
          <w:sz w:val="18"/>
          <w:szCs w:val="18"/>
          <w:color w:val="auto"/>
        </w:rPr>
        <w:t>290,685</w:t>
      </w:r>
    </w:p>
    <w:p>
      <w:pPr>
        <w:jc w:val="both"/>
        <w:ind w:left="620"/>
        <w:spacing w:after="0" w:line="234" w:lineRule="auto"/>
        <w:tabs>
          <w:tab w:leader="none" w:pos="1900" w:val="left"/>
        </w:tabs>
        <w:rPr>
          <w:sz w:val="20"/>
          <w:szCs w:val="20"/>
          <w:color w:val="auto"/>
        </w:rPr>
      </w:pPr>
      <w:r>
        <w:rPr>
          <w:rFonts w:ascii="Arial" w:cs="Arial" w:eastAsia="Arial" w:hAnsi="Arial"/>
          <w:sz w:val="18"/>
          <w:szCs w:val="18"/>
          <w:color w:val="auto"/>
        </w:rPr>
        <w:t>1,404</w:t>
      </w:r>
      <w:r>
        <w:rPr>
          <w:sz w:val="20"/>
          <w:szCs w:val="20"/>
          <w:color w:val="auto"/>
        </w:rPr>
        <w:tab/>
      </w:r>
      <w:r>
        <w:rPr>
          <w:rFonts w:ascii="Arial" w:cs="Arial" w:eastAsia="Arial" w:hAnsi="Arial"/>
          <w:sz w:val="18"/>
          <w:szCs w:val="18"/>
          <w:color w:val="auto"/>
        </w:rPr>
        <w:t>1,474</w:t>
      </w:r>
    </w:p>
    <w:p>
      <w:pPr>
        <w:jc w:val="both"/>
        <w:ind w:left="620"/>
        <w:spacing w:after="0" w:line="235" w:lineRule="auto"/>
        <w:tabs>
          <w:tab w:leader="none" w:pos="1900" w:val="left"/>
        </w:tabs>
        <w:rPr>
          <w:sz w:val="20"/>
          <w:szCs w:val="20"/>
          <w:color w:val="auto"/>
        </w:rPr>
      </w:pPr>
      <w:r>
        <w:rPr>
          <w:rFonts w:ascii="Arial" w:cs="Arial" w:eastAsia="Arial" w:hAnsi="Arial"/>
          <w:sz w:val="18"/>
          <w:szCs w:val="18"/>
          <w:color w:val="auto"/>
        </w:rPr>
        <w:t>2,764</w:t>
      </w:r>
      <w:r>
        <w:rPr>
          <w:sz w:val="20"/>
          <w:szCs w:val="20"/>
          <w:color w:val="auto"/>
        </w:rPr>
        <w:tab/>
      </w:r>
      <w:r>
        <w:rPr>
          <w:rFonts w:ascii="Arial" w:cs="Arial" w:eastAsia="Arial" w:hAnsi="Arial"/>
          <w:sz w:val="18"/>
          <w:szCs w:val="18"/>
          <w:color w:val="auto"/>
        </w:rPr>
        <w:t>3,246</w:t>
      </w:r>
    </w:p>
    <w:p>
      <w:pPr>
        <w:spacing w:after="0" w:line="1" w:lineRule="exact"/>
        <w:rPr>
          <w:sz w:val="20"/>
          <w:szCs w:val="20"/>
          <w:color w:val="auto"/>
        </w:rPr>
      </w:pPr>
    </w:p>
    <w:p>
      <w:pPr>
        <w:jc w:val="both"/>
        <w:ind w:left="620"/>
        <w:spacing w:after="0"/>
        <w:tabs>
          <w:tab w:leader="none" w:pos="2040" w:val="left"/>
        </w:tabs>
        <w:rPr>
          <w:sz w:val="20"/>
          <w:szCs w:val="20"/>
          <w:color w:val="auto"/>
        </w:rPr>
      </w:pPr>
      <w:r>
        <w:rPr>
          <w:rFonts w:ascii="Arial" w:cs="Arial" w:eastAsia="Arial" w:hAnsi="Arial"/>
          <w:sz w:val="18"/>
          <w:szCs w:val="18"/>
          <w:color w:val="auto"/>
        </w:rPr>
        <w:t>2,771</w:t>
      </w:r>
      <w:r>
        <w:rPr>
          <w:sz w:val="20"/>
          <w:szCs w:val="20"/>
          <w:color w:val="auto"/>
        </w:rPr>
        <w:tab/>
      </w:r>
      <w:r>
        <w:rPr>
          <w:rFonts w:ascii="Arial" w:cs="Arial" w:eastAsia="Arial" w:hAnsi="Arial"/>
          <w:sz w:val="18"/>
          <w:szCs w:val="18"/>
          <w:color w:val="auto"/>
        </w:rPr>
        <w:t>540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15513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tabs>
          <w:tab w:leader="none" w:pos="400" w:val="left"/>
          <w:tab w:leader="none" w:pos="1320" w:val="left"/>
          <w:tab w:leader="none" w:pos="1700" w:val="left"/>
        </w:tabs>
        <w:rPr>
          <w:sz w:val="20"/>
          <w:szCs w:val="20"/>
          <w:color w:val="auto"/>
        </w:rPr>
      </w:pPr>
      <w:r>
        <w:rPr>
          <w:rFonts w:ascii="Arial" w:cs="Arial" w:eastAsia="Arial" w:hAnsi="Arial"/>
          <w:sz w:val="18"/>
          <w:szCs w:val="18"/>
          <w:u w:val="single" w:color="auto"/>
          <w:color w:val="auto"/>
        </w:rPr>
        <w:t>$</w:t>
      </w:r>
      <w:r>
        <w:rPr>
          <w:sz w:val="20"/>
          <w:szCs w:val="20"/>
          <w:color w:val="auto"/>
        </w:rPr>
        <w:tab/>
      </w:r>
      <w:r>
        <w:rPr>
          <w:rFonts w:ascii="Arial" w:cs="Arial" w:eastAsia="Arial" w:hAnsi="Arial"/>
          <w:sz w:val="18"/>
          <w:szCs w:val="18"/>
          <w:u w:val="single" w:color="auto"/>
          <w:color w:val="auto"/>
        </w:rPr>
        <w:t>231,997</w:t>
        <w:tab/>
        <w:t>$</w:t>
      </w:r>
      <w:r>
        <w:rPr>
          <w:sz w:val="20"/>
          <w:szCs w:val="20"/>
          <w:color w:val="auto"/>
        </w:rPr>
        <w:tab/>
      </w:r>
      <w:r>
        <w:rPr>
          <w:rFonts w:ascii="Arial" w:cs="Arial" w:eastAsia="Arial" w:hAnsi="Arial"/>
          <w:sz w:val="17"/>
          <w:szCs w:val="17"/>
          <w:u w:val="single" w:color="auto"/>
          <w:color w:val="auto"/>
        </w:rPr>
        <w:t>295,945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2"/>
        </w:trPr>
        <w:tc>
          <w:tcPr>
            <w:tcW w:w="320" w:type="dxa"/>
            <w:vAlign w:val="bottom"/>
          </w:tcPr>
          <w:p>
            <w:pPr>
              <w:spacing w:after="0"/>
              <w:rPr>
                <w:sz w:val="17"/>
                <w:szCs w:val="17"/>
                <w:color w:val="auto"/>
              </w:rPr>
            </w:pPr>
          </w:p>
        </w:tc>
        <w:tc>
          <w:tcPr>
            <w:tcW w:w="8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1,084</w:t>
            </w:r>
          </w:p>
        </w:tc>
        <w:tc>
          <w:tcPr>
            <w:tcW w:w="4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931</w:t>
            </w:r>
          </w:p>
        </w:tc>
      </w:tr>
      <w:tr>
        <w:trPr>
          <w:trHeight w:val="219"/>
        </w:trPr>
        <w:tc>
          <w:tcPr>
            <w:tcW w:w="3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11,454</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8,065</w:t>
            </w:r>
          </w:p>
        </w:tc>
      </w:tr>
    </w:tbl>
    <w:p>
      <w:pPr>
        <w:spacing w:after="0" w:line="1" w:lineRule="exact"/>
        <w:rPr>
          <w:sz w:val="20"/>
          <w:szCs w:val="20"/>
          <w:color w:val="auto"/>
        </w:rPr>
      </w:pPr>
    </w:p>
    <w:p>
      <w:pPr>
        <w:sectPr>
          <w:pgSz w:w="11900" w:h="16838" w:orient="portrait"/>
          <w:cols w:equalWidth="0" w:num="2">
            <w:col w:w="5800" w:space="720"/>
            <w:col w:w="2499"/>
          </w:cols>
          <w:pgMar w:left="1440" w:top="513" w:right="1440" w:bottom="1440" w:gutter="0" w:footer="0" w:header="0"/>
          <w:type w:val="continuous"/>
        </w:sectPr>
      </w:pPr>
    </w:p>
    <w:tbl>
      <w:tblPr>
        <w:tblLayout w:type="fixed"/>
        <w:tblInd w:w="60" w:type="dxa"/>
        <w:tblCellMar>
          <w:top w:w="0" w:type="dxa"/>
          <w:left w:w="0" w:type="dxa"/>
          <w:bottom w:w="0" w:type="dxa"/>
          <w:right w:w="0" w:type="dxa"/>
        </w:tblCellMar>
      </w:tblPr>
      <w:tr>
        <w:trPr>
          <w:trHeight w:val="198"/>
        </w:trPr>
        <w:tc>
          <w:tcPr>
            <w:tcW w:w="6460" w:type="dxa"/>
            <w:vAlign w:val="bottom"/>
            <w:tcBorders>
              <w:top w:val="single" w:sz="8" w:color="CCEEFF"/>
            </w:tcBorders>
            <w:shd w:val="clear" w:color="auto" w:fill="CCEEFF"/>
          </w:tcPr>
          <w:p>
            <w:pPr>
              <w:ind w:left="220"/>
              <w:spacing w:after="0" w:line="198" w:lineRule="exact"/>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70"/>
              <w:spacing w:after="0" w:line="198" w:lineRule="exact"/>
              <w:rPr>
                <w:sz w:val="20"/>
                <w:szCs w:val="20"/>
                <w:color w:val="auto"/>
              </w:rPr>
            </w:pPr>
            <w:r>
              <w:rPr>
                <w:rFonts w:ascii="Arial" w:cs="Arial" w:eastAsia="Arial" w:hAnsi="Arial"/>
                <w:sz w:val="18"/>
                <w:szCs w:val="18"/>
                <w:color w:val="auto"/>
              </w:rPr>
              <w:t>12,552</w:t>
            </w:r>
          </w:p>
        </w:tc>
        <w:tc>
          <w:tcPr>
            <w:tcW w:w="1200" w:type="dxa"/>
            <w:vAlign w:val="bottom"/>
            <w:tcBorders>
              <w:top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rPr>
              <w:t>9,019</w:t>
            </w:r>
          </w:p>
        </w:tc>
      </w:tr>
      <w:tr>
        <w:trPr>
          <w:trHeight w:val="203"/>
        </w:trPr>
        <w:tc>
          <w:tcPr>
            <w:tcW w:w="646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Operating lease liabilities, net of current portion</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1,746</w:t>
            </w: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2,358</w:t>
            </w:r>
          </w:p>
        </w:tc>
      </w:tr>
      <w:tr>
        <w:trPr>
          <w:trHeight w:val="196"/>
        </w:trPr>
        <w:tc>
          <w:tcPr>
            <w:tcW w:w="646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14,298</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11,377</w:t>
            </w:r>
          </w:p>
        </w:tc>
      </w:tr>
      <w:tr>
        <w:trPr>
          <w:trHeight w:val="196"/>
        </w:trPr>
        <w:tc>
          <w:tcPr>
            <w:tcW w:w="6460" w:type="dxa"/>
            <w:vAlign w:val="bottom"/>
          </w:tcPr>
          <w:p>
            <w:pPr>
              <w:spacing w:after="0" w:line="196" w:lineRule="exact"/>
              <w:rPr>
                <w:sz w:val="20"/>
                <w:szCs w:val="20"/>
                <w:color w:val="auto"/>
              </w:rPr>
            </w:pPr>
            <w:r>
              <w:rPr>
                <w:rFonts w:ascii="Arial" w:cs="Arial" w:eastAsia="Arial" w:hAnsi="Arial"/>
                <w:sz w:val="18"/>
                <w:szCs w:val="18"/>
                <w:color w:val="auto"/>
              </w:rPr>
              <w:t>Commitments and contingencies (Note 10)</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231F20"/>
              </w:rPr>
              <w:t>Stockholders</w:t>
            </w:r>
            <w:r>
              <w:rPr>
                <w:rFonts w:ascii="Times New Roman" w:cs="Times New Roman" w:eastAsia="Times New Roman" w:hAnsi="Times New Roman"/>
                <w:sz w:val="18"/>
                <w:szCs w:val="18"/>
                <w:color w:val="231F20"/>
              </w:rPr>
              <w:t>’</w:t>
            </w:r>
            <w:r>
              <w:rPr>
                <w:rFonts w:ascii="Arial" w:cs="Arial" w:eastAsia="Arial" w:hAnsi="Arial"/>
                <w:sz w:val="18"/>
                <w:szCs w:val="18"/>
                <w:color w:val="231F20"/>
              </w:rPr>
              <w:t xml:space="preserve"> equity:</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184"/>
        </w:trPr>
        <w:tc>
          <w:tcPr>
            <w:tcW w:w="6460" w:type="dxa"/>
            <w:vAlign w:val="bottom"/>
          </w:tcPr>
          <w:p>
            <w:pPr>
              <w:spacing w:after="0" w:line="183" w:lineRule="exact"/>
              <w:rPr>
                <w:sz w:val="20"/>
                <w:szCs w:val="20"/>
                <w:color w:val="auto"/>
              </w:rPr>
            </w:pPr>
            <w:r>
              <w:rPr>
                <w:rFonts w:ascii="Arial" w:cs="Arial" w:eastAsia="Arial" w:hAnsi="Arial"/>
                <w:sz w:val="18"/>
                <w:szCs w:val="18"/>
                <w:color w:val="231F20"/>
              </w:rPr>
              <w:t>Preferred stock, $0.0001 par value; 10,000,000 shares authorized as of</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03"/>
        </w:trPr>
        <w:tc>
          <w:tcPr>
            <w:tcW w:w="6460" w:type="dxa"/>
            <w:vAlign w:val="bottom"/>
          </w:tcPr>
          <w:p>
            <w:pPr>
              <w:spacing w:after="0" w:line="202" w:lineRule="exact"/>
              <w:rPr>
                <w:sz w:val="20"/>
                <w:szCs w:val="20"/>
                <w:color w:val="auto"/>
              </w:rPr>
            </w:pPr>
            <w:r>
              <w:rPr>
                <w:rFonts w:ascii="Arial" w:cs="Arial" w:eastAsia="Arial" w:hAnsi="Arial"/>
                <w:sz w:val="18"/>
                <w:szCs w:val="18"/>
                <w:color w:val="231F20"/>
              </w:rPr>
              <w:t>September 30, 2022 and December 31, 2021; no shares issued and</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1"/>
        </w:trPr>
        <w:tc>
          <w:tcPr>
            <w:tcW w:w="6460" w:type="dxa"/>
            <w:vAlign w:val="bottom"/>
          </w:tcPr>
          <w:p>
            <w:pPr>
              <w:spacing w:after="0"/>
              <w:rPr>
                <w:sz w:val="20"/>
                <w:szCs w:val="20"/>
                <w:color w:val="auto"/>
              </w:rPr>
            </w:pPr>
            <w:r>
              <w:rPr>
                <w:rFonts w:ascii="Arial" w:cs="Arial" w:eastAsia="Arial" w:hAnsi="Arial"/>
                <w:sz w:val="18"/>
                <w:szCs w:val="18"/>
                <w:color w:val="231F20"/>
              </w:rPr>
              <w:t>outstanding as of September 30, 2022 and December 31, 2021.</w:t>
            </w:r>
          </w:p>
        </w:tc>
        <w:tc>
          <w:tcPr>
            <w:tcW w:w="24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4"/>
        </w:trPr>
        <w:tc>
          <w:tcPr>
            <w:tcW w:w="6460" w:type="dxa"/>
            <w:vAlign w:val="bottom"/>
            <w:shd w:val="clear" w:color="auto" w:fill="CCEEFF"/>
          </w:tcPr>
          <w:p>
            <w:pPr>
              <w:spacing w:after="0" w:line="183" w:lineRule="exact"/>
              <w:rPr>
                <w:sz w:val="20"/>
                <w:szCs w:val="20"/>
                <w:color w:val="auto"/>
              </w:rPr>
            </w:pPr>
            <w:r>
              <w:rPr>
                <w:rFonts w:ascii="Arial" w:cs="Arial" w:eastAsia="Arial" w:hAnsi="Arial"/>
                <w:sz w:val="18"/>
                <w:szCs w:val="18"/>
                <w:color w:val="231F20"/>
              </w:rPr>
              <w:t>Common stock, $0.0001 par value; 490,000,000 shares authorized as of</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03"/>
        </w:trPr>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231F20"/>
              </w:rPr>
              <w:t>September 30, 2022 and December 31, 2021; 40,455,427 and 40,337,046</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3"/>
        </w:trPr>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231F20"/>
              </w:rPr>
              <w:t>shares issued as of September 30, 2022 and December 31, 2021,</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3"/>
        </w:trPr>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231F20"/>
              </w:rPr>
              <w:t>respectively; 40,084,568 and 39,797,263 shares outstanding as of September</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1"/>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231F20"/>
              </w:rPr>
              <w:t>30, 2022 and December 31, 2021, respectively.</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03"/>
        </w:trPr>
        <w:tc>
          <w:tcPr>
            <w:tcW w:w="6460" w:type="dxa"/>
            <w:vAlign w:val="bottom"/>
          </w:tcPr>
          <w:p>
            <w:pPr>
              <w:spacing w:after="0" w:line="202" w:lineRule="exact"/>
              <w:rPr>
                <w:sz w:val="20"/>
                <w:szCs w:val="20"/>
                <w:color w:val="auto"/>
              </w:rPr>
            </w:pPr>
            <w:r>
              <w:rPr>
                <w:rFonts w:ascii="Arial" w:cs="Arial" w:eastAsia="Arial" w:hAnsi="Arial"/>
                <w:sz w:val="18"/>
                <w:szCs w:val="18"/>
                <w:color w:val="231F20"/>
              </w:rPr>
              <w:t>Additional paid-in capital</w:t>
            </w:r>
          </w:p>
        </w:tc>
        <w:tc>
          <w:tcPr>
            <w:tcW w:w="240" w:type="dxa"/>
            <w:vAlign w:val="bottom"/>
          </w:tcPr>
          <w:p>
            <w:pPr>
              <w:spacing w:after="0"/>
              <w:rPr>
                <w:sz w:val="17"/>
                <w:szCs w:val="17"/>
                <w:color w:val="auto"/>
              </w:rPr>
            </w:pPr>
          </w:p>
        </w:tc>
        <w:tc>
          <w:tcPr>
            <w:tcW w:w="10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403,168</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388,904</w:t>
            </w:r>
          </w:p>
        </w:tc>
      </w:tr>
      <w:tr>
        <w:trPr>
          <w:trHeight w:val="203"/>
        </w:trPr>
        <w:tc>
          <w:tcPr>
            <w:tcW w:w="64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231F20"/>
              </w:rPr>
              <w:t>Accumulated other comprehensive loss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(2,674)</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w:t>
            </w:r>
          </w:p>
        </w:tc>
      </w:tr>
      <w:tr>
        <w:trPr>
          <w:trHeight w:val="203"/>
        </w:trPr>
        <w:tc>
          <w:tcPr>
            <w:tcW w:w="646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231F20"/>
              </w:rPr>
              <w:t>Accumulated deficit</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(182,798)</w:t>
            </w: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(104,190)</w:t>
            </w:r>
          </w:p>
        </w:tc>
      </w:tr>
      <w:tr>
        <w:trPr>
          <w:trHeight w:val="196"/>
        </w:trPr>
        <w:tc>
          <w:tcPr>
            <w:tcW w:w="646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231F20"/>
              </w:rPr>
              <w:t>Total stockholders</w:t>
            </w:r>
            <w:r>
              <w:rPr>
                <w:rFonts w:ascii="Times New Roman" w:cs="Times New Roman" w:eastAsia="Times New Roman" w:hAnsi="Times New Roman"/>
                <w:sz w:val="18"/>
                <w:szCs w:val="18"/>
                <w:color w:val="231F20"/>
              </w:rPr>
              <w:t>’</w:t>
            </w:r>
            <w:r>
              <w:rPr>
                <w:rFonts w:ascii="Arial" w:cs="Arial" w:eastAsia="Arial" w:hAnsi="Arial"/>
                <w:sz w:val="18"/>
                <w:szCs w:val="18"/>
                <w:color w:val="231F20"/>
              </w:rPr>
              <w:t xml:space="preserve"> equity</w:t>
            </w: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231F20"/>
              </w:rPr>
              <w:t>217,699</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284,568</w:t>
            </w:r>
          </w:p>
        </w:tc>
      </w:tr>
      <w:tr>
        <w:trPr>
          <w:trHeight w:val="196"/>
        </w:trPr>
        <w:tc>
          <w:tcPr>
            <w:tcW w:w="6460" w:type="dxa"/>
            <w:vAlign w:val="bottom"/>
            <w:tcBorders>
              <w:bottom w:val="single" w:sz="8" w:color="auto"/>
            </w:tcBorders>
          </w:tcPr>
          <w:p>
            <w:pPr>
              <w:ind w:left="220"/>
              <w:spacing w:after="0" w:line="196" w:lineRule="exact"/>
              <w:rPr>
                <w:sz w:val="20"/>
                <w:szCs w:val="20"/>
                <w:color w:val="auto"/>
              </w:rPr>
            </w:pPr>
            <w:r>
              <w:rPr>
                <w:rFonts w:ascii="Arial" w:cs="Arial" w:eastAsia="Arial" w:hAnsi="Arial"/>
                <w:sz w:val="18"/>
                <w:szCs w:val="18"/>
                <w:color w:val="231F20"/>
              </w:rPr>
              <w:t>Total liabilities and stockholders</w:t>
            </w:r>
            <w:r>
              <w:rPr>
                <w:rFonts w:ascii="Times New Roman" w:cs="Times New Roman" w:eastAsia="Times New Roman" w:hAnsi="Times New Roman"/>
                <w:sz w:val="18"/>
                <w:szCs w:val="18"/>
                <w:color w:val="231F20"/>
              </w:rPr>
              <w:t>’</w:t>
            </w:r>
            <w:r>
              <w:rPr>
                <w:rFonts w:ascii="Arial" w:cs="Arial" w:eastAsia="Arial" w:hAnsi="Arial"/>
                <w:sz w:val="18"/>
                <w:szCs w:val="18"/>
                <w:color w:val="231F20"/>
              </w:rPr>
              <w:t xml:space="preserve"> equity</w:t>
            </w: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231F20"/>
              </w:rPr>
              <w:t>231,997</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231F20"/>
              </w:rPr>
              <w:t>295,945</w:t>
            </w:r>
          </w:p>
        </w:tc>
      </w:tr>
      <w:tr>
        <w:trPr>
          <w:trHeight w:val="20"/>
        </w:trPr>
        <w:tc>
          <w:tcPr>
            <w:tcW w:w="6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Olema Pharmaceuticals, Inc.</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Operations and Comprehensive Loss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jc w:val="center"/>
        <w:ind w:right="19"/>
        <w:spacing w:after="0"/>
        <w:rPr>
          <w:sz w:val="20"/>
          <w:szCs w:val="20"/>
          <w:color w:val="auto"/>
        </w:rPr>
      </w:pPr>
      <w:r>
        <w:rPr>
          <w:rFonts w:ascii="Arial" w:cs="Arial" w:eastAsia="Arial" w:hAnsi="Arial"/>
          <w:sz w:val="18"/>
          <w:szCs w:val="18"/>
          <w:color w:val="auto"/>
        </w:rPr>
        <w:t>(Amounts in thousands, except for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143510</wp:posOffset>
            </wp:positionV>
            <wp:extent cx="56489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spacing w:after="0" w:line="230" w:lineRule="exact"/>
        <w:rPr>
          <w:sz w:val="20"/>
          <w:szCs w:val="20"/>
          <w:color w:val="auto"/>
        </w:rPr>
      </w:pPr>
    </w:p>
    <w:p>
      <w:pPr>
        <w:ind w:left="468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p>
      <w:pPr>
        <w:ind w:left="48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-1905</wp:posOffset>
            </wp:positionV>
            <wp:extent cx="14141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ind w:left="4680"/>
        <w:spacing w:after="0"/>
        <w:tabs>
          <w:tab w:leader="none" w:pos="586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Nine Months Ended</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-1905</wp:posOffset>
            </wp:positionV>
            <wp:extent cx="14401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40180" cy="8890"/>
                    </a:xfrm>
                    <a:prstGeom prst="rect">
                      <a:avLst/>
                    </a:prstGeom>
                    <a:noFill/>
                  </pic:spPr>
                </pic:pic>
              </a:graphicData>
            </a:graphic>
          </wp:anchor>
        </w:drawing>
      </w:r>
    </w:p>
    <w:p>
      <w:pPr>
        <w:spacing w:after="0"/>
        <w:tabs>
          <w:tab w:leader="none" w:pos="120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1" w:lineRule="exact"/>
        <w:rPr>
          <w:sz w:val="20"/>
          <w:szCs w:val="20"/>
          <w:color w:val="auto"/>
        </w:rPr>
      </w:pPr>
    </w:p>
    <w:p>
      <w:pPr>
        <w:sectPr>
          <w:pgSz w:w="11900" w:h="16838" w:orient="portrait"/>
          <w:cols w:equalWidth="0" w:num="2">
            <w:col w:w="6380" w:space="720"/>
            <w:col w:w="1919"/>
          </w:cols>
          <w:pgMar w:left="1440" w:top="513" w:right="1440" w:bottom="1440" w:gutter="0" w:footer="0" w:header="0"/>
          <w:type w:val="continuous"/>
        </w:sectPr>
      </w:pPr>
    </w:p>
    <w:tbl>
      <w:tblPr>
        <w:tblLayout w:type="fixed"/>
        <w:tblInd w:w="60" w:type="dxa"/>
        <w:tblCellMar>
          <w:top w:w="0" w:type="dxa"/>
          <w:left w:w="0" w:type="dxa"/>
          <w:bottom w:w="0" w:type="dxa"/>
          <w:right w:w="0" w:type="dxa"/>
        </w:tblCellMar>
      </w:tblPr>
      <w:tr>
        <w:trPr>
          <w:trHeight w:val="156"/>
        </w:trPr>
        <w:tc>
          <w:tcPr>
            <w:tcW w:w="422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Operating expenses:</w:t>
            </w: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20" w:type="dxa"/>
            <w:vAlign w:val="bottom"/>
          </w:tcPr>
          <w:p>
            <w:pPr>
              <w:ind w:left="100"/>
              <w:spacing w:after="0"/>
              <w:rPr>
                <w:sz w:val="20"/>
                <w:szCs w:val="20"/>
                <w:color w:val="auto"/>
              </w:rPr>
            </w:pPr>
            <w:r>
              <w:rPr>
                <w:rFonts w:ascii="Arial" w:cs="Arial" w:eastAsia="Arial" w:hAnsi="Arial"/>
                <w:sz w:val="14"/>
                <w:szCs w:val="14"/>
                <w:color w:val="auto"/>
              </w:rPr>
              <w:t>Research and development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17,627</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12,523</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60,690</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35,125</w:t>
            </w:r>
          </w:p>
        </w:tc>
        <w:tc>
          <w:tcPr>
            <w:tcW w:w="0" w:type="dxa"/>
            <w:vAlign w:val="bottom"/>
          </w:tcPr>
          <w:p>
            <w:pPr>
              <w:spacing w:after="0"/>
              <w:rPr>
                <w:sz w:val="1"/>
                <w:szCs w:val="1"/>
                <w:color w:val="auto"/>
              </w:rPr>
            </w:pPr>
          </w:p>
        </w:tc>
      </w:tr>
      <w:tr>
        <w:trPr>
          <w:trHeight w:val="162"/>
        </w:trPr>
        <w:tc>
          <w:tcPr>
            <w:tcW w:w="4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General and administrative</w:t>
            </w:r>
          </w:p>
        </w:tc>
        <w:tc>
          <w:tcPr>
            <w:tcW w:w="1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5,595</w:t>
            </w: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5,239</w:t>
            </w:r>
          </w:p>
        </w:tc>
        <w:tc>
          <w:tcPr>
            <w:tcW w:w="2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19,079</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14,609</w:t>
            </w:r>
          </w:p>
        </w:tc>
        <w:tc>
          <w:tcPr>
            <w:tcW w:w="0" w:type="dxa"/>
            <w:vAlign w:val="bottom"/>
          </w:tcPr>
          <w:p>
            <w:pPr>
              <w:spacing w:after="0"/>
              <w:rPr>
                <w:sz w:val="1"/>
                <w:szCs w:val="1"/>
                <w:color w:val="auto"/>
              </w:rPr>
            </w:pPr>
          </w:p>
        </w:tc>
      </w:tr>
      <w:tr>
        <w:trPr>
          <w:trHeight w:val="156"/>
        </w:trPr>
        <w:tc>
          <w:tcPr>
            <w:tcW w:w="4220" w:type="dxa"/>
            <w:vAlign w:val="bottom"/>
            <w:tcBorders>
              <w:bottom w:val="single" w:sz="8" w:color="CCEEFF"/>
            </w:tcBorders>
          </w:tcPr>
          <w:p>
            <w:pPr>
              <w:ind w:left="220"/>
              <w:spacing w:after="0" w:line="155" w:lineRule="exact"/>
              <w:rPr>
                <w:sz w:val="20"/>
                <w:szCs w:val="20"/>
                <w:color w:val="auto"/>
              </w:rPr>
            </w:pPr>
            <w:r>
              <w:rPr>
                <w:rFonts w:ascii="Arial" w:cs="Arial" w:eastAsia="Arial" w:hAnsi="Arial"/>
                <w:sz w:val="14"/>
                <w:szCs w:val="14"/>
                <w:color w:val="auto"/>
              </w:rPr>
              <w:t>Total operating expenses</w:t>
            </w: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23,222</w:t>
            </w: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17,762</w:t>
            </w:r>
          </w:p>
        </w:tc>
        <w:tc>
          <w:tcPr>
            <w:tcW w:w="2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79,769</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49,734</w:t>
            </w:r>
          </w:p>
        </w:tc>
        <w:tc>
          <w:tcPr>
            <w:tcW w:w="0" w:type="dxa"/>
            <w:vAlign w:val="bottom"/>
          </w:tcPr>
          <w:p>
            <w:pPr>
              <w:spacing w:after="0"/>
              <w:rPr>
                <w:sz w:val="1"/>
                <w:szCs w:val="1"/>
                <w:color w:val="auto"/>
              </w:rPr>
            </w:pPr>
          </w:p>
        </w:tc>
      </w:tr>
      <w:tr>
        <w:trPr>
          <w:trHeight w:val="156"/>
        </w:trPr>
        <w:tc>
          <w:tcPr>
            <w:tcW w:w="42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Loss from operations</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(23,222)</w:t>
            </w: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(17,762)</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(79,769)</w:t>
            </w: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(49,734)</w:t>
            </w:r>
          </w:p>
        </w:tc>
        <w:tc>
          <w:tcPr>
            <w:tcW w:w="0" w:type="dxa"/>
            <w:vAlign w:val="bottom"/>
          </w:tcPr>
          <w:p>
            <w:pPr>
              <w:spacing w:after="0"/>
              <w:rPr>
                <w:sz w:val="1"/>
                <w:szCs w:val="1"/>
                <w:color w:val="auto"/>
              </w:rPr>
            </w:pPr>
          </w:p>
        </w:tc>
      </w:tr>
      <w:tr>
        <w:trPr>
          <w:trHeight w:val="162"/>
        </w:trPr>
        <w:tc>
          <w:tcPr>
            <w:tcW w:w="4220" w:type="dxa"/>
            <w:vAlign w:val="bottom"/>
          </w:tcPr>
          <w:p>
            <w:pPr>
              <w:spacing w:after="0"/>
              <w:rPr>
                <w:sz w:val="20"/>
                <w:szCs w:val="20"/>
                <w:color w:val="auto"/>
              </w:rPr>
            </w:pPr>
            <w:r>
              <w:rPr>
                <w:rFonts w:ascii="Arial" w:cs="Arial" w:eastAsia="Arial" w:hAnsi="Arial"/>
                <w:sz w:val="14"/>
                <w:szCs w:val="14"/>
                <w:color w:val="auto"/>
              </w:rPr>
              <w:t>Other income (expense):</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Interest income</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622</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1,255</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0" w:type="dxa"/>
            <w:vAlign w:val="bottom"/>
          </w:tcPr>
          <w:p>
            <w:pPr>
              <w:spacing w:after="0"/>
              <w:rPr>
                <w:sz w:val="1"/>
                <w:szCs w:val="1"/>
                <w:color w:val="auto"/>
              </w:rPr>
            </w:pPr>
          </w:p>
        </w:tc>
      </w:tr>
      <w:tr>
        <w:trPr>
          <w:trHeight w:val="162"/>
        </w:trPr>
        <w:tc>
          <w:tcPr>
            <w:tcW w:w="422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Other income (expense):</w:t>
            </w:r>
          </w:p>
        </w:tc>
        <w:tc>
          <w:tcPr>
            <w:tcW w:w="1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(120)</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(94)</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55"/>
        </w:trPr>
        <w:tc>
          <w:tcPr>
            <w:tcW w:w="4220" w:type="dxa"/>
            <w:vAlign w:val="bottom"/>
            <w:shd w:val="clear" w:color="auto" w:fill="CCEEFF"/>
          </w:tcPr>
          <w:p>
            <w:pPr>
              <w:ind w:left="100"/>
              <w:spacing w:after="0" w:line="155" w:lineRule="exact"/>
              <w:rPr>
                <w:sz w:val="20"/>
                <w:szCs w:val="20"/>
                <w:color w:val="auto"/>
              </w:rPr>
            </w:pPr>
            <w:r>
              <w:rPr>
                <w:rFonts w:ascii="Arial" w:cs="Arial" w:eastAsia="Arial" w:hAnsi="Arial"/>
                <w:sz w:val="14"/>
                <w:szCs w:val="14"/>
                <w:color w:val="auto"/>
              </w:rPr>
              <w:t>Total other income</w:t>
            </w:r>
          </w:p>
        </w:tc>
        <w:tc>
          <w:tcPr>
            <w:tcW w:w="1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rPr>
              <w:t>502</w:t>
            </w:r>
          </w:p>
        </w:tc>
        <w:tc>
          <w:tcPr>
            <w:tcW w:w="2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49</w:t>
            </w:r>
          </w:p>
        </w:tc>
        <w:tc>
          <w:tcPr>
            <w:tcW w:w="2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rPr>
              <w:t>1,161</w:t>
            </w:r>
          </w:p>
        </w:tc>
        <w:tc>
          <w:tcPr>
            <w:tcW w:w="2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276</w:t>
            </w:r>
          </w:p>
        </w:tc>
        <w:tc>
          <w:tcPr>
            <w:tcW w:w="0" w:type="dxa"/>
            <w:vAlign w:val="bottom"/>
          </w:tcPr>
          <w:p>
            <w:pPr>
              <w:spacing w:after="0"/>
              <w:rPr>
                <w:sz w:val="1"/>
                <w:szCs w:val="1"/>
                <w:color w:val="auto"/>
              </w:rPr>
            </w:pPr>
          </w:p>
        </w:tc>
      </w:tr>
      <w:tr>
        <w:trPr>
          <w:trHeight w:val="196"/>
        </w:trPr>
        <w:tc>
          <w:tcPr>
            <w:tcW w:w="4220" w:type="dxa"/>
            <w:vAlign w:val="bottom"/>
            <w:tcBorders>
              <w:bottom w:val="single" w:sz="8" w:color="CCEEFF"/>
            </w:tcBorders>
          </w:tcPr>
          <w:p>
            <w:pPr>
              <w:ind w:left="220"/>
              <w:spacing w:after="0" w:line="155" w:lineRule="exact"/>
              <w:rPr>
                <w:sz w:val="20"/>
                <w:szCs w:val="20"/>
                <w:color w:val="auto"/>
              </w:rPr>
            </w:pPr>
            <w:r>
              <w:rPr>
                <w:rFonts w:ascii="Arial" w:cs="Arial" w:eastAsia="Arial" w:hAnsi="Arial"/>
                <w:sz w:val="14"/>
                <w:szCs w:val="14"/>
                <w:color w:val="auto"/>
              </w:rPr>
              <w:t>Net loss</w:t>
            </w: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(22,720)</w:t>
            </w:r>
          </w:p>
        </w:tc>
        <w:tc>
          <w:tcPr>
            <w:tcW w:w="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(17,713)</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(78,608)</w:t>
            </w:r>
          </w:p>
        </w:tc>
        <w:tc>
          <w:tcPr>
            <w:tcW w:w="2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(49,458)</w:t>
            </w:r>
          </w:p>
        </w:tc>
        <w:tc>
          <w:tcPr>
            <w:tcW w:w="0" w:type="dxa"/>
            <w:vAlign w:val="bottom"/>
          </w:tcPr>
          <w:p>
            <w:pPr>
              <w:spacing w:after="0"/>
              <w:rPr>
                <w:sz w:val="1"/>
                <w:szCs w:val="1"/>
                <w:color w:val="auto"/>
              </w:rPr>
            </w:pPr>
          </w:p>
        </w:tc>
      </w:tr>
      <w:tr>
        <w:trPr>
          <w:trHeight w:val="143"/>
        </w:trPr>
        <w:tc>
          <w:tcPr>
            <w:tcW w:w="4220" w:type="dxa"/>
            <w:vAlign w:val="bottom"/>
            <w:tcBorders>
              <w:bottom w:val="single" w:sz="8" w:color="CCEEFF"/>
            </w:tcBorders>
            <w:shd w:val="clear" w:color="auto" w:fill="CCEEFF"/>
          </w:tcPr>
          <w:p>
            <w:pPr>
              <w:spacing w:after="0" w:line="143" w:lineRule="exact"/>
              <w:rPr>
                <w:sz w:val="20"/>
                <w:szCs w:val="20"/>
                <w:color w:val="auto"/>
              </w:rPr>
            </w:pPr>
            <w:r>
              <w:rPr>
                <w:rFonts w:ascii="Arial" w:cs="Arial" w:eastAsia="Arial" w:hAnsi="Arial"/>
                <w:sz w:val="14"/>
                <w:szCs w:val="14"/>
                <w:color w:val="231F20"/>
              </w:rPr>
              <w:t>Net loss per share, basic and diluted</w:t>
            </w:r>
          </w:p>
        </w:tc>
        <w:tc>
          <w:tcPr>
            <w:tcW w:w="1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48"/>
              <w:spacing w:after="0" w:line="143" w:lineRule="exact"/>
              <w:rPr>
                <w:sz w:val="20"/>
                <w:szCs w:val="20"/>
                <w:color w:val="auto"/>
              </w:rPr>
            </w:pPr>
            <w:r>
              <w:rPr>
                <w:rFonts w:ascii="Arial" w:cs="Arial" w:eastAsia="Arial" w:hAnsi="Arial"/>
                <w:sz w:val="14"/>
                <w:szCs w:val="14"/>
                <w:color w:val="231F20"/>
              </w:rPr>
              <w:t>(0.57)</w:t>
            </w:r>
          </w:p>
        </w:tc>
        <w:tc>
          <w:tcPr>
            <w:tcW w:w="2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231F20"/>
              </w:rPr>
              <w:t>$</w:t>
            </w:r>
          </w:p>
        </w:tc>
        <w:tc>
          <w:tcPr>
            <w:tcW w:w="84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231F20"/>
              </w:rPr>
              <w:t>(0.45)</w:t>
            </w:r>
          </w:p>
        </w:tc>
        <w:tc>
          <w:tcPr>
            <w:tcW w:w="2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line="143" w:lineRule="exact"/>
              <w:rPr>
                <w:sz w:val="20"/>
                <w:szCs w:val="20"/>
                <w:color w:val="auto"/>
              </w:rPr>
            </w:pPr>
            <w:r>
              <w:rPr>
                <w:rFonts w:ascii="Arial" w:cs="Arial" w:eastAsia="Arial" w:hAnsi="Arial"/>
                <w:sz w:val="14"/>
                <w:szCs w:val="14"/>
                <w:color w:val="231F20"/>
              </w:rPr>
              <w:t>(1.97)</w:t>
            </w:r>
          </w:p>
        </w:tc>
        <w:tc>
          <w:tcPr>
            <w:tcW w:w="280" w:type="dxa"/>
            <w:vAlign w:val="bottom"/>
            <w:tcBorders>
              <w:bottom w:val="single" w:sz="8" w:color="auto"/>
            </w:tcBorders>
            <w:shd w:val="clear" w:color="auto" w:fill="CCEEFF"/>
          </w:tcPr>
          <w:p>
            <w:pPr>
              <w:jc w:val="right"/>
              <w:ind w:right="8"/>
              <w:spacing w:after="0" w:line="143" w:lineRule="exact"/>
              <w:rPr>
                <w:sz w:val="20"/>
                <w:szCs w:val="20"/>
                <w:color w:val="auto"/>
              </w:rPr>
            </w:pPr>
            <w:r>
              <w:rPr>
                <w:rFonts w:ascii="Arial" w:cs="Arial" w:eastAsia="Arial" w:hAnsi="Arial"/>
                <w:sz w:val="14"/>
                <w:szCs w:val="14"/>
                <w:color w:val="231F20"/>
              </w:rPr>
              <w:t>$</w:t>
            </w:r>
          </w:p>
        </w:tc>
        <w:tc>
          <w:tcPr>
            <w:tcW w:w="8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231F20"/>
              </w:rPr>
              <w:t>(1.25)</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line="147" w:lineRule="exact"/>
              <w:rPr>
                <w:sz w:val="20"/>
                <w:szCs w:val="20"/>
                <w:color w:val="auto"/>
              </w:rPr>
            </w:pPr>
            <w:r>
              <w:rPr>
                <w:rFonts w:ascii="Arial" w:cs="Arial" w:eastAsia="Arial" w:hAnsi="Arial"/>
                <w:sz w:val="14"/>
                <w:szCs w:val="14"/>
                <w:color w:val="231F20"/>
              </w:rPr>
              <w:t>Weighted average shares used to compute net loss per share,</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42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restart"/>
          </w:tcPr>
          <w:p>
            <w:pPr>
              <w:jc w:val="right"/>
              <w:ind w:right="88"/>
              <w:spacing w:after="0"/>
              <w:rPr>
                <w:sz w:val="20"/>
                <w:szCs w:val="20"/>
                <w:color w:val="auto"/>
              </w:rPr>
            </w:pPr>
            <w:r>
              <w:rPr>
                <w:rFonts w:ascii="Arial" w:cs="Arial" w:eastAsia="Arial" w:hAnsi="Arial"/>
                <w:sz w:val="14"/>
                <w:szCs w:val="14"/>
                <w:color w:val="auto"/>
              </w:rPr>
              <w:t>40,036,201</w:t>
            </w:r>
          </w:p>
        </w:tc>
        <w:tc>
          <w:tcPr>
            <w:tcW w:w="26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39,607,745</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restart"/>
          </w:tcPr>
          <w:p>
            <w:pPr>
              <w:jc w:val="right"/>
              <w:ind w:right="88"/>
              <w:spacing w:after="0"/>
              <w:rPr>
                <w:sz w:val="20"/>
                <w:szCs w:val="20"/>
                <w:color w:val="auto"/>
              </w:rPr>
            </w:pPr>
            <w:r>
              <w:rPr>
                <w:rFonts w:ascii="Arial" w:cs="Arial" w:eastAsia="Arial" w:hAnsi="Arial"/>
                <w:sz w:val="14"/>
                <w:szCs w:val="14"/>
                <w:color w:val="auto"/>
              </w:rPr>
              <w:t>39,930,418</w:t>
            </w:r>
          </w:p>
        </w:tc>
        <w:tc>
          <w:tcPr>
            <w:tcW w:w="28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39,450,655</w:t>
            </w:r>
          </w:p>
        </w:tc>
        <w:tc>
          <w:tcPr>
            <w:tcW w:w="0" w:type="dxa"/>
            <w:vAlign w:val="bottom"/>
          </w:tcPr>
          <w:p>
            <w:pPr>
              <w:spacing w:after="0"/>
              <w:rPr>
                <w:sz w:val="1"/>
                <w:szCs w:val="1"/>
                <w:color w:val="auto"/>
              </w:rPr>
            </w:pPr>
          </w:p>
        </w:tc>
      </w:tr>
      <w:tr>
        <w:trPr>
          <w:trHeight w:val="158"/>
        </w:trPr>
        <w:tc>
          <w:tcPr>
            <w:tcW w:w="4220" w:type="dxa"/>
            <w:vAlign w:val="bottom"/>
          </w:tcPr>
          <w:p>
            <w:pPr>
              <w:spacing w:after="0" w:line="158" w:lineRule="exact"/>
              <w:rPr>
                <w:sz w:val="20"/>
                <w:szCs w:val="20"/>
                <w:color w:val="auto"/>
              </w:rPr>
            </w:pPr>
            <w:r>
              <w:rPr>
                <w:rFonts w:ascii="Arial" w:cs="Arial" w:eastAsia="Arial" w:hAnsi="Arial"/>
                <w:sz w:val="14"/>
                <w:szCs w:val="14"/>
                <w:color w:val="231F20"/>
              </w:rPr>
              <w:t>basic and diluted</w:t>
            </w: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137160</wp:posOffset>
            </wp:positionV>
            <wp:extent cx="56489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p>
      <w:pPr>
        <w:spacing w:after="0" w:line="220" w:lineRule="exact"/>
        <w:rPr>
          <w:sz w:val="20"/>
          <w:szCs w:val="20"/>
          <w:color w:val="auto"/>
        </w:rPr>
      </w:pPr>
    </w:p>
    <w:p>
      <w:pPr>
        <w:ind w:left="466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p>
      <w:pPr>
        <w:ind w:left="48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2705735</wp:posOffset>
            </wp:positionH>
            <wp:positionV relativeFrom="paragraph">
              <wp:posOffset>-1905</wp:posOffset>
            </wp:positionV>
            <wp:extent cx="14147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ind w:left="4660"/>
        <w:spacing w:after="0"/>
        <w:tabs>
          <w:tab w:leader="none" w:pos="586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Nine Months Ended</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-1905</wp:posOffset>
            </wp:positionV>
            <wp:extent cx="14401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40180" cy="8890"/>
                    </a:xfrm>
                    <a:prstGeom prst="rect">
                      <a:avLst/>
                    </a:prstGeom>
                    <a:noFill/>
                  </pic:spPr>
                </pic:pic>
              </a:graphicData>
            </a:graphic>
          </wp:anchor>
        </w:drawing>
      </w:r>
    </w:p>
    <w:p>
      <w:pPr>
        <w:spacing w:after="0"/>
        <w:tabs>
          <w:tab w:leader="none" w:pos="120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p>
    <w:p>
      <w:pPr>
        <w:sectPr>
          <w:pgSz w:w="11900" w:h="16838" w:orient="portrait"/>
          <w:cols w:equalWidth="0" w:num="2">
            <w:col w:w="6380" w:space="720"/>
            <w:col w:w="1919"/>
          </w:cols>
          <w:pgMar w:left="1440" w:top="513" w:right="1440" w:bottom="1440" w:gutter="0" w:footer="0" w:header="0"/>
          <w:type w:val="continuous"/>
        </w:sectPr>
      </w:pPr>
    </w:p>
    <w:tbl>
      <w:tblPr>
        <w:tblLayout w:type="fixed"/>
        <w:tblInd w:w="40" w:type="dxa"/>
        <w:tblCellMar>
          <w:top w:w="0" w:type="dxa"/>
          <w:left w:w="0" w:type="dxa"/>
          <w:bottom w:w="0" w:type="dxa"/>
          <w:right w:w="0" w:type="dxa"/>
        </w:tblCellMar>
      </w:tblPr>
      <w:tr>
        <w:trPr>
          <w:trHeight w:val="20"/>
        </w:trPr>
        <w:tc>
          <w:tcPr>
            <w:tcW w:w="4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5"/>
        </w:trPr>
        <w:tc>
          <w:tcPr>
            <w:tcW w:w="42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231F20"/>
              </w:rPr>
              <w:t>Net loss</w:t>
            </w:r>
          </w:p>
        </w:tc>
        <w:tc>
          <w:tcPr>
            <w:tcW w:w="300" w:type="dxa"/>
            <w:vAlign w:val="bottom"/>
            <w:shd w:val="clear" w:color="auto" w:fill="CCEEFF"/>
          </w:tcPr>
          <w:p>
            <w:pPr>
              <w:jc w:val="right"/>
              <w:ind w:right="108"/>
              <w:spacing w:after="0" w:line="135"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line="135" w:lineRule="exact"/>
              <w:rPr>
                <w:sz w:val="20"/>
                <w:szCs w:val="20"/>
                <w:color w:val="auto"/>
              </w:rPr>
            </w:pPr>
            <w:r>
              <w:rPr>
                <w:rFonts w:ascii="Arial" w:cs="Arial" w:eastAsia="Arial" w:hAnsi="Arial"/>
                <w:sz w:val="14"/>
                <w:szCs w:val="14"/>
                <w:color w:val="auto"/>
              </w:rPr>
              <w:t>(22,720)</w:t>
            </w:r>
          </w:p>
        </w:tc>
        <w:tc>
          <w:tcPr>
            <w:tcW w:w="360" w:type="dxa"/>
            <w:vAlign w:val="bottom"/>
            <w:shd w:val="clear" w:color="auto" w:fill="CCEEFF"/>
          </w:tcPr>
          <w:p>
            <w:pPr>
              <w:jc w:val="right"/>
              <w:ind w:right="108"/>
              <w:spacing w:after="0" w:line="135"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4"/>
                <w:szCs w:val="14"/>
                <w:color w:val="auto"/>
              </w:rPr>
              <w:t>(17,713)</w:t>
            </w:r>
          </w:p>
        </w:tc>
        <w:tc>
          <w:tcPr>
            <w:tcW w:w="300" w:type="dxa"/>
            <w:vAlign w:val="bottom"/>
            <w:shd w:val="clear" w:color="auto" w:fill="CCEEFF"/>
          </w:tcPr>
          <w:p>
            <w:pPr>
              <w:jc w:val="right"/>
              <w:ind w:right="108"/>
              <w:spacing w:after="0" w:line="135"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line="135" w:lineRule="exact"/>
              <w:rPr>
                <w:sz w:val="20"/>
                <w:szCs w:val="20"/>
                <w:color w:val="auto"/>
              </w:rPr>
            </w:pPr>
            <w:r>
              <w:rPr>
                <w:rFonts w:ascii="Arial" w:cs="Arial" w:eastAsia="Arial" w:hAnsi="Arial"/>
                <w:sz w:val="14"/>
                <w:szCs w:val="14"/>
                <w:color w:val="auto"/>
              </w:rPr>
              <w:t>(78,608)</w:t>
            </w:r>
          </w:p>
        </w:tc>
        <w:tc>
          <w:tcPr>
            <w:tcW w:w="400" w:type="dxa"/>
            <w:vAlign w:val="bottom"/>
            <w:shd w:val="clear" w:color="auto" w:fill="CCEEFF"/>
          </w:tcPr>
          <w:p>
            <w:pPr>
              <w:jc w:val="right"/>
              <w:ind w:right="128"/>
              <w:spacing w:after="0" w:line="135"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(49,458)</w:t>
            </w:r>
          </w:p>
        </w:tc>
        <w:tc>
          <w:tcPr>
            <w:tcW w:w="20" w:type="dxa"/>
            <w:vAlign w:val="bottom"/>
          </w:tcPr>
          <w:p>
            <w:pPr>
              <w:spacing w:after="0"/>
              <w:rPr>
                <w:sz w:val="11"/>
                <w:szCs w:val="11"/>
                <w:color w:val="auto"/>
              </w:rPr>
            </w:pPr>
          </w:p>
        </w:tc>
      </w:tr>
      <w:tr>
        <w:trPr>
          <w:trHeight w:val="162"/>
        </w:trPr>
        <w:tc>
          <w:tcPr>
            <w:tcW w:w="4220" w:type="dxa"/>
            <w:vAlign w:val="bottom"/>
          </w:tcPr>
          <w:p>
            <w:pPr>
              <w:ind w:left="20"/>
              <w:spacing w:after="0"/>
              <w:rPr>
                <w:sz w:val="20"/>
                <w:szCs w:val="20"/>
                <w:color w:val="auto"/>
              </w:rPr>
            </w:pPr>
            <w:r>
              <w:rPr>
                <w:rFonts w:ascii="Arial" w:cs="Arial" w:eastAsia="Arial" w:hAnsi="Arial"/>
                <w:sz w:val="14"/>
                <w:szCs w:val="14"/>
                <w:color w:val="231F20"/>
              </w:rPr>
              <w:t>Other comprehensive (loss) gain:</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unrealized (loss) gain on marketable securities</w:t>
            </w:r>
          </w:p>
        </w:tc>
        <w:tc>
          <w:tcPr>
            <w:tcW w:w="3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(276)</w:t>
            </w:r>
          </w:p>
        </w:tc>
        <w:tc>
          <w:tcPr>
            <w:tcW w:w="3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2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(2,525)</w:t>
            </w:r>
          </w:p>
        </w:tc>
        <w:tc>
          <w:tcPr>
            <w:tcW w:w="4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20" w:type="dxa"/>
            <w:vAlign w:val="bottom"/>
          </w:tcPr>
          <w:p>
            <w:pPr>
              <w:spacing w:after="0"/>
              <w:rPr>
                <w:sz w:val="14"/>
                <w:szCs w:val="14"/>
                <w:color w:val="auto"/>
              </w:rPr>
            </w:pPr>
          </w:p>
        </w:tc>
      </w:tr>
      <w:tr>
        <w:trPr>
          <w:trHeight w:val="155"/>
        </w:trPr>
        <w:tc>
          <w:tcPr>
            <w:tcW w:w="422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color w:val="231F20"/>
              </w:rPr>
              <w:t>Total comprehensive loss</w:t>
            </w:r>
          </w:p>
        </w:tc>
        <w:tc>
          <w:tcPr>
            <w:tcW w:w="30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(22,996)</w:t>
            </w:r>
          </w:p>
        </w:tc>
        <w:tc>
          <w:tcPr>
            <w:tcW w:w="36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(17,684)</w:t>
            </w:r>
          </w:p>
        </w:tc>
        <w:tc>
          <w:tcPr>
            <w:tcW w:w="2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(81,133)</w:t>
            </w:r>
          </w:p>
        </w:tc>
        <w:tc>
          <w:tcPr>
            <w:tcW w:w="40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(49,443)</w:t>
            </w:r>
          </w:p>
        </w:tc>
        <w:tc>
          <w:tcPr>
            <w:tcW w:w="20" w:type="dxa"/>
            <w:vAlign w:val="bottom"/>
            <w:tcBorders>
              <w:bottom w:val="single" w:sz="8" w:color="auto"/>
            </w:tcBorders>
          </w:tcPr>
          <w:p>
            <w:pPr>
              <w:spacing w:after="0"/>
              <w:rPr>
                <w:sz w:val="13"/>
                <w:szCs w:val="13"/>
                <w:color w:val="auto"/>
              </w:rPr>
            </w:pP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Olema Pharmaceuticals,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in thousands, except for share amounts)</w:t>
      </w:r>
    </w:p>
    <w:p>
      <w:pPr>
        <w:spacing w:after="0" w:line="89" w:lineRule="exact"/>
        <w:rPr>
          <w:sz w:val="20"/>
          <w:szCs w:val="20"/>
          <w:color w:val="auto"/>
        </w:rPr>
      </w:pPr>
    </w:p>
    <w:tbl>
      <w:tblPr>
        <w:tblLayout w:type="fixed"/>
        <w:tblInd w:w="40" w:type="dxa"/>
        <w:tblCellMar>
          <w:top w:w="0" w:type="dxa"/>
          <w:left w:w="0" w:type="dxa"/>
          <w:bottom w:w="0" w:type="dxa"/>
          <w:right w:w="0" w:type="dxa"/>
        </w:tblCellMar>
      </w:tblPr>
      <w:tr>
        <w:trPr>
          <w:trHeight w:val="144"/>
        </w:trPr>
        <w:tc>
          <w:tcPr>
            <w:tcW w:w="35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97"/>
              </w:rPr>
              <w:t>Accumulated</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1520" w:type="dxa"/>
            <w:vAlign w:val="bottom"/>
            <w:gridSpan w:val="3"/>
            <w:vMerge w:val="restart"/>
          </w:tcPr>
          <w:p>
            <w:pPr>
              <w:jc w:val="right"/>
              <w:ind w:right="237"/>
              <w:spacing w:after="0"/>
              <w:rPr>
                <w:sz w:val="20"/>
                <w:szCs w:val="20"/>
                <w:color w:val="auto"/>
              </w:rPr>
            </w:pPr>
            <w:r>
              <w:rPr>
                <w:rFonts w:ascii="Arial" w:cs="Arial" w:eastAsia="Arial" w:hAnsi="Arial"/>
                <w:sz w:val="13"/>
                <w:szCs w:val="13"/>
                <w:b w:val="1"/>
                <w:bCs w:val="1"/>
                <w:color w:val="auto"/>
              </w:rPr>
              <w:t>Common Stock</w:t>
            </w:r>
          </w:p>
        </w:tc>
        <w:tc>
          <w:tcPr>
            <w:tcW w:w="86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Additional</w:t>
            </w:r>
          </w:p>
        </w:tc>
        <w:tc>
          <w:tcPr>
            <w:tcW w:w="16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Other</w:t>
            </w:r>
          </w:p>
        </w:tc>
        <w:tc>
          <w:tcPr>
            <w:tcW w:w="920" w:type="dxa"/>
            <w:vAlign w:val="bottom"/>
            <w:gridSpan w:val="2"/>
            <w:vMerge w:val="restart"/>
          </w:tcPr>
          <w:p>
            <w:pPr>
              <w:jc w:val="right"/>
              <w:ind w:right="17"/>
              <w:spacing w:after="0"/>
              <w:rPr>
                <w:sz w:val="20"/>
                <w:szCs w:val="20"/>
                <w:color w:val="auto"/>
              </w:rPr>
            </w:pPr>
            <w:r>
              <w:rPr>
                <w:rFonts w:ascii="Arial" w:cs="Arial" w:eastAsia="Arial" w:hAnsi="Arial"/>
                <w:sz w:val="13"/>
                <w:szCs w:val="13"/>
                <w:b w:val="1"/>
                <w:bCs w:val="1"/>
                <w:color w:val="auto"/>
              </w:rPr>
              <w:t>Accumulated</w:t>
            </w:r>
          </w:p>
        </w:tc>
        <w:tc>
          <w:tcPr>
            <w:tcW w:w="240" w:type="dxa"/>
            <w:vAlign w:val="bottom"/>
          </w:tcPr>
          <w:p>
            <w:pPr>
              <w:spacing w:after="0"/>
              <w:rPr>
                <w:sz w:val="11"/>
                <w:szCs w:val="11"/>
                <w:color w:val="auto"/>
              </w:rPr>
            </w:pPr>
          </w:p>
        </w:tc>
        <w:tc>
          <w:tcPr>
            <w:tcW w:w="660" w:type="dxa"/>
            <w:vAlign w:val="bottom"/>
          </w:tcPr>
          <w:p>
            <w:pPr>
              <w:jc w:val="center"/>
              <w:ind w:right="117"/>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51"/>
        </w:trPr>
        <w:tc>
          <w:tcPr>
            <w:tcW w:w="3540" w:type="dxa"/>
            <w:vAlign w:val="bottom"/>
          </w:tcPr>
          <w:p>
            <w:pPr>
              <w:spacing w:after="0"/>
              <w:rPr>
                <w:sz w:val="12"/>
                <w:szCs w:val="12"/>
                <w:color w:val="auto"/>
              </w:rPr>
            </w:pPr>
          </w:p>
        </w:tc>
        <w:tc>
          <w:tcPr>
            <w:tcW w:w="1520" w:type="dxa"/>
            <w:vAlign w:val="bottom"/>
            <w:tcBorders>
              <w:bottom w:val="single" w:sz="8" w:color="auto"/>
            </w:tcBorders>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w w:val="96"/>
              </w:rPr>
              <w:t>Paid-in</w:t>
            </w:r>
          </w:p>
        </w:tc>
        <w:tc>
          <w:tcPr>
            <w:tcW w:w="160" w:type="dxa"/>
            <w:vAlign w:val="bottom"/>
          </w:tcPr>
          <w:p>
            <w:pPr>
              <w:spacing w:after="0"/>
              <w:rPr>
                <w:sz w:val="12"/>
                <w:szCs w:val="12"/>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Comprehensive</w:t>
            </w:r>
          </w:p>
        </w:tc>
        <w:tc>
          <w:tcPr>
            <w:tcW w:w="920" w:type="dxa"/>
            <w:vAlign w:val="bottom"/>
            <w:gridSpan w:val="2"/>
            <w:vMerge w:val="continue"/>
          </w:tcPr>
          <w:p>
            <w:pPr>
              <w:spacing w:after="0"/>
              <w:rPr>
                <w:sz w:val="12"/>
                <w:szCs w:val="12"/>
                <w:color w:val="auto"/>
              </w:rPr>
            </w:pPr>
          </w:p>
        </w:tc>
        <w:tc>
          <w:tcPr>
            <w:tcW w:w="9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8"/>
              </w:rPr>
              <w:t>Stockholders'</w:t>
            </w:r>
          </w:p>
        </w:tc>
        <w:tc>
          <w:tcPr>
            <w:tcW w:w="0" w:type="dxa"/>
            <w:vAlign w:val="bottom"/>
          </w:tcPr>
          <w:p>
            <w:pPr>
              <w:spacing w:after="0"/>
              <w:rPr>
                <w:sz w:val="1"/>
                <w:szCs w:val="1"/>
                <w:color w:val="auto"/>
              </w:rPr>
            </w:pPr>
          </w:p>
        </w:tc>
      </w:tr>
      <w:tr>
        <w:trPr>
          <w:trHeight w:val="135"/>
        </w:trPr>
        <w:tc>
          <w:tcPr>
            <w:tcW w:w="354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ind w:right="157"/>
              <w:spacing w:after="0" w:line="135" w:lineRule="exact"/>
              <w:rPr>
                <w:sz w:val="20"/>
                <w:szCs w:val="20"/>
                <w:color w:val="auto"/>
              </w:rPr>
            </w:pPr>
            <w:r>
              <w:rPr>
                <w:rFonts w:ascii="Arial" w:cs="Arial" w:eastAsia="Arial" w:hAnsi="Arial"/>
                <w:sz w:val="13"/>
                <w:szCs w:val="13"/>
                <w:b w:val="1"/>
                <w:bCs w:val="1"/>
                <w:color w:val="231F20"/>
              </w:rPr>
              <w:t>Shares</w:t>
            </w: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231F20"/>
                <w:w w:val="93"/>
              </w:rPr>
              <w:t>Amount</w:t>
            </w:r>
          </w:p>
        </w:tc>
        <w:tc>
          <w:tcPr>
            <w:tcW w:w="2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17"/>
              <w:spacing w:after="0" w:line="135" w:lineRule="exact"/>
              <w:rPr>
                <w:sz w:val="20"/>
                <w:szCs w:val="20"/>
                <w:color w:val="auto"/>
              </w:rPr>
            </w:pPr>
            <w:r>
              <w:rPr>
                <w:rFonts w:ascii="Arial" w:cs="Arial" w:eastAsia="Arial" w:hAnsi="Arial"/>
                <w:sz w:val="13"/>
                <w:szCs w:val="13"/>
                <w:b w:val="1"/>
                <w:bCs w:val="1"/>
                <w:color w:val="231F20"/>
                <w:w w:val="96"/>
              </w:rPr>
              <w:t>Capital</w:t>
            </w: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231F20"/>
                <w:w w:val="92"/>
              </w:rPr>
              <w:t>Loss</w:t>
            </w: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37"/>
              <w:spacing w:after="0" w:line="135" w:lineRule="exact"/>
              <w:rPr>
                <w:sz w:val="20"/>
                <w:szCs w:val="20"/>
                <w:color w:val="auto"/>
              </w:rPr>
            </w:pPr>
            <w:r>
              <w:rPr>
                <w:rFonts w:ascii="Arial" w:cs="Arial" w:eastAsia="Arial" w:hAnsi="Arial"/>
                <w:sz w:val="13"/>
                <w:szCs w:val="13"/>
                <w:b w:val="1"/>
                <w:bCs w:val="1"/>
                <w:color w:val="231F20"/>
              </w:rPr>
              <w:t>Deficit</w:t>
            </w:r>
          </w:p>
        </w:tc>
        <w:tc>
          <w:tcPr>
            <w:tcW w:w="2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center"/>
              <w:ind w:right="117"/>
              <w:spacing w:after="0" w:line="135" w:lineRule="exact"/>
              <w:rPr>
                <w:sz w:val="20"/>
                <w:szCs w:val="20"/>
                <w:color w:val="auto"/>
              </w:rPr>
            </w:pPr>
            <w:r>
              <w:rPr>
                <w:rFonts w:ascii="Arial" w:cs="Arial" w:eastAsia="Arial" w:hAnsi="Arial"/>
                <w:sz w:val="13"/>
                <w:szCs w:val="13"/>
                <w:b w:val="1"/>
                <w:bCs w:val="1"/>
                <w:color w:val="231F20"/>
              </w:rPr>
              <w:t>Equity</w:t>
            </w:r>
          </w:p>
        </w:tc>
        <w:tc>
          <w:tcPr>
            <w:tcW w:w="0" w:type="dxa"/>
            <w:vAlign w:val="bottom"/>
          </w:tcPr>
          <w:p>
            <w:pPr>
              <w:spacing w:after="0"/>
              <w:rPr>
                <w:sz w:val="1"/>
                <w:szCs w:val="1"/>
                <w:color w:val="auto"/>
              </w:rPr>
            </w:pPr>
          </w:p>
        </w:tc>
      </w:tr>
      <w:tr>
        <w:trPr>
          <w:trHeight w:val="128"/>
        </w:trPr>
        <w:tc>
          <w:tcPr>
            <w:tcW w:w="3540" w:type="dxa"/>
            <w:vAlign w:val="bottom"/>
            <w:shd w:val="clear" w:color="auto" w:fill="CCEEFF"/>
          </w:tcPr>
          <w:p>
            <w:pPr>
              <w:spacing w:after="0" w:line="129" w:lineRule="exact"/>
              <w:rPr>
                <w:sz w:val="20"/>
                <w:szCs w:val="20"/>
                <w:color w:val="auto"/>
              </w:rPr>
            </w:pPr>
            <w:r>
              <w:rPr>
                <w:rFonts w:ascii="Arial" w:cs="Arial" w:eastAsia="Arial" w:hAnsi="Arial"/>
                <w:sz w:val="13"/>
                <w:szCs w:val="13"/>
                <w:color w:val="231F20"/>
              </w:rPr>
              <w:t>Balances at June 30, 2022</w:t>
            </w:r>
          </w:p>
        </w:tc>
        <w:tc>
          <w:tcPr>
            <w:tcW w:w="780" w:type="dxa"/>
            <w:vAlign w:val="bottom"/>
            <w:shd w:val="clear" w:color="auto" w:fill="CCEEFF"/>
          </w:tcPr>
          <w:p>
            <w:pPr>
              <w:jc w:val="right"/>
              <w:ind w:right="37"/>
              <w:spacing w:after="0" w:line="129" w:lineRule="exact"/>
              <w:rPr>
                <w:sz w:val="20"/>
                <w:szCs w:val="20"/>
                <w:color w:val="auto"/>
              </w:rPr>
            </w:pPr>
            <w:r>
              <w:rPr>
                <w:rFonts w:ascii="Arial" w:cs="Arial" w:eastAsia="Arial" w:hAnsi="Arial"/>
                <w:sz w:val="13"/>
                <w:szCs w:val="13"/>
                <w:color w:val="231F20"/>
              </w:rPr>
              <w:t>39,974,459</w:t>
            </w:r>
          </w:p>
        </w:tc>
        <w:tc>
          <w:tcPr>
            <w:tcW w:w="1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231F20"/>
              </w:rPr>
              <w:t>$</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231F20"/>
              </w:rPr>
              <w:t>3</w:t>
            </w:r>
          </w:p>
        </w:tc>
        <w:tc>
          <w:tcPr>
            <w:tcW w:w="240" w:type="dxa"/>
            <w:vAlign w:val="bottom"/>
            <w:shd w:val="clear" w:color="auto" w:fill="CCEEFF"/>
          </w:tcPr>
          <w:p>
            <w:pPr>
              <w:ind w:left="160"/>
              <w:spacing w:after="0" w:line="129" w:lineRule="exact"/>
              <w:rPr>
                <w:sz w:val="20"/>
                <w:szCs w:val="20"/>
                <w:color w:val="auto"/>
              </w:rPr>
            </w:pPr>
            <w:r>
              <w:rPr>
                <w:rFonts w:ascii="Arial" w:cs="Arial" w:eastAsia="Arial" w:hAnsi="Arial"/>
                <w:sz w:val="13"/>
                <w:szCs w:val="13"/>
                <w:color w:val="231F20"/>
                <w:w w:val="82"/>
              </w:rPr>
              <w:t>$</w:t>
            </w:r>
          </w:p>
        </w:tc>
        <w:tc>
          <w:tcPr>
            <w:tcW w:w="620" w:type="dxa"/>
            <w:vAlign w:val="bottom"/>
            <w:shd w:val="clear" w:color="auto" w:fill="CCEEFF"/>
          </w:tcPr>
          <w:p>
            <w:pPr>
              <w:jc w:val="right"/>
              <w:ind w:right="57"/>
              <w:spacing w:after="0" w:line="129" w:lineRule="exact"/>
              <w:rPr>
                <w:sz w:val="20"/>
                <w:szCs w:val="20"/>
                <w:color w:val="auto"/>
              </w:rPr>
            </w:pPr>
            <w:r>
              <w:rPr>
                <w:rFonts w:ascii="Arial" w:cs="Arial" w:eastAsia="Arial" w:hAnsi="Arial"/>
                <w:sz w:val="13"/>
                <w:szCs w:val="13"/>
                <w:color w:val="231F20"/>
              </w:rPr>
              <w:t>398,756</w:t>
            </w:r>
          </w:p>
        </w:tc>
        <w:tc>
          <w:tcPr>
            <w:tcW w:w="1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231F20"/>
              </w:rPr>
              <w:t>$</w:t>
            </w:r>
          </w:p>
        </w:tc>
        <w:tc>
          <w:tcPr>
            <w:tcW w:w="10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231F20"/>
              </w:rPr>
              <w:t>(2,398)</w:t>
            </w:r>
          </w:p>
        </w:tc>
        <w:tc>
          <w:tcPr>
            <w:tcW w:w="2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231F20"/>
              </w:rPr>
              <w:t>$</w:t>
            </w:r>
          </w:p>
        </w:tc>
        <w:tc>
          <w:tcPr>
            <w:tcW w:w="72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231F20"/>
              </w:rPr>
              <w:t>(160,078)</w:t>
            </w:r>
          </w:p>
        </w:tc>
        <w:tc>
          <w:tcPr>
            <w:tcW w:w="2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231F20"/>
              </w:rPr>
              <w:t>$</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231F20"/>
              </w:rPr>
              <w:t>236,283</w:t>
            </w:r>
          </w:p>
        </w:tc>
        <w:tc>
          <w:tcPr>
            <w:tcW w:w="0" w:type="dxa"/>
            <w:vAlign w:val="bottom"/>
          </w:tcPr>
          <w:p>
            <w:pPr>
              <w:spacing w:after="0"/>
              <w:rPr>
                <w:sz w:val="1"/>
                <w:szCs w:val="1"/>
                <w:color w:val="auto"/>
              </w:rPr>
            </w:pP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3"/>
                <w:szCs w:val="13"/>
                <w:color w:val="auto"/>
              </w:rPr>
              <w:t>Vesting of early exercised stock options</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231F20"/>
              </w:rPr>
              <w:t>6,990</w:t>
            </w: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20" w:type="dxa"/>
            <w:vAlign w:val="bottom"/>
          </w:tcPr>
          <w:p>
            <w:pPr>
              <w:jc w:val="right"/>
              <w:ind w:right="57"/>
              <w:spacing w:after="0" w:line="135" w:lineRule="exact"/>
              <w:rPr>
                <w:sz w:val="20"/>
                <w:szCs w:val="20"/>
                <w:color w:val="auto"/>
              </w:rPr>
            </w:pPr>
            <w:r>
              <w:rPr>
                <w:rFonts w:ascii="Arial" w:cs="Arial" w:eastAsia="Arial" w:hAnsi="Arial"/>
                <w:sz w:val="13"/>
                <w:szCs w:val="13"/>
                <w:color w:val="231F20"/>
              </w:rPr>
              <w:t>31</w:t>
            </w:r>
          </w:p>
        </w:tc>
        <w:tc>
          <w:tcPr>
            <w:tcW w:w="160" w:type="dxa"/>
            <w:vAlign w:val="bottom"/>
          </w:tcPr>
          <w:p>
            <w:pPr>
              <w:spacing w:after="0"/>
              <w:rPr>
                <w:sz w:val="11"/>
                <w:szCs w:val="11"/>
                <w:color w:val="auto"/>
              </w:rPr>
            </w:pPr>
          </w:p>
        </w:tc>
        <w:tc>
          <w:tcPr>
            <w:tcW w:w="1000" w:type="dxa"/>
            <w:vAlign w:val="bottom"/>
          </w:tcPr>
          <w:p>
            <w:pPr>
              <w:jc w:val="right"/>
              <w:ind w:right="17"/>
              <w:spacing w:after="0" w:line="135" w:lineRule="exact"/>
              <w:rPr>
                <w:sz w:val="20"/>
                <w:szCs w:val="20"/>
                <w:color w:val="auto"/>
              </w:rPr>
            </w:pPr>
            <w:r>
              <w:rPr>
                <w:rFonts w:ascii="Arial" w:cs="Arial" w:eastAsia="Arial" w:hAnsi="Arial"/>
                <w:sz w:val="13"/>
                <w:szCs w:val="13"/>
                <w:color w:val="231F20"/>
              </w:rPr>
              <w:t>—</w:t>
            </w:r>
          </w:p>
        </w:tc>
        <w:tc>
          <w:tcPr>
            <w:tcW w:w="20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231F20"/>
              </w:rPr>
              <w:t>31</w:t>
            </w:r>
          </w:p>
        </w:tc>
        <w:tc>
          <w:tcPr>
            <w:tcW w:w="0" w:type="dxa"/>
            <w:vAlign w:val="bottom"/>
          </w:tcPr>
          <w:p>
            <w:pPr>
              <w:spacing w:after="0"/>
              <w:rPr>
                <w:sz w:val="1"/>
                <w:szCs w:val="1"/>
                <w:color w:val="auto"/>
              </w:rPr>
            </w:pP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Vesting of restricted stock awards</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231F20"/>
              </w:rPr>
              <w:t>49,318</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231F20"/>
              </w:rPr>
              <w:t>—</w:t>
            </w: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231F20"/>
              </w:rPr>
              <w:t>—</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231F20"/>
              </w:rPr>
              <w:t>—</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231F20"/>
              </w:rPr>
              <w:t>—</w:t>
            </w: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3"/>
                <w:szCs w:val="13"/>
                <w:color w:val="auto"/>
              </w:rPr>
              <w:t>Exercise of stock options</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231F20"/>
              </w:rPr>
              <w:t>53,801</w:t>
            </w: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20" w:type="dxa"/>
            <w:vAlign w:val="bottom"/>
          </w:tcPr>
          <w:p>
            <w:pPr>
              <w:jc w:val="right"/>
              <w:ind w:right="57"/>
              <w:spacing w:after="0" w:line="135" w:lineRule="exact"/>
              <w:rPr>
                <w:sz w:val="20"/>
                <w:szCs w:val="20"/>
                <w:color w:val="auto"/>
              </w:rPr>
            </w:pPr>
            <w:r>
              <w:rPr>
                <w:rFonts w:ascii="Arial" w:cs="Arial" w:eastAsia="Arial" w:hAnsi="Arial"/>
                <w:sz w:val="13"/>
                <w:szCs w:val="13"/>
                <w:color w:val="231F20"/>
              </w:rPr>
              <w:t>106</w:t>
            </w:r>
          </w:p>
        </w:tc>
        <w:tc>
          <w:tcPr>
            <w:tcW w:w="160" w:type="dxa"/>
            <w:vAlign w:val="bottom"/>
          </w:tcPr>
          <w:p>
            <w:pPr>
              <w:spacing w:after="0"/>
              <w:rPr>
                <w:sz w:val="11"/>
                <w:szCs w:val="11"/>
                <w:color w:val="auto"/>
              </w:rPr>
            </w:pPr>
          </w:p>
        </w:tc>
        <w:tc>
          <w:tcPr>
            <w:tcW w:w="1000" w:type="dxa"/>
            <w:vAlign w:val="bottom"/>
          </w:tcPr>
          <w:p>
            <w:pPr>
              <w:jc w:val="right"/>
              <w:ind w:right="17"/>
              <w:spacing w:after="0" w:line="135" w:lineRule="exact"/>
              <w:rPr>
                <w:sz w:val="20"/>
                <w:szCs w:val="20"/>
                <w:color w:val="auto"/>
              </w:rPr>
            </w:pPr>
            <w:r>
              <w:rPr>
                <w:rFonts w:ascii="Arial" w:cs="Arial" w:eastAsia="Arial" w:hAnsi="Arial"/>
                <w:sz w:val="13"/>
                <w:szCs w:val="13"/>
                <w:color w:val="231F20"/>
              </w:rPr>
              <w:t>—</w:t>
            </w:r>
          </w:p>
        </w:tc>
        <w:tc>
          <w:tcPr>
            <w:tcW w:w="20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231F20"/>
              </w:rPr>
              <w:t>106</w:t>
            </w:r>
          </w:p>
        </w:tc>
        <w:tc>
          <w:tcPr>
            <w:tcW w:w="0" w:type="dxa"/>
            <w:vAlign w:val="bottom"/>
          </w:tcPr>
          <w:p>
            <w:pPr>
              <w:spacing w:after="0"/>
              <w:rPr>
                <w:sz w:val="1"/>
                <w:szCs w:val="1"/>
                <w:color w:val="auto"/>
              </w:rPr>
            </w:pP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Stock-based compensation expense</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231F20"/>
              </w:rPr>
              <w:t>—</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231F20"/>
              </w:rPr>
              <w:t>—</w:t>
            </w: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231F20"/>
              </w:rPr>
              <w:t>4,207</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231F20"/>
              </w:rPr>
              <w:t>—</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231F20"/>
              </w:rPr>
              <w:t>—</w:t>
            </w: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231F20"/>
              </w:rPr>
              <w:t>4,207</w:t>
            </w:r>
          </w:p>
        </w:tc>
        <w:tc>
          <w:tcPr>
            <w:tcW w:w="0" w:type="dxa"/>
            <w:vAlign w:val="bottom"/>
          </w:tcPr>
          <w:p>
            <w:pPr>
              <w:spacing w:after="0"/>
              <w:rPr>
                <w:sz w:val="1"/>
                <w:szCs w:val="1"/>
                <w:color w:val="auto"/>
              </w:rPr>
            </w:pP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3"/>
                <w:szCs w:val="13"/>
                <w:color w:val="231F20"/>
              </w:rPr>
              <w:t>Employee stock purchase plan expense</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231F20"/>
              </w:rPr>
              <w:t>—</w:t>
            </w: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20" w:type="dxa"/>
            <w:vAlign w:val="bottom"/>
          </w:tcPr>
          <w:p>
            <w:pPr>
              <w:jc w:val="right"/>
              <w:ind w:right="57"/>
              <w:spacing w:after="0" w:line="135" w:lineRule="exact"/>
              <w:rPr>
                <w:sz w:val="20"/>
                <w:szCs w:val="20"/>
                <w:color w:val="auto"/>
              </w:rPr>
            </w:pPr>
            <w:r>
              <w:rPr>
                <w:rFonts w:ascii="Arial" w:cs="Arial" w:eastAsia="Arial" w:hAnsi="Arial"/>
                <w:sz w:val="13"/>
                <w:szCs w:val="13"/>
                <w:color w:val="231F20"/>
              </w:rPr>
              <w:t>68</w:t>
            </w:r>
          </w:p>
        </w:tc>
        <w:tc>
          <w:tcPr>
            <w:tcW w:w="160" w:type="dxa"/>
            <w:vAlign w:val="bottom"/>
          </w:tcPr>
          <w:p>
            <w:pPr>
              <w:spacing w:after="0"/>
              <w:rPr>
                <w:sz w:val="11"/>
                <w:szCs w:val="11"/>
                <w:color w:val="auto"/>
              </w:rPr>
            </w:pPr>
          </w:p>
        </w:tc>
        <w:tc>
          <w:tcPr>
            <w:tcW w:w="1000" w:type="dxa"/>
            <w:vAlign w:val="bottom"/>
          </w:tcPr>
          <w:p>
            <w:pPr>
              <w:jc w:val="right"/>
              <w:ind w:right="17"/>
              <w:spacing w:after="0" w:line="135" w:lineRule="exact"/>
              <w:rPr>
                <w:sz w:val="20"/>
                <w:szCs w:val="20"/>
                <w:color w:val="auto"/>
              </w:rPr>
            </w:pPr>
            <w:r>
              <w:rPr>
                <w:rFonts w:ascii="Arial" w:cs="Arial" w:eastAsia="Arial" w:hAnsi="Arial"/>
                <w:sz w:val="13"/>
                <w:szCs w:val="13"/>
                <w:color w:val="231F20"/>
              </w:rPr>
              <w:t>—</w:t>
            </w:r>
          </w:p>
        </w:tc>
        <w:tc>
          <w:tcPr>
            <w:tcW w:w="20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231F20"/>
              </w:rPr>
              <w:t>68</w:t>
            </w:r>
          </w:p>
        </w:tc>
        <w:tc>
          <w:tcPr>
            <w:tcW w:w="0" w:type="dxa"/>
            <w:vAlign w:val="bottom"/>
          </w:tcPr>
          <w:p>
            <w:pPr>
              <w:spacing w:after="0"/>
              <w:rPr>
                <w:sz w:val="1"/>
                <w:szCs w:val="1"/>
                <w:color w:val="auto"/>
              </w:rPr>
            </w:pP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3"/>
                <w:szCs w:val="13"/>
                <w:color w:val="231F20"/>
              </w:rPr>
              <w:t>Net unrealized loss on marketable securities</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231F20"/>
              </w:rPr>
              <w:t>—</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231F20"/>
              </w:rPr>
              <w:t>—</w:t>
            </w: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231F20"/>
              </w:rPr>
              <w:t>—</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231F20"/>
              </w:rPr>
              <w:t>(276)</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231F20"/>
              </w:rPr>
              <w:t>—</w:t>
            </w: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231F20"/>
              </w:rPr>
              <w:t>(276)</w:t>
            </w:r>
          </w:p>
        </w:tc>
        <w:tc>
          <w:tcPr>
            <w:tcW w:w="0" w:type="dxa"/>
            <w:vAlign w:val="bottom"/>
          </w:tcPr>
          <w:p>
            <w:pPr>
              <w:spacing w:after="0"/>
              <w:rPr>
                <w:sz w:val="1"/>
                <w:szCs w:val="1"/>
                <w:color w:val="auto"/>
              </w:rPr>
            </w:pPr>
          </w:p>
        </w:tc>
      </w:tr>
      <w:tr>
        <w:trPr>
          <w:trHeight w:val="135"/>
        </w:trPr>
        <w:tc>
          <w:tcPr>
            <w:tcW w:w="354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231F20"/>
              </w:rPr>
              <w:t>Net loss</w:t>
            </w:r>
          </w:p>
        </w:tc>
        <w:tc>
          <w:tcPr>
            <w:tcW w:w="780" w:type="dxa"/>
            <w:vAlign w:val="bottom"/>
            <w:tcBorders>
              <w:bottom w:val="single" w:sz="8" w:color="auto"/>
            </w:tcBorders>
          </w:tcPr>
          <w:p>
            <w:pPr>
              <w:jc w:val="right"/>
              <w:ind w:right="37"/>
              <w:spacing w:after="0" w:line="135" w:lineRule="exact"/>
              <w:rPr>
                <w:sz w:val="20"/>
                <w:szCs w:val="20"/>
                <w:color w:val="auto"/>
              </w:rPr>
            </w:pPr>
            <w:r>
              <w:rPr>
                <w:rFonts w:ascii="Arial" w:cs="Arial" w:eastAsia="Arial" w:hAnsi="Arial"/>
                <w:sz w:val="13"/>
                <w:szCs w:val="13"/>
                <w:color w:val="231F20"/>
              </w:rPr>
              <w:t>—</w:t>
            </w: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231F20"/>
              </w:rPr>
              <w:t>—</w:t>
            </w:r>
          </w:p>
        </w:tc>
        <w:tc>
          <w:tcPr>
            <w:tcW w:w="2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57"/>
              <w:spacing w:after="0" w:line="135" w:lineRule="exact"/>
              <w:rPr>
                <w:sz w:val="20"/>
                <w:szCs w:val="20"/>
                <w:color w:val="auto"/>
              </w:rPr>
            </w:pPr>
            <w:r>
              <w:rPr>
                <w:rFonts w:ascii="Arial" w:cs="Arial" w:eastAsia="Arial" w:hAnsi="Arial"/>
                <w:sz w:val="13"/>
                <w:szCs w:val="13"/>
                <w:color w:val="231F20"/>
              </w:rPr>
              <w:t>—</w:t>
            </w: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17"/>
              <w:spacing w:after="0" w:line="135" w:lineRule="exact"/>
              <w:rPr>
                <w:sz w:val="20"/>
                <w:szCs w:val="20"/>
                <w:color w:val="auto"/>
              </w:rPr>
            </w:pPr>
            <w:r>
              <w:rPr>
                <w:rFonts w:ascii="Arial" w:cs="Arial" w:eastAsia="Arial" w:hAnsi="Arial"/>
                <w:sz w:val="13"/>
                <w:szCs w:val="13"/>
                <w:color w:val="231F20"/>
              </w:rPr>
              <w:t>—</w:t>
            </w: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7"/>
              <w:spacing w:after="0" w:line="135" w:lineRule="exact"/>
              <w:rPr>
                <w:sz w:val="20"/>
                <w:szCs w:val="20"/>
                <w:color w:val="auto"/>
              </w:rPr>
            </w:pPr>
            <w:r>
              <w:rPr>
                <w:rFonts w:ascii="Arial" w:cs="Arial" w:eastAsia="Arial" w:hAnsi="Arial"/>
                <w:sz w:val="13"/>
                <w:szCs w:val="13"/>
                <w:color w:val="231F20"/>
              </w:rPr>
              <w:t>(22,720)</w:t>
            </w:r>
          </w:p>
        </w:tc>
        <w:tc>
          <w:tcPr>
            <w:tcW w:w="2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231F20"/>
              </w:rPr>
              <w:t>(22,720)</w:t>
            </w:r>
          </w:p>
        </w:tc>
        <w:tc>
          <w:tcPr>
            <w:tcW w:w="0" w:type="dxa"/>
            <w:vAlign w:val="bottom"/>
          </w:tcPr>
          <w:p>
            <w:pPr>
              <w:spacing w:after="0"/>
              <w:rPr>
                <w:sz w:val="1"/>
                <w:szCs w:val="1"/>
                <w:color w:val="auto"/>
              </w:rPr>
            </w:pPr>
          </w:p>
        </w:tc>
      </w:tr>
      <w:tr>
        <w:trPr>
          <w:trHeight w:val="128"/>
        </w:trPr>
        <w:tc>
          <w:tcPr>
            <w:tcW w:w="354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231F20"/>
              </w:rPr>
              <w:t>Balances at September 30, 2022</w:t>
            </w:r>
          </w:p>
        </w:tc>
        <w:tc>
          <w:tcPr>
            <w:tcW w:w="780" w:type="dxa"/>
            <w:vAlign w:val="bottom"/>
            <w:tcBorders>
              <w:bottom w:val="single" w:sz="8" w:color="auto"/>
            </w:tcBorders>
            <w:shd w:val="clear" w:color="auto" w:fill="CCEEFF"/>
          </w:tcPr>
          <w:p>
            <w:pPr>
              <w:jc w:val="right"/>
              <w:ind w:right="37"/>
              <w:spacing w:after="0" w:line="129" w:lineRule="exact"/>
              <w:rPr>
                <w:sz w:val="20"/>
                <w:szCs w:val="20"/>
                <w:color w:val="auto"/>
              </w:rPr>
            </w:pPr>
            <w:r>
              <w:rPr>
                <w:rFonts w:ascii="Arial" w:cs="Arial" w:eastAsia="Arial" w:hAnsi="Arial"/>
                <w:sz w:val="13"/>
                <w:szCs w:val="13"/>
                <w:color w:val="231F20"/>
              </w:rPr>
              <w:t>40,084,568</w:t>
            </w:r>
          </w:p>
        </w:tc>
        <w:tc>
          <w:tcPr>
            <w:tcW w:w="1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231F20"/>
              </w:rPr>
              <w:t>$</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231F20"/>
              </w:rPr>
              <w:t>3</w:t>
            </w:r>
          </w:p>
        </w:tc>
        <w:tc>
          <w:tcPr>
            <w:tcW w:w="240" w:type="dxa"/>
            <w:vAlign w:val="bottom"/>
            <w:tcBorders>
              <w:bottom w:val="single" w:sz="8" w:color="auto"/>
            </w:tcBorders>
            <w:shd w:val="clear" w:color="auto" w:fill="CCEEFF"/>
          </w:tcPr>
          <w:p>
            <w:pPr>
              <w:ind w:left="160"/>
              <w:spacing w:after="0" w:line="129" w:lineRule="exact"/>
              <w:rPr>
                <w:sz w:val="20"/>
                <w:szCs w:val="20"/>
                <w:color w:val="auto"/>
              </w:rPr>
            </w:pPr>
            <w:r>
              <w:rPr>
                <w:rFonts w:ascii="Arial" w:cs="Arial" w:eastAsia="Arial" w:hAnsi="Arial"/>
                <w:sz w:val="13"/>
                <w:szCs w:val="13"/>
                <w:color w:val="231F20"/>
                <w:w w:val="82"/>
              </w:rPr>
              <w:t>$</w:t>
            </w:r>
          </w:p>
        </w:tc>
        <w:tc>
          <w:tcPr>
            <w:tcW w:w="620" w:type="dxa"/>
            <w:vAlign w:val="bottom"/>
            <w:tcBorders>
              <w:bottom w:val="single" w:sz="8" w:color="auto"/>
            </w:tcBorders>
            <w:shd w:val="clear" w:color="auto" w:fill="CCEEFF"/>
          </w:tcPr>
          <w:p>
            <w:pPr>
              <w:jc w:val="right"/>
              <w:ind w:right="57"/>
              <w:spacing w:after="0" w:line="129" w:lineRule="exact"/>
              <w:rPr>
                <w:sz w:val="20"/>
                <w:szCs w:val="20"/>
                <w:color w:val="auto"/>
              </w:rPr>
            </w:pPr>
            <w:r>
              <w:rPr>
                <w:rFonts w:ascii="Arial" w:cs="Arial" w:eastAsia="Arial" w:hAnsi="Arial"/>
                <w:sz w:val="13"/>
                <w:szCs w:val="13"/>
                <w:color w:val="231F20"/>
              </w:rPr>
              <w:t>403,168</w:t>
            </w:r>
          </w:p>
        </w:tc>
        <w:tc>
          <w:tcPr>
            <w:tcW w:w="1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231F20"/>
              </w:rPr>
              <w:t>(2,674)</w:t>
            </w:r>
          </w:p>
        </w:tc>
        <w:tc>
          <w:tcPr>
            <w:tcW w:w="2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231F20"/>
              </w:rPr>
              <w:t>$</w:t>
            </w:r>
          </w:p>
        </w:tc>
        <w:tc>
          <w:tcPr>
            <w:tcW w:w="720" w:type="dxa"/>
            <w:vAlign w:val="bottom"/>
            <w:tcBorders>
              <w:bottom w:val="single" w:sz="8" w:color="auto"/>
            </w:tcBorders>
            <w:shd w:val="clear" w:color="auto" w:fill="CCEEFF"/>
          </w:tcPr>
          <w:p>
            <w:pPr>
              <w:jc w:val="right"/>
              <w:ind w:right="17"/>
              <w:spacing w:after="0" w:line="129" w:lineRule="exact"/>
              <w:rPr>
                <w:sz w:val="20"/>
                <w:szCs w:val="20"/>
                <w:color w:val="auto"/>
              </w:rPr>
            </w:pPr>
            <w:r>
              <w:rPr>
                <w:rFonts w:ascii="Arial" w:cs="Arial" w:eastAsia="Arial" w:hAnsi="Arial"/>
                <w:sz w:val="13"/>
                <w:szCs w:val="13"/>
                <w:color w:val="231F20"/>
              </w:rPr>
              <w:t>(182,798)</w:t>
            </w:r>
          </w:p>
        </w:tc>
        <w:tc>
          <w:tcPr>
            <w:tcW w:w="2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231F20"/>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231F20"/>
              </w:rPr>
              <w:t>217,699</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179705</wp:posOffset>
            </wp:positionV>
            <wp:extent cx="56489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48960" cy="17145"/>
                    </a:xfrm>
                    <a:prstGeom prst="rect">
                      <a:avLst/>
                    </a:prstGeom>
                    <a:noFill/>
                  </pic:spPr>
                </pic:pic>
              </a:graphicData>
            </a:graphic>
          </wp:anchor>
        </w:drawing>
      </w:r>
    </w:p>
    <w:p>
      <w:pPr>
        <w:spacing w:after="0" w:line="273" w:lineRule="exact"/>
        <w:rPr>
          <w:sz w:val="20"/>
          <w:szCs w:val="20"/>
          <w:color w:val="auto"/>
        </w:rPr>
      </w:pPr>
    </w:p>
    <w:p>
      <w:pPr>
        <w:ind w:left="6200"/>
        <w:spacing w:after="0"/>
        <w:rPr>
          <w:sz w:val="20"/>
          <w:szCs w:val="20"/>
          <w:color w:val="auto"/>
        </w:rPr>
      </w:pPr>
      <w:r>
        <w:rPr>
          <w:rFonts w:ascii="Arial" w:cs="Arial" w:eastAsia="Arial" w:hAnsi="Arial"/>
          <w:sz w:val="13"/>
          <w:szCs w:val="13"/>
          <w:b w:val="1"/>
          <w:bCs w:val="1"/>
          <w:color w:val="auto"/>
        </w:rPr>
        <w:t>Accumulated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1" w:lineRule="exact"/>
        <w:rPr>
          <w:sz w:val="20"/>
          <w:szCs w:val="20"/>
          <w:color w:val="auto"/>
        </w:rPr>
      </w:pPr>
    </w:p>
    <w:p>
      <w:pPr>
        <w:ind w:left="40" w:right="1160"/>
        <w:spacing w:after="0" w:line="221" w:lineRule="auto"/>
        <w:rPr>
          <w:sz w:val="20"/>
          <w:szCs w:val="20"/>
          <w:color w:val="auto"/>
        </w:rPr>
      </w:pPr>
      <w:r>
        <w:rPr>
          <w:rFonts w:ascii="Arial" w:cs="Arial" w:eastAsia="Arial" w:hAnsi="Arial"/>
          <w:sz w:val="13"/>
          <w:szCs w:val="13"/>
          <w:color w:val="231F20"/>
        </w:rPr>
        <w:t xml:space="preserve">Balances at December 31, 2021 </w:t>
      </w:r>
      <w:r>
        <w:rPr>
          <w:rFonts w:ascii="Arial" w:cs="Arial" w:eastAsia="Arial" w:hAnsi="Arial"/>
          <w:sz w:val="13"/>
          <w:szCs w:val="13"/>
          <w:color w:val="000000"/>
        </w:rPr>
        <w:t>Vesting of early exercised stock options Vesting of restricted stock awards Exercise of stock options</w:t>
      </w:r>
    </w:p>
    <w:p>
      <w:pPr>
        <w:spacing w:after="0" w:line="1" w:lineRule="exact"/>
        <w:rPr>
          <w:sz w:val="20"/>
          <w:szCs w:val="20"/>
          <w:color w:val="auto"/>
        </w:rPr>
      </w:pPr>
    </w:p>
    <w:p>
      <w:pPr>
        <w:ind w:left="40"/>
        <w:spacing w:after="0" w:line="216" w:lineRule="auto"/>
        <w:rPr>
          <w:sz w:val="20"/>
          <w:szCs w:val="20"/>
          <w:color w:val="auto"/>
        </w:rPr>
      </w:pPr>
      <w:r>
        <w:rPr>
          <w:rFonts w:ascii="Arial" w:cs="Arial" w:eastAsia="Arial" w:hAnsi="Arial"/>
          <w:sz w:val="13"/>
          <w:szCs w:val="13"/>
          <w:color w:val="auto"/>
        </w:rPr>
        <w:t>Issuance of shares under the employee stock purchase plan Stock-based compensation expense</w:t>
      </w:r>
    </w:p>
    <w:p>
      <w:pPr>
        <w:ind w:left="40"/>
        <w:spacing w:after="0" w:line="218" w:lineRule="auto"/>
        <w:rPr>
          <w:sz w:val="20"/>
          <w:szCs w:val="20"/>
          <w:color w:val="auto"/>
        </w:rPr>
      </w:pPr>
      <w:r>
        <w:rPr>
          <w:rFonts w:ascii="Arial" w:cs="Arial" w:eastAsia="Arial" w:hAnsi="Arial"/>
          <w:sz w:val="13"/>
          <w:szCs w:val="13"/>
          <w:color w:val="231F20"/>
        </w:rPr>
        <w:t>Employee stock purchase plan expense</w:t>
      </w:r>
    </w:p>
    <w:p>
      <w:pPr>
        <w:ind w:left="40"/>
        <w:spacing w:after="0" w:line="216" w:lineRule="auto"/>
        <w:rPr>
          <w:sz w:val="20"/>
          <w:szCs w:val="20"/>
          <w:color w:val="auto"/>
        </w:rPr>
      </w:pPr>
      <w:r>
        <w:rPr>
          <w:rFonts w:ascii="Arial" w:cs="Arial" w:eastAsia="Arial" w:hAnsi="Arial"/>
          <w:sz w:val="13"/>
          <w:szCs w:val="13"/>
          <w:color w:val="231F20"/>
        </w:rPr>
        <w:t>Net unrealized loss on marketable securities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color w:val="231F20"/>
        </w:rPr>
        <w:t>Net loss</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3"/>
          <w:szCs w:val="13"/>
          <w:color w:val="231F20"/>
        </w:rPr>
        <w:t>Balances at September 30, 2022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4"/>
        </w:trPr>
        <w:tc>
          <w:tcPr>
            <w:tcW w:w="1520" w:type="dxa"/>
            <w:vAlign w:val="bottom"/>
            <w:gridSpan w:val="3"/>
            <w:vMerge w:val="restart"/>
          </w:tcPr>
          <w:p>
            <w:pPr>
              <w:jc w:val="right"/>
              <w:ind w:right="237"/>
              <w:spacing w:after="0"/>
              <w:rPr>
                <w:sz w:val="20"/>
                <w:szCs w:val="20"/>
                <w:color w:val="auto"/>
              </w:rPr>
            </w:pPr>
            <w:r>
              <w:rPr>
                <w:rFonts w:ascii="Arial" w:cs="Arial" w:eastAsia="Arial" w:hAnsi="Arial"/>
                <w:sz w:val="13"/>
                <w:szCs w:val="13"/>
                <w:b w:val="1"/>
                <w:bCs w:val="1"/>
                <w:color w:val="auto"/>
              </w:rPr>
              <w:t>Common Stock</w:t>
            </w:r>
          </w:p>
        </w:tc>
        <w:tc>
          <w:tcPr>
            <w:tcW w:w="860" w:type="dxa"/>
            <w:vAlign w:val="bottom"/>
            <w:gridSpan w:val="2"/>
          </w:tcPr>
          <w:p>
            <w:pPr>
              <w:ind w:left="160"/>
              <w:spacing w:after="0" w:line="134" w:lineRule="exact"/>
              <w:rPr>
                <w:sz w:val="20"/>
                <w:szCs w:val="20"/>
                <w:color w:val="auto"/>
              </w:rPr>
            </w:pPr>
            <w:r>
              <w:rPr>
                <w:rFonts w:ascii="Arial" w:cs="Arial" w:eastAsia="Arial" w:hAnsi="Arial"/>
                <w:sz w:val="13"/>
                <w:szCs w:val="13"/>
                <w:b w:val="1"/>
                <w:bCs w:val="1"/>
                <w:color w:val="auto"/>
              </w:rPr>
              <w:t>Additional</w:t>
            </w:r>
          </w:p>
        </w:tc>
        <w:tc>
          <w:tcPr>
            <w:tcW w:w="160" w:type="dxa"/>
            <w:vAlign w:val="bottom"/>
          </w:tcPr>
          <w:p>
            <w:pPr>
              <w:spacing w:after="0"/>
              <w:rPr>
                <w:sz w:val="11"/>
                <w:szCs w:val="11"/>
                <w:color w:val="auto"/>
              </w:rPr>
            </w:pPr>
          </w:p>
        </w:tc>
        <w:tc>
          <w:tcPr>
            <w:tcW w:w="100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2"/>
              </w:rPr>
              <w:t>Other</w:t>
            </w:r>
          </w:p>
        </w:tc>
        <w:tc>
          <w:tcPr>
            <w:tcW w:w="920" w:type="dxa"/>
            <w:vAlign w:val="bottom"/>
            <w:gridSpan w:val="2"/>
            <w:vMerge w:val="restart"/>
          </w:tcPr>
          <w:p>
            <w:pPr>
              <w:jc w:val="right"/>
              <w:ind w:right="17"/>
              <w:spacing w:after="0"/>
              <w:rPr>
                <w:sz w:val="20"/>
                <w:szCs w:val="20"/>
                <w:color w:val="auto"/>
              </w:rPr>
            </w:pPr>
            <w:r>
              <w:rPr>
                <w:rFonts w:ascii="Arial" w:cs="Arial" w:eastAsia="Arial" w:hAnsi="Arial"/>
                <w:sz w:val="13"/>
                <w:szCs w:val="13"/>
                <w:b w:val="1"/>
                <w:bCs w:val="1"/>
                <w:color w:val="auto"/>
              </w:rPr>
              <w:t>Accumulated</w:t>
            </w:r>
          </w:p>
        </w:tc>
        <w:tc>
          <w:tcPr>
            <w:tcW w:w="240" w:type="dxa"/>
            <w:vAlign w:val="bottom"/>
          </w:tcPr>
          <w:p>
            <w:pPr>
              <w:spacing w:after="0"/>
              <w:rPr>
                <w:sz w:val="11"/>
                <w:szCs w:val="11"/>
                <w:color w:val="auto"/>
              </w:rPr>
            </w:pPr>
          </w:p>
        </w:tc>
        <w:tc>
          <w:tcPr>
            <w:tcW w:w="660" w:type="dxa"/>
            <w:vAlign w:val="bottom"/>
          </w:tcPr>
          <w:p>
            <w:pPr>
              <w:jc w:val="center"/>
              <w:ind w:right="117"/>
              <w:spacing w:after="0" w:line="134"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51"/>
        </w:trPr>
        <w:tc>
          <w:tcPr>
            <w:tcW w:w="1520" w:type="dxa"/>
            <w:vAlign w:val="bottom"/>
            <w:tcBorders>
              <w:bottom w:val="single" w:sz="8" w:color="auto"/>
            </w:tcBorders>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w w:val="96"/>
              </w:rPr>
              <w:t>Paid-in</w:t>
            </w:r>
          </w:p>
        </w:tc>
        <w:tc>
          <w:tcPr>
            <w:tcW w:w="160" w:type="dxa"/>
            <w:vAlign w:val="bottom"/>
          </w:tcPr>
          <w:p>
            <w:pPr>
              <w:spacing w:after="0"/>
              <w:rPr>
                <w:sz w:val="12"/>
                <w:szCs w:val="12"/>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Comprehensive</w:t>
            </w:r>
          </w:p>
        </w:tc>
        <w:tc>
          <w:tcPr>
            <w:tcW w:w="920" w:type="dxa"/>
            <w:vAlign w:val="bottom"/>
            <w:gridSpan w:val="2"/>
            <w:vMerge w:val="continue"/>
          </w:tcPr>
          <w:p>
            <w:pPr>
              <w:spacing w:after="0"/>
              <w:rPr>
                <w:sz w:val="12"/>
                <w:szCs w:val="12"/>
                <w:color w:val="auto"/>
              </w:rPr>
            </w:pPr>
          </w:p>
        </w:tc>
        <w:tc>
          <w:tcPr>
            <w:tcW w:w="9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8"/>
              </w:rPr>
              <w:t>Stockholders'</w:t>
            </w:r>
          </w:p>
        </w:tc>
        <w:tc>
          <w:tcPr>
            <w:tcW w:w="0" w:type="dxa"/>
            <w:vAlign w:val="bottom"/>
          </w:tcPr>
          <w:p>
            <w:pPr>
              <w:spacing w:after="0"/>
              <w:rPr>
                <w:sz w:val="1"/>
                <w:szCs w:val="1"/>
                <w:color w:val="auto"/>
              </w:rPr>
            </w:pPr>
          </w:p>
        </w:tc>
      </w:tr>
      <w:tr>
        <w:trPr>
          <w:trHeight w:val="135"/>
        </w:trPr>
        <w:tc>
          <w:tcPr>
            <w:tcW w:w="780" w:type="dxa"/>
            <w:vAlign w:val="bottom"/>
            <w:tcBorders>
              <w:bottom w:val="single" w:sz="8" w:color="auto"/>
            </w:tcBorders>
          </w:tcPr>
          <w:p>
            <w:pPr>
              <w:jc w:val="right"/>
              <w:ind w:right="157"/>
              <w:spacing w:after="0" w:line="135" w:lineRule="exact"/>
              <w:rPr>
                <w:sz w:val="20"/>
                <w:szCs w:val="20"/>
                <w:color w:val="auto"/>
              </w:rPr>
            </w:pPr>
            <w:r>
              <w:rPr>
                <w:rFonts w:ascii="Arial" w:cs="Arial" w:eastAsia="Arial" w:hAnsi="Arial"/>
                <w:sz w:val="13"/>
                <w:szCs w:val="13"/>
                <w:b w:val="1"/>
                <w:bCs w:val="1"/>
                <w:color w:val="231F20"/>
              </w:rPr>
              <w:t>Shares</w:t>
            </w: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231F20"/>
                <w:w w:val="93"/>
              </w:rPr>
              <w:t>Amount</w:t>
            </w:r>
          </w:p>
        </w:tc>
        <w:tc>
          <w:tcPr>
            <w:tcW w:w="2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17"/>
              <w:spacing w:after="0" w:line="135" w:lineRule="exact"/>
              <w:rPr>
                <w:sz w:val="20"/>
                <w:szCs w:val="20"/>
                <w:color w:val="auto"/>
              </w:rPr>
            </w:pPr>
            <w:r>
              <w:rPr>
                <w:rFonts w:ascii="Arial" w:cs="Arial" w:eastAsia="Arial" w:hAnsi="Arial"/>
                <w:sz w:val="13"/>
                <w:szCs w:val="13"/>
                <w:b w:val="1"/>
                <w:bCs w:val="1"/>
                <w:color w:val="231F20"/>
                <w:w w:val="96"/>
              </w:rPr>
              <w:t>Capital</w:t>
            </w: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231F20"/>
                <w:w w:val="92"/>
              </w:rPr>
              <w:t>Loss</w:t>
            </w: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37"/>
              <w:spacing w:after="0" w:line="135" w:lineRule="exact"/>
              <w:rPr>
                <w:sz w:val="20"/>
                <w:szCs w:val="20"/>
                <w:color w:val="auto"/>
              </w:rPr>
            </w:pPr>
            <w:r>
              <w:rPr>
                <w:rFonts w:ascii="Arial" w:cs="Arial" w:eastAsia="Arial" w:hAnsi="Arial"/>
                <w:sz w:val="13"/>
                <w:szCs w:val="13"/>
                <w:b w:val="1"/>
                <w:bCs w:val="1"/>
                <w:color w:val="231F20"/>
              </w:rPr>
              <w:t>Deficit</w:t>
            </w:r>
          </w:p>
        </w:tc>
        <w:tc>
          <w:tcPr>
            <w:tcW w:w="2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center"/>
              <w:ind w:right="117"/>
              <w:spacing w:after="0" w:line="135" w:lineRule="exact"/>
              <w:rPr>
                <w:sz w:val="20"/>
                <w:szCs w:val="20"/>
                <w:color w:val="auto"/>
              </w:rPr>
            </w:pPr>
            <w:r>
              <w:rPr>
                <w:rFonts w:ascii="Arial" w:cs="Arial" w:eastAsia="Arial" w:hAnsi="Arial"/>
                <w:sz w:val="13"/>
                <w:szCs w:val="13"/>
                <w:b w:val="1"/>
                <w:bCs w:val="1"/>
                <w:color w:val="231F20"/>
              </w:rPr>
              <w:t>Equity</w:t>
            </w:r>
          </w:p>
        </w:tc>
        <w:tc>
          <w:tcPr>
            <w:tcW w:w="0" w:type="dxa"/>
            <w:vAlign w:val="bottom"/>
          </w:tcPr>
          <w:p>
            <w:pPr>
              <w:spacing w:after="0"/>
              <w:rPr>
                <w:sz w:val="1"/>
                <w:szCs w:val="1"/>
                <w:color w:val="auto"/>
              </w:rPr>
            </w:pPr>
          </w:p>
        </w:tc>
      </w:tr>
      <w:tr>
        <w:trPr>
          <w:trHeight w:val="111"/>
        </w:trPr>
        <w:tc>
          <w:tcPr>
            <w:tcW w:w="780" w:type="dxa"/>
            <w:vAlign w:val="bottom"/>
          </w:tcPr>
          <w:p>
            <w:pPr>
              <w:jc w:val="right"/>
              <w:ind w:right="37"/>
              <w:spacing w:after="0" w:line="111" w:lineRule="exact"/>
              <w:rPr>
                <w:sz w:val="20"/>
                <w:szCs w:val="20"/>
                <w:color w:val="auto"/>
              </w:rPr>
            </w:pPr>
            <w:r>
              <w:rPr>
                <w:rFonts w:ascii="Arial" w:cs="Arial" w:eastAsia="Arial" w:hAnsi="Arial"/>
                <w:sz w:val="12"/>
                <w:szCs w:val="12"/>
                <w:color w:val="231F20"/>
              </w:rPr>
              <w:t>39,797,263</w:t>
            </w:r>
          </w:p>
        </w:tc>
        <w:tc>
          <w:tcPr>
            <w:tcW w:w="160" w:type="dxa"/>
            <w:vAlign w:val="bottom"/>
          </w:tcPr>
          <w:p>
            <w:pPr>
              <w:jc w:val="right"/>
              <w:spacing w:after="0" w:line="111" w:lineRule="exact"/>
              <w:rPr>
                <w:sz w:val="20"/>
                <w:szCs w:val="20"/>
                <w:color w:val="auto"/>
              </w:rPr>
            </w:pPr>
            <w:r>
              <w:rPr>
                <w:rFonts w:ascii="Arial" w:cs="Arial" w:eastAsia="Arial" w:hAnsi="Arial"/>
                <w:sz w:val="12"/>
                <w:szCs w:val="12"/>
                <w:color w:val="231F20"/>
              </w:rPr>
              <w:t>$</w:t>
            </w:r>
          </w:p>
        </w:tc>
        <w:tc>
          <w:tcPr>
            <w:tcW w:w="580" w:type="dxa"/>
            <w:vAlign w:val="bottom"/>
          </w:tcPr>
          <w:p>
            <w:pPr>
              <w:jc w:val="right"/>
              <w:spacing w:after="0" w:line="111" w:lineRule="exact"/>
              <w:rPr>
                <w:sz w:val="20"/>
                <w:szCs w:val="20"/>
                <w:color w:val="auto"/>
              </w:rPr>
            </w:pPr>
            <w:r>
              <w:rPr>
                <w:rFonts w:ascii="Arial" w:cs="Arial" w:eastAsia="Arial" w:hAnsi="Arial"/>
                <w:sz w:val="12"/>
                <w:szCs w:val="12"/>
                <w:color w:val="231F20"/>
              </w:rPr>
              <w:t>3</w:t>
            </w:r>
          </w:p>
        </w:tc>
        <w:tc>
          <w:tcPr>
            <w:tcW w:w="240" w:type="dxa"/>
            <w:vAlign w:val="bottom"/>
          </w:tcPr>
          <w:p>
            <w:pPr>
              <w:ind w:left="160"/>
              <w:spacing w:after="0" w:line="111" w:lineRule="exact"/>
              <w:rPr>
                <w:sz w:val="20"/>
                <w:szCs w:val="20"/>
                <w:color w:val="auto"/>
              </w:rPr>
            </w:pPr>
            <w:r>
              <w:rPr>
                <w:rFonts w:ascii="Arial" w:cs="Arial" w:eastAsia="Arial" w:hAnsi="Arial"/>
                <w:sz w:val="12"/>
                <w:szCs w:val="12"/>
                <w:color w:val="231F20"/>
                <w:w w:val="89"/>
              </w:rPr>
              <w:t>$</w:t>
            </w:r>
          </w:p>
        </w:tc>
        <w:tc>
          <w:tcPr>
            <w:tcW w:w="620" w:type="dxa"/>
            <w:vAlign w:val="bottom"/>
          </w:tcPr>
          <w:p>
            <w:pPr>
              <w:jc w:val="right"/>
              <w:ind w:right="57"/>
              <w:spacing w:after="0" w:line="111" w:lineRule="exact"/>
              <w:rPr>
                <w:sz w:val="20"/>
                <w:szCs w:val="20"/>
                <w:color w:val="auto"/>
              </w:rPr>
            </w:pPr>
            <w:r>
              <w:rPr>
                <w:rFonts w:ascii="Arial" w:cs="Arial" w:eastAsia="Arial" w:hAnsi="Arial"/>
                <w:sz w:val="12"/>
                <w:szCs w:val="12"/>
                <w:color w:val="231F20"/>
              </w:rPr>
              <w:t>388,904</w:t>
            </w:r>
          </w:p>
        </w:tc>
        <w:tc>
          <w:tcPr>
            <w:tcW w:w="160" w:type="dxa"/>
            <w:vAlign w:val="bottom"/>
          </w:tcPr>
          <w:p>
            <w:pPr>
              <w:jc w:val="right"/>
              <w:spacing w:after="0" w:line="111" w:lineRule="exact"/>
              <w:rPr>
                <w:sz w:val="20"/>
                <w:szCs w:val="20"/>
                <w:color w:val="auto"/>
              </w:rPr>
            </w:pPr>
            <w:r>
              <w:rPr>
                <w:rFonts w:ascii="Arial" w:cs="Arial" w:eastAsia="Arial" w:hAnsi="Arial"/>
                <w:sz w:val="12"/>
                <w:szCs w:val="12"/>
                <w:color w:val="231F20"/>
              </w:rPr>
              <w:t>$</w:t>
            </w:r>
          </w:p>
        </w:tc>
        <w:tc>
          <w:tcPr>
            <w:tcW w:w="1000" w:type="dxa"/>
            <w:vAlign w:val="bottom"/>
          </w:tcPr>
          <w:p>
            <w:pPr>
              <w:jc w:val="right"/>
              <w:spacing w:after="0" w:line="111" w:lineRule="exact"/>
              <w:rPr>
                <w:sz w:val="20"/>
                <w:szCs w:val="20"/>
                <w:color w:val="auto"/>
              </w:rPr>
            </w:pPr>
            <w:r>
              <w:rPr>
                <w:rFonts w:ascii="Arial" w:cs="Arial" w:eastAsia="Arial" w:hAnsi="Arial"/>
                <w:sz w:val="12"/>
                <w:szCs w:val="12"/>
                <w:color w:val="231F20"/>
              </w:rPr>
              <w:t>(149)</w:t>
            </w:r>
          </w:p>
        </w:tc>
        <w:tc>
          <w:tcPr>
            <w:tcW w:w="200" w:type="dxa"/>
            <w:vAlign w:val="bottom"/>
          </w:tcPr>
          <w:p>
            <w:pPr>
              <w:jc w:val="right"/>
              <w:spacing w:after="0" w:line="111" w:lineRule="exact"/>
              <w:rPr>
                <w:sz w:val="20"/>
                <w:szCs w:val="20"/>
                <w:color w:val="auto"/>
              </w:rPr>
            </w:pPr>
            <w:r>
              <w:rPr>
                <w:rFonts w:ascii="Arial" w:cs="Arial" w:eastAsia="Arial" w:hAnsi="Arial"/>
                <w:sz w:val="12"/>
                <w:szCs w:val="12"/>
                <w:color w:val="231F20"/>
              </w:rPr>
              <w:t>$</w:t>
            </w:r>
          </w:p>
        </w:tc>
        <w:tc>
          <w:tcPr>
            <w:tcW w:w="720" w:type="dxa"/>
            <w:vAlign w:val="bottom"/>
          </w:tcPr>
          <w:p>
            <w:pPr>
              <w:jc w:val="right"/>
              <w:ind w:right="17"/>
              <w:spacing w:after="0" w:line="111" w:lineRule="exact"/>
              <w:rPr>
                <w:sz w:val="20"/>
                <w:szCs w:val="20"/>
                <w:color w:val="auto"/>
              </w:rPr>
            </w:pPr>
            <w:r>
              <w:rPr>
                <w:rFonts w:ascii="Arial" w:cs="Arial" w:eastAsia="Arial" w:hAnsi="Arial"/>
                <w:sz w:val="12"/>
                <w:szCs w:val="12"/>
                <w:color w:val="231F20"/>
              </w:rPr>
              <w:t>(104,190)</w:t>
            </w:r>
          </w:p>
        </w:tc>
        <w:tc>
          <w:tcPr>
            <w:tcW w:w="240" w:type="dxa"/>
            <w:vAlign w:val="bottom"/>
          </w:tcPr>
          <w:p>
            <w:pPr>
              <w:jc w:val="right"/>
              <w:spacing w:after="0" w:line="111" w:lineRule="exact"/>
              <w:rPr>
                <w:sz w:val="20"/>
                <w:szCs w:val="20"/>
                <w:color w:val="auto"/>
              </w:rPr>
            </w:pPr>
            <w:r>
              <w:rPr>
                <w:rFonts w:ascii="Arial" w:cs="Arial" w:eastAsia="Arial" w:hAnsi="Arial"/>
                <w:sz w:val="12"/>
                <w:szCs w:val="12"/>
                <w:color w:val="231F20"/>
              </w:rPr>
              <w:t>$</w:t>
            </w:r>
          </w:p>
        </w:tc>
        <w:tc>
          <w:tcPr>
            <w:tcW w:w="660" w:type="dxa"/>
            <w:vAlign w:val="bottom"/>
          </w:tcPr>
          <w:p>
            <w:pPr>
              <w:jc w:val="right"/>
              <w:spacing w:after="0" w:line="111" w:lineRule="exact"/>
              <w:rPr>
                <w:sz w:val="20"/>
                <w:szCs w:val="20"/>
                <w:color w:val="auto"/>
              </w:rPr>
            </w:pPr>
            <w:r>
              <w:rPr>
                <w:rFonts w:ascii="Arial" w:cs="Arial" w:eastAsia="Arial" w:hAnsi="Arial"/>
                <w:sz w:val="12"/>
                <w:szCs w:val="12"/>
                <w:color w:val="231F20"/>
              </w:rPr>
              <w:t>284,568</w:t>
            </w:r>
          </w:p>
        </w:tc>
        <w:tc>
          <w:tcPr>
            <w:tcW w:w="0" w:type="dxa"/>
            <w:vAlign w:val="bottom"/>
          </w:tcPr>
          <w:p>
            <w:pPr>
              <w:spacing w:after="0"/>
              <w:rPr>
                <w:sz w:val="1"/>
                <w:szCs w:val="1"/>
                <w:color w:val="auto"/>
              </w:rPr>
            </w:pPr>
          </w:p>
        </w:tc>
      </w:tr>
      <w:tr>
        <w:trPr>
          <w:trHeight w:val="135"/>
        </w:trPr>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231F20"/>
              </w:rPr>
              <w:t>20,969</w:t>
            </w: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20" w:type="dxa"/>
            <w:vAlign w:val="bottom"/>
          </w:tcPr>
          <w:p>
            <w:pPr>
              <w:jc w:val="right"/>
              <w:ind w:right="57"/>
              <w:spacing w:after="0" w:line="135" w:lineRule="exact"/>
              <w:rPr>
                <w:sz w:val="20"/>
                <w:szCs w:val="20"/>
                <w:color w:val="auto"/>
              </w:rPr>
            </w:pPr>
            <w:r>
              <w:rPr>
                <w:rFonts w:ascii="Arial" w:cs="Arial" w:eastAsia="Arial" w:hAnsi="Arial"/>
                <w:sz w:val="13"/>
                <w:szCs w:val="13"/>
                <w:color w:val="231F20"/>
              </w:rPr>
              <w:t>93</w:t>
            </w:r>
          </w:p>
        </w:tc>
        <w:tc>
          <w:tcPr>
            <w:tcW w:w="160" w:type="dxa"/>
            <w:vAlign w:val="bottom"/>
          </w:tcPr>
          <w:p>
            <w:pPr>
              <w:spacing w:after="0"/>
              <w:rPr>
                <w:sz w:val="11"/>
                <w:szCs w:val="11"/>
                <w:color w:val="auto"/>
              </w:rPr>
            </w:pPr>
          </w:p>
        </w:tc>
        <w:tc>
          <w:tcPr>
            <w:tcW w:w="1000" w:type="dxa"/>
            <w:vAlign w:val="bottom"/>
          </w:tcPr>
          <w:p>
            <w:pPr>
              <w:jc w:val="right"/>
              <w:ind w:right="17"/>
              <w:spacing w:after="0" w:line="135" w:lineRule="exact"/>
              <w:rPr>
                <w:sz w:val="20"/>
                <w:szCs w:val="20"/>
                <w:color w:val="auto"/>
              </w:rPr>
            </w:pPr>
            <w:r>
              <w:rPr>
                <w:rFonts w:ascii="Arial" w:cs="Arial" w:eastAsia="Arial" w:hAnsi="Arial"/>
                <w:sz w:val="13"/>
                <w:szCs w:val="13"/>
                <w:color w:val="231F20"/>
              </w:rPr>
              <w:t>—</w:t>
            </w:r>
          </w:p>
        </w:tc>
        <w:tc>
          <w:tcPr>
            <w:tcW w:w="20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231F20"/>
              </w:rPr>
              <w:t>93</w:t>
            </w:r>
          </w:p>
        </w:tc>
        <w:tc>
          <w:tcPr>
            <w:tcW w:w="0" w:type="dxa"/>
            <w:vAlign w:val="bottom"/>
          </w:tcPr>
          <w:p>
            <w:pPr>
              <w:spacing w:after="0"/>
              <w:rPr>
                <w:sz w:val="1"/>
                <w:szCs w:val="1"/>
                <w:color w:val="auto"/>
              </w:rPr>
            </w:pPr>
          </w:p>
        </w:tc>
      </w:tr>
      <w:tr>
        <w:trPr>
          <w:trHeight w:val="135"/>
        </w:trPr>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231F20"/>
              </w:rPr>
              <w:t>147,955</w:t>
            </w: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20" w:type="dxa"/>
            <w:vAlign w:val="bottom"/>
          </w:tcPr>
          <w:p>
            <w:pPr>
              <w:jc w:val="right"/>
              <w:ind w:right="57"/>
              <w:spacing w:after="0" w:line="135" w:lineRule="exact"/>
              <w:rPr>
                <w:sz w:val="20"/>
                <w:szCs w:val="20"/>
                <w:color w:val="auto"/>
              </w:rPr>
            </w:pPr>
            <w:r>
              <w:rPr>
                <w:rFonts w:ascii="Arial" w:cs="Arial" w:eastAsia="Arial" w:hAnsi="Arial"/>
                <w:sz w:val="13"/>
                <w:szCs w:val="13"/>
                <w:color w:val="231F20"/>
              </w:rPr>
              <w:t>—</w:t>
            </w:r>
          </w:p>
        </w:tc>
        <w:tc>
          <w:tcPr>
            <w:tcW w:w="160" w:type="dxa"/>
            <w:vAlign w:val="bottom"/>
          </w:tcPr>
          <w:p>
            <w:pPr>
              <w:spacing w:after="0"/>
              <w:rPr>
                <w:sz w:val="11"/>
                <w:szCs w:val="11"/>
                <w:color w:val="auto"/>
              </w:rPr>
            </w:pPr>
          </w:p>
        </w:tc>
        <w:tc>
          <w:tcPr>
            <w:tcW w:w="1000" w:type="dxa"/>
            <w:vAlign w:val="bottom"/>
          </w:tcPr>
          <w:p>
            <w:pPr>
              <w:jc w:val="right"/>
              <w:ind w:right="17"/>
              <w:spacing w:after="0" w:line="135" w:lineRule="exact"/>
              <w:rPr>
                <w:sz w:val="20"/>
                <w:szCs w:val="20"/>
                <w:color w:val="auto"/>
              </w:rPr>
            </w:pPr>
            <w:r>
              <w:rPr>
                <w:rFonts w:ascii="Arial" w:cs="Arial" w:eastAsia="Arial" w:hAnsi="Arial"/>
                <w:sz w:val="13"/>
                <w:szCs w:val="13"/>
                <w:color w:val="231F20"/>
              </w:rPr>
              <w:t>—</w:t>
            </w:r>
          </w:p>
        </w:tc>
        <w:tc>
          <w:tcPr>
            <w:tcW w:w="20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35"/>
        </w:trPr>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231F20"/>
              </w:rPr>
              <w:t>87,490</w:t>
            </w: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20" w:type="dxa"/>
            <w:vAlign w:val="bottom"/>
          </w:tcPr>
          <w:p>
            <w:pPr>
              <w:jc w:val="right"/>
              <w:ind w:right="57"/>
              <w:spacing w:after="0" w:line="135" w:lineRule="exact"/>
              <w:rPr>
                <w:sz w:val="20"/>
                <w:szCs w:val="20"/>
                <w:color w:val="auto"/>
              </w:rPr>
            </w:pPr>
            <w:r>
              <w:rPr>
                <w:rFonts w:ascii="Arial" w:cs="Arial" w:eastAsia="Arial" w:hAnsi="Arial"/>
                <w:sz w:val="13"/>
                <w:szCs w:val="13"/>
                <w:color w:val="231F20"/>
              </w:rPr>
              <w:t>146</w:t>
            </w:r>
          </w:p>
        </w:tc>
        <w:tc>
          <w:tcPr>
            <w:tcW w:w="160" w:type="dxa"/>
            <w:vAlign w:val="bottom"/>
          </w:tcPr>
          <w:p>
            <w:pPr>
              <w:spacing w:after="0"/>
              <w:rPr>
                <w:sz w:val="11"/>
                <w:szCs w:val="11"/>
                <w:color w:val="auto"/>
              </w:rPr>
            </w:pPr>
          </w:p>
        </w:tc>
        <w:tc>
          <w:tcPr>
            <w:tcW w:w="1000" w:type="dxa"/>
            <w:vAlign w:val="bottom"/>
          </w:tcPr>
          <w:p>
            <w:pPr>
              <w:jc w:val="right"/>
              <w:ind w:right="17"/>
              <w:spacing w:after="0" w:line="135" w:lineRule="exact"/>
              <w:rPr>
                <w:sz w:val="20"/>
                <w:szCs w:val="20"/>
                <w:color w:val="auto"/>
              </w:rPr>
            </w:pPr>
            <w:r>
              <w:rPr>
                <w:rFonts w:ascii="Arial" w:cs="Arial" w:eastAsia="Arial" w:hAnsi="Arial"/>
                <w:sz w:val="13"/>
                <w:szCs w:val="13"/>
                <w:color w:val="231F20"/>
              </w:rPr>
              <w:t>—</w:t>
            </w:r>
          </w:p>
        </w:tc>
        <w:tc>
          <w:tcPr>
            <w:tcW w:w="20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231F20"/>
              </w:rPr>
              <w:t>146</w:t>
            </w:r>
          </w:p>
        </w:tc>
        <w:tc>
          <w:tcPr>
            <w:tcW w:w="0" w:type="dxa"/>
            <w:vAlign w:val="bottom"/>
          </w:tcPr>
          <w:p>
            <w:pPr>
              <w:spacing w:after="0"/>
              <w:rPr>
                <w:sz w:val="1"/>
                <w:szCs w:val="1"/>
                <w:color w:val="auto"/>
              </w:rPr>
            </w:pPr>
          </w:p>
        </w:tc>
      </w:tr>
      <w:tr>
        <w:trPr>
          <w:trHeight w:val="135"/>
        </w:trPr>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231F20"/>
              </w:rPr>
              <w:t>30,891</w:t>
            </w: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20" w:type="dxa"/>
            <w:vAlign w:val="bottom"/>
          </w:tcPr>
          <w:p>
            <w:pPr>
              <w:jc w:val="right"/>
              <w:ind w:right="57"/>
              <w:spacing w:after="0" w:line="135" w:lineRule="exact"/>
              <w:rPr>
                <w:sz w:val="20"/>
                <w:szCs w:val="20"/>
                <w:color w:val="auto"/>
              </w:rPr>
            </w:pPr>
            <w:r>
              <w:rPr>
                <w:rFonts w:ascii="Arial" w:cs="Arial" w:eastAsia="Arial" w:hAnsi="Arial"/>
                <w:sz w:val="13"/>
                <w:szCs w:val="13"/>
                <w:color w:val="231F20"/>
              </w:rPr>
              <w:t>57</w:t>
            </w:r>
          </w:p>
        </w:tc>
        <w:tc>
          <w:tcPr>
            <w:tcW w:w="160" w:type="dxa"/>
            <w:vAlign w:val="bottom"/>
          </w:tcPr>
          <w:p>
            <w:pPr>
              <w:spacing w:after="0"/>
              <w:rPr>
                <w:sz w:val="11"/>
                <w:szCs w:val="11"/>
                <w:color w:val="auto"/>
              </w:rPr>
            </w:pPr>
          </w:p>
        </w:tc>
        <w:tc>
          <w:tcPr>
            <w:tcW w:w="1000" w:type="dxa"/>
            <w:vAlign w:val="bottom"/>
          </w:tcPr>
          <w:p>
            <w:pPr>
              <w:jc w:val="right"/>
              <w:ind w:right="17"/>
              <w:spacing w:after="0" w:line="135" w:lineRule="exact"/>
              <w:rPr>
                <w:sz w:val="20"/>
                <w:szCs w:val="20"/>
                <w:color w:val="auto"/>
              </w:rPr>
            </w:pPr>
            <w:r>
              <w:rPr>
                <w:rFonts w:ascii="Arial" w:cs="Arial" w:eastAsia="Arial" w:hAnsi="Arial"/>
                <w:sz w:val="13"/>
                <w:szCs w:val="13"/>
                <w:color w:val="231F20"/>
              </w:rPr>
              <w:t>—</w:t>
            </w:r>
          </w:p>
        </w:tc>
        <w:tc>
          <w:tcPr>
            <w:tcW w:w="20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231F20"/>
              </w:rPr>
              <w:t>57</w:t>
            </w:r>
          </w:p>
        </w:tc>
        <w:tc>
          <w:tcPr>
            <w:tcW w:w="0" w:type="dxa"/>
            <w:vAlign w:val="bottom"/>
          </w:tcPr>
          <w:p>
            <w:pPr>
              <w:spacing w:after="0"/>
              <w:rPr>
                <w:sz w:val="1"/>
                <w:szCs w:val="1"/>
                <w:color w:val="auto"/>
              </w:rPr>
            </w:pPr>
          </w:p>
        </w:tc>
      </w:tr>
      <w:tr>
        <w:trPr>
          <w:trHeight w:val="135"/>
        </w:trPr>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231F20"/>
              </w:rPr>
              <w:t>—</w:t>
            </w: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20" w:type="dxa"/>
            <w:vAlign w:val="bottom"/>
          </w:tcPr>
          <w:p>
            <w:pPr>
              <w:jc w:val="right"/>
              <w:ind w:right="57"/>
              <w:spacing w:after="0" w:line="135" w:lineRule="exact"/>
              <w:rPr>
                <w:sz w:val="20"/>
                <w:szCs w:val="20"/>
                <w:color w:val="auto"/>
              </w:rPr>
            </w:pPr>
            <w:r>
              <w:rPr>
                <w:rFonts w:ascii="Arial" w:cs="Arial" w:eastAsia="Arial" w:hAnsi="Arial"/>
                <w:sz w:val="13"/>
                <w:szCs w:val="13"/>
                <w:color w:val="231F20"/>
              </w:rPr>
              <w:t>13,704</w:t>
            </w:r>
          </w:p>
        </w:tc>
        <w:tc>
          <w:tcPr>
            <w:tcW w:w="160" w:type="dxa"/>
            <w:vAlign w:val="bottom"/>
          </w:tcPr>
          <w:p>
            <w:pPr>
              <w:spacing w:after="0"/>
              <w:rPr>
                <w:sz w:val="11"/>
                <w:szCs w:val="11"/>
                <w:color w:val="auto"/>
              </w:rPr>
            </w:pPr>
          </w:p>
        </w:tc>
        <w:tc>
          <w:tcPr>
            <w:tcW w:w="1000" w:type="dxa"/>
            <w:vAlign w:val="bottom"/>
          </w:tcPr>
          <w:p>
            <w:pPr>
              <w:jc w:val="right"/>
              <w:ind w:right="17"/>
              <w:spacing w:after="0" w:line="135" w:lineRule="exact"/>
              <w:rPr>
                <w:sz w:val="20"/>
                <w:szCs w:val="20"/>
                <w:color w:val="auto"/>
              </w:rPr>
            </w:pPr>
            <w:r>
              <w:rPr>
                <w:rFonts w:ascii="Arial" w:cs="Arial" w:eastAsia="Arial" w:hAnsi="Arial"/>
                <w:sz w:val="13"/>
                <w:szCs w:val="13"/>
                <w:color w:val="231F20"/>
              </w:rPr>
              <w:t>—</w:t>
            </w:r>
          </w:p>
        </w:tc>
        <w:tc>
          <w:tcPr>
            <w:tcW w:w="20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231F20"/>
              </w:rPr>
              <w:t>13,704</w:t>
            </w:r>
          </w:p>
        </w:tc>
        <w:tc>
          <w:tcPr>
            <w:tcW w:w="0" w:type="dxa"/>
            <w:vAlign w:val="bottom"/>
          </w:tcPr>
          <w:p>
            <w:pPr>
              <w:spacing w:after="0"/>
              <w:rPr>
                <w:sz w:val="1"/>
                <w:szCs w:val="1"/>
                <w:color w:val="auto"/>
              </w:rPr>
            </w:pPr>
          </w:p>
        </w:tc>
      </w:tr>
      <w:tr>
        <w:trPr>
          <w:trHeight w:val="135"/>
        </w:trPr>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231F20"/>
              </w:rPr>
              <w:t>—</w:t>
            </w: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20" w:type="dxa"/>
            <w:vAlign w:val="bottom"/>
          </w:tcPr>
          <w:p>
            <w:pPr>
              <w:jc w:val="right"/>
              <w:ind w:right="57"/>
              <w:spacing w:after="0" w:line="135" w:lineRule="exact"/>
              <w:rPr>
                <w:sz w:val="20"/>
                <w:szCs w:val="20"/>
                <w:color w:val="auto"/>
              </w:rPr>
            </w:pPr>
            <w:r>
              <w:rPr>
                <w:rFonts w:ascii="Arial" w:cs="Arial" w:eastAsia="Arial" w:hAnsi="Arial"/>
                <w:sz w:val="13"/>
                <w:szCs w:val="13"/>
                <w:color w:val="231F20"/>
              </w:rPr>
              <w:t>264</w:t>
            </w:r>
          </w:p>
        </w:tc>
        <w:tc>
          <w:tcPr>
            <w:tcW w:w="160" w:type="dxa"/>
            <w:vAlign w:val="bottom"/>
          </w:tcPr>
          <w:p>
            <w:pPr>
              <w:spacing w:after="0"/>
              <w:rPr>
                <w:sz w:val="11"/>
                <w:szCs w:val="11"/>
                <w:color w:val="auto"/>
              </w:rPr>
            </w:pPr>
          </w:p>
        </w:tc>
        <w:tc>
          <w:tcPr>
            <w:tcW w:w="1000" w:type="dxa"/>
            <w:vAlign w:val="bottom"/>
          </w:tcPr>
          <w:p>
            <w:pPr>
              <w:jc w:val="right"/>
              <w:ind w:right="17"/>
              <w:spacing w:after="0" w:line="135" w:lineRule="exact"/>
              <w:rPr>
                <w:sz w:val="20"/>
                <w:szCs w:val="20"/>
                <w:color w:val="auto"/>
              </w:rPr>
            </w:pPr>
            <w:r>
              <w:rPr>
                <w:rFonts w:ascii="Arial" w:cs="Arial" w:eastAsia="Arial" w:hAnsi="Arial"/>
                <w:sz w:val="13"/>
                <w:szCs w:val="13"/>
                <w:color w:val="231F20"/>
              </w:rPr>
              <w:t>—</w:t>
            </w:r>
          </w:p>
        </w:tc>
        <w:tc>
          <w:tcPr>
            <w:tcW w:w="20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231F20"/>
              </w:rPr>
              <w:t>264</w:t>
            </w:r>
          </w:p>
        </w:tc>
        <w:tc>
          <w:tcPr>
            <w:tcW w:w="0" w:type="dxa"/>
            <w:vAlign w:val="bottom"/>
          </w:tcPr>
          <w:p>
            <w:pPr>
              <w:spacing w:after="0"/>
              <w:rPr>
                <w:sz w:val="1"/>
                <w:szCs w:val="1"/>
                <w:color w:val="auto"/>
              </w:rPr>
            </w:pPr>
          </w:p>
        </w:tc>
      </w:tr>
      <w:tr>
        <w:trPr>
          <w:trHeight w:val="135"/>
        </w:trPr>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231F20"/>
              </w:rPr>
              <w:t>—</w:t>
            </w: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20" w:type="dxa"/>
            <w:vAlign w:val="bottom"/>
          </w:tcPr>
          <w:p>
            <w:pPr>
              <w:jc w:val="right"/>
              <w:ind w:right="57"/>
              <w:spacing w:after="0" w:line="135" w:lineRule="exact"/>
              <w:rPr>
                <w:sz w:val="20"/>
                <w:szCs w:val="20"/>
                <w:color w:val="auto"/>
              </w:rPr>
            </w:pPr>
            <w:r>
              <w:rPr>
                <w:rFonts w:ascii="Arial" w:cs="Arial" w:eastAsia="Arial" w:hAnsi="Arial"/>
                <w:sz w:val="13"/>
                <w:szCs w:val="13"/>
                <w:color w:val="231F20"/>
              </w:rPr>
              <w:t>—</w:t>
            </w:r>
          </w:p>
        </w:tc>
        <w:tc>
          <w:tcPr>
            <w:tcW w:w="16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231F20"/>
              </w:rPr>
              <w:t>(2,525)</w:t>
            </w:r>
          </w:p>
        </w:tc>
        <w:tc>
          <w:tcPr>
            <w:tcW w:w="20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231F20"/>
              </w:rPr>
              <w:t>(2,525)</w:t>
            </w:r>
          </w:p>
        </w:tc>
        <w:tc>
          <w:tcPr>
            <w:tcW w:w="0" w:type="dxa"/>
            <w:vAlign w:val="bottom"/>
          </w:tcPr>
          <w:p>
            <w:pPr>
              <w:spacing w:after="0"/>
              <w:rPr>
                <w:sz w:val="1"/>
                <w:szCs w:val="1"/>
                <w:color w:val="auto"/>
              </w:rPr>
            </w:pPr>
          </w:p>
        </w:tc>
      </w:tr>
      <w:tr>
        <w:trPr>
          <w:trHeight w:val="153"/>
        </w:trPr>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231F20"/>
              </w:rPr>
              <w:t>—</w:t>
            </w: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w:t>
            </w:r>
          </w:p>
        </w:tc>
        <w:tc>
          <w:tcPr>
            <w:tcW w:w="2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231F20"/>
              </w:rPr>
              <w:t>—</w:t>
            </w: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231F20"/>
              </w:rPr>
              <w:t>—</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231F20"/>
              </w:rPr>
              <w:t>(78,608)</w:t>
            </w: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(78,608)</w:t>
            </w:r>
          </w:p>
        </w:tc>
        <w:tc>
          <w:tcPr>
            <w:tcW w:w="0" w:type="dxa"/>
            <w:vAlign w:val="bottom"/>
          </w:tcPr>
          <w:p>
            <w:pPr>
              <w:spacing w:after="0"/>
              <w:rPr>
                <w:sz w:val="1"/>
                <w:szCs w:val="1"/>
                <w:color w:val="auto"/>
              </w:rPr>
            </w:pPr>
          </w:p>
        </w:tc>
      </w:tr>
      <w:tr>
        <w:trPr>
          <w:trHeight w:val="129"/>
        </w:trPr>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231F20"/>
              </w:rPr>
              <w:t>40,084,568</w:t>
            </w:r>
          </w:p>
        </w:tc>
        <w:tc>
          <w:tcPr>
            <w:tcW w:w="1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231F20"/>
              </w:rPr>
              <w:t>$</w:t>
            </w: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231F20"/>
              </w:rPr>
              <w:t>3</w:t>
            </w:r>
          </w:p>
        </w:tc>
        <w:tc>
          <w:tcPr>
            <w:tcW w:w="240" w:type="dxa"/>
            <w:vAlign w:val="bottom"/>
            <w:tcBorders>
              <w:bottom w:val="single" w:sz="8" w:color="auto"/>
            </w:tcBorders>
          </w:tcPr>
          <w:p>
            <w:pPr>
              <w:ind w:left="160"/>
              <w:spacing w:after="0" w:line="129" w:lineRule="exact"/>
              <w:rPr>
                <w:sz w:val="20"/>
                <w:szCs w:val="20"/>
                <w:color w:val="auto"/>
              </w:rPr>
            </w:pPr>
            <w:r>
              <w:rPr>
                <w:rFonts w:ascii="Arial" w:cs="Arial" w:eastAsia="Arial" w:hAnsi="Arial"/>
                <w:sz w:val="13"/>
                <w:szCs w:val="13"/>
                <w:color w:val="231F20"/>
                <w:w w:val="82"/>
              </w:rPr>
              <w:t>$</w:t>
            </w:r>
          </w:p>
        </w:tc>
        <w:tc>
          <w:tcPr>
            <w:tcW w:w="62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231F20"/>
              </w:rPr>
              <w:t>403,168</w:t>
            </w:r>
          </w:p>
        </w:tc>
        <w:tc>
          <w:tcPr>
            <w:tcW w:w="1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231F20"/>
              </w:rPr>
              <w:t>(2,674)</w:t>
            </w:r>
          </w:p>
        </w:tc>
        <w:tc>
          <w:tcPr>
            <w:tcW w:w="2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231F20"/>
              </w:rPr>
              <w:t>$</w:t>
            </w:r>
          </w:p>
        </w:tc>
        <w:tc>
          <w:tcPr>
            <w:tcW w:w="72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231F20"/>
              </w:rPr>
              <w:t>(182,798)</w:t>
            </w:r>
          </w:p>
        </w:tc>
        <w:tc>
          <w:tcPr>
            <w:tcW w:w="2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231F20"/>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231F20"/>
              </w:rPr>
              <w:t>217,699</w:t>
            </w:r>
          </w:p>
        </w:tc>
        <w:tc>
          <w:tcPr>
            <w:tcW w:w="0" w:type="dxa"/>
            <w:vAlign w:val="bottom"/>
          </w:tcPr>
          <w:p>
            <w:pPr>
              <w:spacing w:after="0"/>
              <w:rPr>
                <w:sz w:val="1"/>
                <w:szCs w:val="1"/>
                <w:color w:val="auto"/>
              </w:rPr>
            </w:pP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-2241550</wp:posOffset>
            </wp:positionH>
            <wp:positionV relativeFrom="paragraph">
              <wp:posOffset>-899160</wp:posOffset>
            </wp:positionV>
            <wp:extent cx="5648960" cy="939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48960" cy="93980"/>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-719455</wp:posOffset>
            </wp:positionV>
            <wp:extent cx="5648960" cy="857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48960" cy="85725"/>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-548005</wp:posOffset>
            </wp:positionV>
            <wp:extent cx="5648960" cy="857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48960" cy="85725"/>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-376555</wp:posOffset>
            </wp:positionV>
            <wp:extent cx="5648960" cy="857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48960" cy="85725"/>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-205105</wp:posOffset>
            </wp:positionV>
            <wp:extent cx="5648960" cy="857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48960" cy="85725"/>
                    </a:xfrm>
                    <a:prstGeom prst="rect">
                      <a:avLst/>
                    </a:prstGeom>
                    <a:noFill/>
                  </pic:spPr>
                </pic:pic>
              </a:graphicData>
            </a:graphic>
          </wp:anchor>
        </w:drawing>
      </w:r>
    </w:p>
    <w:p>
      <w:pPr>
        <w:spacing w:after="0" w:line="88" w:lineRule="exact"/>
        <w:rPr>
          <w:sz w:val="20"/>
          <w:szCs w:val="20"/>
          <w:color w:val="auto"/>
        </w:rPr>
      </w:pPr>
    </w:p>
    <w:p>
      <w:pPr>
        <w:sectPr>
          <w:pgSz w:w="11900" w:h="16838" w:orient="portrait"/>
          <w:cols w:equalWidth="0" w:num="2">
            <w:col w:w="3400" w:space="180"/>
            <w:col w:w="5439"/>
          </w:cols>
          <w:pgMar w:left="1440" w:top="513" w:right="1440" w:bottom="1440" w:gutter="0" w:footer="0" w:header="0"/>
          <w:type w:val="continuous"/>
        </w:sectPr>
      </w:pPr>
    </w:p>
    <w:tbl>
      <w:tblPr>
        <w:tblLayout w:type="fixed"/>
        <w:tblInd w:w="40" w:type="dxa"/>
        <w:tblCellMar>
          <w:top w:w="0" w:type="dxa"/>
          <w:left w:w="0" w:type="dxa"/>
          <w:bottom w:w="0" w:type="dxa"/>
          <w:right w:w="0" w:type="dxa"/>
        </w:tblCellMar>
      </w:tblPr>
      <w:tr>
        <w:trPr>
          <w:trHeight w:val="144"/>
        </w:trPr>
        <w:tc>
          <w:tcPr>
            <w:tcW w:w="35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97"/>
              </w:rPr>
              <w:t>Accumulated</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1520" w:type="dxa"/>
            <w:vAlign w:val="bottom"/>
            <w:gridSpan w:val="3"/>
            <w:vMerge w:val="restart"/>
          </w:tcPr>
          <w:p>
            <w:pPr>
              <w:jc w:val="right"/>
              <w:ind w:right="237"/>
              <w:spacing w:after="0"/>
              <w:rPr>
                <w:sz w:val="20"/>
                <w:szCs w:val="20"/>
                <w:color w:val="auto"/>
              </w:rPr>
            </w:pPr>
            <w:r>
              <w:rPr>
                <w:rFonts w:ascii="Arial" w:cs="Arial" w:eastAsia="Arial" w:hAnsi="Arial"/>
                <w:sz w:val="13"/>
                <w:szCs w:val="13"/>
                <w:b w:val="1"/>
                <w:bCs w:val="1"/>
                <w:color w:val="auto"/>
              </w:rPr>
              <w:t>Common Stock</w:t>
            </w:r>
          </w:p>
        </w:tc>
        <w:tc>
          <w:tcPr>
            <w:tcW w:w="86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Additional</w:t>
            </w:r>
          </w:p>
        </w:tc>
        <w:tc>
          <w:tcPr>
            <w:tcW w:w="16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Other</w:t>
            </w:r>
          </w:p>
        </w:tc>
        <w:tc>
          <w:tcPr>
            <w:tcW w:w="920" w:type="dxa"/>
            <w:vAlign w:val="bottom"/>
            <w:gridSpan w:val="2"/>
            <w:vMerge w:val="restart"/>
          </w:tcPr>
          <w:p>
            <w:pPr>
              <w:jc w:val="right"/>
              <w:ind w:right="17"/>
              <w:spacing w:after="0"/>
              <w:rPr>
                <w:sz w:val="20"/>
                <w:szCs w:val="20"/>
                <w:color w:val="auto"/>
              </w:rPr>
            </w:pPr>
            <w:r>
              <w:rPr>
                <w:rFonts w:ascii="Arial" w:cs="Arial" w:eastAsia="Arial" w:hAnsi="Arial"/>
                <w:sz w:val="13"/>
                <w:szCs w:val="13"/>
                <w:b w:val="1"/>
                <w:bCs w:val="1"/>
                <w:color w:val="auto"/>
              </w:rPr>
              <w:t>Accumulated</w:t>
            </w:r>
          </w:p>
        </w:tc>
        <w:tc>
          <w:tcPr>
            <w:tcW w:w="240" w:type="dxa"/>
            <w:vAlign w:val="bottom"/>
          </w:tcPr>
          <w:p>
            <w:pPr>
              <w:spacing w:after="0"/>
              <w:rPr>
                <w:sz w:val="11"/>
                <w:szCs w:val="11"/>
                <w:color w:val="auto"/>
              </w:rPr>
            </w:pPr>
          </w:p>
        </w:tc>
        <w:tc>
          <w:tcPr>
            <w:tcW w:w="66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51"/>
        </w:trPr>
        <w:tc>
          <w:tcPr>
            <w:tcW w:w="3540" w:type="dxa"/>
            <w:vAlign w:val="bottom"/>
          </w:tcPr>
          <w:p>
            <w:pPr>
              <w:spacing w:after="0"/>
              <w:rPr>
                <w:sz w:val="12"/>
                <w:szCs w:val="12"/>
                <w:color w:val="auto"/>
              </w:rPr>
            </w:pPr>
          </w:p>
        </w:tc>
        <w:tc>
          <w:tcPr>
            <w:tcW w:w="1520" w:type="dxa"/>
            <w:vAlign w:val="bottom"/>
            <w:tcBorders>
              <w:bottom w:val="single" w:sz="8" w:color="auto"/>
            </w:tcBorders>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w w:val="96"/>
              </w:rPr>
              <w:t>Paid-in</w:t>
            </w:r>
          </w:p>
        </w:tc>
        <w:tc>
          <w:tcPr>
            <w:tcW w:w="160" w:type="dxa"/>
            <w:vAlign w:val="bottom"/>
          </w:tcPr>
          <w:p>
            <w:pPr>
              <w:spacing w:after="0"/>
              <w:rPr>
                <w:sz w:val="12"/>
                <w:szCs w:val="12"/>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920" w:type="dxa"/>
            <w:vAlign w:val="bottom"/>
            <w:gridSpan w:val="2"/>
            <w:vMerge w:val="continue"/>
          </w:tcPr>
          <w:p>
            <w:pPr>
              <w:spacing w:after="0"/>
              <w:rPr>
                <w:sz w:val="12"/>
                <w:szCs w:val="12"/>
                <w:color w:val="auto"/>
              </w:rPr>
            </w:pPr>
          </w:p>
        </w:tc>
        <w:tc>
          <w:tcPr>
            <w:tcW w:w="900" w:type="dxa"/>
            <w:vAlign w:val="bottom"/>
            <w:gridSpan w:val="2"/>
          </w:tcPr>
          <w:p>
            <w:pPr>
              <w:jc w:val="center"/>
              <w:ind w:left="17"/>
              <w:spacing w:after="0" w:line="135" w:lineRule="exact"/>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135"/>
        </w:trPr>
        <w:tc>
          <w:tcPr>
            <w:tcW w:w="354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ind w:right="137"/>
              <w:spacing w:after="0" w:line="135" w:lineRule="exact"/>
              <w:rPr>
                <w:sz w:val="20"/>
                <w:szCs w:val="20"/>
                <w:color w:val="auto"/>
              </w:rPr>
            </w:pPr>
            <w:r>
              <w:rPr>
                <w:rFonts w:ascii="Arial" w:cs="Arial" w:eastAsia="Arial" w:hAnsi="Arial"/>
                <w:sz w:val="13"/>
                <w:szCs w:val="13"/>
                <w:b w:val="1"/>
                <w:bCs w:val="1"/>
                <w:color w:val="231F20"/>
              </w:rPr>
              <w:t>Shares</w:t>
            </w: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231F20"/>
                <w:w w:val="93"/>
              </w:rPr>
              <w:t>Amount</w:t>
            </w:r>
          </w:p>
        </w:tc>
        <w:tc>
          <w:tcPr>
            <w:tcW w:w="2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17"/>
              <w:spacing w:after="0" w:line="135" w:lineRule="exact"/>
              <w:rPr>
                <w:sz w:val="20"/>
                <w:szCs w:val="20"/>
                <w:color w:val="auto"/>
              </w:rPr>
            </w:pPr>
            <w:r>
              <w:rPr>
                <w:rFonts w:ascii="Arial" w:cs="Arial" w:eastAsia="Arial" w:hAnsi="Arial"/>
                <w:sz w:val="13"/>
                <w:szCs w:val="13"/>
                <w:b w:val="1"/>
                <w:bCs w:val="1"/>
                <w:color w:val="231F20"/>
                <w:w w:val="96"/>
              </w:rPr>
              <w:t>Capital</w:t>
            </w: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231F20"/>
                <w:w w:val="97"/>
              </w:rPr>
              <w:t>Income (Loss)</w:t>
            </w: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17"/>
              <w:spacing w:after="0" w:line="135" w:lineRule="exact"/>
              <w:rPr>
                <w:sz w:val="20"/>
                <w:szCs w:val="20"/>
                <w:color w:val="auto"/>
              </w:rPr>
            </w:pPr>
            <w:r>
              <w:rPr>
                <w:rFonts w:ascii="Arial" w:cs="Arial" w:eastAsia="Arial" w:hAnsi="Arial"/>
                <w:sz w:val="13"/>
                <w:szCs w:val="13"/>
                <w:b w:val="1"/>
                <w:bCs w:val="1"/>
                <w:color w:val="231F20"/>
              </w:rPr>
              <w:t>Deficit</w:t>
            </w:r>
          </w:p>
        </w:tc>
        <w:tc>
          <w:tcPr>
            <w:tcW w:w="2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center"/>
              <w:ind w:right="97"/>
              <w:spacing w:after="0" w:line="135" w:lineRule="exact"/>
              <w:rPr>
                <w:sz w:val="20"/>
                <w:szCs w:val="20"/>
                <w:color w:val="auto"/>
              </w:rPr>
            </w:pPr>
            <w:r>
              <w:rPr>
                <w:rFonts w:ascii="Arial" w:cs="Arial" w:eastAsia="Arial" w:hAnsi="Arial"/>
                <w:sz w:val="13"/>
                <w:szCs w:val="13"/>
                <w:b w:val="1"/>
                <w:bCs w:val="1"/>
                <w:color w:val="231F20"/>
                <w:w w:val="95"/>
              </w:rPr>
              <w:t>Equity</w:t>
            </w:r>
          </w:p>
        </w:tc>
        <w:tc>
          <w:tcPr>
            <w:tcW w:w="0" w:type="dxa"/>
            <w:vAlign w:val="bottom"/>
          </w:tcPr>
          <w:p>
            <w:pPr>
              <w:spacing w:after="0"/>
              <w:rPr>
                <w:sz w:val="1"/>
                <w:szCs w:val="1"/>
                <w:color w:val="auto"/>
              </w:rPr>
            </w:pPr>
          </w:p>
        </w:tc>
      </w:tr>
      <w:tr>
        <w:trPr>
          <w:trHeight w:val="128"/>
        </w:trPr>
        <w:tc>
          <w:tcPr>
            <w:tcW w:w="35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231F20"/>
              </w:rPr>
              <w:t>Balances at June 30, 2021</w:t>
            </w:r>
          </w:p>
        </w:tc>
        <w:tc>
          <w:tcPr>
            <w:tcW w:w="780" w:type="dxa"/>
            <w:vAlign w:val="bottom"/>
            <w:shd w:val="clear" w:color="auto" w:fill="CCEEFF"/>
          </w:tcPr>
          <w:p>
            <w:pPr>
              <w:jc w:val="right"/>
              <w:ind w:right="37"/>
              <w:spacing w:after="0" w:line="129" w:lineRule="exact"/>
              <w:rPr>
                <w:sz w:val="20"/>
                <w:szCs w:val="20"/>
                <w:color w:val="auto"/>
              </w:rPr>
            </w:pPr>
            <w:r>
              <w:rPr>
                <w:rFonts w:ascii="Arial" w:cs="Arial" w:eastAsia="Arial" w:hAnsi="Arial"/>
                <w:sz w:val="13"/>
                <w:szCs w:val="13"/>
                <w:color w:val="231F20"/>
              </w:rPr>
              <w:t>39,552,588</w:t>
            </w:r>
          </w:p>
        </w:tc>
        <w:tc>
          <w:tcPr>
            <w:tcW w:w="1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231F20"/>
              </w:rPr>
              <w:t>$</w:t>
            </w: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231F20"/>
              </w:rPr>
              <w:t>3</w:t>
            </w:r>
          </w:p>
        </w:tc>
        <w:tc>
          <w:tcPr>
            <w:tcW w:w="240" w:type="dxa"/>
            <w:vAlign w:val="bottom"/>
            <w:shd w:val="clear" w:color="auto" w:fill="CCEEFF"/>
          </w:tcPr>
          <w:p>
            <w:pPr>
              <w:ind w:left="160"/>
              <w:spacing w:after="0" w:line="129" w:lineRule="exact"/>
              <w:rPr>
                <w:sz w:val="20"/>
                <w:szCs w:val="20"/>
                <w:color w:val="auto"/>
              </w:rPr>
            </w:pPr>
            <w:r>
              <w:rPr>
                <w:rFonts w:ascii="Arial" w:cs="Arial" w:eastAsia="Arial" w:hAnsi="Arial"/>
                <w:sz w:val="13"/>
                <w:szCs w:val="13"/>
                <w:color w:val="231F20"/>
                <w:w w:val="82"/>
              </w:rPr>
              <w:t>$</w:t>
            </w:r>
          </w:p>
        </w:tc>
        <w:tc>
          <w:tcPr>
            <w:tcW w:w="620" w:type="dxa"/>
            <w:vAlign w:val="bottom"/>
            <w:shd w:val="clear" w:color="auto" w:fill="CCEEFF"/>
          </w:tcPr>
          <w:p>
            <w:pPr>
              <w:jc w:val="right"/>
              <w:ind w:right="37"/>
              <w:spacing w:after="0" w:line="129" w:lineRule="exact"/>
              <w:rPr>
                <w:sz w:val="20"/>
                <w:szCs w:val="20"/>
                <w:color w:val="auto"/>
              </w:rPr>
            </w:pPr>
            <w:r>
              <w:rPr>
                <w:rFonts w:ascii="Arial" w:cs="Arial" w:eastAsia="Arial" w:hAnsi="Arial"/>
                <w:sz w:val="13"/>
                <w:szCs w:val="13"/>
                <w:color w:val="231F20"/>
              </w:rPr>
              <w:t>378,934</w:t>
            </w:r>
          </w:p>
        </w:tc>
        <w:tc>
          <w:tcPr>
            <w:tcW w:w="1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231F20"/>
              </w:rPr>
              <w:t>$</w:t>
            </w:r>
          </w:p>
        </w:tc>
        <w:tc>
          <w:tcPr>
            <w:tcW w:w="10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231F20"/>
              </w:rPr>
              <w:t>(14)</w:t>
            </w:r>
          </w:p>
        </w:tc>
        <w:tc>
          <w:tcPr>
            <w:tcW w:w="2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231F20"/>
              </w:rPr>
              <w:t>$</w:t>
            </w:r>
          </w:p>
        </w:tc>
        <w:tc>
          <w:tcPr>
            <w:tcW w:w="72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231F20"/>
              </w:rPr>
              <w:t>(64,839)</w:t>
            </w:r>
          </w:p>
        </w:tc>
        <w:tc>
          <w:tcPr>
            <w:tcW w:w="2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231F20"/>
              </w:rPr>
              <w:t>$</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231F20"/>
              </w:rPr>
              <w:t>314,084</w:t>
            </w:r>
          </w:p>
        </w:tc>
        <w:tc>
          <w:tcPr>
            <w:tcW w:w="0" w:type="dxa"/>
            <w:vAlign w:val="bottom"/>
          </w:tcPr>
          <w:p>
            <w:pPr>
              <w:spacing w:after="0"/>
              <w:rPr>
                <w:sz w:val="1"/>
                <w:szCs w:val="1"/>
                <w:color w:val="auto"/>
              </w:rPr>
            </w:pPr>
          </w:p>
        </w:tc>
      </w:tr>
      <w:tr>
        <w:trPr>
          <w:trHeight w:val="135"/>
        </w:trPr>
        <w:tc>
          <w:tcPr>
            <w:tcW w:w="3540" w:type="dxa"/>
            <w:vAlign w:val="bottom"/>
          </w:tcPr>
          <w:p>
            <w:pPr>
              <w:ind w:left="20"/>
              <w:spacing w:after="0" w:line="135" w:lineRule="exact"/>
              <w:rPr>
                <w:sz w:val="20"/>
                <w:szCs w:val="20"/>
                <w:color w:val="auto"/>
              </w:rPr>
            </w:pPr>
            <w:r>
              <w:rPr>
                <w:rFonts w:ascii="Arial" w:cs="Arial" w:eastAsia="Arial" w:hAnsi="Arial"/>
                <w:sz w:val="13"/>
                <w:szCs w:val="13"/>
                <w:color w:val="auto"/>
              </w:rPr>
              <w:t>Vesting of early exercised stock options</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231F20"/>
              </w:rPr>
              <w:t>58,639</w:t>
            </w:r>
          </w:p>
        </w:tc>
        <w:tc>
          <w:tcPr>
            <w:tcW w:w="1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20" w:type="dxa"/>
            <w:vAlign w:val="bottom"/>
          </w:tcPr>
          <w:p>
            <w:pPr>
              <w:jc w:val="right"/>
              <w:ind w:right="37"/>
              <w:spacing w:after="0" w:line="135" w:lineRule="exact"/>
              <w:rPr>
                <w:sz w:val="20"/>
                <w:szCs w:val="20"/>
                <w:color w:val="auto"/>
              </w:rPr>
            </w:pPr>
            <w:r>
              <w:rPr>
                <w:rFonts w:ascii="Arial" w:cs="Arial" w:eastAsia="Arial" w:hAnsi="Arial"/>
                <w:sz w:val="13"/>
                <w:szCs w:val="13"/>
                <w:color w:val="231F20"/>
              </w:rPr>
              <w:t>280</w:t>
            </w:r>
          </w:p>
        </w:tc>
        <w:tc>
          <w:tcPr>
            <w:tcW w:w="160" w:type="dxa"/>
            <w:vAlign w:val="bottom"/>
          </w:tcPr>
          <w:p>
            <w:pPr>
              <w:spacing w:after="0"/>
              <w:rPr>
                <w:sz w:val="11"/>
                <w:szCs w:val="11"/>
                <w:color w:val="auto"/>
              </w:rPr>
            </w:pPr>
          </w:p>
        </w:tc>
        <w:tc>
          <w:tcPr>
            <w:tcW w:w="1000" w:type="dxa"/>
            <w:vAlign w:val="bottom"/>
          </w:tcPr>
          <w:p>
            <w:pPr>
              <w:jc w:val="right"/>
              <w:ind w:right="17"/>
              <w:spacing w:after="0" w:line="135" w:lineRule="exact"/>
              <w:rPr>
                <w:sz w:val="20"/>
                <w:szCs w:val="20"/>
                <w:color w:val="auto"/>
              </w:rPr>
            </w:pPr>
            <w:r>
              <w:rPr>
                <w:rFonts w:ascii="Arial" w:cs="Arial" w:eastAsia="Arial" w:hAnsi="Arial"/>
                <w:sz w:val="13"/>
                <w:szCs w:val="13"/>
                <w:color w:val="231F20"/>
              </w:rPr>
              <w:t>—</w:t>
            </w:r>
          </w:p>
        </w:tc>
        <w:tc>
          <w:tcPr>
            <w:tcW w:w="20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231F20"/>
              </w:rPr>
              <w:t>280</w:t>
            </w:r>
          </w:p>
        </w:tc>
        <w:tc>
          <w:tcPr>
            <w:tcW w:w="0" w:type="dxa"/>
            <w:vAlign w:val="bottom"/>
          </w:tcPr>
          <w:p>
            <w:pPr>
              <w:spacing w:after="0"/>
              <w:rPr>
                <w:sz w:val="1"/>
                <w:szCs w:val="1"/>
                <w:color w:val="auto"/>
              </w:rPr>
            </w:pPr>
          </w:p>
        </w:tc>
      </w:tr>
      <w:tr>
        <w:trPr>
          <w:trHeight w:val="135"/>
        </w:trPr>
        <w:tc>
          <w:tcPr>
            <w:tcW w:w="35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Vesting of restricted stock awards</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231F20"/>
              </w:rPr>
              <w:t>49,318</w:t>
            </w: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231F20"/>
              </w:rPr>
              <w:t>—</w:t>
            </w: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231F20"/>
              </w:rPr>
              <w:t>—</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231F20"/>
              </w:rPr>
              <w:t>—</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231F20"/>
              </w:rPr>
              <w:t>—</w:t>
            </w: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35"/>
        </w:trPr>
        <w:tc>
          <w:tcPr>
            <w:tcW w:w="3540" w:type="dxa"/>
            <w:vAlign w:val="bottom"/>
          </w:tcPr>
          <w:p>
            <w:pPr>
              <w:ind w:left="20"/>
              <w:spacing w:after="0" w:line="135" w:lineRule="exact"/>
              <w:rPr>
                <w:sz w:val="20"/>
                <w:szCs w:val="20"/>
                <w:color w:val="auto"/>
              </w:rPr>
            </w:pPr>
            <w:r>
              <w:rPr>
                <w:rFonts w:ascii="Arial" w:cs="Arial" w:eastAsia="Arial" w:hAnsi="Arial"/>
                <w:sz w:val="13"/>
                <w:szCs w:val="13"/>
                <w:color w:val="auto"/>
              </w:rPr>
              <w:t>Exercise of stock options</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231F20"/>
              </w:rPr>
              <w:t>20,753</w:t>
            </w:r>
          </w:p>
        </w:tc>
        <w:tc>
          <w:tcPr>
            <w:tcW w:w="1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20" w:type="dxa"/>
            <w:vAlign w:val="bottom"/>
          </w:tcPr>
          <w:p>
            <w:pPr>
              <w:jc w:val="right"/>
              <w:ind w:right="37"/>
              <w:spacing w:after="0" w:line="135" w:lineRule="exact"/>
              <w:rPr>
                <w:sz w:val="20"/>
                <w:szCs w:val="20"/>
                <w:color w:val="auto"/>
              </w:rPr>
            </w:pPr>
            <w:r>
              <w:rPr>
                <w:rFonts w:ascii="Arial" w:cs="Arial" w:eastAsia="Arial" w:hAnsi="Arial"/>
                <w:sz w:val="13"/>
                <w:szCs w:val="13"/>
                <w:color w:val="231F20"/>
              </w:rPr>
              <w:t>57</w:t>
            </w:r>
          </w:p>
        </w:tc>
        <w:tc>
          <w:tcPr>
            <w:tcW w:w="160" w:type="dxa"/>
            <w:vAlign w:val="bottom"/>
          </w:tcPr>
          <w:p>
            <w:pPr>
              <w:spacing w:after="0"/>
              <w:rPr>
                <w:sz w:val="11"/>
                <w:szCs w:val="11"/>
                <w:color w:val="auto"/>
              </w:rPr>
            </w:pPr>
          </w:p>
        </w:tc>
        <w:tc>
          <w:tcPr>
            <w:tcW w:w="1000" w:type="dxa"/>
            <w:vAlign w:val="bottom"/>
          </w:tcPr>
          <w:p>
            <w:pPr>
              <w:jc w:val="right"/>
              <w:ind w:right="17"/>
              <w:spacing w:after="0" w:line="135" w:lineRule="exact"/>
              <w:rPr>
                <w:sz w:val="20"/>
                <w:szCs w:val="20"/>
                <w:color w:val="auto"/>
              </w:rPr>
            </w:pPr>
            <w:r>
              <w:rPr>
                <w:rFonts w:ascii="Arial" w:cs="Arial" w:eastAsia="Arial" w:hAnsi="Arial"/>
                <w:sz w:val="13"/>
                <w:szCs w:val="13"/>
                <w:color w:val="231F20"/>
              </w:rPr>
              <w:t>—</w:t>
            </w:r>
          </w:p>
        </w:tc>
        <w:tc>
          <w:tcPr>
            <w:tcW w:w="20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231F20"/>
              </w:rPr>
              <w:t>57</w:t>
            </w:r>
          </w:p>
        </w:tc>
        <w:tc>
          <w:tcPr>
            <w:tcW w:w="0" w:type="dxa"/>
            <w:vAlign w:val="bottom"/>
          </w:tcPr>
          <w:p>
            <w:pPr>
              <w:spacing w:after="0"/>
              <w:rPr>
                <w:sz w:val="1"/>
                <w:szCs w:val="1"/>
                <w:color w:val="auto"/>
              </w:rPr>
            </w:pPr>
          </w:p>
        </w:tc>
      </w:tr>
      <w:tr>
        <w:trPr>
          <w:trHeight w:val="135"/>
        </w:trPr>
        <w:tc>
          <w:tcPr>
            <w:tcW w:w="35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Stock-based compensation expense</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231F20"/>
              </w:rPr>
              <w:t>—</w:t>
            </w: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231F20"/>
              </w:rPr>
              <w:t>—</w:t>
            </w: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231F20"/>
              </w:rPr>
              <w:t>4,125</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231F20"/>
              </w:rPr>
              <w:t>—</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231F20"/>
              </w:rPr>
              <w:t>—</w:t>
            </w: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231F20"/>
              </w:rPr>
              <w:t>4,125</w:t>
            </w:r>
          </w:p>
        </w:tc>
        <w:tc>
          <w:tcPr>
            <w:tcW w:w="0" w:type="dxa"/>
            <w:vAlign w:val="bottom"/>
          </w:tcPr>
          <w:p>
            <w:pPr>
              <w:spacing w:after="0"/>
              <w:rPr>
                <w:sz w:val="1"/>
                <w:szCs w:val="1"/>
                <w:color w:val="auto"/>
              </w:rPr>
            </w:pPr>
          </w:p>
        </w:tc>
      </w:tr>
      <w:tr>
        <w:trPr>
          <w:trHeight w:val="135"/>
        </w:trPr>
        <w:tc>
          <w:tcPr>
            <w:tcW w:w="3540" w:type="dxa"/>
            <w:vAlign w:val="bottom"/>
          </w:tcPr>
          <w:p>
            <w:pPr>
              <w:ind w:left="20"/>
              <w:spacing w:after="0" w:line="135" w:lineRule="exact"/>
              <w:rPr>
                <w:sz w:val="20"/>
                <w:szCs w:val="20"/>
                <w:color w:val="auto"/>
              </w:rPr>
            </w:pPr>
            <w:r>
              <w:rPr>
                <w:rFonts w:ascii="Arial" w:cs="Arial" w:eastAsia="Arial" w:hAnsi="Arial"/>
                <w:sz w:val="13"/>
                <w:szCs w:val="13"/>
                <w:color w:val="auto"/>
              </w:rPr>
              <w:t>Employee stock purchase plan expense</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231F20"/>
              </w:rPr>
              <w:t>—</w:t>
            </w:r>
          </w:p>
        </w:tc>
        <w:tc>
          <w:tcPr>
            <w:tcW w:w="1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20" w:type="dxa"/>
            <w:vAlign w:val="bottom"/>
          </w:tcPr>
          <w:p>
            <w:pPr>
              <w:jc w:val="right"/>
              <w:ind w:right="37"/>
              <w:spacing w:after="0" w:line="135" w:lineRule="exact"/>
              <w:rPr>
                <w:sz w:val="20"/>
                <w:szCs w:val="20"/>
                <w:color w:val="auto"/>
              </w:rPr>
            </w:pPr>
            <w:r>
              <w:rPr>
                <w:rFonts w:ascii="Arial" w:cs="Arial" w:eastAsia="Arial" w:hAnsi="Arial"/>
                <w:sz w:val="13"/>
                <w:szCs w:val="13"/>
                <w:color w:val="231F20"/>
              </w:rPr>
              <w:t>32</w:t>
            </w:r>
          </w:p>
        </w:tc>
        <w:tc>
          <w:tcPr>
            <w:tcW w:w="160" w:type="dxa"/>
            <w:vAlign w:val="bottom"/>
          </w:tcPr>
          <w:p>
            <w:pPr>
              <w:spacing w:after="0"/>
              <w:rPr>
                <w:sz w:val="11"/>
                <w:szCs w:val="11"/>
                <w:color w:val="auto"/>
              </w:rPr>
            </w:pPr>
          </w:p>
        </w:tc>
        <w:tc>
          <w:tcPr>
            <w:tcW w:w="1000" w:type="dxa"/>
            <w:vAlign w:val="bottom"/>
          </w:tcPr>
          <w:p>
            <w:pPr>
              <w:jc w:val="right"/>
              <w:ind w:right="17"/>
              <w:spacing w:after="0" w:line="135" w:lineRule="exact"/>
              <w:rPr>
                <w:sz w:val="20"/>
                <w:szCs w:val="20"/>
                <w:color w:val="auto"/>
              </w:rPr>
            </w:pPr>
            <w:r>
              <w:rPr>
                <w:rFonts w:ascii="Arial" w:cs="Arial" w:eastAsia="Arial" w:hAnsi="Arial"/>
                <w:sz w:val="13"/>
                <w:szCs w:val="13"/>
                <w:color w:val="231F20"/>
              </w:rPr>
              <w:t>—</w:t>
            </w:r>
          </w:p>
        </w:tc>
        <w:tc>
          <w:tcPr>
            <w:tcW w:w="20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231F20"/>
              </w:rPr>
              <w:t>32</w:t>
            </w:r>
          </w:p>
        </w:tc>
        <w:tc>
          <w:tcPr>
            <w:tcW w:w="0" w:type="dxa"/>
            <w:vAlign w:val="bottom"/>
          </w:tcPr>
          <w:p>
            <w:pPr>
              <w:spacing w:after="0"/>
              <w:rPr>
                <w:sz w:val="1"/>
                <w:szCs w:val="1"/>
                <w:color w:val="auto"/>
              </w:rPr>
            </w:pPr>
          </w:p>
        </w:tc>
      </w:tr>
      <w:tr>
        <w:trPr>
          <w:trHeight w:val="135"/>
        </w:trPr>
        <w:tc>
          <w:tcPr>
            <w:tcW w:w="35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 unrealized gain on marketable securities</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231F20"/>
              </w:rPr>
              <w:t>—</w:t>
            </w: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231F20"/>
              </w:rPr>
              <w:t>—</w:t>
            </w: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231F20"/>
              </w:rPr>
              <w:t>—</w:t>
            </w: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231F20"/>
              </w:rPr>
              <w:t>29</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231F20"/>
              </w:rPr>
              <w:t>—</w:t>
            </w: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231F20"/>
              </w:rPr>
              <w:t>29</w:t>
            </w:r>
          </w:p>
        </w:tc>
        <w:tc>
          <w:tcPr>
            <w:tcW w:w="0" w:type="dxa"/>
            <w:vAlign w:val="bottom"/>
          </w:tcPr>
          <w:p>
            <w:pPr>
              <w:spacing w:after="0"/>
              <w:rPr>
                <w:sz w:val="1"/>
                <w:szCs w:val="1"/>
                <w:color w:val="auto"/>
              </w:rPr>
            </w:pPr>
          </w:p>
        </w:tc>
      </w:tr>
      <w:tr>
        <w:trPr>
          <w:trHeight w:val="135"/>
        </w:trPr>
        <w:tc>
          <w:tcPr>
            <w:tcW w:w="3540" w:type="dxa"/>
            <w:vAlign w:val="bottom"/>
            <w:tcBorders>
              <w:bottom w:val="single" w:sz="8" w:color="CCEEFF"/>
            </w:tcBorders>
          </w:tcPr>
          <w:p>
            <w:pPr>
              <w:ind w:left="20"/>
              <w:spacing w:after="0" w:line="135" w:lineRule="exact"/>
              <w:rPr>
                <w:sz w:val="20"/>
                <w:szCs w:val="20"/>
                <w:color w:val="auto"/>
              </w:rPr>
            </w:pPr>
            <w:r>
              <w:rPr>
                <w:rFonts w:ascii="Arial" w:cs="Arial" w:eastAsia="Arial" w:hAnsi="Arial"/>
                <w:sz w:val="13"/>
                <w:szCs w:val="13"/>
                <w:color w:val="auto"/>
              </w:rPr>
              <w:t>Net loss</w:t>
            </w:r>
          </w:p>
        </w:tc>
        <w:tc>
          <w:tcPr>
            <w:tcW w:w="780" w:type="dxa"/>
            <w:vAlign w:val="bottom"/>
            <w:tcBorders>
              <w:bottom w:val="single" w:sz="8" w:color="auto"/>
            </w:tcBorders>
          </w:tcPr>
          <w:p>
            <w:pPr>
              <w:jc w:val="right"/>
              <w:ind w:right="37"/>
              <w:spacing w:after="0" w:line="135" w:lineRule="exact"/>
              <w:rPr>
                <w:sz w:val="20"/>
                <w:szCs w:val="20"/>
                <w:color w:val="auto"/>
              </w:rPr>
            </w:pPr>
            <w:r>
              <w:rPr>
                <w:rFonts w:ascii="Arial" w:cs="Arial" w:eastAsia="Arial" w:hAnsi="Arial"/>
                <w:sz w:val="13"/>
                <w:szCs w:val="13"/>
                <w:color w:val="231F20"/>
              </w:rPr>
              <w:t>—</w:t>
            </w: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231F20"/>
              </w:rPr>
              <w:t>—</w:t>
            </w:r>
          </w:p>
        </w:tc>
        <w:tc>
          <w:tcPr>
            <w:tcW w:w="2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37"/>
              <w:spacing w:after="0" w:line="135" w:lineRule="exact"/>
              <w:rPr>
                <w:sz w:val="20"/>
                <w:szCs w:val="20"/>
                <w:color w:val="auto"/>
              </w:rPr>
            </w:pPr>
            <w:r>
              <w:rPr>
                <w:rFonts w:ascii="Arial" w:cs="Arial" w:eastAsia="Arial" w:hAnsi="Arial"/>
                <w:sz w:val="13"/>
                <w:szCs w:val="13"/>
                <w:color w:val="231F20"/>
              </w:rPr>
              <w:t>—</w:t>
            </w: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17"/>
              <w:spacing w:after="0" w:line="135" w:lineRule="exact"/>
              <w:rPr>
                <w:sz w:val="20"/>
                <w:szCs w:val="20"/>
                <w:color w:val="auto"/>
              </w:rPr>
            </w:pPr>
            <w:r>
              <w:rPr>
                <w:rFonts w:ascii="Arial" w:cs="Arial" w:eastAsia="Arial" w:hAnsi="Arial"/>
                <w:sz w:val="13"/>
                <w:szCs w:val="13"/>
                <w:color w:val="231F20"/>
              </w:rPr>
              <w:t>—</w:t>
            </w: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7"/>
              <w:spacing w:after="0" w:line="135" w:lineRule="exact"/>
              <w:rPr>
                <w:sz w:val="20"/>
                <w:szCs w:val="20"/>
                <w:color w:val="auto"/>
              </w:rPr>
            </w:pPr>
            <w:r>
              <w:rPr>
                <w:rFonts w:ascii="Arial" w:cs="Arial" w:eastAsia="Arial" w:hAnsi="Arial"/>
                <w:sz w:val="13"/>
                <w:szCs w:val="13"/>
                <w:color w:val="231F20"/>
              </w:rPr>
              <w:t>(17,713)</w:t>
            </w:r>
          </w:p>
        </w:tc>
        <w:tc>
          <w:tcPr>
            <w:tcW w:w="2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231F20"/>
              </w:rPr>
              <w:t>(17,713)</w:t>
            </w:r>
          </w:p>
        </w:tc>
        <w:tc>
          <w:tcPr>
            <w:tcW w:w="0" w:type="dxa"/>
            <w:vAlign w:val="bottom"/>
          </w:tcPr>
          <w:p>
            <w:pPr>
              <w:spacing w:after="0"/>
              <w:rPr>
                <w:sz w:val="1"/>
                <w:szCs w:val="1"/>
                <w:color w:val="auto"/>
              </w:rPr>
            </w:pPr>
          </w:p>
        </w:tc>
      </w:tr>
      <w:tr>
        <w:trPr>
          <w:trHeight w:val="129"/>
        </w:trPr>
        <w:tc>
          <w:tcPr>
            <w:tcW w:w="3540" w:type="dxa"/>
            <w:vAlign w:val="bottom"/>
            <w:tcBorders>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Balances at September 30, 2021</w:t>
            </w:r>
          </w:p>
        </w:tc>
        <w:tc>
          <w:tcPr>
            <w:tcW w:w="780" w:type="dxa"/>
            <w:vAlign w:val="bottom"/>
            <w:tcBorders>
              <w:bottom w:val="single" w:sz="8" w:color="auto"/>
            </w:tcBorders>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rPr>
              <w:t>39,681,298</w:t>
            </w:r>
          </w:p>
        </w:tc>
        <w:tc>
          <w:tcPr>
            <w:tcW w:w="1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w:t>
            </w:r>
          </w:p>
        </w:tc>
        <w:tc>
          <w:tcPr>
            <w:tcW w:w="240" w:type="dxa"/>
            <w:vAlign w:val="bottom"/>
            <w:tcBorders>
              <w:bottom w:val="single" w:sz="8" w:color="auto"/>
            </w:tcBorders>
            <w:shd w:val="clear" w:color="auto" w:fill="CCEEFF"/>
          </w:tcPr>
          <w:p>
            <w:pPr>
              <w:ind w:left="160"/>
              <w:spacing w:after="0" w:line="129" w:lineRule="exact"/>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rPr>
              <w:t>383,428</w:t>
            </w:r>
          </w:p>
        </w:tc>
        <w:tc>
          <w:tcPr>
            <w:tcW w:w="1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15</w:t>
            </w:r>
          </w:p>
        </w:tc>
        <w:tc>
          <w:tcPr>
            <w:tcW w:w="2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(82,552)</w:t>
            </w:r>
          </w:p>
        </w:tc>
        <w:tc>
          <w:tcPr>
            <w:tcW w:w="2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300,894</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179705</wp:posOffset>
            </wp:positionV>
            <wp:extent cx="56489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4896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0" w:right="1160"/>
        <w:spacing w:after="0" w:line="221" w:lineRule="auto"/>
        <w:rPr>
          <w:sz w:val="20"/>
          <w:szCs w:val="20"/>
          <w:color w:val="auto"/>
        </w:rPr>
      </w:pPr>
      <w:r>
        <w:rPr>
          <w:rFonts w:ascii="Arial" w:cs="Arial" w:eastAsia="Arial" w:hAnsi="Arial"/>
          <w:sz w:val="13"/>
          <w:szCs w:val="13"/>
          <w:color w:val="231F20"/>
        </w:rPr>
        <w:t xml:space="preserve">Balances at December 31, 2020 </w:t>
      </w:r>
      <w:r>
        <w:rPr>
          <w:rFonts w:ascii="Arial" w:cs="Arial" w:eastAsia="Arial" w:hAnsi="Arial"/>
          <w:sz w:val="13"/>
          <w:szCs w:val="13"/>
          <w:color w:val="000000"/>
        </w:rPr>
        <w:t>Vesting of early exercised stock options Vesting of restricted stock awards Exercise of stock options</w:t>
      </w:r>
    </w:p>
    <w:p>
      <w:pPr>
        <w:ind w:left="60"/>
        <w:spacing w:after="0" w:line="237" w:lineRule="auto"/>
        <w:rPr>
          <w:sz w:val="20"/>
          <w:szCs w:val="20"/>
          <w:color w:val="auto"/>
        </w:rPr>
      </w:pPr>
      <w:r>
        <w:rPr>
          <w:rFonts w:ascii="Arial" w:cs="Arial" w:eastAsia="Arial" w:hAnsi="Arial"/>
          <w:sz w:val="12"/>
          <w:szCs w:val="12"/>
          <w:color w:val="auto"/>
        </w:rPr>
        <w:t>Issuance of shares under the employee stock purchase plan</w:t>
      </w:r>
    </w:p>
    <w:p>
      <w:pPr>
        <w:ind w:left="60"/>
        <w:spacing w:after="0" w:line="216" w:lineRule="auto"/>
        <w:rPr>
          <w:sz w:val="20"/>
          <w:szCs w:val="20"/>
          <w:color w:val="auto"/>
        </w:rPr>
      </w:pPr>
      <w:r>
        <w:rPr>
          <w:rFonts w:ascii="Arial" w:cs="Arial" w:eastAsia="Arial" w:hAnsi="Arial"/>
          <w:sz w:val="13"/>
          <w:szCs w:val="13"/>
          <w:color w:val="auto"/>
        </w:rPr>
        <w:t>Stock-based compensation expense</w:t>
      </w:r>
    </w:p>
    <w:p>
      <w:pPr>
        <w:ind w:left="60"/>
        <w:spacing w:after="0" w:line="217" w:lineRule="auto"/>
        <w:rPr>
          <w:sz w:val="20"/>
          <w:szCs w:val="20"/>
          <w:color w:val="auto"/>
        </w:rPr>
      </w:pPr>
      <w:r>
        <w:rPr>
          <w:rFonts w:ascii="Arial" w:cs="Arial" w:eastAsia="Arial" w:hAnsi="Arial"/>
          <w:sz w:val="13"/>
          <w:szCs w:val="13"/>
          <w:color w:val="auto"/>
        </w:rPr>
        <w:t>Employee stock purchase plan expense</w:t>
      </w:r>
    </w:p>
    <w:p>
      <w:pPr>
        <w:ind w:left="60"/>
        <w:spacing w:after="0" w:line="217" w:lineRule="auto"/>
        <w:rPr>
          <w:sz w:val="20"/>
          <w:szCs w:val="20"/>
          <w:color w:val="auto"/>
        </w:rPr>
      </w:pPr>
      <w:r>
        <w:rPr>
          <w:rFonts w:ascii="Arial" w:cs="Arial" w:eastAsia="Arial" w:hAnsi="Arial"/>
          <w:sz w:val="13"/>
          <w:szCs w:val="13"/>
          <w:color w:val="auto"/>
        </w:rPr>
        <w:t>Net unrealized gain on marketable securities</w:t>
      </w:r>
    </w:p>
    <w:p>
      <w:pPr>
        <w:ind w:left="60"/>
        <w:spacing w:after="0"/>
        <w:rPr>
          <w:sz w:val="20"/>
          <w:szCs w:val="20"/>
          <w:color w:val="auto"/>
        </w:rPr>
      </w:pPr>
      <w:r>
        <w:rPr>
          <w:rFonts w:ascii="Arial" w:cs="Arial" w:eastAsia="Arial" w:hAnsi="Arial"/>
          <w:sz w:val="13"/>
          <w:szCs w:val="13"/>
          <w:color w:val="auto"/>
        </w:rPr>
        <w:t>Net loss</w:t>
      </w:r>
    </w:p>
    <w:p>
      <w:pPr>
        <w:spacing w:after="0" w:line="4" w:lineRule="exact"/>
        <w:rPr>
          <w:sz w:val="20"/>
          <w:szCs w:val="20"/>
          <w:color w:val="auto"/>
        </w:rPr>
      </w:pPr>
    </w:p>
    <w:p>
      <w:pPr>
        <w:ind w:left="60"/>
        <w:spacing w:after="0"/>
        <w:rPr>
          <w:sz w:val="20"/>
          <w:szCs w:val="20"/>
          <w:color w:val="auto"/>
        </w:rPr>
      </w:pPr>
      <w:r>
        <w:rPr>
          <w:rFonts w:ascii="Arial" w:cs="Arial" w:eastAsia="Arial" w:hAnsi="Arial"/>
          <w:sz w:val="13"/>
          <w:szCs w:val="13"/>
          <w:color w:val="231F20"/>
        </w:rPr>
        <w:t>Balances at September 30, 2021</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7"/>
              </w:rPr>
              <w:t>Accumulated</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20" w:type="dxa"/>
            <w:vAlign w:val="bottom"/>
            <w:gridSpan w:val="3"/>
            <w:vMerge w:val="restart"/>
          </w:tcPr>
          <w:p>
            <w:pPr>
              <w:jc w:val="right"/>
              <w:ind w:right="237"/>
              <w:spacing w:after="0"/>
              <w:rPr>
                <w:sz w:val="20"/>
                <w:szCs w:val="20"/>
                <w:color w:val="auto"/>
              </w:rPr>
            </w:pPr>
            <w:r>
              <w:rPr>
                <w:rFonts w:ascii="Arial" w:cs="Arial" w:eastAsia="Arial" w:hAnsi="Arial"/>
                <w:sz w:val="13"/>
                <w:szCs w:val="13"/>
                <w:b w:val="1"/>
                <w:bCs w:val="1"/>
                <w:color w:val="auto"/>
              </w:rPr>
              <w:t>Common Stock</w:t>
            </w:r>
          </w:p>
        </w:tc>
        <w:tc>
          <w:tcPr>
            <w:tcW w:w="86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Additional</w:t>
            </w:r>
          </w:p>
        </w:tc>
        <w:tc>
          <w:tcPr>
            <w:tcW w:w="16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Other</w:t>
            </w:r>
          </w:p>
        </w:tc>
        <w:tc>
          <w:tcPr>
            <w:tcW w:w="920" w:type="dxa"/>
            <w:vAlign w:val="bottom"/>
            <w:gridSpan w:val="2"/>
            <w:vMerge w:val="restart"/>
          </w:tcPr>
          <w:p>
            <w:pPr>
              <w:jc w:val="right"/>
              <w:ind w:right="17"/>
              <w:spacing w:after="0"/>
              <w:rPr>
                <w:sz w:val="20"/>
                <w:szCs w:val="20"/>
                <w:color w:val="auto"/>
              </w:rPr>
            </w:pPr>
            <w:r>
              <w:rPr>
                <w:rFonts w:ascii="Arial" w:cs="Arial" w:eastAsia="Arial" w:hAnsi="Arial"/>
                <w:sz w:val="13"/>
                <w:szCs w:val="13"/>
                <w:b w:val="1"/>
                <w:bCs w:val="1"/>
                <w:color w:val="auto"/>
              </w:rPr>
              <w:t>Accumulated</w:t>
            </w:r>
          </w:p>
        </w:tc>
        <w:tc>
          <w:tcPr>
            <w:tcW w:w="240" w:type="dxa"/>
            <w:vAlign w:val="bottom"/>
          </w:tcPr>
          <w:p>
            <w:pPr>
              <w:spacing w:after="0"/>
              <w:rPr>
                <w:sz w:val="11"/>
                <w:szCs w:val="11"/>
                <w:color w:val="auto"/>
              </w:rPr>
            </w:pPr>
          </w:p>
        </w:tc>
        <w:tc>
          <w:tcPr>
            <w:tcW w:w="66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51"/>
        </w:trPr>
        <w:tc>
          <w:tcPr>
            <w:tcW w:w="1520" w:type="dxa"/>
            <w:vAlign w:val="bottom"/>
            <w:tcBorders>
              <w:bottom w:val="single" w:sz="8" w:color="auto"/>
            </w:tcBorders>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w w:val="96"/>
              </w:rPr>
              <w:t>Paid-in</w:t>
            </w:r>
          </w:p>
        </w:tc>
        <w:tc>
          <w:tcPr>
            <w:tcW w:w="160" w:type="dxa"/>
            <w:vAlign w:val="bottom"/>
          </w:tcPr>
          <w:p>
            <w:pPr>
              <w:spacing w:after="0"/>
              <w:rPr>
                <w:sz w:val="12"/>
                <w:szCs w:val="12"/>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920" w:type="dxa"/>
            <w:vAlign w:val="bottom"/>
            <w:gridSpan w:val="2"/>
            <w:vMerge w:val="continue"/>
          </w:tcPr>
          <w:p>
            <w:pPr>
              <w:spacing w:after="0"/>
              <w:rPr>
                <w:sz w:val="12"/>
                <w:szCs w:val="12"/>
                <w:color w:val="auto"/>
              </w:rPr>
            </w:pPr>
          </w:p>
        </w:tc>
        <w:tc>
          <w:tcPr>
            <w:tcW w:w="900" w:type="dxa"/>
            <w:vAlign w:val="bottom"/>
            <w:gridSpan w:val="2"/>
          </w:tcPr>
          <w:p>
            <w:pPr>
              <w:jc w:val="center"/>
              <w:ind w:left="19"/>
              <w:spacing w:after="0" w:line="135" w:lineRule="exact"/>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135"/>
        </w:trPr>
        <w:tc>
          <w:tcPr>
            <w:tcW w:w="780" w:type="dxa"/>
            <w:vAlign w:val="bottom"/>
            <w:tcBorders>
              <w:bottom w:val="single" w:sz="8" w:color="auto"/>
            </w:tcBorders>
          </w:tcPr>
          <w:p>
            <w:pPr>
              <w:jc w:val="right"/>
              <w:ind w:right="137"/>
              <w:spacing w:after="0" w:line="135" w:lineRule="exact"/>
              <w:rPr>
                <w:sz w:val="20"/>
                <w:szCs w:val="20"/>
                <w:color w:val="auto"/>
              </w:rPr>
            </w:pPr>
            <w:r>
              <w:rPr>
                <w:rFonts w:ascii="Arial" w:cs="Arial" w:eastAsia="Arial" w:hAnsi="Arial"/>
                <w:sz w:val="13"/>
                <w:szCs w:val="13"/>
                <w:b w:val="1"/>
                <w:bCs w:val="1"/>
                <w:color w:val="231F20"/>
              </w:rPr>
              <w:t>Shares</w:t>
            </w: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231F20"/>
                <w:w w:val="93"/>
              </w:rPr>
              <w:t>Amount</w:t>
            </w:r>
          </w:p>
        </w:tc>
        <w:tc>
          <w:tcPr>
            <w:tcW w:w="2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17"/>
              <w:spacing w:after="0" w:line="135" w:lineRule="exact"/>
              <w:rPr>
                <w:sz w:val="20"/>
                <w:szCs w:val="20"/>
                <w:color w:val="auto"/>
              </w:rPr>
            </w:pPr>
            <w:r>
              <w:rPr>
                <w:rFonts w:ascii="Arial" w:cs="Arial" w:eastAsia="Arial" w:hAnsi="Arial"/>
                <w:sz w:val="13"/>
                <w:szCs w:val="13"/>
                <w:b w:val="1"/>
                <w:bCs w:val="1"/>
                <w:color w:val="231F20"/>
                <w:w w:val="96"/>
              </w:rPr>
              <w:t>Capital</w:t>
            </w: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231F20"/>
                <w:w w:val="96"/>
              </w:rPr>
              <w:t>Income</w:t>
            </w: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17"/>
              <w:spacing w:after="0" w:line="135" w:lineRule="exact"/>
              <w:rPr>
                <w:sz w:val="20"/>
                <w:szCs w:val="20"/>
                <w:color w:val="auto"/>
              </w:rPr>
            </w:pPr>
            <w:r>
              <w:rPr>
                <w:rFonts w:ascii="Arial" w:cs="Arial" w:eastAsia="Arial" w:hAnsi="Arial"/>
                <w:sz w:val="13"/>
                <w:szCs w:val="13"/>
                <w:b w:val="1"/>
                <w:bCs w:val="1"/>
                <w:color w:val="231F20"/>
              </w:rPr>
              <w:t>Deficit</w:t>
            </w:r>
          </w:p>
        </w:tc>
        <w:tc>
          <w:tcPr>
            <w:tcW w:w="2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center"/>
              <w:ind w:right="97"/>
              <w:spacing w:after="0" w:line="135" w:lineRule="exact"/>
              <w:rPr>
                <w:sz w:val="20"/>
                <w:szCs w:val="20"/>
                <w:color w:val="auto"/>
              </w:rPr>
            </w:pPr>
            <w:r>
              <w:rPr>
                <w:rFonts w:ascii="Arial" w:cs="Arial" w:eastAsia="Arial" w:hAnsi="Arial"/>
                <w:sz w:val="13"/>
                <w:szCs w:val="13"/>
                <w:b w:val="1"/>
                <w:bCs w:val="1"/>
                <w:color w:val="231F20"/>
                <w:w w:val="95"/>
              </w:rPr>
              <w:t>Equity</w:t>
            </w:r>
          </w:p>
        </w:tc>
        <w:tc>
          <w:tcPr>
            <w:tcW w:w="0" w:type="dxa"/>
            <w:vAlign w:val="bottom"/>
          </w:tcPr>
          <w:p>
            <w:pPr>
              <w:spacing w:after="0"/>
              <w:rPr>
                <w:sz w:val="1"/>
                <w:szCs w:val="1"/>
                <w:color w:val="auto"/>
              </w:rPr>
            </w:pPr>
          </w:p>
        </w:tc>
      </w:tr>
      <w:tr>
        <w:trPr>
          <w:trHeight w:val="111"/>
        </w:trPr>
        <w:tc>
          <w:tcPr>
            <w:tcW w:w="780" w:type="dxa"/>
            <w:vAlign w:val="bottom"/>
          </w:tcPr>
          <w:p>
            <w:pPr>
              <w:jc w:val="right"/>
              <w:ind w:right="37"/>
              <w:spacing w:after="0" w:line="111" w:lineRule="exact"/>
              <w:rPr>
                <w:sz w:val="20"/>
                <w:szCs w:val="20"/>
                <w:color w:val="auto"/>
              </w:rPr>
            </w:pPr>
            <w:r>
              <w:rPr>
                <w:rFonts w:ascii="Arial" w:cs="Arial" w:eastAsia="Arial" w:hAnsi="Arial"/>
                <w:sz w:val="12"/>
                <w:szCs w:val="12"/>
                <w:color w:val="231F20"/>
              </w:rPr>
              <w:t>39,308,238</w:t>
            </w:r>
          </w:p>
        </w:tc>
        <w:tc>
          <w:tcPr>
            <w:tcW w:w="180" w:type="dxa"/>
            <w:vAlign w:val="bottom"/>
          </w:tcPr>
          <w:p>
            <w:pPr>
              <w:jc w:val="right"/>
              <w:spacing w:after="0" w:line="111" w:lineRule="exact"/>
              <w:rPr>
                <w:sz w:val="20"/>
                <w:szCs w:val="20"/>
                <w:color w:val="auto"/>
              </w:rPr>
            </w:pPr>
            <w:r>
              <w:rPr>
                <w:rFonts w:ascii="Arial" w:cs="Arial" w:eastAsia="Arial" w:hAnsi="Arial"/>
                <w:sz w:val="12"/>
                <w:szCs w:val="12"/>
                <w:color w:val="231F20"/>
              </w:rPr>
              <w:t>$</w:t>
            </w:r>
          </w:p>
        </w:tc>
        <w:tc>
          <w:tcPr>
            <w:tcW w:w="560" w:type="dxa"/>
            <w:vAlign w:val="bottom"/>
          </w:tcPr>
          <w:p>
            <w:pPr>
              <w:jc w:val="right"/>
              <w:spacing w:after="0" w:line="111" w:lineRule="exact"/>
              <w:rPr>
                <w:sz w:val="20"/>
                <w:szCs w:val="20"/>
                <w:color w:val="auto"/>
              </w:rPr>
            </w:pPr>
            <w:r>
              <w:rPr>
                <w:rFonts w:ascii="Arial" w:cs="Arial" w:eastAsia="Arial" w:hAnsi="Arial"/>
                <w:sz w:val="12"/>
                <w:szCs w:val="12"/>
                <w:color w:val="231F20"/>
              </w:rPr>
              <w:t>3</w:t>
            </w:r>
          </w:p>
        </w:tc>
        <w:tc>
          <w:tcPr>
            <w:tcW w:w="240" w:type="dxa"/>
            <w:vAlign w:val="bottom"/>
          </w:tcPr>
          <w:p>
            <w:pPr>
              <w:ind w:left="160"/>
              <w:spacing w:after="0" w:line="111" w:lineRule="exact"/>
              <w:rPr>
                <w:sz w:val="20"/>
                <w:szCs w:val="20"/>
                <w:color w:val="auto"/>
              </w:rPr>
            </w:pPr>
            <w:r>
              <w:rPr>
                <w:rFonts w:ascii="Arial" w:cs="Arial" w:eastAsia="Arial" w:hAnsi="Arial"/>
                <w:sz w:val="12"/>
                <w:szCs w:val="12"/>
                <w:color w:val="231F20"/>
                <w:w w:val="89"/>
              </w:rPr>
              <w:t>$</w:t>
            </w:r>
          </w:p>
        </w:tc>
        <w:tc>
          <w:tcPr>
            <w:tcW w:w="620" w:type="dxa"/>
            <w:vAlign w:val="bottom"/>
          </w:tcPr>
          <w:p>
            <w:pPr>
              <w:jc w:val="right"/>
              <w:ind w:right="37"/>
              <w:spacing w:after="0" w:line="111" w:lineRule="exact"/>
              <w:rPr>
                <w:sz w:val="20"/>
                <w:szCs w:val="20"/>
                <w:color w:val="auto"/>
              </w:rPr>
            </w:pPr>
            <w:r>
              <w:rPr>
                <w:rFonts w:ascii="Arial" w:cs="Arial" w:eastAsia="Arial" w:hAnsi="Arial"/>
                <w:sz w:val="12"/>
                <w:szCs w:val="12"/>
                <w:color w:val="231F20"/>
              </w:rPr>
              <w:t>371,228</w:t>
            </w:r>
          </w:p>
        </w:tc>
        <w:tc>
          <w:tcPr>
            <w:tcW w:w="160" w:type="dxa"/>
            <w:vAlign w:val="bottom"/>
          </w:tcPr>
          <w:p>
            <w:pPr>
              <w:jc w:val="right"/>
              <w:spacing w:after="0" w:line="111" w:lineRule="exact"/>
              <w:rPr>
                <w:sz w:val="20"/>
                <w:szCs w:val="20"/>
                <w:color w:val="auto"/>
              </w:rPr>
            </w:pPr>
            <w:r>
              <w:rPr>
                <w:rFonts w:ascii="Arial" w:cs="Arial" w:eastAsia="Arial" w:hAnsi="Arial"/>
                <w:sz w:val="12"/>
                <w:szCs w:val="12"/>
                <w:color w:val="231F20"/>
              </w:rPr>
              <w:t>$</w:t>
            </w:r>
          </w:p>
        </w:tc>
        <w:tc>
          <w:tcPr>
            <w:tcW w:w="1000" w:type="dxa"/>
            <w:vAlign w:val="bottom"/>
          </w:tcPr>
          <w:p>
            <w:pPr>
              <w:jc w:val="right"/>
              <w:ind w:right="17"/>
              <w:spacing w:after="0" w:line="111" w:lineRule="exact"/>
              <w:rPr>
                <w:sz w:val="20"/>
                <w:szCs w:val="20"/>
                <w:color w:val="auto"/>
              </w:rPr>
            </w:pPr>
            <w:r>
              <w:rPr>
                <w:rFonts w:ascii="Arial" w:cs="Arial" w:eastAsia="Arial" w:hAnsi="Arial"/>
                <w:sz w:val="12"/>
                <w:szCs w:val="12"/>
                <w:color w:val="auto"/>
              </w:rPr>
              <w:t>—</w:t>
            </w:r>
          </w:p>
        </w:tc>
        <w:tc>
          <w:tcPr>
            <w:tcW w:w="200" w:type="dxa"/>
            <w:vAlign w:val="bottom"/>
          </w:tcPr>
          <w:p>
            <w:pPr>
              <w:jc w:val="right"/>
              <w:spacing w:after="0" w:line="111" w:lineRule="exact"/>
              <w:rPr>
                <w:sz w:val="20"/>
                <w:szCs w:val="20"/>
                <w:color w:val="auto"/>
              </w:rPr>
            </w:pPr>
            <w:r>
              <w:rPr>
                <w:rFonts w:ascii="Arial" w:cs="Arial" w:eastAsia="Arial" w:hAnsi="Arial"/>
                <w:sz w:val="12"/>
                <w:szCs w:val="12"/>
                <w:color w:val="231F20"/>
              </w:rPr>
              <w:t>$</w:t>
            </w:r>
          </w:p>
        </w:tc>
        <w:tc>
          <w:tcPr>
            <w:tcW w:w="720" w:type="dxa"/>
            <w:vAlign w:val="bottom"/>
          </w:tcPr>
          <w:p>
            <w:pPr>
              <w:jc w:val="right"/>
              <w:ind w:right="17"/>
              <w:spacing w:after="0" w:line="111" w:lineRule="exact"/>
              <w:rPr>
                <w:sz w:val="20"/>
                <w:szCs w:val="20"/>
                <w:color w:val="auto"/>
              </w:rPr>
            </w:pPr>
            <w:r>
              <w:rPr>
                <w:rFonts w:ascii="Arial" w:cs="Arial" w:eastAsia="Arial" w:hAnsi="Arial"/>
                <w:sz w:val="12"/>
                <w:szCs w:val="12"/>
                <w:color w:val="231F20"/>
              </w:rPr>
              <w:t>(33,094)</w:t>
            </w:r>
          </w:p>
        </w:tc>
        <w:tc>
          <w:tcPr>
            <w:tcW w:w="240" w:type="dxa"/>
            <w:vAlign w:val="bottom"/>
          </w:tcPr>
          <w:p>
            <w:pPr>
              <w:jc w:val="right"/>
              <w:spacing w:after="0" w:line="111" w:lineRule="exact"/>
              <w:rPr>
                <w:sz w:val="20"/>
                <w:szCs w:val="20"/>
                <w:color w:val="auto"/>
              </w:rPr>
            </w:pPr>
            <w:r>
              <w:rPr>
                <w:rFonts w:ascii="Arial" w:cs="Arial" w:eastAsia="Arial" w:hAnsi="Arial"/>
                <w:sz w:val="12"/>
                <w:szCs w:val="12"/>
                <w:color w:val="231F20"/>
              </w:rPr>
              <w:t>$</w:t>
            </w:r>
          </w:p>
        </w:tc>
        <w:tc>
          <w:tcPr>
            <w:tcW w:w="660" w:type="dxa"/>
            <w:vAlign w:val="bottom"/>
          </w:tcPr>
          <w:p>
            <w:pPr>
              <w:jc w:val="right"/>
              <w:spacing w:after="0" w:line="111" w:lineRule="exact"/>
              <w:rPr>
                <w:sz w:val="20"/>
                <w:szCs w:val="20"/>
                <w:color w:val="auto"/>
              </w:rPr>
            </w:pPr>
            <w:r>
              <w:rPr>
                <w:rFonts w:ascii="Arial" w:cs="Arial" w:eastAsia="Arial" w:hAnsi="Arial"/>
                <w:sz w:val="12"/>
                <w:szCs w:val="12"/>
                <w:color w:val="231F20"/>
              </w:rPr>
              <w:t>338,137</w:t>
            </w:r>
          </w:p>
        </w:tc>
        <w:tc>
          <w:tcPr>
            <w:tcW w:w="0" w:type="dxa"/>
            <w:vAlign w:val="bottom"/>
          </w:tcPr>
          <w:p>
            <w:pPr>
              <w:spacing w:after="0"/>
              <w:rPr>
                <w:sz w:val="1"/>
                <w:szCs w:val="1"/>
                <w:color w:val="auto"/>
              </w:rPr>
            </w:pPr>
          </w:p>
        </w:tc>
      </w:tr>
      <w:tr>
        <w:trPr>
          <w:trHeight w:val="135"/>
        </w:trPr>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231F20"/>
              </w:rPr>
              <w:t>72,618</w:t>
            </w:r>
          </w:p>
        </w:tc>
        <w:tc>
          <w:tcPr>
            <w:tcW w:w="1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20" w:type="dxa"/>
            <w:vAlign w:val="bottom"/>
          </w:tcPr>
          <w:p>
            <w:pPr>
              <w:jc w:val="right"/>
              <w:ind w:right="37"/>
              <w:spacing w:after="0" w:line="135" w:lineRule="exact"/>
              <w:rPr>
                <w:sz w:val="20"/>
                <w:szCs w:val="20"/>
                <w:color w:val="auto"/>
              </w:rPr>
            </w:pPr>
            <w:r>
              <w:rPr>
                <w:rFonts w:ascii="Arial" w:cs="Arial" w:eastAsia="Arial" w:hAnsi="Arial"/>
                <w:sz w:val="13"/>
                <w:szCs w:val="13"/>
                <w:color w:val="231F20"/>
              </w:rPr>
              <w:t>341</w:t>
            </w:r>
          </w:p>
        </w:tc>
        <w:tc>
          <w:tcPr>
            <w:tcW w:w="160" w:type="dxa"/>
            <w:vAlign w:val="bottom"/>
          </w:tcPr>
          <w:p>
            <w:pPr>
              <w:spacing w:after="0"/>
              <w:rPr>
                <w:sz w:val="11"/>
                <w:szCs w:val="11"/>
                <w:color w:val="auto"/>
              </w:rPr>
            </w:pPr>
          </w:p>
        </w:tc>
        <w:tc>
          <w:tcPr>
            <w:tcW w:w="10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231F20"/>
              </w:rPr>
              <w:t>341</w:t>
            </w:r>
          </w:p>
        </w:tc>
        <w:tc>
          <w:tcPr>
            <w:tcW w:w="0" w:type="dxa"/>
            <w:vAlign w:val="bottom"/>
          </w:tcPr>
          <w:p>
            <w:pPr>
              <w:spacing w:after="0"/>
              <w:rPr>
                <w:sz w:val="1"/>
                <w:szCs w:val="1"/>
                <w:color w:val="auto"/>
              </w:rPr>
            </w:pPr>
          </w:p>
        </w:tc>
      </w:tr>
      <w:tr>
        <w:trPr>
          <w:trHeight w:val="135"/>
        </w:trPr>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231F20"/>
              </w:rPr>
              <w:t>192,790</w:t>
            </w:r>
          </w:p>
        </w:tc>
        <w:tc>
          <w:tcPr>
            <w:tcW w:w="1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20" w:type="dxa"/>
            <w:vAlign w:val="bottom"/>
          </w:tcPr>
          <w:p>
            <w:pPr>
              <w:jc w:val="right"/>
              <w:ind w:right="37"/>
              <w:spacing w:after="0" w:line="135" w:lineRule="exact"/>
              <w:rPr>
                <w:sz w:val="20"/>
                <w:szCs w:val="20"/>
                <w:color w:val="auto"/>
              </w:rPr>
            </w:pPr>
            <w:r>
              <w:rPr>
                <w:rFonts w:ascii="Arial" w:cs="Arial" w:eastAsia="Arial" w:hAnsi="Arial"/>
                <w:sz w:val="13"/>
                <w:szCs w:val="13"/>
                <w:color w:val="231F20"/>
              </w:rPr>
              <w:t>—</w:t>
            </w:r>
          </w:p>
        </w:tc>
        <w:tc>
          <w:tcPr>
            <w:tcW w:w="160" w:type="dxa"/>
            <w:vAlign w:val="bottom"/>
          </w:tcPr>
          <w:p>
            <w:pPr>
              <w:spacing w:after="0"/>
              <w:rPr>
                <w:sz w:val="11"/>
                <w:szCs w:val="11"/>
                <w:color w:val="auto"/>
              </w:rPr>
            </w:pPr>
          </w:p>
        </w:tc>
        <w:tc>
          <w:tcPr>
            <w:tcW w:w="10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231F20"/>
              </w:rPr>
              <w:t>—</w:t>
            </w:r>
          </w:p>
        </w:tc>
        <w:tc>
          <w:tcPr>
            <w:tcW w:w="2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35"/>
        </w:trPr>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83,767</w:t>
            </w:r>
          </w:p>
        </w:tc>
        <w:tc>
          <w:tcPr>
            <w:tcW w:w="1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6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187</w:t>
            </w:r>
          </w:p>
        </w:tc>
        <w:tc>
          <w:tcPr>
            <w:tcW w:w="160" w:type="dxa"/>
            <w:vAlign w:val="bottom"/>
          </w:tcPr>
          <w:p>
            <w:pPr>
              <w:spacing w:after="0"/>
              <w:rPr>
                <w:sz w:val="11"/>
                <w:szCs w:val="11"/>
                <w:color w:val="auto"/>
              </w:rPr>
            </w:pPr>
          </w:p>
        </w:tc>
        <w:tc>
          <w:tcPr>
            <w:tcW w:w="10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231F20"/>
              </w:rPr>
              <w:t>187</w:t>
            </w:r>
          </w:p>
        </w:tc>
        <w:tc>
          <w:tcPr>
            <w:tcW w:w="0" w:type="dxa"/>
            <w:vAlign w:val="bottom"/>
          </w:tcPr>
          <w:p>
            <w:pPr>
              <w:spacing w:after="0"/>
              <w:rPr>
                <w:sz w:val="1"/>
                <w:szCs w:val="1"/>
                <w:color w:val="auto"/>
              </w:rPr>
            </w:pPr>
          </w:p>
        </w:tc>
      </w:tr>
      <w:tr>
        <w:trPr>
          <w:trHeight w:val="135"/>
        </w:trPr>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23,885</w:t>
            </w:r>
          </w:p>
        </w:tc>
        <w:tc>
          <w:tcPr>
            <w:tcW w:w="1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6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386</w:t>
            </w:r>
          </w:p>
        </w:tc>
        <w:tc>
          <w:tcPr>
            <w:tcW w:w="160" w:type="dxa"/>
            <w:vAlign w:val="bottom"/>
          </w:tcPr>
          <w:p>
            <w:pPr>
              <w:spacing w:after="0"/>
              <w:rPr>
                <w:sz w:val="11"/>
                <w:szCs w:val="11"/>
                <w:color w:val="auto"/>
              </w:rPr>
            </w:pPr>
          </w:p>
        </w:tc>
        <w:tc>
          <w:tcPr>
            <w:tcW w:w="10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231F20"/>
              </w:rPr>
              <w:t>386</w:t>
            </w:r>
          </w:p>
        </w:tc>
        <w:tc>
          <w:tcPr>
            <w:tcW w:w="0" w:type="dxa"/>
            <w:vAlign w:val="bottom"/>
          </w:tcPr>
          <w:p>
            <w:pPr>
              <w:spacing w:after="0"/>
              <w:rPr>
                <w:sz w:val="1"/>
                <w:szCs w:val="1"/>
                <w:color w:val="auto"/>
              </w:rPr>
            </w:pPr>
          </w:p>
        </w:tc>
      </w:tr>
      <w:tr>
        <w:trPr>
          <w:trHeight w:val="135"/>
        </w:trPr>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6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11,140</w:t>
            </w:r>
          </w:p>
        </w:tc>
        <w:tc>
          <w:tcPr>
            <w:tcW w:w="160" w:type="dxa"/>
            <w:vAlign w:val="bottom"/>
          </w:tcPr>
          <w:p>
            <w:pPr>
              <w:spacing w:after="0"/>
              <w:rPr>
                <w:sz w:val="11"/>
                <w:szCs w:val="11"/>
                <w:color w:val="auto"/>
              </w:rPr>
            </w:pPr>
          </w:p>
        </w:tc>
        <w:tc>
          <w:tcPr>
            <w:tcW w:w="10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231F20"/>
              </w:rPr>
              <w:t>11,140</w:t>
            </w:r>
          </w:p>
        </w:tc>
        <w:tc>
          <w:tcPr>
            <w:tcW w:w="0" w:type="dxa"/>
            <w:vAlign w:val="bottom"/>
          </w:tcPr>
          <w:p>
            <w:pPr>
              <w:spacing w:after="0"/>
              <w:rPr>
                <w:sz w:val="1"/>
                <w:szCs w:val="1"/>
                <w:color w:val="auto"/>
              </w:rPr>
            </w:pPr>
          </w:p>
        </w:tc>
      </w:tr>
      <w:tr>
        <w:trPr>
          <w:trHeight w:val="135"/>
        </w:trPr>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6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146</w:t>
            </w:r>
          </w:p>
        </w:tc>
        <w:tc>
          <w:tcPr>
            <w:tcW w:w="160" w:type="dxa"/>
            <w:vAlign w:val="bottom"/>
          </w:tcPr>
          <w:p>
            <w:pPr>
              <w:spacing w:after="0"/>
              <w:rPr>
                <w:sz w:val="11"/>
                <w:szCs w:val="11"/>
                <w:color w:val="auto"/>
              </w:rPr>
            </w:pPr>
          </w:p>
        </w:tc>
        <w:tc>
          <w:tcPr>
            <w:tcW w:w="10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231F20"/>
              </w:rPr>
              <w:t>146</w:t>
            </w:r>
          </w:p>
        </w:tc>
        <w:tc>
          <w:tcPr>
            <w:tcW w:w="0" w:type="dxa"/>
            <w:vAlign w:val="bottom"/>
          </w:tcPr>
          <w:p>
            <w:pPr>
              <w:spacing w:after="0"/>
              <w:rPr>
                <w:sz w:val="1"/>
                <w:szCs w:val="1"/>
                <w:color w:val="auto"/>
              </w:rPr>
            </w:pPr>
          </w:p>
        </w:tc>
      </w:tr>
      <w:tr>
        <w:trPr>
          <w:trHeight w:val="135"/>
        </w:trPr>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6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0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15</w:t>
            </w:r>
          </w:p>
        </w:tc>
        <w:tc>
          <w:tcPr>
            <w:tcW w:w="20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231F20"/>
              </w:rPr>
              <w:t>15</w:t>
            </w:r>
          </w:p>
        </w:tc>
        <w:tc>
          <w:tcPr>
            <w:tcW w:w="0" w:type="dxa"/>
            <w:vAlign w:val="bottom"/>
          </w:tcPr>
          <w:p>
            <w:pPr>
              <w:spacing w:after="0"/>
              <w:rPr>
                <w:sz w:val="1"/>
                <w:szCs w:val="1"/>
                <w:color w:val="auto"/>
              </w:rPr>
            </w:pPr>
          </w:p>
        </w:tc>
      </w:tr>
      <w:tr>
        <w:trPr>
          <w:trHeight w:val="153"/>
        </w:trPr>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(49,458)</w:t>
            </w: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231F20"/>
              </w:rPr>
              <w:t>(49,458)</w:t>
            </w:r>
          </w:p>
        </w:tc>
        <w:tc>
          <w:tcPr>
            <w:tcW w:w="0" w:type="dxa"/>
            <w:vAlign w:val="bottom"/>
          </w:tcPr>
          <w:p>
            <w:pPr>
              <w:spacing w:after="0"/>
              <w:rPr>
                <w:sz w:val="1"/>
                <w:szCs w:val="1"/>
                <w:color w:val="auto"/>
              </w:rPr>
            </w:pPr>
          </w:p>
        </w:tc>
      </w:tr>
      <w:tr>
        <w:trPr>
          <w:trHeight w:val="128"/>
        </w:trPr>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39,681,298</w:t>
            </w:r>
          </w:p>
        </w:tc>
        <w:tc>
          <w:tcPr>
            <w:tcW w:w="1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w:t>
            </w:r>
          </w:p>
        </w:tc>
        <w:tc>
          <w:tcPr>
            <w:tcW w:w="240" w:type="dxa"/>
            <w:vAlign w:val="bottom"/>
            <w:tcBorders>
              <w:bottom w:val="single" w:sz="8" w:color="auto"/>
            </w:tcBorders>
          </w:tcPr>
          <w:p>
            <w:pPr>
              <w:ind w:left="160"/>
              <w:spacing w:after="0" w:line="129" w:lineRule="exact"/>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383,428</w:t>
            </w:r>
          </w:p>
        </w:tc>
        <w:tc>
          <w:tcPr>
            <w:tcW w:w="1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15</w:t>
            </w:r>
          </w:p>
        </w:tc>
        <w:tc>
          <w:tcPr>
            <w:tcW w:w="2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(82,552)</w:t>
            </w:r>
          </w:p>
        </w:tc>
        <w:tc>
          <w:tcPr>
            <w:tcW w:w="2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300,894</w:t>
            </w:r>
          </w:p>
        </w:tc>
        <w:tc>
          <w:tcPr>
            <w:tcW w:w="0" w:type="dxa"/>
            <w:vAlign w:val="bottom"/>
          </w:tcPr>
          <w:p>
            <w:pPr>
              <w:spacing w:after="0"/>
              <w:rPr>
                <w:sz w:val="1"/>
                <w:szCs w:val="1"/>
                <w:color w:val="auto"/>
              </w:rPr>
            </w:pP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-2241550</wp:posOffset>
            </wp:positionH>
            <wp:positionV relativeFrom="paragraph">
              <wp:posOffset>-899160</wp:posOffset>
            </wp:positionV>
            <wp:extent cx="5648960" cy="939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48960" cy="93980"/>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-719455</wp:posOffset>
            </wp:positionV>
            <wp:extent cx="5648960" cy="857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48960" cy="85725"/>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-548005</wp:posOffset>
            </wp:positionV>
            <wp:extent cx="5648960" cy="857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48960" cy="85725"/>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-376555</wp:posOffset>
            </wp:positionV>
            <wp:extent cx="5648960" cy="857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48960" cy="85725"/>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-205105</wp:posOffset>
            </wp:positionV>
            <wp:extent cx="5648960" cy="857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48960" cy="85725"/>
                    </a:xfrm>
                    <a:prstGeom prst="rect">
                      <a:avLst/>
                    </a:prstGeom>
                    <a:noFill/>
                  </pic:spPr>
                </pic:pic>
              </a:graphicData>
            </a:graphic>
          </wp:anchor>
        </w:drawing>
      </w:r>
    </w:p>
    <w:p>
      <w:pPr>
        <w:spacing w:after="0" w:line="78" w:lineRule="exact"/>
        <w:rPr>
          <w:sz w:val="20"/>
          <w:szCs w:val="20"/>
          <w:color w:val="auto"/>
        </w:rPr>
      </w:pPr>
    </w:p>
    <w:p>
      <w:pPr>
        <w:sectPr>
          <w:pgSz w:w="11900" w:h="16838" w:orient="portrait"/>
          <w:cols w:equalWidth="0" w:num="2">
            <w:col w:w="3420" w:space="160"/>
            <w:col w:w="5439"/>
          </w:cols>
          <w:pgMar w:left="1440" w:top="513" w:right="1440" w:bottom="1440" w:gutter="0" w:footer="0" w:header="0"/>
          <w:type w:val="continuous"/>
        </w:sectPr>
      </w:pPr>
    </w:p>
    <w:p>
      <w:pPr>
        <w:jc w:val="center"/>
        <w:ind w:right="19"/>
        <w:spacing w:after="0"/>
        <w:rPr>
          <w:sz w:val="20"/>
          <w:szCs w:val="20"/>
          <w:color w:val="auto"/>
        </w:rPr>
      </w:pPr>
      <w:r>
        <w:rPr>
          <w:rFonts w:ascii="Arial" w:cs="Arial" w:eastAsia="Arial" w:hAnsi="Arial"/>
          <w:sz w:val="17"/>
          <w:szCs w:val="17"/>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Olema Pharmaceuticals,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color w:val="auto"/>
        </w:rPr>
        <w:t>(Amounts in thousands)</w:t>
      </w: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188"/>
        </w:trPr>
        <w:tc>
          <w:tcPr>
            <w:tcW w:w="67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gridSpan w:val="3"/>
          </w:tcPr>
          <w:p>
            <w:pPr>
              <w:jc w:val="right"/>
              <w:ind w:right="239"/>
              <w:spacing w:after="0"/>
              <w:rPr>
                <w:sz w:val="20"/>
                <w:szCs w:val="20"/>
                <w:color w:val="auto"/>
              </w:rPr>
            </w:pPr>
            <w:r>
              <w:rPr>
                <w:rFonts w:ascii="Arial" w:cs="Arial" w:eastAsia="Arial" w:hAnsi="Arial"/>
                <w:sz w:val="16"/>
                <w:szCs w:val="16"/>
                <w:b w:val="1"/>
                <w:bCs w:val="1"/>
                <w:color w:val="auto"/>
              </w:rPr>
              <w:t>Nine Months Ended</w:t>
            </w:r>
          </w:p>
        </w:tc>
      </w:tr>
      <w:tr>
        <w:trPr>
          <w:trHeight w:val="203"/>
        </w:trPr>
        <w:tc>
          <w:tcPr>
            <w:tcW w:w="67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6"/>
                <w:szCs w:val="16"/>
                <w:b w:val="1"/>
                <w:bCs w:val="1"/>
                <w:color w:val="auto"/>
              </w:rPr>
              <w:t>September 30,</w:t>
            </w:r>
          </w:p>
        </w:tc>
      </w:tr>
      <w:tr>
        <w:trPr>
          <w:trHeight w:val="183"/>
        </w:trPr>
        <w:tc>
          <w:tcPr>
            <w:tcW w:w="67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9"/>
              <w:spacing w:after="0" w:line="183" w:lineRule="exact"/>
              <w:rPr>
                <w:sz w:val="20"/>
                <w:szCs w:val="20"/>
                <w:color w:val="auto"/>
              </w:rPr>
            </w:pPr>
            <w:r>
              <w:rPr>
                <w:rFonts w:ascii="Arial" w:cs="Arial" w:eastAsia="Arial" w:hAnsi="Arial"/>
                <w:sz w:val="16"/>
                <w:szCs w:val="16"/>
                <w:b w:val="1"/>
                <w:bCs w:val="1"/>
                <w:color w:val="auto"/>
              </w:rPr>
              <w:t>2022</w:t>
            </w: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9"/>
              <w:spacing w:after="0" w:line="183" w:lineRule="exact"/>
              <w:rPr>
                <w:sz w:val="20"/>
                <w:szCs w:val="20"/>
                <w:color w:val="auto"/>
              </w:rPr>
            </w:pPr>
            <w:r>
              <w:rPr>
                <w:rFonts w:ascii="Arial" w:cs="Arial" w:eastAsia="Arial" w:hAnsi="Arial"/>
                <w:sz w:val="16"/>
                <w:szCs w:val="16"/>
                <w:b w:val="1"/>
                <w:bCs w:val="1"/>
                <w:color w:val="auto"/>
              </w:rPr>
              <w:t>2021</w:t>
            </w:r>
          </w:p>
        </w:tc>
      </w:tr>
      <w:tr>
        <w:trPr>
          <w:trHeight w:val="183"/>
        </w:trPr>
        <w:tc>
          <w:tcPr>
            <w:tcW w:w="676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189"/>
        </w:trPr>
        <w:tc>
          <w:tcPr>
            <w:tcW w:w="6760" w:type="dxa"/>
            <w:vAlign w:val="bottom"/>
          </w:tcPr>
          <w:p>
            <w:pPr>
              <w:ind w:left="100"/>
              <w:spacing w:after="0"/>
              <w:rPr>
                <w:sz w:val="20"/>
                <w:szCs w:val="20"/>
                <w:color w:val="auto"/>
              </w:rPr>
            </w:pPr>
            <w:r>
              <w:rPr>
                <w:rFonts w:ascii="Arial" w:cs="Arial" w:eastAsia="Arial" w:hAnsi="Arial"/>
                <w:sz w:val="16"/>
                <w:szCs w:val="16"/>
                <w:color w:val="auto"/>
              </w:rPr>
              <w:t>Net loss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(78,608)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(49,458)</w:t>
            </w:r>
          </w:p>
        </w:tc>
      </w:tr>
      <w:tr>
        <w:trPr>
          <w:trHeight w:val="189"/>
        </w:trPr>
        <w:tc>
          <w:tcPr>
            <w:tcW w:w="6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189"/>
        </w:trPr>
        <w:tc>
          <w:tcPr>
            <w:tcW w:w="6760" w:type="dxa"/>
            <w:vAlign w:val="bottom"/>
          </w:tcPr>
          <w:p>
            <w:pPr>
              <w:ind w:left="220"/>
              <w:spacing w:after="0"/>
              <w:rPr>
                <w:sz w:val="20"/>
                <w:szCs w:val="20"/>
                <w:color w:val="auto"/>
              </w:rPr>
            </w:pPr>
            <w:r>
              <w:rPr>
                <w:rFonts w:ascii="Arial" w:cs="Arial" w:eastAsia="Arial" w:hAnsi="Arial"/>
                <w:sz w:val="16"/>
                <w:szCs w:val="16"/>
                <w:color w:val="auto"/>
              </w:rPr>
              <w:t>Depreciation and amortization expense</w:t>
            </w:r>
          </w:p>
        </w:tc>
        <w:tc>
          <w:tcPr>
            <w:tcW w:w="180" w:type="dxa"/>
            <w:vAlign w:val="bottom"/>
          </w:tcPr>
          <w:p>
            <w:pPr>
              <w:spacing w:after="0"/>
              <w:rPr>
                <w:sz w:val="16"/>
                <w:szCs w:val="16"/>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260</w:t>
            </w: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189"/>
        </w:trPr>
        <w:tc>
          <w:tcPr>
            <w:tcW w:w="6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lease expense</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975</w:t>
            </w: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6760" w:type="dxa"/>
            <w:vAlign w:val="bottom"/>
          </w:tcPr>
          <w:p>
            <w:pPr>
              <w:ind w:left="220"/>
              <w:spacing w:after="0"/>
              <w:rPr>
                <w:sz w:val="20"/>
                <w:szCs w:val="20"/>
                <w:color w:val="auto"/>
              </w:rPr>
            </w:pPr>
            <w:r>
              <w:rPr>
                <w:rFonts w:ascii="Arial" w:cs="Arial" w:eastAsia="Arial" w:hAnsi="Arial"/>
                <w:sz w:val="16"/>
                <w:szCs w:val="16"/>
                <w:color w:val="auto"/>
              </w:rPr>
              <w:t>Premium amortization and discount accretion on marketable securities, net</w:t>
            </w:r>
          </w:p>
        </w:tc>
        <w:tc>
          <w:tcPr>
            <w:tcW w:w="180" w:type="dxa"/>
            <w:vAlign w:val="bottom"/>
          </w:tcPr>
          <w:p>
            <w:pPr>
              <w:spacing w:after="0"/>
              <w:rPr>
                <w:sz w:val="16"/>
                <w:szCs w:val="16"/>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(216)</w:t>
            </w: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220</w:t>
            </w:r>
          </w:p>
        </w:tc>
      </w:tr>
      <w:tr>
        <w:trPr>
          <w:trHeight w:val="189"/>
        </w:trPr>
        <w:tc>
          <w:tcPr>
            <w:tcW w:w="6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 expense, including employee stock purchase plan expense</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13,968</w:t>
            </w: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11,286</w:t>
            </w:r>
          </w:p>
        </w:tc>
      </w:tr>
      <w:tr>
        <w:trPr>
          <w:trHeight w:val="189"/>
        </w:trPr>
        <w:tc>
          <w:tcPr>
            <w:tcW w:w="676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9"/>
        </w:trPr>
        <w:tc>
          <w:tcPr>
            <w:tcW w:w="67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61</w:t>
            </w: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1,232</w:t>
            </w:r>
          </w:p>
        </w:tc>
      </w:tr>
      <w:tr>
        <w:trPr>
          <w:trHeight w:val="189"/>
        </w:trPr>
        <w:tc>
          <w:tcPr>
            <w:tcW w:w="6760" w:type="dxa"/>
            <w:vAlign w:val="bottom"/>
          </w:tcPr>
          <w:p>
            <w:pPr>
              <w:ind w:left="32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16"/>
                <w:szCs w:val="16"/>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(1,114)</w:t>
            </w: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67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w:t>
            </w: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w:t>
            </w:r>
          </w:p>
        </w:tc>
      </w:tr>
      <w:tr>
        <w:trPr>
          <w:trHeight w:val="189"/>
        </w:trPr>
        <w:tc>
          <w:tcPr>
            <w:tcW w:w="6760" w:type="dxa"/>
            <w:vAlign w:val="bottom"/>
          </w:tcPr>
          <w:p>
            <w:pPr>
              <w:ind w:left="320"/>
              <w:spacing w:after="0"/>
              <w:rPr>
                <w:sz w:val="20"/>
                <w:szCs w:val="20"/>
                <w:color w:val="auto"/>
              </w:rPr>
            </w:pPr>
            <w:r>
              <w:rPr>
                <w:rFonts w:ascii="Arial" w:cs="Arial" w:eastAsia="Arial" w:hAnsi="Arial"/>
                <w:sz w:val="16"/>
                <w:szCs w:val="16"/>
                <w:color w:val="auto"/>
              </w:rPr>
              <w:t>Other current liabilities</w:t>
            </w:r>
          </w:p>
        </w:tc>
        <w:tc>
          <w:tcPr>
            <w:tcW w:w="180" w:type="dxa"/>
            <w:vAlign w:val="bottom"/>
          </w:tcPr>
          <w:p>
            <w:pPr>
              <w:spacing w:after="0"/>
              <w:rPr>
                <w:sz w:val="16"/>
                <w:szCs w:val="16"/>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3,281</w:t>
            </w: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5,070</w:t>
            </w:r>
          </w:p>
        </w:tc>
      </w:tr>
      <w:tr>
        <w:trPr>
          <w:trHeight w:val="189"/>
        </w:trPr>
        <w:tc>
          <w:tcPr>
            <w:tcW w:w="67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Operating lease liabilities</w:t>
            </w: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(952)</w:t>
            </w:r>
          </w:p>
        </w:tc>
        <w:tc>
          <w:tcPr>
            <w:tcW w:w="2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6760" w:type="dxa"/>
            <w:vAlign w:val="bottom"/>
            <w:tcBorders>
              <w:bottom w:val="single" w:sz="8" w:color="CCEEFF"/>
            </w:tcBorders>
          </w:tcPr>
          <w:p>
            <w:pPr>
              <w:ind w:left="220"/>
              <w:spacing w:after="0" w:line="183" w:lineRule="exact"/>
              <w:rPr>
                <w:sz w:val="20"/>
                <w:szCs w:val="20"/>
                <w:color w:val="auto"/>
              </w:rPr>
            </w:pPr>
            <w:r>
              <w:rPr>
                <w:rFonts w:ascii="Arial" w:cs="Arial" w:eastAsia="Arial" w:hAnsi="Arial"/>
                <w:sz w:val="16"/>
                <w:szCs w:val="16"/>
                <w:color w:val="auto"/>
              </w:rPr>
              <w:t>Net cash used in operating activities</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(62,354)</w:t>
            </w: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(32,087)</w:t>
            </w:r>
          </w:p>
        </w:tc>
      </w:tr>
      <w:tr>
        <w:trPr>
          <w:trHeight w:val="183"/>
        </w:trPr>
        <w:tc>
          <w:tcPr>
            <w:tcW w:w="676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189"/>
        </w:trPr>
        <w:tc>
          <w:tcPr>
            <w:tcW w:w="6760" w:type="dxa"/>
            <w:vAlign w:val="bottom"/>
          </w:tcPr>
          <w:p>
            <w:pPr>
              <w:spacing w:after="0"/>
              <w:rPr>
                <w:sz w:val="20"/>
                <w:szCs w:val="20"/>
                <w:color w:val="auto"/>
              </w:rPr>
            </w:pPr>
            <w:r>
              <w:rPr>
                <w:rFonts w:ascii="Arial" w:cs="Arial" w:eastAsia="Arial" w:hAnsi="Arial"/>
                <w:sz w:val="16"/>
                <w:szCs w:val="16"/>
                <w:color w:val="auto"/>
              </w:rPr>
              <w:t>Purchase of equipment</w:t>
            </w:r>
          </w:p>
        </w:tc>
        <w:tc>
          <w:tcPr>
            <w:tcW w:w="180" w:type="dxa"/>
            <w:vAlign w:val="bottom"/>
          </w:tcPr>
          <w:p>
            <w:pPr>
              <w:spacing w:after="0"/>
              <w:rPr>
                <w:sz w:val="16"/>
                <w:szCs w:val="16"/>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(190)</w:t>
            </w: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(876)</w:t>
            </w:r>
          </w:p>
        </w:tc>
      </w:tr>
      <w:tr>
        <w:trPr>
          <w:trHeight w:val="189"/>
        </w:trPr>
        <w:tc>
          <w:tcPr>
            <w:tcW w:w="6760" w:type="dxa"/>
            <w:vAlign w:val="bottom"/>
            <w:shd w:val="clear" w:color="auto" w:fill="CCEEFF"/>
          </w:tcPr>
          <w:p>
            <w:pPr>
              <w:spacing w:after="0"/>
              <w:rPr>
                <w:sz w:val="20"/>
                <w:szCs w:val="20"/>
                <w:color w:val="auto"/>
              </w:rPr>
            </w:pPr>
            <w:r>
              <w:rPr>
                <w:rFonts w:ascii="Arial" w:cs="Arial" w:eastAsia="Arial" w:hAnsi="Arial"/>
                <w:sz w:val="16"/>
                <w:szCs w:val="16"/>
                <w:color w:val="auto"/>
              </w:rPr>
              <w:t>Maturities of marketable securities</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244,500</w:t>
            </w: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186,449</w:t>
            </w:r>
          </w:p>
        </w:tc>
      </w:tr>
      <w:tr>
        <w:trPr>
          <w:trHeight w:val="189"/>
        </w:trPr>
        <w:tc>
          <w:tcPr>
            <w:tcW w:w="67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Purchases of marketable securities</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(169,167)</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(467,011)</w:t>
            </w:r>
          </w:p>
        </w:tc>
      </w:tr>
      <w:tr>
        <w:trPr>
          <w:trHeight w:val="183"/>
        </w:trPr>
        <w:tc>
          <w:tcPr>
            <w:tcW w:w="6760" w:type="dxa"/>
            <w:vAlign w:val="bottom"/>
            <w:shd w:val="clear" w:color="auto" w:fill="CCEEFF"/>
          </w:tcPr>
          <w:p>
            <w:pPr>
              <w:ind w:left="100"/>
              <w:spacing w:after="0" w:line="183" w:lineRule="exact"/>
              <w:rPr>
                <w:sz w:val="20"/>
                <w:szCs w:val="20"/>
                <w:color w:val="auto"/>
              </w:rPr>
            </w:pPr>
            <w:r>
              <w:rPr>
                <w:rFonts w:ascii="Arial" w:cs="Arial" w:eastAsia="Arial" w:hAnsi="Arial"/>
                <w:sz w:val="16"/>
                <w:szCs w:val="16"/>
                <w:color w:val="auto"/>
              </w:rPr>
              <w:t>Net cash provided by (used in) investing activities</w:t>
            </w:r>
          </w:p>
        </w:tc>
        <w:tc>
          <w:tcPr>
            <w:tcW w:w="1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rPr>
              <w:t>75,143</w:t>
            </w:r>
          </w:p>
        </w:tc>
        <w:tc>
          <w:tcPr>
            <w:tcW w:w="2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(281,438)</w:t>
            </w:r>
          </w:p>
        </w:tc>
      </w:tr>
      <w:tr>
        <w:trPr>
          <w:trHeight w:val="183"/>
        </w:trPr>
        <w:tc>
          <w:tcPr>
            <w:tcW w:w="6760" w:type="dxa"/>
            <w:vAlign w:val="bottom"/>
          </w:tcPr>
          <w:p>
            <w:pPr>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9"/>
        </w:trPr>
        <w:tc>
          <w:tcPr>
            <w:tcW w:w="6760" w:type="dxa"/>
            <w:vAlign w:val="bottom"/>
            <w:shd w:val="clear" w:color="auto" w:fill="CCEEFF"/>
          </w:tcPr>
          <w:p>
            <w:pPr>
              <w:spacing w:after="0"/>
              <w:rPr>
                <w:sz w:val="20"/>
                <w:szCs w:val="20"/>
                <w:color w:val="auto"/>
              </w:rPr>
            </w:pPr>
            <w:r>
              <w:rPr>
                <w:rFonts w:ascii="Arial" w:cs="Arial" w:eastAsia="Arial" w:hAnsi="Arial"/>
                <w:sz w:val="16"/>
                <w:szCs w:val="16"/>
                <w:color w:val="auto"/>
              </w:rPr>
              <w:t>Proceeds from exercise of stock options</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146</w:t>
            </w: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r>
      <w:tr>
        <w:trPr>
          <w:trHeight w:val="189"/>
        </w:trPr>
        <w:tc>
          <w:tcPr>
            <w:tcW w:w="67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Proceeds from issuance of common stock under employee stock purchase plan</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57</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w:t>
            </w:r>
          </w:p>
        </w:tc>
      </w:tr>
      <w:tr>
        <w:trPr>
          <w:trHeight w:val="183"/>
        </w:trPr>
        <w:tc>
          <w:tcPr>
            <w:tcW w:w="6760" w:type="dxa"/>
            <w:vAlign w:val="bottom"/>
            <w:shd w:val="clear" w:color="auto" w:fill="CCEEFF"/>
          </w:tcPr>
          <w:p>
            <w:pPr>
              <w:ind w:left="220"/>
              <w:spacing w:after="0" w:line="183" w:lineRule="exact"/>
              <w:rPr>
                <w:sz w:val="20"/>
                <w:szCs w:val="20"/>
                <w:color w:val="auto"/>
              </w:rPr>
            </w:pPr>
            <w:r>
              <w:rPr>
                <w:rFonts w:ascii="Arial" w:cs="Arial" w:eastAsia="Arial" w:hAnsi="Arial"/>
                <w:sz w:val="16"/>
                <w:szCs w:val="16"/>
                <w:color w:val="auto"/>
              </w:rPr>
              <w:t>Net cash provided by financing activities</w:t>
            </w:r>
          </w:p>
        </w:tc>
        <w:tc>
          <w:tcPr>
            <w:tcW w:w="1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rPr>
              <w:t>203</w:t>
            </w:r>
          </w:p>
        </w:tc>
        <w:tc>
          <w:tcPr>
            <w:tcW w:w="2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573</w:t>
            </w:r>
          </w:p>
        </w:tc>
      </w:tr>
      <w:tr>
        <w:trPr>
          <w:trHeight w:val="183"/>
        </w:trPr>
        <w:tc>
          <w:tcPr>
            <w:tcW w:w="6760" w:type="dxa"/>
            <w:vAlign w:val="bottom"/>
          </w:tcPr>
          <w:p>
            <w:pPr>
              <w:spacing w:after="0" w:line="183" w:lineRule="exact"/>
              <w:rPr>
                <w:sz w:val="20"/>
                <w:szCs w:val="20"/>
                <w:color w:val="auto"/>
              </w:rPr>
            </w:pPr>
            <w:r>
              <w:rPr>
                <w:rFonts w:ascii="Arial" w:cs="Arial" w:eastAsia="Arial" w:hAnsi="Arial"/>
                <w:sz w:val="16"/>
                <w:szCs w:val="16"/>
                <w:b w:val="1"/>
                <w:bCs w:val="1"/>
                <w:color w:val="auto"/>
              </w:rPr>
              <w:t>Net increase (decrease) in cash and cash equivalents</w:t>
            </w:r>
          </w:p>
        </w:tc>
        <w:tc>
          <w:tcPr>
            <w:tcW w:w="180" w:type="dxa"/>
            <w:vAlign w:val="bottom"/>
          </w:tcPr>
          <w:p>
            <w:pPr>
              <w:spacing w:after="0"/>
              <w:rPr>
                <w:sz w:val="15"/>
                <w:szCs w:val="15"/>
                <w:color w:val="auto"/>
              </w:rPr>
            </w:pPr>
          </w:p>
        </w:tc>
        <w:tc>
          <w:tcPr>
            <w:tcW w:w="900" w:type="dxa"/>
            <w:vAlign w:val="bottom"/>
          </w:tcPr>
          <w:p>
            <w:pPr>
              <w:jc w:val="right"/>
              <w:ind w:right="99"/>
              <w:spacing w:after="0" w:line="183" w:lineRule="exact"/>
              <w:rPr>
                <w:sz w:val="20"/>
                <w:szCs w:val="20"/>
                <w:color w:val="auto"/>
              </w:rPr>
            </w:pPr>
            <w:r>
              <w:rPr>
                <w:rFonts w:ascii="Arial" w:cs="Arial" w:eastAsia="Arial" w:hAnsi="Arial"/>
                <w:sz w:val="16"/>
                <w:szCs w:val="16"/>
                <w:color w:val="auto"/>
              </w:rPr>
              <w:t>12,992</w:t>
            </w:r>
          </w:p>
        </w:tc>
        <w:tc>
          <w:tcPr>
            <w:tcW w:w="28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(312,952)</w:t>
            </w:r>
          </w:p>
        </w:tc>
      </w:tr>
      <w:tr>
        <w:trPr>
          <w:trHeight w:val="189"/>
        </w:trPr>
        <w:tc>
          <w:tcPr>
            <w:tcW w:w="676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period</w:t>
            </w: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13,812</w:t>
            </w:r>
          </w:p>
        </w:tc>
        <w:tc>
          <w:tcPr>
            <w:tcW w:w="2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338,549</w:t>
            </w:r>
          </w:p>
        </w:tc>
      </w:tr>
      <w:tr>
        <w:trPr>
          <w:trHeight w:val="223"/>
        </w:trPr>
        <w:tc>
          <w:tcPr>
            <w:tcW w:w="676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color w:val="auto"/>
              </w:rPr>
              <w:t>Cash and cash equivalents at end of period</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26,804</w:t>
            </w:r>
          </w:p>
        </w:tc>
        <w:tc>
          <w:tcPr>
            <w:tcW w:w="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25,597</w:t>
            </w:r>
          </w:p>
        </w:tc>
      </w:tr>
      <w:tr>
        <w:trPr>
          <w:trHeight w:val="169"/>
        </w:trPr>
        <w:tc>
          <w:tcPr>
            <w:tcW w:w="6760" w:type="dxa"/>
            <w:vAlign w:val="bottom"/>
            <w:shd w:val="clear" w:color="auto" w:fill="CCEEFF"/>
          </w:tcPr>
          <w:p>
            <w:pPr>
              <w:spacing w:after="0" w:line="170" w:lineRule="exact"/>
              <w:rPr>
                <w:sz w:val="20"/>
                <w:szCs w:val="20"/>
                <w:color w:val="auto"/>
              </w:rPr>
            </w:pPr>
            <w:r>
              <w:rPr>
                <w:rFonts w:ascii="Arial" w:cs="Arial" w:eastAsia="Arial" w:hAnsi="Arial"/>
                <w:sz w:val="16"/>
                <w:szCs w:val="16"/>
                <w:b w:val="1"/>
                <w:bCs w:val="1"/>
                <w:color w:val="231F20"/>
              </w:rPr>
              <w:t>Supplemental disclosure of non-cash investing and financing activities:</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89"/>
        </w:trPr>
        <w:tc>
          <w:tcPr>
            <w:tcW w:w="6760" w:type="dxa"/>
            <w:vAlign w:val="bottom"/>
          </w:tcPr>
          <w:p>
            <w:pPr>
              <w:spacing w:after="0"/>
              <w:rPr>
                <w:sz w:val="20"/>
                <w:szCs w:val="20"/>
                <w:color w:val="auto"/>
              </w:rPr>
            </w:pPr>
            <w:r>
              <w:rPr>
                <w:rFonts w:ascii="Arial" w:cs="Arial" w:eastAsia="Arial" w:hAnsi="Arial"/>
                <w:sz w:val="16"/>
                <w:szCs w:val="16"/>
                <w:color w:val="231F20"/>
              </w:rPr>
              <w:t>Reclassification of prepaid expenses and other current liabilities into other assets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1,117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6760" w:type="dxa"/>
            <w:vAlign w:val="bottom"/>
            <w:shd w:val="clear" w:color="auto" w:fill="CCEEFF"/>
          </w:tcPr>
          <w:p>
            <w:pPr>
              <w:spacing w:after="0"/>
              <w:rPr>
                <w:sz w:val="20"/>
                <w:szCs w:val="20"/>
                <w:color w:val="auto"/>
              </w:rPr>
            </w:pPr>
            <w:r>
              <w:rPr>
                <w:rFonts w:ascii="Arial" w:cs="Arial" w:eastAsia="Arial" w:hAnsi="Arial"/>
                <w:sz w:val="16"/>
                <w:szCs w:val="16"/>
                <w:color w:val="231F20"/>
              </w:rPr>
              <w:t>Vesting of early exercised stock options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93</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w:t>
            </w:r>
          </w:p>
        </w:tc>
      </w:tr>
      <w:tr>
        <w:trPr>
          <w:trHeight w:val="189"/>
        </w:trPr>
        <w:tc>
          <w:tcPr>
            <w:tcW w:w="6760" w:type="dxa"/>
            <w:vAlign w:val="bottom"/>
            <w:tcBorders>
              <w:bottom w:val="single" w:sz="8" w:color="auto"/>
            </w:tcBorders>
          </w:tcPr>
          <w:p>
            <w:pPr>
              <w:spacing w:after="0"/>
              <w:rPr>
                <w:sz w:val="20"/>
                <w:szCs w:val="20"/>
                <w:color w:val="auto"/>
              </w:rPr>
            </w:pPr>
            <w:r>
              <w:rPr>
                <w:rFonts w:ascii="Arial" w:cs="Arial" w:eastAsia="Arial" w:hAnsi="Arial"/>
                <w:sz w:val="16"/>
                <w:szCs w:val="16"/>
                <w:color w:val="231F20"/>
              </w:rPr>
              <w:t>Purchases of property and equipment included in accounts payable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r>
      <w:tr>
        <w:trPr>
          <w:trHeight w:val="20"/>
        </w:trPr>
        <w:tc>
          <w:tcPr>
            <w:tcW w:w="6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Olema Pharmaceuticals,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94"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(Unaudited)</w:t>
      </w:r>
    </w:p>
    <w:p>
      <w:pPr>
        <w:spacing w:after="0" w:line="212" w:lineRule="exact"/>
        <w:rPr>
          <w:sz w:val="20"/>
          <w:szCs w:val="20"/>
          <w:color w:val="auto"/>
        </w:rPr>
      </w:pPr>
    </w:p>
    <w:p>
      <w:pPr>
        <w:ind w:left="60"/>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Nature of the Business and Basis of Presentation</w:t>
      </w:r>
    </w:p>
    <w:p>
      <w:pPr>
        <w:spacing w:after="0" w:line="21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Olema Pharmaceuticals, Inc. (“Olema” or the “Company”) is a clinical-stage biopharmaceutical company focused on the discovery, development and commercialization of next-generation targeted therapies for women’s cancers. The Company is initially focused on developing therapies for the treatment of breast cancer. The Company’s wholly owned, lead product candidate, OP-1250, is a novel oral therapy with combined activity as both a complete estrogen receptor (“ER”) antagonist (“CERAN”) and a selective ER degrader (“SERD”). It is currently being evaluated as a single agent in an ongoing Phase 1/2 clinical trial, and in Phase 1b combination with palbociclib, in patients with recurrent, locally advanced or metastatic estrogen receptor-positive (“ER+”), human epidermal growth factor receptor 2-negative (“HER2-“) breast cancer.</w:t>
      </w:r>
    </w:p>
    <w:p>
      <w:pPr>
        <w:spacing w:after="0" w:line="18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Company is located in San Francisco, California and was incorporated in Delaware on August 7, 2006 under the legal name of CombiThera, Inc. and on March 25, 2009 was renamed Olema Pharmaceuticals, Inc. The Company’s principal operations are based in San Francisco, California, and has operations in Cambridge, Massachusetts. Olema Oncology Australia Pty Ltd was incorporated on January 6, 2021 and is a wholly-owned subsidiary of the Company (collectively with Olema Pharmaceuticals, Inc. referred to as “Olema” or the “Company” herein). It operates in one business segment and therefore has only one reportable segment. The Company is subject to risks and uncertainties common to early-stage companies in the biopharmaceutical industry, including, but not limited to, successful discovery and development of its product candidates, development by competitors of new technological innovations, dependence on key personnel, the ability to attract and retain qualified employees, protection of proprietary technology, compliance with governmental regulations, the impact of COVID-19 and other geopolitical and macroeconomic events, the ability to secure additional capital to fund operations and commercial success of its product candidates. OP-1250 and any future product candidates the Company may develop will require extensive nonclinical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significant revenue from product sales.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Liquidity</w:t>
      </w:r>
    </w:p>
    <w:p>
      <w:pPr>
        <w:spacing w:after="0" w:line="21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 Company had $222.6 million of cash, cash equivalents and marketable securities at September 30, 2022, which management believes is sufficient to fund its operating expenses and capital expenditure requirements into the second half of 2024.</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Impact of COVID-19 and Other Geopolitical and Macroeconomic Events</w:t>
      </w:r>
    </w:p>
    <w:p>
      <w:pPr>
        <w:spacing w:after="0" w:line="21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extent of the impact of the COVID-19 pandemic on the Company’s business, operations and development timelines and plans remains uncertain, and will depend on certain developments, including the duration of the outbreak and its impact on the Company’s development activities, planned clinical trial enrollment, future trial sites, contract research organizations (“CROs”), third-party manufacturers, and other third parties with whom the Company does business, as well as its impact on regulatory authorities and the Company’s key scientific and management personnel. During 2021 and 2022, although the Company modified its operations and practices due to the COVID-19 pandemic and to comply with federal, state and local requirements, its business, operations and development timelines were not material adversely affected. In October 2021, the Company re-opened its offices to administrative employees, however due to the resurgence of cases relating to the spread of the Delta and Omicron variants, the Company continued to limit access to its offices. In March 2022, the Company fully re-opened its offices to all employees and continues to comply with protocols implemented by respective health authorities. The Company continues to monitor developments related to COVID-19 and may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close its offices again in the future. The extent to which the COVID-19 pandemic may affect the Company’s business, operations and development timelines and plans in the future, including the resulting impact on its expenditures and capital needs, remains uncertain.</w:t>
      </w:r>
    </w:p>
    <w:p>
      <w:pPr>
        <w:spacing w:after="0" w:line="169"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In addition to the ongoing COVID-19 pandemic, global economic and business activities continue to face widespread macroeconomic uncertainties, including labor shortages, inflation and monetary supply shifts, recession risks and potential disruptions from the Russia-Ukraine conflict, which has resulted in volatility in the U.S. and global financial markets and which has led to, and may continue to lead to, additional disruptions to trade, commerce, pricing stability, credit availability and supply chain continuity globally. The extent of the impact of these factors on the Company’s operational and financial performance, including its ability to execute its business strategies and initiatives in the expected time frame, will depend on future developments, which are uncertain and cannot be predicted. Any continued or renewed disruption resulting from these factors could negatively impact the Company’s business. The Company continues to monitor the impact of these macroeconomic factors on its results of operations, financial condition and cash flows.</w:t>
      </w:r>
    </w:p>
    <w:p>
      <w:pPr>
        <w:spacing w:after="0" w:line="180" w:lineRule="exact"/>
        <w:rPr>
          <w:sz w:val="20"/>
          <w:szCs w:val="20"/>
          <w:color w:val="auto"/>
        </w:rPr>
      </w:pPr>
    </w:p>
    <w:p>
      <w:pPr>
        <w:ind w:left="380" w:hanging="330"/>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Summary of Significant Accounting Policies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of Presentation and Consolidation</w:t>
      </w:r>
    </w:p>
    <w:p>
      <w:pPr>
        <w:spacing w:after="0" w:line="21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accompanying interim unaudited condensed consolidated financial statements have been prepared in accordance with generally accepted accounting principles in the United States of America (“US GAAP”) and applicable rules and regulations of the Securities and Exchange Commission (the “SEC”) regarding interim financial reporting, and the instructions to Form 10-Q and Article 10 of Regulation S-X. Accordingly, they do not include all of the information and footnotes required by US GAAP for complete financial statements. These condensed consolidated financial statements include the accounts of Olema Pharmaceuticals, Inc. and its wholly-owned subsidiary, Olema Oncology Australia Pty Ltd. All intercompany balances and transactions have been eliminated upon consolidation.</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Unaudited Interim Financial Information</w:t>
      </w:r>
    </w:p>
    <w:p>
      <w:pPr>
        <w:spacing w:after="0" w:line="21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interim condensed consolidated balance sheet as of September 30, 2022, the statements of operations and comprehensive loss, and stockholders’ equity for the three and nine months ended September 30, 2022 and 2021, and the statements of cash flows for the nine months ended September 30, 2022 and 2021 are unaudited. The unaudited interim condensed consolidated financial statements have been prepared on the same basis as the annual financial statements and reflect, in the opinion of management, all adjustments of a normal and recurring nature that are necessary for the fair presentation of the Company’s condensed consolidated financial statements included in this report. The financial data and the other information disclosed in these notes to the condensed consolidated financial statements related to the three- and nine-month periods are also unaudited. The results of operations for the nine months ended September 30, 2022 are not necessarily indicative of the results to be expected for the year ending December 31, 2022 or for any other future annual or interim period. The condensed consolidated balance sheet as of December 31, 2021 included herein was derived from the audited financial statements as of that date. These interim condensed consolidated financial statements should be read in conjunction with the Company’s audited financial statements included in the Company’s Form 10-K as filed with the SEC on February 28, 2022.</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Use of Estimates</w:t>
      </w:r>
    </w:p>
    <w:p>
      <w:pPr>
        <w:spacing w:after="0" w:line="21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accompanying condensed consolidated financial statements are prepared in accordance with US GAAP. The preparation of the condensed consolidated financial statements in conformity with US GAAP requires management to make estimates and assumptions that affect the reported amounts of assets and liabilities at the date of the condensed consolidated financial statements and reported amounts of expenses during the reporting period. Significant areas that require management’s estimates include accruals of research and development expenses, including accrual of research contract costs, stock-based compensation assumptions, including the fair value of common stock. On an ongoing basis, the Company evaluates its estimates and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judgments, which are based on historical and anticipated results and trends and on various other assumptions that management believes to be reasonable under the circumstances. Actual results could differ from those estimates.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and Cash Equivalents</w:t>
      </w:r>
    </w:p>
    <w:p>
      <w:pPr>
        <w:spacing w:after="0" w:line="210"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Cash and cash equivalents are defined as short-term, highly liquid investments with original maturities of 90 days or less at the date of purchase. Cash deposits are all in reputable financial institutions in the United States and as of September 30, 2022 and December 31, 2021. Cash and cash equivalents consisted of cash on deposit with U.S. banks, including the Company’s bank account for its Australia subsidiary, denominated in U.S. dollars and Australian dollars and investments in interest bearing money market funds.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Marketable Securities</w:t>
      </w:r>
    </w:p>
    <w:p>
      <w:pPr>
        <w:spacing w:after="0" w:line="21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All marketable securities have been classified as “available-for-sale” and are carried at estimated fair value as determined based upon quoted market prices or pricing models for similar securities. Management determines the appropriate classification of its investments at the time of purchase and reevaluates such designation as of each balance sheet date. Unrealized gains and losses are excluded from net loss and are reported as a component of comprehensive loss. Realized gains and losses and declines in fair value judged to be other than temporary, if any, on available-for-sale securities are included in interest income. The cost of securities sold is based on the specific-identification method. Interest earned on marketable securities is included in interest income.</w:t>
      </w:r>
    </w:p>
    <w:p>
      <w:pPr>
        <w:spacing w:after="0" w:line="180"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The Company periodically assesses its available-for-sale marketable securities for other-than-temporary impairment. For debt securities in an unrealized loss position, the Company first considers its intent to sell, or whether it is more likely than not that the Company will be required to sell the debt securities before recovery of their amortized cost basis. If either of these criteria are met, the amortized cost basis of such debt securities is written down to fair value through other expense.</w:t>
      </w:r>
    </w:p>
    <w:p>
      <w:pPr>
        <w:spacing w:after="0" w:line="17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For debt securities in an unrealized loss position that do not meet the aforementioned criteria, the Company assesses whether the decline in the fair value of such debt securities has resulted from credit losses or other factors. The Company considers the extent to which fair value is less than amortized cost, any changes to the rating of the security by a rating agency, and any adverse conditions specifically related to the securities, among other factors. If this assessment indicates that a credit loss may exist, the Company then compares the present value of cash flows expected to be collected from such securities to their amortized cost basis. If the present value of cash flows expected to be collected is less than the amortized cost basis, a credit loss exists and an allowance for credit losses is recorded through other expense, limited by the amount that the fair value is less than the amortized cost basis. Any additional impairment not recorded through an allowance for credit losses is recognized in other comprehensive loss. The Company has not recorded any impairments for its marketable securities.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Concentration of Credit Risk and Other Risks and Uncertainties</w:t>
      </w:r>
    </w:p>
    <w:p>
      <w:pPr>
        <w:spacing w:after="0" w:line="21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Financial instruments that potentially subject the Company to concentration of credit risk consist of cash, cash equivalents, and marketable securities. The Company invests in a variety of financial instruments and, by its policy, limits these financial instruments to high credit quality securities issued by the U.S. government, U.S. government-sponsored agencies and highly rated banks and corporations, subject to certain concentration limits. The Company’s cash, cash equivalents, and marketable securities are held by financial institutions in the United States that management believes are of high credit quality. Amounts on deposit with individual banking institutions may at times exceed the limits insured by the Federal Deposit Insurance Corporation (“FDIC”); however, the Company has not experienced any losses on such deposits.</w:t>
      </w:r>
    </w:p>
    <w:p>
      <w:pPr>
        <w:spacing w:after="0" w:line="18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The Company’s future results of operations involve a number of other risks and uncertainties. Factors that could affect the Company’s future operating results and cause actual results to vary materially from expectations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include, but are not limited to, uncertainty of results of clinical trials and reaching milestones, uncertainty of regulatory approval of the Company’s current and potential future product candidates, uncertainty of market acceptance of the Company’s product candidates, competition from substitute products and larger companies, securing and protecting proprietary technology, strategic relationships and dependence on key individuals or sole-source suppliers.</w:t>
      </w:r>
    </w:p>
    <w:p>
      <w:pPr>
        <w:spacing w:after="0" w:line="176"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The Company’s product candidates require approvals from the U.S. Food and Drug Administration (“FDA”) and comparable foreign regulatory agencies prior to commercial sales in their respective jurisdictions. There can be no assurance that any product candidates will receive the necessary approvals. If the Company were denied approval, approval was delayed or the Company was unable to maintain approval for any product candidate, it could have a materially adverse impact on the Company.</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Leases</w:t>
      </w:r>
    </w:p>
    <w:p>
      <w:pPr>
        <w:spacing w:after="0" w:line="210"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 xml:space="preserve">In February 2016, the Financial Accounting Standards Board (“FASB”) issued new lease accounting guidance in Accounting Standard Update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in July 2018 issued ASU 2018-10, </w:t>
      </w:r>
      <w:r>
        <w:rPr>
          <w:rFonts w:ascii="Arial" w:cs="Arial" w:eastAsia="Arial" w:hAnsi="Arial"/>
          <w:sz w:val="18"/>
          <w:szCs w:val="18"/>
          <w:i w:val="1"/>
          <w:iCs w:val="1"/>
          <w:color w:val="auto"/>
        </w:rPr>
        <w:t>Codification</w:t>
      </w:r>
      <w:r>
        <w:rPr>
          <w:rFonts w:ascii="Arial" w:cs="Arial" w:eastAsia="Arial" w:hAnsi="Arial"/>
          <w:sz w:val="18"/>
          <w:szCs w:val="18"/>
          <w:color w:val="auto"/>
        </w:rPr>
        <w:t xml:space="preserve"> </w:t>
      </w:r>
      <w:r>
        <w:rPr>
          <w:rFonts w:ascii="Arial" w:cs="Arial" w:eastAsia="Arial" w:hAnsi="Arial"/>
          <w:sz w:val="18"/>
          <w:szCs w:val="18"/>
          <w:i w:val="1"/>
          <w:iCs w:val="1"/>
          <w:color w:val="auto"/>
        </w:rPr>
        <w:t>Improvements to Topic 842, Leases</w:t>
      </w:r>
      <w:r>
        <w:rPr>
          <w:rFonts w:ascii="Arial" w:cs="Arial" w:eastAsia="Arial" w:hAnsi="Arial"/>
          <w:sz w:val="18"/>
          <w:szCs w:val="18"/>
          <w:color w:val="auto"/>
        </w:rPr>
        <w:t>, and ASU 2018-11,</w:t>
      </w:r>
      <w:r>
        <w:rPr>
          <w:rFonts w:ascii="Arial" w:cs="Arial" w:eastAsia="Arial" w:hAnsi="Arial"/>
          <w:sz w:val="18"/>
          <w:szCs w:val="18"/>
          <w:i w:val="1"/>
          <w:iCs w:val="1"/>
          <w:color w:val="auto"/>
        </w:rPr>
        <w:t xml:space="preserve"> Leases (Topic 842): Targeted Improvements </w:t>
      </w:r>
      <w:r>
        <w:rPr>
          <w:rFonts w:ascii="Arial" w:cs="Arial" w:eastAsia="Arial" w:hAnsi="Arial"/>
          <w:sz w:val="18"/>
          <w:szCs w:val="18"/>
          <w:color w:val="auto"/>
        </w:rPr>
        <w:t>(the</w:t>
      </w:r>
      <w:r>
        <w:rPr>
          <w:rFonts w:ascii="Arial" w:cs="Arial" w:eastAsia="Arial" w:hAnsi="Arial"/>
          <w:sz w:val="18"/>
          <w:szCs w:val="18"/>
          <w:i w:val="1"/>
          <w:iCs w:val="1"/>
          <w:color w:val="auto"/>
        </w:rPr>
        <w:t xml:space="preserve"> </w:t>
      </w:r>
      <w:r>
        <w:rPr>
          <w:rFonts w:ascii="Arial" w:cs="Arial" w:eastAsia="Arial" w:hAnsi="Arial"/>
          <w:sz w:val="18"/>
          <w:szCs w:val="18"/>
          <w:color w:val="auto"/>
        </w:rPr>
        <w:t>foregoing ASUs collectively referred to as “Topic 842”). Under the new guidance, lessees are required to recognize for all leases (with the exception of short-term leases) at the commencement date: (1) a lease liability, which is a lessee’s obligation to make lease payments arising from a lease, measured on a discounted basis; and (2) a right-of-use (“ROU”) asset, which is an asset that represents the lessee’s right to use, or control the use of, a specified asset for the lease term. Leases will be classified as finance or operating, with classification affecting the pattern and classification of expense recognition in the consolidated statements of operations and comprehensive loss.</w:t>
      </w:r>
    </w:p>
    <w:p>
      <w:pPr>
        <w:spacing w:after="0" w:line="18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At the inception of an arrangement, the Company determines if an arrangement is, or contains, a lease based on the facts and circumstances present in that arrangement. Lease classification, recognition, and measurement are then determined at the lease commencement date. For arrangements that contain a lease, the Company (i) identifies lease and non-lease components, (ii) determines the consideration in the contract,</w:t>
      </w:r>
    </w:p>
    <w:p>
      <w:pPr>
        <w:jc w:val="both"/>
        <w:ind w:left="60" w:right="59" w:hanging="10"/>
        <w:spacing w:after="0" w:line="237" w:lineRule="auto"/>
        <w:tabs>
          <w:tab w:leader="none" w:pos="363"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determines whether the lease is an operating or finance lease; and (iv) recognizes lease ROU assets and liabilities. Lease liabilities and their corresponding ROU assets are recorded based on the present value of future lease payments over the expected lease term. The interest rate implicit in lease contracts is typically not readily determinable and as such, the Company uses the incremental borrowing rate based on the information available at the lease commencement date, which represents an internally developed rate that would be incurred to borrow, on a collateralized basis, over a similar term, an amount equal to the lease payments in a similar economic environment.</w:t>
      </w:r>
    </w:p>
    <w:p>
      <w:pPr>
        <w:spacing w:after="0" w:line="185"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Most leases include options to renew and, or terminate the lease, which can impact the lease term. The exercise of these options is at the Company’s discretion. The Company’s lease terms may include options to extend or terminate the lease when it is reasonably certain that the Company will exercise such options. For any lease modification, the Company reassesses the lease classification, remeasures the related lease liability using an updated discount rate that reflects the modified lease term, and adjusts the related ROU asset under the lease modification guidance under Topic 842.</w:t>
      </w:r>
    </w:p>
    <w:p>
      <w:pPr>
        <w:spacing w:after="0" w:line="179"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The Company has operating leases for its research and development and office facilities. Fixed lease payments on operating leases are recognized over the expected term of the lease on a straight-line basis. Variable lease expenses that are not considered fixed are recognized as incurred. Fixed and variable lease expense on operating leases is recognized within operating expenses within our condensed consolidated statements of operations and comprehensive loss.</w:t>
      </w:r>
    </w:p>
    <w:p>
      <w:pPr>
        <w:spacing w:after="0" w:line="176"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The Company elected to not apply the recognition requirements of Topic 842 to short-term leases with terms of 12 months or less. Additional information and disclosures required by Topic 842 are contained in Note 13 “Lease” in the Company’s Form 10-K as filed with the SEC on February 28, 2022.</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Costs</w:t>
      </w:r>
    </w:p>
    <w:p>
      <w:pPr>
        <w:spacing w:after="0" w:line="21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Research and development costs are expensed as incurred. Research and development expenses consist of costs incurred to discover, research and develop product candidates. These costs are recorded within research and development expenses in the condensed consolidated statements of operations and include personnel expenses, stock-based compensation expenses, allocated general and administrative expenses, and external costs including fees paid to consultants and CROs and contract manufacturing organizations (“CMOs”), in connection with nonclinical studies and clinical trials, and other related clinical trial fees, such as for investigator fees, patient screening, laboratory work, clinical trial database management, clinical trial material management and statistical compilation and analysis. Non-refundable prepayments for goods or services that will be used or rendered for future research and development activities are recorded as prepaid expenses and other current assets. Such amounts are recognized as an expense as the goods are delivered or the related services are performed.</w:t>
      </w:r>
    </w:p>
    <w:p>
      <w:pPr>
        <w:spacing w:after="0" w:line="186"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Costs incurred in obtaining technology licenses are charged immediately to research and development expense if the technology licensed has not reached technological feasibility and has no alternative future uses.</w:t>
      </w:r>
    </w:p>
    <w:p>
      <w:pPr>
        <w:spacing w:after="0" w:line="154"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 xml:space="preserve">Reimbursements of certain costs associated with research activities performed under the agreement with Novartis Institutes for BioMedical Research, Inc. (“Novartis”) are recorded as a reduction of research and development expenses, as described in Note 10, Commitments and Contingencies – </w:t>
      </w:r>
      <w:r>
        <w:rPr>
          <w:rFonts w:ascii="Arial" w:cs="Arial" w:eastAsia="Arial" w:hAnsi="Arial"/>
          <w:sz w:val="18"/>
          <w:szCs w:val="18"/>
          <w:i w:val="1"/>
          <w:iCs w:val="1"/>
          <w:color w:val="auto"/>
        </w:rPr>
        <w:t>Clinical Collaboration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Supply Agreement</w:t>
      </w:r>
      <w:r>
        <w:rPr>
          <w:rFonts w:ascii="Arial" w:cs="Arial" w:eastAsia="Arial" w:hAnsi="Arial"/>
          <w:sz w:val="18"/>
          <w:szCs w:val="18"/>
          <w:color w:val="auto"/>
        </w:rPr>
        <w:t>.</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Contract Costs and Accruals</w:t>
      </w:r>
    </w:p>
    <w:p>
      <w:pPr>
        <w:spacing w:after="0" w:line="210"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The Company has from time to time entered into various research and development and other agreements with commercial firms, researchers, universities and others for provisions of goods and services. These agreements are generally cancelable, and the related costs are recorded as research and development expenses as incurred.</w:t>
      </w:r>
    </w:p>
    <w:p>
      <w:pPr>
        <w:spacing w:after="0" w:line="174"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The Company records accruals for estimated ongoing research and development costs. When evaluating the adequacy of the accrued liabilities, the Company analyzes progress of the projects, studies or clinical trials, including the phase or completion of events, invoices received and contracted costs. Judgments and estimates are made in determining the accrued balances at the end of any reporting period. Actual results could differ materially from the Company’s estimates. The Company’s historical accrual estimates have not been materially different from the actual costs.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Foreign Currency Transactions</w:t>
      </w:r>
    </w:p>
    <w:p>
      <w:pPr>
        <w:spacing w:after="0" w:line="210"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The functional currency of Olema Oncology Australia Pty Ltd, the Company’s wholly-owned subsidiary, is the U.S. dollar. Accordingly, all monetary assets and liabilities of the subsidiary are remeasured into U.S. dollars at the current period-end exchange rates and non-monetary assets are remeasured using historical exchange rates. Income and expense elements are remeasured to U.S. dollars using the average exchange rates in effect during the period. Remeasurement gains and losses are recorded as other income (expense) on the condensed consolidated statements of operations.</w:t>
      </w:r>
    </w:p>
    <w:p>
      <w:pPr>
        <w:spacing w:after="0" w:line="179"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The Company is subject to foreign currency risk with respect to its clinical and manufacturing contracts denominated in currencies other than the U.S. dollar, predominantly the Australian dollar and the Euro. Payments on contracts denominated in foreign currencies are made at the spot rate on the day of payment. Changes in the exchange rate between billing dates and payment dates are recorded within other income (expense) on the condensed consolidated statements of operations.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Loss Per Common Share</w:t>
      </w:r>
    </w:p>
    <w:p>
      <w:pPr>
        <w:spacing w:after="0" w:line="210"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Basic net loss per common share is computed by dividing the net loss per common share by the weighted average number of common shares outstanding for the period without consideration of common stock equivalents. Diluted net loss per common share is computed by adjusting net loss to reallocate undistributed earnings based on the potential impact of dilutive securities, and by dividing the diluted net loss by the weighted average number of common shares outstanding for the period, including potential dilutive common shares. For purpose of this calculation, outstanding stock options, including unvested early exercised options, unvested restricted stock awards, and contingently issuable common stock related to the 2020 Employee Stock Purchase Plan (the “ESPP”) are considered potential dilutive common shares. Since the Company was in a loss position for both periods presented, basic net loss per share is the same as diluted net loss per share for both periods as the inclusion of all potential common shares outstanding would have been anti-dilutive.</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 Accounting Pronouncements</w:t>
      </w:r>
    </w:p>
    <w:p>
      <w:pPr>
        <w:spacing w:after="0" w:line="210"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The Company lost its status as an emerging growth company on December 31, 2021, when it qualified as a large accelerated filer based on its market capitalization as of June 30, 2021, according to Rule 12b-2 of the Securities Exchange Act of 1934, as amended. As a result, the Company adopted all accounting pronouncements formerly deferred under the extended transition period available for emerging growth companies according to public company standards at December 31, 2021.</w:t>
      </w:r>
    </w:p>
    <w:p>
      <w:pPr>
        <w:spacing w:after="0" w:line="200" w:lineRule="exact"/>
        <w:rPr>
          <w:sz w:val="20"/>
          <w:szCs w:val="20"/>
          <w:color w:val="auto"/>
        </w:rPr>
      </w:pPr>
    </w:p>
    <w:p>
      <w:pPr>
        <w:spacing w:after="0" w:line="206" w:lineRule="exact"/>
        <w:rPr>
          <w:sz w:val="20"/>
          <w:szCs w:val="20"/>
          <w:color w:val="auto"/>
        </w:rPr>
      </w:pPr>
    </w:p>
    <w:p>
      <w:pPr>
        <w:ind w:left="380" w:hanging="330"/>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Fair Value Measurement</w:t>
      </w:r>
    </w:p>
    <w:p>
      <w:pPr>
        <w:spacing w:after="0" w:line="21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 xml:space="preserve">The Company assesses the fair value of financial instruments based on the provisions of ASC 820,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Measurements</w:t>
      </w:r>
      <w:r>
        <w:rPr>
          <w:rFonts w:ascii="Arial" w:cs="Arial" w:eastAsia="Arial" w:hAnsi="Arial"/>
          <w:sz w:val="18"/>
          <w:szCs w:val="18"/>
          <w:color w:val="auto"/>
        </w:rPr>
        <w:t>. ASC 820 defines fair value as the exchange price that would be received for an asset or paid to</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a liability (an exit price) in the principal or most advantageous market for the asset or liability in an orderly transaction between market participants on the measurement date. ASC 820 also establishes a fair value hierarchy which requires an entity to maximize the use of observable inputs and minimize the use of unobservable inputs when measuring fair value. The standard describes three levels of inputs that may be used to measure fair value:</w:t>
      </w:r>
    </w:p>
    <w:p>
      <w:pPr>
        <w:spacing w:after="0" w:line="185" w:lineRule="exact"/>
        <w:rPr>
          <w:sz w:val="20"/>
          <w:szCs w:val="20"/>
          <w:color w:val="auto"/>
        </w:rPr>
      </w:pPr>
    </w:p>
    <w:p>
      <w:pPr>
        <w:ind w:left="380" w:right="79" w:hanging="330"/>
        <w:spacing w:after="0" w:line="286" w:lineRule="auto"/>
        <w:tabs>
          <w:tab w:leader="none" w:pos="380" w:val="left"/>
        </w:tabs>
        <w:numPr>
          <w:ilvl w:val="0"/>
          <w:numId w:val="6"/>
        </w:numPr>
        <w:rPr>
          <w:rFonts w:ascii="Times New Roman" w:cs="Times New Roman" w:eastAsia="Times New Roman" w:hAnsi="Times New Roman"/>
          <w:sz w:val="18"/>
          <w:szCs w:val="18"/>
          <w:color w:val="231F20"/>
        </w:rPr>
      </w:pPr>
      <w:r>
        <w:rPr>
          <w:rFonts w:ascii="Arial" w:cs="Arial" w:eastAsia="Arial" w:hAnsi="Arial"/>
          <w:sz w:val="18"/>
          <w:szCs w:val="18"/>
          <w:color w:val="231F20"/>
        </w:rPr>
        <w:t xml:space="preserve">Level 1 </w:t>
      </w:r>
      <w:r>
        <w:rPr>
          <w:rFonts w:ascii="Times New Roman" w:cs="Times New Roman" w:eastAsia="Times New Roman" w:hAnsi="Times New Roman"/>
          <w:sz w:val="18"/>
          <w:szCs w:val="18"/>
          <w:color w:val="231F20"/>
        </w:rPr>
        <w:t>—</w:t>
      </w:r>
      <w:r>
        <w:rPr>
          <w:rFonts w:ascii="Arial" w:cs="Arial" w:eastAsia="Arial" w:hAnsi="Arial"/>
          <w:sz w:val="18"/>
          <w:szCs w:val="18"/>
          <w:color w:val="231F20"/>
        </w:rPr>
        <w:t xml:space="preserve"> Inputs are unadjusted quoted prices in active markets for identical assets or liabilities accessible to the reporting entity at the measurement date.</w:t>
      </w:r>
    </w:p>
    <w:p>
      <w:pPr>
        <w:spacing w:after="0" w:line="113" w:lineRule="exact"/>
        <w:rPr>
          <w:rFonts w:ascii="Times New Roman" w:cs="Times New Roman" w:eastAsia="Times New Roman" w:hAnsi="Times New Roman"/>
          <w:sz w:val="18"/>
          <w:szCs w:val="18"/>
          <w:color w:val="231F20"/>
        </w:rPr>
      </w:pPr>
    </w:p>
    <w:p>
      <w:pPr>
        <w:jc w:val="both"/>
        <w:ind w:left="380" w:right="79" w:hanging="330"/>
        <w:spacing w:after="0" w:line="252" w:lineRule="auto"/>
        <w:tabs>
          <w:tab w:leader="none" w:pos="380" w:val="left"/>
        </w:tabs>
        <w:numPr>
          <w:ilvl w:val="0"/>
          <w:numId w:val="6"/>
        </w:numPr>
        <w:rPr>
          <w:rFonts w:ascii="Times New Roman" w:cs="Times New Roman" w:eastAsia="Times New Roman" w:hAnsi="Times New Roman"/>
          <w:sz w:val="18"/>
          <w:szCs w:val="18"/>
          <w:color w:val="231F20"/>
        </w:rPr>
      </w:pPr>
      <w:r>
        <w:rPr>
          <w:rFonts w:ascii="Arial" w:cs="Arial" w:eastAsia="Arial" w:hAnsi="Arial"/>
          <w:sz w:val="18"/>
          <w:szCs w:val="18"/>
          <w:color w:val="231F20"/>
        </w:rPr>
        <w:t xml:space="preserve">Level 2 </w:t>
      </w:r>
      <w:r>
        <w:rPr>
          <w:rFonts w:ascii="Times New Roman" w:cs="Times New Roman" w:eastAsia="Times New Roman" w:hAnsi="Times New Roman"/>
          <w:sz w:val="18"/>
          <w:szCs w:val="18"/>
          <w:color w:val="231F20"/>
        </w:rPr>
        <w:t>—</w:t>
      </w:r>
      <w:r>
        <w:rPr>
          <w:rFonts w:ascii="Arial" w:cs="Arial" w:eastAsia="Arial" w:hAnsi="Arial"/>
          <w:sz w:val="18"/>
          <w:szCs w:val="18"/>
          <w:color w:val="231F20"/>
        </w:rPr>
        <w:t xml:space="preserve"> Inputs other than quoted prices included in Level 1 that are observable for the asset or liability,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28" w:lineRule="exact"/>
        <w:rPr>
          <w:rFonts w:ascii="Times New Roman" w:cs="Times New Roman" w:eastAsia="Times New Roman" w:hAnsi="Times New Roman"/>
          <w:sz w:val="18"/>
          <w:szCs w:val="18"/>
          <w:color w:val="231F20"/>
        </w:rPr>
      </w:pPr>
    </w:p>
    <w:p>
      <w:pPr>
        <w:jc w:val="both"/>
        <w:ind w:left="380" w:right="79" w:hanging="330"/>
        <w:spacing w:after="0" w:line="252" w:lineRule="auto"/>
        <w:tabs>
          <w:tab w:leader="none" w:pos="380" w:val="left"/>
        </w:tabs>
        <w:numPr>
          <w:ilvl w:val="0"/>
          <w:numId w:val="6"/>
        </w:numPr>
        <w:rPr>
          <w:rFonts w:ascii="Times New Roman" w:cs="Times New Roman" w:eastAsia="Times New Roman" w:hAnsi="Times New Roman"/>
          <w:sz w:val="18"/>
          <w:szCs w:val="18"/>
          <w:color w:val="231F20"/>
        </w:rPr>
      </w:pPr>
      <w:r>
        <w:rPr>
          <w:rFonts w:ascii="Arial" w:cs="Arial" w:eastAsia="Arial" w:hAnsi="Arial"/>
          <w:sz w:val="18"/>
          <w:szCs w:val="18"/>
          <w:color w:val="231F20"/>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103505</wp:posOffset>
            </wp:positionV>
            <wp:extent cx="56489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Arial" w:cs="Arial" w:eastAsia="Arial" w:hAnsi="Arial"/>
          <w:sz w:val="14"/>
          <w:szCs w:val="14"/>
          <w:color w:val="auto"/>
        </w:rPr>
        <w:t>(in thousands)</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Assets</w:t>
      </w:r>
    </w:p>
    <w:p>
      <w:pPr>
        <w:ind w:left="160"/>
        <w:spacing w:after="0" w:line="234" w:lineRule="auto"/>
        <w:rPr>
          <w:sz w:val="20"/>
          <w:szCs w:val="20"/>
          <w:color w:val="auto"/>
        </w:rPr>
      </w:pPr>
      <w:r>
        <w:rPr>
          <w:rFonts w:ascii="Arial" w:cs="Arial" w:eastAsia="Arial" w:hAnsi="Arial"/>
          <w:sz w:val="18"/>
          <w:szCs w:val="18"/>
          <w:color w:val="auto"/>
        </w:rPr>
        <w:t>Cash</w:t>
      </w:r>
    </w:p>
    <w:p>
      <w:pPr>
        <w:ind w:left="160"/>
        <w:spacing w:after="0" w:line="235" w:lineRule="auto"/>
        <w:rPr>
          <w:sz w:val="20"/>
          <w:szCs w:val="20"/>
          <w:color w:val="auto"/>
        </w:rPr>
      </w:pPr>
      <w:r>
        <w:rPr>
          <w:rFonts w:ascii="Arial" w:cs="Arial" w:eastAsia="Arial" w:hAnsi="Arial"/>
          <w:sz w:val="18"/>
          <w:szCs w:val="18"/>
          <w:color w:val="auto"/>
        </w:rPr>
        <w:t>Money market funds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Commercial paper</w:t>
      </w:r>
    </w:p>
    <w:p>
      <w:pPr>
        <w:spacing w:after="0" w:line="9" w:lineRule="exact"/>
        <w:rPr>
          <w:sz w:val="20"/>
          <w:szCs w:val="20"/>
          <w:color w:val="auto"/>
        </w:rPr>
      </w:pPr>
    </w:p>
    <w:p>
      <w:pPr>
        <w:ind w:left="160" w:right="540"/>
        <w:spacing w:after="0" w:line="242" w:lineRule="auto"/>
        <w:rPr>
          <w:sz w:val="20"/>
          <w:szCs w:val="20"/>
          <w:color w:val="auto"/>
        </w:rPr>
      </w:pPr>
      <w:r>
        <w:rPr>
          <w:rFonts w:ascii="Arial" w:cs="Arial" w:eastAsia="Arial" w:hAnsi="Arial"/>
          <w:sz w:val="18"/>
          <w:szCs w:val="18"/>
          <w:color w:val="auto"/>
        </w:rPr>
        <w:t>U.S. government treasury bills Government-sponsored enterprise securities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1380"/>
        <w:spacing w:after="0"/>
        <w:rPr>
          <w:sz w:val="20"/>
          <w:szCs w:val="20"/>
          <w:color w:val="auto"/>
        </w:rPr>
      </w:pPr>
      <w:r>
        <w:rPr>
          <w:rFonts w:ascii="Arial" w:cs="Arial" w:eastAsia="Arial" w:hAnsi="Arial"/>
          <w:sz w:val="14"/>
          <w:szCs w:val="14"/>
          <w:b w:val="1"/>
          <w:bCs w:val="1"/>
          <w:color w:val="auto"/>
        </w:rPr>
        <w:t>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25203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Level 2</w:t>
            </w: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Total</w:t>
            </w:r>
          </w:p>
        </w:tc>
      </w:tr>
      <w:tr>
        <w:trPr>
          <w:trHeight w:val="380"/>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15,381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15,381</w:t>
            </w:r>
          </w:p>
        </w:tc>
      </w:tr>
      <w:tr>
        <w:trPr>
          <w:trHeight w:val="203"/>
        </w:trPr>
        <w:tc>
          <w:tcPr>
            <w:tcW w:w="14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11,444</w:t>
            </w:r>
          </w:p>
        </w:tc>
        <w:tc>
          <w:tcPr>
            <w:tcW w:w="2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80" w:type="dxa"/>
            <w:vAlign w:val="bottom"/>
          </w:tcPr>
          <w:p>
            <w:pPr>
              <w:ind w:left="50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11,444</w:t>
            </w:r>
          </w:p>
        </w:tc>
      </w:tr>
      <w:tr>
        <w:trPr>
          <w:trHeight w:val="216"/>
        </w:trPr>
        <w:tc>
          <w:tcPr>
            <w:tcW w:w="140" w:type="dxa"/>
            <w:vAlign w:val="bottom"/>
          </w:tcPr>
          <w:p>
            <w:pPr>
              <w:spacing w:after="0"/>
              <w:rPr>
                <w:sz w:val="18"/>
                <w:szCs w:val="18"/>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49,968</w:t>
            </w:r>
          </w:p>
        </w:tc>
        <w:tc>
          <w:tcPr>
            <w:tcW w:w="260" w:type="dxa"/>
            <w:vAlign w:val="bottom"/>
          </w:tcPr>
          <w:p>
            <w:pPr>
              <w:spacing w:after="0"/>
              <w:rPr>
                <w:sz w:val="18"/>
                <w:szCs w:val="18"/>
                <w:color w:val="auto"/>
              </w:rPr>
            </w:pP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49,968</w:t>
            </w:r>
          </w:p>
        </w:tc>
      </w:tr>
      <w:tr>
        <w:trPr>
          <w:trHeight w:val="203"/>
        </w:trPr>
        <w:tc>
          <w:tcPr>
            <w:tcW w:w="14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98,531</w:t>
            </w:r>
          </w:p>
        </w:tc>
        <w:tc>
          <w:tcPr>
            <w:tcW w:w="2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80" w:type="dxa"/>
            <w:vAlign w:val="bottom"/>
          </w:tcPr>
          <w:p>
            <w:pPr>
              <w:ind w:left="50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98,531</w:t>
            </w:r>
          </w:p>
        </w:tc>
      </w:tr>
      <w:tr>
        <w:trPr>
          <w:trHeight w:val="221"/>
        </w:trPr>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47,297</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47,297</w:t>
            </w:r>
          </w:p>
        </w:tc>
      </w:tr>
      <w:tr>
        <w:trPr>
          <w:trHeight w:val="232"/>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125,356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97,265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222,621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-3122295</wp:posOffset>
            </wp:positionH>
            <wp:positionV relativeFrom="paragraph">
              <wp:posOffset>-948055</wp:posOffset>
            </wp:positionV>
            <wp:extent cx="564896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-3122295</wp:posOffset>
            </wp:positionH>
            <wp:positionV relativeFrom="paragraph">
              <wp:posOffset>-682625</wp:posOffset>
            </wp:positionV>
            <wp:extent cx="5648960"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48960" cy="128905"/>
                    </a:xfrm>
                    <a:prstGeom prst="rect">
                      <a:avLst/>
                    </a:prstGeom>
                    <a:noFill/>
                  </pic:spPr>
                </pic:pic>
              </a:graphicData>
            </a:graphic>
          </wp:anchor>
        </w:drawing>
        <w:drawing>
          <wp:anchor simplePos="0" relativeHeight="251657728" behindDoc="1" locked="0" layoutInCell="0" allowOverlap="1">
            <wp:simplePos x="0" y="0"/>
            <wp:positionH relativeFrom="column">
              <wp:posOffset>-3122295</wp:posOffset>
            </wp:positionH>
            <wp:positionV relativeFrom="paragraph">
              <wp:posOffset>-425450</wp:posOffset>
            </wp:positionV>
            <wp:extent cx="564896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-3122295</wp:posOffset>
            </wp:positionH>
            <wp:positionV relativeFrom="paragraph">
              <wp:posOffset>-159385</wp:posOffset>
            </wp:positionV>
            <wp:extent cx="5648960" cy="1625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4896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60" w:space="720"/>
            <w:col w:w="4039"/>
          </w:cols>
          <w:pgMar w:left="1440" w:top="513" w:right="1440" w:bottom="1440" w:gutter="0" w:footer="0" w:header="0"/>
          <w:type w:val="continuous"/>
        </w:sect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702945</wp:posOffset>
            </wp:positionV>
            <wp:extent cx="56489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276"/>
              <w:spacing w:after="0"/>
              <w:rPr>
                <w:sz w:val="20"/>
                <w:szCs w:val="20"/>
                <w:color w:val="auto"/>
              </w:rPr>
            </w:pPr>
            <w:r>
              <w:rPr>
                <w:rFonts w:ascii="Arial" w:cs="Arial" w:eastAsia="Arial" w:hAnsi="Arial"/>
                <w:sz w:val="14"/>
                <w:szCs w:val="14"/>
                <w:b w:val="1"/>
                <w:bCs w:val="1"/>
                <w:color w:val="auto"/>
              </w:rPr>
              <w:t>September 30, 2022</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208"/>
        </w:trPr>
        <w:tc>
          <w:tcPr>
            <w:tcW w:w="4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ind w:right="198"/>
              <w:spacing w:after="0"/>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8"/>
                <w:szCs w:val="18"/>
                <w:color w:val="auto"/>
              </w:rPr>
            </w:pPr>
          </w:p>
        </w:tc>
        <w:tc>
          <w:tcPr>
            <w:tcW w:w="820" w:type="dxa"/>
            <w:vAlign w:val="bottom"/>
          </w:tcPr>
          <w:p>
            <w:pPr>
              <w:jc w:val="center"/>
              <w:ind w:right="156"/>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3"/>
        </w:trPr>
        <w:tc>
          <w:tcPr>
            <w:tcW w:w="4900" w:type="dxa"/>
            <w:vAlign w:val="bottom"/>
          </w:tcPr>
          <w:p>
            <w:pPr>
              <w:spacing w:after="0"/>
              <w:rPr>
                <w:sz w:val="17"/>
                <w:szCs w:val="17"/>
                <w:color w:val="auto"/>
              </w:rPr>
            </w:pPr>
          </w:p>
        </w:tc>
        <w:tc>
          <w:tcPr>
            <w:tcW w:w="920" w:type="dxa"/>
            <w:vAlign w:val="bottom"/>
            <w:gridSpan w:val="2"/>
          </w:tcPr>
          <w:p>
            <w:pPr>
              <w:jc w:val="right"/>
              <w:ind w:right="54"/>
              <w:spacing w:after="0"/>
              <w:rPr>
                <w:sz w:val="20"/>
                <w:szCs w:val="20"/>
                <w:color w:val="auto"/>
              </w:rPr>
            </w:pPr>
            <w:r>
              <w:rPr>
                <w:rFonts w:ascii="Arial" w:cs="Arial" w:eastAsia="Arial" w:hAnsi="Arial"/>
                <w:sz w:val="14"/>
                <w:szCs w:val="14"/>
                <w:b w:val="1"/>
                <w:bCs w:val="1"/>
                <w:color w:val="auto"/>
              </w:rPr>
              <w:t>Amortized</w:t>
            </w:r>
          </w:p>
        </w:tc>
        <w:tc>
          <w:tcPr>
            <w:tcW w:w="1020" w:type="dxa"/>
            <w:vAlign w:val="bottom"/>
            <w:gridSpan w:val="2"/>
          </w:tcPr>
          <w:p>
            <w:pPr>
              <w:jc w:val="right"/>
              <w:ind w:right="38"/>
              <w:spacing w:after="0"/>
              <w:rPr>
                <w:sz w:val="20"/>
                <w:szCs w:val="20"/>
                <w:color w:val="auto"/>
              </w:rPr>
            </w:pPr>
            <w:r>
              <w:rPr>
                <w:rFonts w:ascii="Arial" w:cs="Arial" w:eastAsia="Arial" w:hAnsi="Arial"/>
                <w:sz w:val="14"/>
                <w:szCs w:val="14"/>
                <w:b w:val="1"/>
                <w:bCs w:val="1"/>
                <w:color w:val="auto"/>
              </w:rPr>
              <w:t>Unrealized</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Unrealized</w:t>
            </w:r>
          </w:p>
        </w:tc>
        <w:tc>
          <w:tcPr>
            <w:tcW w:w="9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Estimated</w:t>
            </w:r>
          </w:p>
        </w:tc>
      </w:tr>
      <w:tr>
        <w:trPr>
          <w:trHeight w:val="178"/>
        </w:trPr>
        <w:tc>
          <w:tcPr>
            <w:tcW w:w="49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Cost</w:t>
            </w: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Gains</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rPr>
              <w:t>Losses</w:t>
            </w:r>
          </w:p>
        </w:tc>
        <w:tc>
          <w:tcPr>
            <w:tcW w:w="9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4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4900" w:type="dxa"/>
            <w:vAlign w:val="bottom"/>
          </w:tcPr>
          <w:p>
            <w:pPr>
              <w:ind w:left="100"/>
              <w:spacing w:after="0" w:line="202" w:lineRule="exact"/>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26,825</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38"/>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56"/>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26,825</w:t>
            </w:r>
          </w:p>
        </w:tc>
      </w:tr>
      <w:tr>
        <w:trPr>
          <w:trHeight w:val="184"/>
        </w:trPr>
        <w:tc>
          <w:tcPr>
            <w:tcW w:w="4900" w:type="dxa"/>
            <w:vAlign w:val="bottom"/>
            <w:shd w:val="clear" w:color="auto" w:fill="CCEEFF"/>
          </w:tcPr>
          <w:p>
            <w:pPr>
              <w:ind w:left="100"/>
              <w:spacing w:after="0" w:line="183" w:lineRule="exact"/>
              <w:rPr>
                <w:sz w:val="20"/>
                <w:szCs w:val="20"/>
                <w:color w:val="auto"/>
              </w:rPr>
            </w:pPr>
            <w:r>
              <w:rPr>
                <w:rFonts w:ascii="Arial" w:cs="Arial" w:eastAsia="Arial" w:hAnsi="Arial"/>
                <w:sz w:val="18"/>
                <w:szCs w:val="18"/>
                <w:color w:val="auto"/>
              </w:rPr>
              <w:t>Short-term marketable securities (&lt;12 months to</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21"/>
        </w:trPr>
        <w:tc>
          <w:tcPr>
            <w:tcW w:w="4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maturity)</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8"/>
              </w:rPr>
              <w:t>178,995</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176,987</w:t>
            </w:r>
          </w:p>
        </w:tc>
      </w:tr>
      <w:tr>
        <w:trPr>
          <w:trHeight w:val="202"/>
        </w:trPr>
        <w:tc>
          <w:tcPr>
            <w:tcW w:w="490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Long-term marketable securities (&gt;12 months to maturity)</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rPr>
              <w:t>19,475</w:t>
            </w: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8"/>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(666)</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18,809</w:t>
            </w:r>
          </w:p>
        </w:tc>
      </w:tr>
      <w:tr>
        <w:trPr>
          <w:trHeight w:val="196"/>
        </w:trPr>
        <w:tc>
          <w:tcPr>
            <w:tcW w:w="4900" w:type="dxa"/>
            <w:vAlign w:val="bottom"/>
            <w:tcBorders>
              <w:bottom w:val="single" w:sz="8" w:color="auto"/>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34"/>
              <w:spacing w:after="0" w:line="196" w:lineRule="exact"/>
              <w:rPr>
                <w:sz w:val="20"/>
                <w:szCs w:val="20"/>
                <w:color w:val="auto"/>
              </w:rPr>
            </w:pPr>
            <w:r>
              <w:rPr>
                <w:rFonts w:ascii="Arial" w:cs="Arial" w:eastAsia="Arial" w:hAnsi="Arial"/>
                <w:sz w:val="18"/>
                <w:szCs w:val="18"/>
                <w:color w:val="auto"/>
                <w:w w:val="98"/>
              </w:rPr>
              <w:t>225,295</w:t>
            </w:r>
          </w:p>
        </w:tc>
        <w:tc>
          <w:tcPr>
            <w:tcW w:w="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38"/>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(2,674)</w:t>
            </w: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222,621</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The Company considers its marketable securities with maturities beyond one year as current assets, based on their highly liquid nature and because such marketable securities represent the investment of cash that is available for current operations. The Company considers its investment portfolio of marketable securities to be available-for-sale.</w:t>
      </w:r>
    </w:p>
    <w:p>
      <w:pPr>
        <w:spacing w:after="0" w:line="174"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The Company periodically reviews its available-for-sale marketable securities for other-than-temporary impairment. The Company considers factors such as the duration, severity and the reason for the decline in value, the potential recovery period and its intent to sell. For debt securities, the Company also considers whether (i) it is more likely than not that the Company will be required to sell the debt securities before recovery of their amortized cost basis, and (ii) the amortized cost basis cannot be recovered as a result of credit losses.</w:t>
      </w:r>
    </w:p>
    <w:p>
      <w:pPr>
        <w:spacing w:after="0" w:line="17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There was one marketable security that has been in a consecutive loss position for more than 12 months as of September 30, 2022. It had $ 0.1 million unrealized loss with a fair value of $6.9 million as of September 30, 2022. The Company does not believe that the total unrealized losses of $ 2.7 million as of September 30, 2022 are credit related but are rather a reflection of current market yields and/or current marketplace bid/ask spreads. During the three and nine months ended September 30, 2022, the Company did not recognize any other-than-temporary impairment loss. As of September 30, 2022, there was no allowance for losses on available-for-sale debt securities attributable to credit risk.</w:t>
      </w:r>
    </w:p>
    <w:p>
      <w:pPr>
        <w:spacing w:after="0" w:line="185"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As of September 30, 2022, all of the Company’s cash and cash equivalents consisted of cash on deposit with U.S. banks denominated in U. S. dollars and Australian dollars.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4. Property and Equipment, net</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480" w:type="dxa"/>
            <w:vAlign w:val="bottom"/>
            <w:tcBorders>
              <w:top w:val="single" w:sz="8" w:color="auto"/>
            </w:tcBorders>
          </w:tcPr>
          <w:p>
            <w:pPr>
              <w:spacing w:after="0"/>
              <w:rPr>
                <w:sz w:val="15"/>
                <w:szCs w:val="15"/>
                <w:color w:val="auto"/>
              </w:rPr>
            </w:pPr>
          </w:p>
        </w:tc>
        <w:tc>
          <w:tcPr>
            <w:tcW w:w="32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2"/>
          </w:tcPr>
          <w:p>
            <w:pPr>
              <w:jc w:val="right"/>
              <w:ind w:right="53"/>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5"/>
                <w:szCs w:val="15"/>
                <w:color w:val="auto"/>
              </w:rPr>
            </w:pPr>
          </w:p>
        </w:tc>
      </w:tr>
      <w:tr>
        <w:trPr>
          <w:trHeight w:val="171"/>
        </w:trPr>
        <w:tc>
          <w:tcPr>
            <w:tcW w:w="3480" w:type="dxa"/>
            <w:vAlign w:val="bottom"/>
            <w:tcBorders>
              <w:bottom w:val="single" w:sz="8" w:color="CCEEFF"/>
            </w:tcBorders>
          </w:tcPr>
          <w:p>
            <w:pPr>
              <w:spacing w:after="0"/>
              <w:rPr>
                <w:sz w:val="14"/>
                <w:szCs w:val="14"/>
                <w:color w:val="auto"/>
              </w:rPr>
            </w:pPr>
          </w:p>
        </w:tc>
        <w:tc>
          <w:tcPr>
            <w:tcW w:w="3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231F20"/>
              </w:rPr>
              <w:t>2022</w:t>
            </w: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231F20"/>
              </w:rPr>
              <w:t>2021</w:t>
            </w:r>
          </w:p>
        </w:tc>
        <w:tc>
          <w:tcPr>
            <w:tcW w:w="20" w:type="dxa"/>
            <w:vAlign w:val="bottom"/>
          </w:tcPr>
          <w:p>
            <w:pPr>
              <w:spacing w:after="0"/>
              <w:rPr>
                <w:sz w:val="14"/>
                <w:szCs w:val="14"/>
                <w:color w:val="auto"/>
              </w:rPr>
            </w:pPr>
          </w:p>
        </w:tc>
      </w:tr>
      <w:tr>
        <w:trPr>
          <w:trHeight w:val="196"/>
        </w:trPr>
        <w:tc>
          <w:tcPr>
            <w:tcW w:w="3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231F20"/>
              </w:rPr>
              <w:t>Lab equipment</w:t>
            </w:r>
          </w:p>
        </w:tc>
        <w:tc>
          <w:tcPr>
            <w:tcW w:w="3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231F20"/>
              </w:rPr>
              <w:t>$</w:t>
            </w:r>
          </w:p>
        </w:tc>
        <w:tc>
          <w:tcPr>
            <w:tcW w:w="880" w:type="dxa"/>
            <w:vAlign w:val="bottom"/>
            <w:shd w:val="clear" w:color="auto" w:fill="CCEEFF"/>
          </w:tcPr>
          <w:p>
            <w:pPr>
              <w:jc w:val="right"/>
              <w:ind w:right="73"/>
              <w:spacing w:after="0" w:line="196" w:lineRule="exact"/>
              <w:rPr>
                <w:sz w:val="20"/>
                <w:szCs w:val="20"/>
                <w:color w:val="auto"/>
              </w:rPr>
            </w:pPr>
            <w:r>
              <w:rPr>
                <w:rFonts w:ascii="Arial" w:cs="Arial" w:eastAsia="Arial" w:hAnsi="Arial"/>
                <w:sz w:val="18"/>
                <w:szCs w:val="18"/>
                <w:color w:val="231F20"/>
              </w:rPr>
              <w:t>1,829</w:t>
            </w:r>
          </w:p>
        </w:tc>
        <w:tc>
          <w:tcPr>
            <w:tcW w:w="34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231F20"/>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1,639</w:t>
            </w:r>
          </w:p>
        </w:tc>
        <w:tc>
          <w:tcPr>
            <w:tcW w:w="20" w:type="dxa"/>
            <w:vAlign w:val="bottom"/>
          </w:tcPr>
          <w:p>
            <w:pPr>
              <w:spacing w:after="0"/>
              <w:rPr>
                <w:sz w:val="17"/>
                <w:szCs w:val="17"/>
                <w:color w:val="auto"/>
              </w:rPr>
            </w:pPr>
          </w:p>
        </w:tc>
      </w:tr>
      <w:tr>
        <w:trPr>
          <w:trHeight w:val="203"/>
        </w:trPr>
        <w:tc>
          <w:tcPr>
            <w:tcW w:w="348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231F20"/>
              </w:rPr>
              <w:t>Computer equipment</w:t>
            </w:r>
          </w:p>
        </w:tc>
        <w:tc>
          <w:tcPr>
            <w:tcW w:w="3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73"/>
              <w:spacing w:after="0" w:line="202" w:lineRule="exact"/>
              <w:rPr>
                <w:sz w:val="20"/>
                <w:szCs w:val="20"/>
                <w:color w:val="auto"/>
              </w:rPr>
            </w:pPr>
            <w:r>
              <w:rPr>
                <w:rFonts w:ascii="Arial" w:cs="Arial" w:eastAsia="Arial" w:hAnsi="Arial"/>
                <w:sz w:val="18"/>
                <w:szCs w:val="18"/>
                <w:color w:val="231F20"/>
              </w:rPr>
              <w:t>59</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231F20"/>
              </w:rPr>
              <w:t>59</w:t>
            </w:r>
          </w:p>
        </w:tc>
        <w:tc>
          <w:tcPr>
            <w:tcW w:w="20" w:type="dxa"/>
            <w:vAlign w:val="bottom"/>
          </w:tcPr>
          <w:p>
            <w:pPr>
              <w:spacing w:after="0"/>
              <w:rPr>
                <w:sz w:val="17"/>
                <w:szCs w:val="17"/>
                <w:color w:val="auto"/>
              </w:rPr>
            </w:pPr>
          </w:p>
        </w:tc>
      </w:tr>
      <w:tr>
        <w:trPr>
          <w:trHeight w:val="196"/>
        </w:trPr>
        <w:tc>
          <w:tcPr>
            <w:tcW w:w="348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231F20"/>
              </w:rPr>
              <w:t>Property and equipment, gross</w:t>
            </w:r>
          </w:p>
        </w:tc>
        <w:tc>
          <w:tcPr>
            <w:tcW w:w="3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3"/>
              <w:spacing w:after="0" w:line="196" w:lineRule="exact"/>
              <w:rPr>
                <w:sz w:val="20"/>
                <w:szCs w:val="20"/>
                <w:color w:val="auto"/>
              </w:rPr>
            </w:pPr>
            <w:r>
              <w:rPr>
                <w:rFonts w:ascii="Arial" w:cs="Arial" w:eastAsia="Arial" w:hAnsi="Arial"/>
                <w:sz w:val="18"/>
                <w:szCs w:val="18"/>
                <w:color w:val="231F20"/>
              </w:rPr>
              <w:t>1,888</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1,698</w:t>
            </w:r>
          </w:p>
        </w:tc>
        <w:tc>
          <w:tcPr>
            <w:tcW w:w="20" w:type="dxa"/>
            <w:vAlign w:val="bottom"/>
          </w:tcPr>
          <w:p>
            <w:pPr>
              <w:spacing w:after="0"/>
              <w:rPr>
                <w:sz w:val="17"/>
                <w:szCs w:val="17"/>
                <w:color w:val="auto"/>
              </w:rPr>
            </w:pPr>
          </w:p>
        </w:tc>
      </w:tr>
      <w:tr>
        <w:trPr>
          <w:trHeight w:val="203"/>
        </w:trPr>
        <w:tc>
          <w:tcPr>
            <w:tcW w:w="348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231F20"/>
              </w:rPr>
              <w:t>Less: Accumulated depreciation</w:t>
            </w:r>
          </w:p>
        </w:tc>
        <w:tc>
          <w:tcPr>
            <w:tcW w:w="3220" w:type="dxa"/>
            <w:vAlign w:val="bottom"/>
            <w:tcBorders>
              <w:bottom w:val="single" w:sz="8" w:color="CCEEFF"/>
            </w:tcBorders>
          </w:tcPr>
          <w:p>
            <w:pPr>
              <w:spacing w:after="0"/>
              <w:rPr>
                <w:sz w:val="17"/>
                <w:szCs w:val="17"/>
                <w:color w:val="auto"/>
              </w:rPr>
            </w:pPr>
          </w:p>
        </w:tc>
        <w:tc>
          <w:tcPr>
            <w:tcW w:w="240" w:type="dxa"/>
            <w:vAlign w:val="bottom"/>
            <w:tcBorders>
              <w:bottom w:val="single" w:sz="8" w:color="231F20"/>
            </w:tcBorders>
          </w:tcPr>
          <w:p>
            <w:pPr>
              <w:spacing w:after="0"/>
              <w:rPr>
                <w:sz w:val="17"/>
                <w:szCs w:val="17"/>
                <w:color w:val="auto"/>
              </w:rPr>
            </w:pPr>
          </w:p>
        </w:tc>
        <w:tc>
          <w:tcPr>
            <w:tcW w:w="880" w:type="dxa"/>
            <w:vAlign w:val="bottom"/>
            <w:tcBorders>
              <w:bottom w:val="single" w:sz="8" w:color="231F20"/>
            </w:tcBorders>
          </w:tcPr>
          <w:p>
            <w:pPr>
              <w:jc w:val="right"/>
              <w:ind w:right="13"/>
              <w:spacing w:after="0" w:line="202" w:lineRule="exact"/>
              <w:rPr>
                <w:sz w:val="20"/>
                <w:szCs w:val="20"/>
                <w:color w:val="auto"/>
              </w:rPr>
            </w:pPr>
            <w:r>
              <w:rPr>
                <w:rFonts w:ascii="Arial" w:cs="Arial" w:eastAsia="Arial" w:hAnsi="Arial"/>
                <w:sz w:val="18"/>
                <w:szCs w:val="18"/>
                <w:color w:val="231F20"/>
              </w:rPr>
              <w:t>(484)</w:t>
            </w:r>
          </w:p>
        </w:tc>
        <w:tc>
          <w:tcPr>
            <w:tcW w:w="340" w:type="dxa"/>
            <w:vAlign w:val="bottom"/>
            <w:tcBorders>
              <w:bottom w:val="single" w:sz="8" w:color="231F20"/>
            </w:tcBorders>
          </w:tcPr>
          <w:p>
            <w:pPr>
              <w:spacing w:after="0"/>
              <w:rPr>
                <w:sz w:val="17"/>
                <w:szCs w:val="17"/>
                <w:color w:val="auto"/>
              </w:rPr>
            </w:pPr>
          </w:p>
        </w:tc>
        <w:tc>
          <w:tcPr>
            <w:tcW w:w="740" w:type="dxa"/>
            <w:vAlign w:val="bottom"/>
            <w:tcBorders>
              <w:bottom w:val="single" w:sz="8" w:color="231F20"/>
            </w:tcBorders>
          </w:tcPr>
          <w:p>
            <w:pPr>
              <w:jc w:val="right"/>
              <w:spacing w:after="0" w:line="202" w:lineRule="exact"/>
              <w:rPr>
                <w:sz w:val="20"/>
                <w:szCs w:val="20"/>
                <w:color w:val="auto"/>
              </w:rPr>
            </w:pPr>
            <w:r>
              <w:rPr>
                <w:rFonts w:ascii="Arial" w:cs="Arial" w:eastAsia="Arial" w:hAnsi="Arial"/>
                <w:sz w:val="18"/>
                <w:szCs w:val="18"/>
                <w:color w:val="231F20"/>
              </w:rPr>
              <w:t>(224)</w:t>
            </w:r>
          </w:p>
        </w:tc>
        <w:tc>
          <w:tcPr>
            <w:tcW w:w="20" w:type="dxa"/>
            <w:vAlign w:val="bottom"/>
          </w:tcPr>
          <w:p>
            <w:pPr>
              <w:spacing w:after="0"/>
              <w:rPr>
                <w:sz w:val="17"/>
                <w:szCs w:val="17"/>
                <w:color w:val="auto"/>
              </w:rPr>
            </w:pPr>
          </w:p>
        </w:tc>
      </w:tr>
      <w:tr>
        <w:trPr>
          <w:trHeight w:val="196"/>
        </w:trPr>
        <w:tc>
          <w:tcPr>
            <w:tcW w:w="3480" w:type="dxa"/>
            <w:vAlign w:val="bottom"/>
            <w:tcBorders>
              <w:bottom w:val="single" w:sz="8" w:color="auto"/>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Property and equipment, net</w:t>
            </w:r>
          </w:p>
        </w:tc>
        <w:tc>
          <w:tcPr>
            <w:tcW w:w="32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16"/>
              <w:spacing w:after="0" w:line="196" w:lineRule="exact"/>
              <w:rPr>
                <w:sz w:val="20"/>
                <w:szCs w:val="20"/>
                <w:color w:val="auto"/>
              </w:rPr>
            </w:pPr>
            <w:r>
              <w:rPr>
                <w:rFonts w:ascii="Arial" w:cs="Arial" w:eastAsia="Arial" w:hAnsi="Arial"/>
                <w:sz w:val="18"/>
                <w:szCs w:val="18"/>
                <w:color w:val="231F20"/>
              </w:rPr>
              <w:t>$</w:t>
            </w:r>
          </w:p>
        </w:tc>
        <w:tc>
          <w:tcPr>
            <w:tcW w:w="880" w:type="dxa"/>
            <w:vAlign w:val="bottom"/>
            <w:tcBorders>
              <w:bottom w:val="single" w:sz="8" w:color="auto"/>
            </w:tcBorders>
            <w:shd w:val="clear" w:color="auto" w:fill="CCEEFF"/>
          </w:tcPr>
          <w:p>
            <w:pPr>
              <w:jc w:val="right"/>
              <w:ind w:right="73"/>
              <w:spacing w:after="0" w:line="196" w:lineRule="exact"/>
              <w:rPr>
                <w:sz w:val="20"/>
                <w:szCs w:val="20"/>
                <w:color w:val="auto"/>
              </w:rPr>
            </w:pPr>
            <w:r>
              <w:rPr>
                <w:rFonts w:ascii="Arial" w:cs="Arial" w:eastAsia="Arial" w:hAnsi="Arial"/>
                <w:sz w:val="18"/>
                <w:szCs w:val="18"/>
                <w:color w:val="231F20"/>
              </w:rPr>
              <w:t>1,404</w:t>
            </w:r>
          </w:p>
        </w:tc>
        <w:tc>
          <w:tcPr>
            <w:tcW w:w="340" w:type="dxa"/>
            <w:vAlign w:val="bottom"/>
            <w:tcBorders>
              <w:bottom w:val="single" w:sz="8" w:color="auto"/>
            </w:tcBorders>
            <w:shd w:val="clear" w:color="auto" w:fill="CCEEFF"/>
          </w:tcPr>
          <w:p>
            <w:pPr>
              <w:jc w:val="right"/>
              <w:ind w:right="16"/>
              <w:spacing w:after="0" w:line="196" w:lineRule="exact"/>
              <w:rPr>
                <w:sz w:val="20"/>
                <w:szCs w:val="20"/>
                <w:color w:val="auto"/>
              </w:rPr>
            </w:pPr>
            <w:r>
              <w:rPr>
                <w:rFonts w:ascii="Arial" w:cs="Arial" w:eastAsia="Arial" w:hAnsi="Arial"/>
                <w:sz w:val="18"/>
                <w:szCs w:val="18"/>
                <w:color w:val="231F20"/>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1,474</w:t>
            </w:r>
          </w:p>
        </w:tc>
        <w:tc>
          <w:tcPr>
            <w:tcW w:w="20" w:type="dxa"/>
            <w:vAlign w:val="bottom"/>
          </w:tcPr>
          <w:p>
            <w:pPr>
              <w:spacing w:after="0"/>
              <w:rPr>
                <w:sz w:val="17"/>
                <w:szCs w:val="17"/>
                <w:color w:val="auto"/>
              </w:rPr>
            </w:pP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60"/>
        </w:trPr>
        <w:tc>
          <w:tcPr>
            <w:tcW w:w="3480" w:type="dxa"/>
            <w:vAlign w:val="bottom"/>
          </w:tcPr>
          <w:p>
            <w:pPr>
              <w:spacing w:after="0"/>
              <w:rPr>
                <w:sz w:val="24"/>
                <w:szCs w:val="24"/>
                <w:color w:val="auto"/>
              </w:rPr>
            </w:pPr>
          </w:p>
        </w:tc>
        <w:tc>
          <w:tcPr>
            <w:tcW w:w="3220" w:type="dxa"/>
            <w:vAlign w:val="bottom"/>
          </w:tcPr>
          <w:p>
            <w:pPr>
              <w:jc w:val="right"/>
              <w:ind w:right="205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3"/>
        </w:trPr>
        <w:tc>
          <w:tcPr>
            <w:tcW w:w="34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tabs>
          <w:tab w:leader="none" w:pos="36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7"/>
          <w:szCs w:val="17"/>
          <w:color w:val="auto"/>
        </w:rPr>
        <w:t>Prepaid Expenses and Other Current Assets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634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gridSpan w:val="4"/>
          </w:tcPr>
          <w:p>
            <w:pPr>
              <w:jc w:val="right"/>
              <w:ind w:right="52"/>
              <w:spacing w:after="0"/>
              <w:rPr>
                <w:sz w:val="20"/>
                <w:szCs w:val="20"/>
                <w:color w:val="auto"/>
              </w:rPr>
            </w:pPr>
            <w:r>
              <w:rPr>
                <w:rFonts w:ascii="Arial" w:cs="Arial" w:eastAsia="Arial" w:hAnsi="Arial"/>
                <w:sz w:val="14"/>
                <w:szCs w:val="14"/>
                <w:b w:val="1"/>
                <w:bCs w:val="1"/>
                <w:color w:val="auto"/>
              </w:rPr>
              <w:t>September 30,</w:t>
            </w:r>
          </w:p>
        </w:tc>
        <w:tc>
          <w:tcPr>
            <w:tcW w:w="110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634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231F20"/>
              </w:rPr>
              <w:t>2022</w:t>
            </w: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231F20"/>
              </w:rPr>
              <w:t>2021</w:t>
            </w:r>
          </w:p>
        </w:tc>
        <w:tc>
          <w:tcPr>
            <w:tcW w:w="20" w:type="dxa"/>
            <w:vAlign w:val="bottom"/>
            <w:tcBorders>
              <w:bottom w:val="single" w:sz="8" w:color="auto"/>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6340" w:type="dxa"/>
            <w:vAlign w:val="bottom"/>
            <w:shd w:val="clear" w:color="auto" w:fill="CCEEFF"/>
          </w:tcPr>
          <w:p>
            <w:pPr>
              <w:spacing w:after="0" w:line="196" w:lineRule="exact"/>
              <w:rPr>
                <w:sz w:val="20"/>
                <w:szCs w:val="20"/>
                <w:color w:val="auto"/>
              </w:rPr>
            </w:pPr>
            <w:r>
              <w:rPr>
                <w:rFonts w:ascii="Arial" w:cs="Arial" w:eastAsia="Arial" w:hAnsi="Arial"/>
                <w:sz w:val="18"/>
                <w:szCs w:val="18"/>
                <w:color w:val="231F20"/>
              </w:rPr>
              <w:t>Reimbursable research and development costs from a collaboration partner</w:t>
            </w:r>
          </w:p>
        </w:tc>
        <w:tc>
          <w:tcPr>
            <w:tcW w:w="3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36"/>
              <w:spacing w:after="0" w:line="196" w:lineRule="exact"/>
              <w:rPr>
                <w:sz w:val="20"/>
                <w:szCs w:val="20"/>
                <w:color w:val="auto"/>
              </w:rPr>
            </w:pPr>
            <w:r>
              <w:rPr>
                <w:rFonts w:ascii="Arial" w:cs="Arial" w:eastAsia="Arial" w:hAnsi="Arial"/>
                <w:sz w:val="18"/>
                <w:szCs w:val="18"/>
                <w:color w:val="231F20"/>
              </w:rPr>
              <w:t>$</w:t>
            </w:r>
          </w:p>
        </w:tc>
        <w:tc>
          <w:tcPr>
            <w:tcW w:w="860" w:type="dxa"/>
            <w:vAlign w:val="bottom"/>
            <w:shd w:val="clear" w:color="auto" w:fill="CCEEFF"/>
          </w:tcPr>
          <w:p>
            <w:pPr>
              <w:jc w:val="right"/>
              <w:ind w:right="72"/>
              <w:spacing w:after="0" w:line="196" w:lineRule="exact"/>
              <w:rPr>
                <w:sz w:val="20"/>
                <w:szCs w:val="20"/>
                <w:color w:val="auto"/>
              </w:rPr>
            </w:pPr>
            <w:r>
              <w:rPr>
                <w:rFonts w:ascii="Arial" w:cs="Arial" w:eastAsia="Arial" w:hAnsi="Arial"/>
                <w:sz w:val="18"/>
                <w:szCs w:val="18"/>
                <w:color w:val="231F20"/>
              </w:rPr>
              <w:t>1,082</w:t>
            </w:r>
          </w:p>
        </w:tc>
        <w:tc>
          <w:tcPr>
            <w:tcW w:w="34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231F20"/>
              </w:rPr>
              <w:t>$</w:t>
            </w:r>
          </w:p>
        </w:tc>
        <w:tc>
          <w:tcPr>
            <w:tcW w:w="7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231F20"/>
              </w:rPr>
              <w:t>—</w:t>
            </w:r>
          </w:p>
        </w:tc>
      </w:tr>
      <w:tr>
        <w:trPr>
          <w:trHeight w:val="203"/>
        </w:trPr>
        <w:tc>
          <w:tcPr>
            <w:tcW w:w="20" w:type="dxa"/>
            <w:vAlign w:val="bottom"/>
          </w:tcPr>
          <w:p>
            <w:pPr>
              <w:spacing w:after="0"/>
              <w:rPr>
                <w:sz w:val="17"/>
                <w:szCs w:val="17"/>
                <w:color w:val="auto"/>
              </w:rPr>
            </w:pPr>
          </w:p>
        </w:tc>
        <w:tc>
          <w:tcPr>
            <w:tcW w:w="6340" w:type="dxa"/>
            <w:vAlign w:val="bottom"/>
          </w:tcPr>
          <w:p>
            <w:pPr>
              <w:spacing w:after="0" w:line="202" w:lineRule="exact"/>
              <w:rPr>
                <w:sz w:val="20"/>
                <w:szCs w:val="20"/>
                <w:color w:val="auto"/>
              </w:rPr>
            </w:pPr>
            <w:r>
              <w:rPr>
                <w:rFonts w:ascii="Arial" w:cs="Arial" w:eastAsia="Arial" w:hAnsi="Arial"/>
                <w:sz w:val="18"/>
                <w:szCs w:val="18"/>
                <w:color w:val="231F20"/>
              </w:rPr>
              <w:t>Interest receivable on marketable securities</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72"/>
              <w:spacing w:after="0" w:line="202" w:lineRule="exact"/>
              <w:rPr>
                <w:sz w:val="20"/>
                <w:szCs w:val="20"/>
                <w:color w:val="auto"/>
              </w:rPr>
            </w:pPr>
            <w:r>
              <w:rPr>
                <w:rFonts w:ascii="Arial" w:cs="Arial" w:eastAsia="Arial" w:hAnsi="Arial"/>
                <w:sz w:val="18"/>
                <w:szCs w:val="18"/>
                <w:color w:val="231F20"/>
              </w:rPr>
              <w:t>457</w:t>
            </w:r>
          </w:p>
        </w:tc>
        <w:tc>
          <w:tcPr>
            <w:tcW w:w="3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231F20"/>
              </w:rPr>
              <w:t>130</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231F20"/>
              </w:rPr>
              <w:t>Prepaid subscriptions and licenses</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231F20"/>
              </w:rPr>
              <w:t>440</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291</w:t>
            </w:r>
          </w:p>
        </w:tc>
        <w:tc>
          <w:tcPr>
            <w:tcW w:w="2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340" w:type="dxa"/>
            <w:vAlign w:val="bottom"/>
          </w:tcPr>
          <w:p>
            <w:pPr>
              <w:spacing w:after="0" w:line="202" w:lineRule="exact"/>
              <w:rPr>
                <w:sz w:val="20"/>
                <w:szCs w:val="20"/>
                <w:color w:val="auto"/>
              </w:rPr>
            </w:pPr>
            <w:r>
              <w:rPr>
                <w:rFonts w:ascii="Arial" w:cs="Arial" w:eastAsia="Arial" w:hAnsi="Arial"/>
                <w:sz w:val="18"/>
                <w:szCs w:val="18"/>
                <w:color w:val="231F20"/>
              </w:rPr>
              <w:t>Prepaid insurance</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72"/>
              <w:spacing w:after="0" w:line="202" w:lineRule="exact"/>
              <w:rPr>
                <w:sz w:val="20"/>
                <w:szCs w:val="20"/>
                <w:color w:val="auto"/>
              </w:rPr>
            </w:pPr>
            <w:r>
              <w:rPr>
                <w:rFonts w:ascii="Arial" w:cs="Arial" w:eastAsia="Arial" w:hAnsi="Arial"/>
                <w:sz w:val="18"/>
                <w:szCs w:val="18"/>
                <w:color w:val="231F20"/>
              </w:rPr>
              <w:t>387</w:t>
            </w:r>
          </w:p>
        </w:tc>
        <w:tc>
          <w:tcPr>
            <w:tcW w:w="3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231F20"/>
              </w:rPr>
              <w:t>1,766</w:t>
            </w:r>
          </w:p>
        </w:tc>
        <w:tc>
          <w:tcPr>
            <w:tcW w:w="20" w:type="dxa"/>
            <w:vAlign w:val="bottom"/>
          </w:tcPr>
          <w:p>
            <w:pPr>
              <w:spacing w:after="0"/>
              <w:rPr>
                <w:sz w:val="17"/>
                <w:szCs w:val="17"/>
                <w:color w:val="auto"/>
              </w:rPr>
            </w:pPr>
          </w:p>
        </w:tc>
      </w:tr>
      <w:tr>
        <w:trPr>
          <w:trHeight w:val="243"/>
        </w:trPr>
        <w:tc>
          <w:tcPr>
            <w:tcW w:w="20" w:type="dxa"/>
            <w:vAlign w:val="bottom"/>
          </w:tcPr>
          <w:p>
            <w:pPr>
              <w:spacing w:after="0"/>
              <w:rPr>
                <w:sz w:val="21"/>
                <w:szCs w:val="21"/>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231F20"/>
              </w:rPr>
              <w:t>Prepaid research contracts</w:t>
            </w:r>
          </w:p>
        </w:tc>
        <w:tc>
          <w:tcPr>
            <w:tcW w:w="3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231F20"/>
              </w:rPr>
              <w:t>14</w:t>
            </w: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239</w:t>
            </w:r>
          </w:p>
        </w:tc>
        <w:tc>
          <w:tcPr>
            <w:tcW w:w="20" w:type="dxa"/>
            <w:vAlign w:val="bottom"/>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6340" w:type="dxa"/>
            <w:vAlign w:val="bottom"/>
          </w:tcPr>
          <w:p>
            <w:pPr>
              <w:spacing w:after="0" w:line="202" w:lineRule="exact"/>
              <w:rPr>
                <w:sz w:val="20"/>
                <w:szCs w:val="20"/>
                <w:color w:val="auto"/>
              </w:rPr>
            </w:pPr>
            <w:r>
              <w:rPr>
                <w:rFonts w:ascii="Arial" w:cs="Arial" w:eastAsia="Arial" w:hAnsi="Arial"/>
                <w:sz w:val="18"/>
                <w:szCs w:val="18"/>
                <w:color w:val="231F20"/>
              </w:rPr>
              <w:t>Prepaid clinical trial costs</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72"/>
              <w:spacing w:after="0" w:line="202" w:lineRule="exact"/>
              <w:rPr>
                <w:sz w:val="20"/>
                <w:szCs w:val="20"/>
                <w:color w:val="auto"/>
              </w:rPr>
            </w:pPr>
            <w:r>
              <w:rPr>
                <w:rFonts w:ascii="Arial" w:cs="Arial" w:eastAsia="Arial" w:hAnsi="Arial"/>
                <w:sz w:val="18"/>
                <w:szCs w:val="18"/>
                <w:color w:val="231F20"/>
              </w:rPr>
              <w:t>—</w:t>
            </w:r>
          </w:p>
        </w:tc>
        <w:tc>
          <w:tcPr>
            <w:tcW w:w="3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231F20"/>
              </w:rPr>
              <w:t>916</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40" w:type="dxa"/>
            <w:vAlign w:val="bottom"/>
            <w:shd w:val="clear" w:color="auto" w:fill="CCEEFF"/>
          </w:tcPr>
          <w:p>
            <w:pPr>
              <w:spacing w:after="0" w:line="202" w:lineRule="exact"/>
              <w:rPr>
                <w:sz w:val="20"/>
                <w:szCs w:val="20"/>
                <w:color w:val="auto"/>
              </w:rPr>
            </w:pPr>
            <w:r>
              <w:rPr>
                <w:rFonts w:ascii="Arial" w:cs="Arial" w:eastAsia="Arial" w:hAnsi="Arial"/>
                <w:sz w:val="18"/>
                <w:szCs w:val="18"/>
                <w:color w:val="231F20"/>
              </w:rPr>
              <w:t>Other</w:t>
            </w:r>
          </w:p>
        </w:tc>
        <w:tc>
          <w:tcPr>
            <w:tcW w:w="340" w:type="dxa"/>
            <w:vAlign w:val="bottom"/>
            <w:shd w:val="clear" w:color="auto" w:fill="CCEEFF"/>
          </w:tcPr>
          <w:p>
            <w:pPr>
              <w:spacing w:after="0"/>
              <w:rPr>
                <w:sz w:val="17"/>
                <w:szCs w:val="17"/>
                <w:color w:val="auto"/>
              </w:rPr>
            </w:pPr>
          </w:p>
        </w:tc>
        <w:tc>
          <w:tcPr>
            <w:tcW w:w="20" w:type="dxa"/>
            <w:vAlign w:val="bottom"/>
            <w:tcBorders>
              <w:bottom w:val="single" w:sz="8" w:color="231F20"/>
            </w:tcBorders>
            <w:shd w:val="clear" w:color="auto" w:fill="CCEEFF"/>
          </w:tcPr>
          <w:p>
            <w:pPr>
              <w:spacing w:after="0"/>
              <w:rPr>
                <w:sz w:val="17"/>
                <w:szCs w:val="17"/>
                <w:color w:val="auto"/>
              </w:rPr>
            </w:pPr>
          </w:p>
        </w:tc>
        <w:tc>
          <w:tcPr>
            <w:tcW w:w="240" w:type="dxa"/>
            <w:vAlign w:val="bottom"/>
            <w:tcBorders>
              <w:bottom w:val="single" w:sz="8" w:color="231F20"/>
            </w:tcBorders>
            <w:shd w:val="clear" w:color="auto" w:fill="CCEEFF"/>
          </w:tcPr>
          <w:p>
            <w:pPr>
              <w:spacing w:after="0"/>
              <w:rPr>
                <w:sz w:val="17"/>
                <w:szCs w:val="17"/>
                <w:color w:val="auto"/>
              </w:rPr>
            </w:pPr>
          </w:p>
        </w:tc>
        <w:tc>
          <w:tcPr>
            <w:tcW w:w="860" w:type="dxa"/>
            <w:vAlign w:val="bottom"/>
            <w:tcBorders>
              <w:bottom w:val="single" w:sz="8" w:color="231F20"/>
            </w:tcBorders>
            <w:shd w:val="clear" w:color="auto" w:fill="CCEEFF"/>
          </w:tcPr>
          <w:p>
            <w:pPr>
              <w:jc w:val="right"/>
              <w:ind w:right="72"/>
              <w:spacing w:after="0" w:line="202" w:lineRule="exact"/>
              <w:rPr>
                <w:sz w:val="20"/>
                <w:szCs w:val="20"/>
                <w:color w:val="auto"/>
              </w:rPr>
            </w:pPr>
            <w:r>
              <w:rPr>
                <w:rFonts w:ascii="Arial" w:cs="Arial" w:eastAsia="Arial" w:hAnsi="Arial"/>
                <w:sz w:val="18"/>
                <w:szCs w:val="18"/>
                <w:color w:val="231F20"/>
              </w:rPr>
              <w:t>78</w:t>
            </w:r>
          </w:p>
        </w:tc>
        <w:tc>
          <w:tcPr>
            <w:tcW w:w="340" w:type="dxa"/>
            <w:vAlign w:val="bottom"/>
            <w:tcBorders>
              <w:bottom w:val="single" w:sz="8" w:color="231F20"/>
            </w:tcBorders>
            <w:shd w:val="clear" w:color="auto" w:fill="CCEEFF"/>
          </w:tcPr>
          <w:p>
            <w:pPr>
              <w:spacing w:after="0"/>
              <w:rPr>
                <w:sz w:val="17"/>
                <w:szCs w:val="17"/>
                <w:color w:val="auto"/>
              </w:rPr>
            </w:pPr>
          </w:p>
        </w:tc>
        <w:tc>
          <w:tcPr>
            <w:tcW w:w="740" w:type="dxa"/>
            <w:vAlign w:val="bottom"/>
            <w:tcBorders>
              <w:bottom w:val="single" w:sz="8" w:color="231F20"/>
            </w:tcBorders>
            <w:shd w:val="clear" w:color="auto" w:fill="CCEEFF"/>
          </w:tcPr>
          <w:p>
            <w:pPr>
              <w:jc w:val="right"/>
              <w:spacing w:after="0" w:line="202" w:lineRule="exact"/>
              <w:rPr>
                <w:sz w:val="20"/>
                <w:szCs w:val="20"/>
                <w:color w:val="auto"/>
              </w:rPr>
            </w:pPr>
            <w:r>
              <w:rPr>
                <w:rFonts w:ascii="Arial" w:cs="Arial" w:eastAsia="Arial" w:hAnsi="Arial"/>
                <w:sz w:val="18"/>
                <w:szCs w:val="18"/>
                <w:color w:val="231F20"/>
              </w:rPr>
              <w:t>93</w:t>
            </w:r>
          </w:p>
        </w:tc>
        <w:tc>
          <w:tcPr>
            <w:tcW w:w="20" w:type="dxa"/>
            <w:vAlign w:val="bottom"/>
            <w:tcBorders>
              <w:bottom w:val="single" w:sz="8" w:color="231F20"/>
            </w:tcBorders>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3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gridSpan w:val="2"/>
          </w:tcPr>
          <w:p>
            <w:pPr>
              <w:jc w:val="right"/>
              <w:ind w:right="36"/>
              <w:spacing w:after="0" w:line="196" w:lineRule="exact"/>
              <w:rPr>
                <w:sz w:val="20"/>
                <w:szCs w:val="20"/>
                <w:color w:val="auto"/>
              </w:rPr>
            </w:pPr>
            <w:r>
              <w:rPr>
                <w:rFonts w:ascii="Arial" w:cs="Arial" w:eastAsia="Arial" w:hAnsi="Arial"/>
                <w:sz w:val="18"/>
                <w:szCs w:val="18"/>
                <w:color w:val="231F20"/>
              </w:rPr>
              <w:t>$</w:t>
            </w:r>
          </w:p>
        </w:tc>
        <w:tc>
          <w:tcPr>
            <w:tcW w:w="860" w:type="dxa"/>
            <w:vAlign w:val="bottom"/>
            <w:tcBorders>
              <w:bottom w:val="single" w:sz="8" w:color="auto"/>
            </w:tcBorders>
          </w:tcPr>
          <w:p>
            <w:pPr>
              <w:jc w:val="right"/>
              <w:ind w:right="72"/>
              <w:spacing w:after="0" w:line="196" w:lineRule="exact"/>
              <w:rPr>
                <w:sz w:val="20"/>
                <w:szCs w:val="20"/>
                <w:color w:val="auto"/>
              </w:rPr>
            </w:pPr>
            <w:r>
              <w:rPr>
                <w:rFonts w:ascii="Arial" w:cs="Arial" w:eastAsia="Arial" w:hAnsi="Arial"/>
                <w:sz w:val="18"/>
                <w:szCs w:val="18"/>
                <w:color w:val="231F20"/>
              </w:rPr>
              <w:t>2,458</w:t>
            </w:r>
          </w:p>
        </w:tc>
        <w:tc>
          <w:tcPr>
            <w:tcW w:w="340" w:type="dxa"/>
            <w:vAlign w:val="bottom"/>
            <w:tcBorders>
              <w:bottom w:val="single" w:sz="8" w:color="auto"/>
            </w:tcBorders>
          </w:tcPr>
          <w:p>
            <w:pPr>
              <w:jc w:val="right"/>
              <w:ind w:right="16"/>
              <w:spacing w:after="0" w:line="196" w:lineRule="exact"/>
              <w:rPr>
                <w:sz w:val="20"/>
                <w:szCs w:val="20"/>
                <w:color w:val="auto"/>
              </w:rPr>
            </w:pPr>
            <w:r>
              <w:rPr>
                <w:rFonts w:ascii="Arial" w:cs="Arial" w:eastAsia="Arial" w:hAnsi="Arial"/>
                <w:sz w:val="18"/>
                <w:szCs w:val="18"/>
                <w:color w:val="231F20"/>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231F20"/>
              </w:rPr>
              <w:t>3,435</w:t>
            </w:r>
          </w:p>
        </w:tc>
        <w:tc>
          <w:tcPr>
            <w:tcW w:w="20" w:type="dxa"/>
            <w:vAlign w:val="bottom"/>
            <w:tcBorders>
              <w:bottom w:val="single" w:sz="8" w:color="auto"/>
            </w:tcBorders>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43"/>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6.  Other Current Liabilities</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9"/>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 consisted of the following (in thousands):</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2"/>
        </w:trPr>
        <w:tc>
          <w:tcPr>
            <w:tcW w:w="20" w:type="dxa"/>
            <w:vAlign w:val="bottom"/>
            <w:tcBorders>
              <w:bottom w:val="single" w:sz="8" w:color="auto"/>
            </w:tcBorders>
          </w:tcPr>
          <w:p>
            <w:pPr>
              <w:spacing w:after="0"/>
              <w:rPr>
                <w:sz w:val="18"/>
                <w:szCs w:val="18"/>
                <w:color w:val="auto"/>
              </w:rPr>
            </w:pPr>
          </w:p>
        </w:tc>
        <w:tc>
          <w:tcPr>
            <w:tcW w:w="63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spacing w:after="0"/>
              <w:rPr>
                <w:sz w:val="18"/>
                <w:szCs w:val="18"/>
                <w:color w:val="auto"/>
              </w:rPr>
            </w:pPr>
          </w:p>
        </w:tc>
        <w:tc>
          <w:tcPr>
            <w:tcW w:w="1080" w:type="dxa"/>
            <w:vAlign w:val="bottom"/>
            <w:tcBorders>
              <w:bottom w:val="single" w:sz="8" w:color="auto"/>
            </w:tcBorders>
            <w:gridSpan w:val="2"/>
          </w:tcPr>
          <w:p>
            <w:pPr>
              <w:spacing w:after="0"/>
              <w:rPr>
                <w:sz w:val="18"/>
                <w:szCs w:val="18"/>
                <w:color w:val="auto"/>
              </w:rPr>
            </w:pPr>
          </w:p>
        </w:tc>
        <w:tc>
          <w:tcPr>
            <w:tcW w:w="20" w:type="dxa"/>
            <w:vAlign w:val="bottom"/>
          </w:tcPr>
          <w:p>
            <w:pPr>
              <w:spacing w:after="0"/>
              <w:rPr>
                <w:sz w:val="18"/>
                <w:szCs w:val="18"/>
                <w:color w:val="auto"/>
              </w:rPr>
            </w:pPr>
          </w:p>
        </w:tc>
      </w:tr>
      <w:tr>
        <w:trPr>
          <w:trHeight w:val="160"/>
        </w:trPr>
        <w:tc>
          <w:tcPr>
            <w:tcW w:w="20" w:type="dxa"/>
            <w:vAlign w:val="bottom"/>
          </w:tcPr>
          <w:p>
            <w:pPr>
              <w:spacing w:after="0"/>
              <w:rPr>
                <w:sz w:val="13"/>
                <w:szCs w:val="13"/>
                <w:color w:val="auto"/>
              </w:rPr>
            </w:pPr>
          </w:p>
        </w:tc>
        <w:tc>
          <w:tcPr>
            <w:tcW w:w="6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2"/>
          </w:tcPr>
          <w:p>
            <w:pPr>
              <w:jc w:val="right"/>
              <w:ind w:right="32"/>
              <w:spacing w:after="0" w:line="160" w:lineRule="exact"/>
              <w:rPr>
                <w:sz w:val="20"/>
                <w:szCs w:val="20"/>
                <w:color w:val="auto"/>
              </w:rPr>
            </w:pPr>
            <w:r>
              <w:rPr>
                <w:rFonts w:ascii="Arial" w:cs="Arial" w:eastAsia="Arial" w:hAnsi="Arial"/>
                <w:sz w:val="14"/>
                <w:szCs w:val="14"/>
                <w:b w:val="1"/>
                <w:bCs w:val="1"/>
                <w:color w:val="auto"/>
              </w:rPr>
              <w:t>September 30,</w:t>
            </w:r>
          </w:p>
        </w:tc>
        <w:tc>
          <w:tcPr>
            <w:tcW w:w="1100" w:type="dxa"/>
            <w:vAlign w:val="bottom"/>
            <w:gridSpan w:val="3"/>
          </w:tcPr>
          <w:p>
            <w:pPr>
              <w:jc w:val="center"/>
              <w:spacing w:after="0" w:line="160"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Borders>
              <w:bottom w:val="single" w:sz="8" w:color="CCEEFF"/>
            </w:tcBorders>
          </w:tcPr>
          <w:p>
            <w:pPr>
              <w:spacing w:after="0"/>
              <w:rPr>
                <w:sz w:val="14"/>
                <w:szCs w:val="14"/>
                <w:color w:val="auto"/>
              </w:rPr>
            </w:pPr>
          </w:p>
        </w:tc>
        <w:tc>
          <w:tcPr>
            <w:tcW w:w="634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231F20"/>
              </w:rPr>
              <w:t>2022</w:t>
            </w: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231F20"/>
              </w:rPr>
              <w:t>2021</w:t>
            </w:r>
          </w:p>
        </w:tc>
        <w:tc>
          <w:tcPr>
            <w:tcW w:w="20" w:type="dxa"/>
            <w:vAlign w:val="bottom"/>
          </w:tcPr>
          <w:p>
            <w:pPr>
              <w:spacing w:after="0"/>
              <w:rPr>
                <w:sz w:val="14"/>
                <w:szCs w:val="14"/>
                <w:color w:val="auto"/>
              </w:rPr>
            </w:pPr>
          </w:p>
        </w:tc>
      </w:tr>
      <w:tr>
        <w:trPr>
          <w:trHeight w:val="196"/>
        </w:trPr>
        <w:tc>
          <w:tcPr>
            <w:tcW w:w="636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231F20"/>
              </w:rPr>
              <w:t>Accrued R&amp;D related costs</w:t>
            </w:r>
          </w:p>
        </w:tc>
        <w:tc>
          <w:tcPr>
            <w:tcW w:w="360" w:type="dxa"/>
            <w:vAlign w:val="bottom"/>
            <w:gridSpan w:val="2"/>
            <w:shd w:val="clear" w:color="auto" w:fill="CCEEFF"/>
          </w:tcPr>
          <w:p>
            <w:pPr>
              <w:spacing w:after="0"/>
              <w:rPr>
                <w:sz w:val="17"/>
                <w:szCs w:val="17"/>
                <w:color w:val="auto"/>
              </w:rPr>
            </w:pPr>
          </w:p>
        </w:tc>
        <w:tc>
          <w:tcPr>
            <w:tcW w:w="24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231F20"/>
              </w:rPr>
              <w:t>$</w:t>
            </w:r>
          </w:p>
        </w:tc>
        <w:tc>
          <w:tcPr>
            <w:tcW w:w="860" w:type="dxa"/>
            <w:vAlign w:val="bottom"/>
            <w:shd w:val="clear" w:color="auto" w:fill="CCEEFF"/>
          </w:tcPr>
          <w:p>
            <w:pPr>
              <w:jc w:val="right"/>
              <w:ind w:right="52"/>
              <w:spacing w:after="0" w:line="196" w:lineRule="exact"/>
              <w:rPr>
                <w:sz w:val="20"/>
                <w:szCs w:val="20"/>
                <w:color w:val="auto"/>
              </w:rPr>
            </w:pPr>
            <w:r>
              <w:rPr>
                <w:rFonts w:ascii="Arial" w:cs="Arial" w:eastAsia="Arial" w:hAnsi="Arial"/>
                <w:sz w:val="18"/>
                <w:szCs w:val="18"/>
                <w:color w:val="231F20"/>
              </w:rPr>
              <w:t>6,286</w:t>
            </w:r>
          </w:p>
        </w:tc>
        <w:tc>
          <w:tcPr>
            <w:tcW w:w="34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231F20"/>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2,645</w:t>
            </w:r>
          </w:p>
        </w:tc>
        <w:tc>
          <w:tcPr>
            <w:tcW w:w="20" w:type="dxa"/>
            <w:vAlign w:val="bottom"/>
          </w:tcPr>
          <w:p>
            <w:pPr>
              <w:spacing w:after="0"/>
              <w:rPr>
                <w:sz w:val="17"/>
                <w:szCs w:val="17"/>
                <w:color w:val="auto"/>
              </w:rPr>
            </w:pPr>
          </w:p>
        </w:tc>
      </w:tr>
      <w:tr>
        <w:trPr>
          <w:trHeight w:val="203"/>
        </w:trPr>
        <w:tc>
          <w:tcPr>
            <w:tcW w:w="6360" w:type="dxa"/>
            <w:vAlign w:val="bottom"/>
            <w:gridSpan w:val="2"/>
          </w:tcPr>
          <w:p>
            <w:pPr>
              <w:ind w:left="20"/>
              <w:spacing w:after="0" w:line="202" w:lineRule="exact"/>
              <w:rPr>
                <w:sz w:val="20"/>
                <w:szCs w:val="20"/>
                <w:color w:val="auto"/>
              </w:rPr>
            </w:pPr>
            <w:r>
              <w:rPr>
                <w:rFonts w:ascii="Arial" w:cs="Arial" w:eastAsia="Arial" w:hAnsi="Arial"/>
                <w:sz w:val="18"/>
                <w:szCs w:val="18"/>
                <w:color w:val="231F20"/>
              </w:rPr>
              <w:t>Accrued employee bonuses</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52"/>
              <w:spacing w:after="0" w:line="202" w:lineRule="exact"/>
              <w:rPr>
                <w:sz w:val="20"/>
                <w:szCs w:val="20"/>
                <w:color w:val="auto"/>
              </w:rPr>
            </w:pPr>
            <w:r>
              <w:rPr>
                <w:rFonts w:ascii="Arial" w:cs="Arial" w:eastAsia="Arial" w:hAnsi="Arial"/>
                <w:sz w:val="18"/>
                <w:szCs w:val="18"/>
                <w:color w:val="231F20"/>
              </w:rPr>
              <w:t>2,933</w:t>
            </w:r>
          </w:p>
        </w:tc>
        <w:tc>
          <w:tcPr>
            <w:tcW w:w="3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231F20"/>
              </w:rPr>
              <w:t>3,752</w:t>
            </w:r>
          </w:p>
        </w:tc>
        <w:tc>
          <w:tcPr>
            <w:tcW w:w="20" w:type="dxa"/>
            <w:vAlign w:val="bottom"/>
          </w:tcPr>
          <w:p>
            <w:pPr>
              <w:spacing w:after="0"/>
              <w:rPr>
                <w:sz w:val="17"/>
                <w:szCs w:val="17"/>
                <w:color w:val="auto"/>
              </w:rPr>
            </w:pPr>
          </w:p>
        </w:tc>
      </w:tr>
      <w:tr>
        <w:trPr>
          <w:trHeight w:val="203"/>
        </w:trPr>
        <w:tc>
          <w:tcPr>
            <w:tcW w:w="63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231F20"/>
              </w:rPr>
              <w:t>Accrued professional fees</w:t>
            </w: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231F20"/>
              </w:rPr>
              <w:t>1,569</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1,011</w:t>
            </w:r>
          </w:p>
        </w:tc>
        <w:tc>
          <w:tcPr>
            <w:tcW w:w="20" w:type="dxa"/>
            <w:vAlign w:val="bottom"/>
          </w:tcPr>
          <w:p>
            <w:pPr>
              <w:spacing w:after="0"/>
              <w:rPr>
                <w:sz w:val="17"/>
                <w:szCs w:val="17"/>
                <w:color w:val="auto"/>
              </w:rPr>
            </w:pPr>
          </w:p>
        </w:tc>
      </w:tr>
      <w:tr>
        <w:trPr>
          <w:trHeight w:val="203"/>
        </w:trPr>
        <w:tc>
          <w:tcPr>
            <w:tcW w:w="6360" w:type="dxa"/>
            <w:vAlign w:val="bottom"/>
            <w:gridSpan w:val="2"/>
          </w:tcPr>
          <w:p>
            <w:pPr>
              <w:ind w:left="20"/>
              <w:spacing w:after="0" w:line="202" w:lineRule="exact"/>
              <w:rPr>
                <w:sz w:val="20"/>
                <w:szCs w:val="20"/>
                <w:color w:val="auto"/>
              </w:rPr>
            </w:pPr>
            <w:r>
              <w:rPr>
                <w:rFonts w:ascii="Arial" w:cs="Arial" w:eastAsia="Arial" w:hAnsi="Arial"/>
                <w:sz w:val="18"/>
                <w:szCs w:val="18"/>
                <w:color w:val="231F20"/>
              </w:rPr>
              <w:t>Accrued payroll related costs</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52"/>
              <w:spacing w:after="0" w:line="202" w:lineRule="exact"/>
              <w:rPr>
                <w:sz w:val="20"/>
                <w:szCs w:val="20"/>
                <w:color w:val="auto"/>
              </w:rPr>
            </w:pPr>
            <w:r>
              <w:rPr>
                <w:rFonts w:ascii="Arial" w:cs="Arial" w:eastAsia="Arial" w:hAnsi="Arial"/>
                <w:sz w:val="18"/>
                <w:szCs w:val="18"/>
                <w:color w:val="231F20"/>
              </w:rPr>
              <w:t>406</w:t>
            </w:r>
          </w:p>
        </w:tc>
        <w:tc>
          <w:tcPr>
            <w:tcW w:w="3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231F20"/>
              </w:rPr>
              <w:t>191</w:t>
            </w:r>
          </w:p>
        </w:tc>
        <w:tc>
          <w:tcPr>
            <w:tcW w:w="20" w:type="dxa"/>
            <w:vAlign w:val="bottom"/>
          </w:tcPr>
          <w:p>
            <w:pPr>
              <w:spacing w:after="0"/>
              <w:rPr>
                <w:sz w:val="17"/>
                <w:szCs w:val="17"/>
                <w:color w:val="auto"/>
              </w:rPr>
            </w:pPr>
          </w:p>
        </w:tc>
      </w:tr>
      <w:tr>
        <w:trPr>
          <w:trHeight w:val="203"/>
        </w:trPr>
        <w:tc>
          <w:tcPr>
            <w:tcW w:w="63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231F20"/>
              </w:rPr>
              <w:t>Early exercise of unvested stock options</w:t>
            </w: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231F20"/>
              </w:rPr>
              <w:t>113</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206</w:t>
            </w:r>
          </w:p>
        </w:tc>
        <w:tc>
          <w:tcPr>
            <w:tcW w:w="20" w:type="dxa"/>
            <w:vAlign w:val="bottom"/>
          </w:tcPr>
          <w:p>
            <w:pPr>
              <w:spacing w:after="0"/>
              <w:rPr>
                <w:sz w:val="17"/>
                <w:szCs w:val="17"/>
                <w:color w:val="auto"/>
              </w:rPr>
            </w:pPr>
          </w:p>
        </w:tc>
      </w:tr>
      <w:tr>
        <w:trPr>
          <w:trHeight w:val="203"/>
        </w:trPr>
        <w:tc>
          <w:tcPr>
            <w:tcW w:w="6360" w:type="dxa"/>
            <w:vAlign w:val="bottom"/>
            <w:gridSpan w:val="2"/>
          </w:tcPr>
          <w:p>
            <w:pPr>
              <w:ind w:left="20"/>
              <w:spacing w:after="0" w:line="202" w:lineRule="exact"/>
              <w:rPr>
                <w:sz w:val="20"/>
                <w:szCs w:val="20"/>
                <w:color w:val="auto"/>
              </w:rPr>
            </w:pPr>
            <w:r>
              <w:rPr>
                <w:rFonts w:ascii="Arial" w:cs="Arial" w:eastAsia="Arial" w:hAnsi="Arial"/>
                <w:sz w:val="18"/>
                <w:szCs w:val="18"/>
                <w:color w:val="231F20"/>
              </w:rPr>
              <w:t>Accrued taxes</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52"/>
              <w:spacing w:after="0" w:line="202" w:lineRule="exact"/>
              <w:rPr>
                <w:sz w:val="20"/>
                <w:szCs w:val="20"/>
                <w:color w:val="auto"/>
              </w:rPr>
            </w:pPr>
            <w:r>
              <w:rPr>
                <w:rFonts w:ascii="Arial" w:cs="Arial" w:eastAsia="Arial" w:hAnsi="Arial"/>
                <w:sz w:val="18"/>
                <w:szCs w:val="18"/>
                <w:color w:val="231F20"/>
              </w:rPr>
              <w:t>53</w:t>
            </w:r>
          </w:p>
        </w:tc>
        <w:tc>
          <w:tcPr>
            <w:tcW w:w="3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231F20"/>
              </w:rPr>
              <w:t>88</w:t>
            </w:r>
          </w:p>
        </w:tc>
        <w:tc>
          <w:tcPr>
            <w:tcW w:w="20" w:type="dxa"/>
            <w:vAlign w:val="bottom"/>
          </w:tcPr>
          <w:p>
            <w:pPr>
              <w:spacing w:after="0"/>
              <w:rPr>
                <w:sz w:val="17"/>
                <w:szCs w:val="17"/>
                <w:color w:val="auto"/>
              </w:rPr>
            </w:pPr>
          </w:p>
        </w:tc>
      </w:tr>
      <w:tr>
        <w:trPr>
          <w:trHeight w:val="203"/>
        </w:trPr>
        <w:tc>
          <w:tcPr>
            <w:tcW w:w="63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231F20"/>
              </w:rPr>
              <w:t>Other</w:t>
            </w: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bottom w:val="single" w:sz="8" w:color="231F20"/>
            </w:tcBorders>
            <w:shd w:val="clear" w:color="auto" w:fill="CCEEFF"/>
          </w:tcPr>
          <w:p>
            <w:pPr>
              <w:spacing w:after="0"/>
              <w:rPr>
                <w:sz w:val="17"/>
                <w:szCs w:val="17"/>
                <w:color w:val="auto"/>
              </w:rPr>
            </w:pPr>
          </w:p>
        </w:tc>
        <w:tc>
          <w:tcPr>
            <w:tcW w:w="860" w:type="dxa"/>
            <w:vAlign w:val="bottom"/>
            <w:tcBorders>
              <w:bottom w:val="single" w:sz="8" w:color="231F20"/>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231F20"/>
              </w:rPr>
              <w:t>94</w:t>
            </w:r>
          </w:p>
        </w:tc>
        <w:tc>
          <w:tcPr>
            <w:tcW w:w="340" w:type="dxa"/>
            <w:vAlign w:val="bottom"/>
            <w:tcBorders>
              <w:bottom w:val="single" w:sz="8" w:color="231F20"/>
            </w:tcBorders>
            <w:shd w:val="clear" w:color="auto" w:fill="CCEEFF"/>
          </w:tcPr>
          <w:p>
            <w:pPr>
              <w:spacing w:after="0"/>
              <w:rPr>
                <w:sz w:val="17"/>
                <w:szCs w:val="17"/>
                <w:color w:val="auto"/>
              </w:rPr>
            </w:pPr>
          </w:p>
        </w:tc>
        <w:tc>
          <w:tcPr>
            <w:tcW w:w="740" w:type="dxa"/>
            <w:vAlign w:val="bottom"/>
            <w:tcBorders>
              <w:bottom w:val="single" w:sz="8" w:color="231F20"/>
            </w:tcBorders>
            <w:shd w:val="clear" w:color="auto" w:fill="CCEEFF"/>
          </w:tcPr>
          <w:p>
            <w:pPr>
              <w:jc w:val="right"/>
              <w:spacing w:after="0" w:line="202" w:lineRule="exact"/>
              <w:rPr>
                <w:sz w:val="20"/>
                <w:szCs w:val="20"/>
                <w:color w:val="auto"/>
              </w:rPr>
            </w:pPr>
            <w:r>
              <w:rPr>
                <w:rFonts w:ascii="Arial" w:cs="Arial" w:eastAsia="Arial" w:hAnsi="Arial"/>
                <w:sz w:val="18"/>
                <w:szCs w:val="18"/>
                <w:color w:val="231F20"/>
              </w:rPr>
              <w:t>172</w:t>
            </w:r>
          </w:p>
        </w:tc>
        <w:tc>
          <w:tcPr>
            <w:tcW w:w="20" w:type="dxa"/>
            <w:vAlign w:val="bottom"/>
          </w:tcPr>
          <w:p>
            <w:pPr>
              <w:spacing w:after="0"/>
              <w:rPr>
                <w:sz w:val="17"/>
                <w:szCs w:val="17"/>
                <w:color w:val="auto"/>
              </w:rPr>
            </w:pPr>
          </w:p>
        </w:tc>
      </w:tr>
      <w:tr>
        <w:trPr>
          <w:trHeight w:val="196"/>
        </w:trPr>
        <w:tc>
          <w:tcPr>
            <w:tcW w:w="6360" w:type="dxa"/>
            <w:vAlign w:val="bottom"/>
            <w:tcBorders>
              <w:bottom w:val="single" w:sz="8" w:color="auto"/>
            </w:tcBorders>
            <w:gridSpan w:val="2"/>
          </w:tcPr>
          <w:p>
            <w:pPr>
              <w:ind w:left="20"/>
              <w:spacing w:after="0" w:line="196" w:lineRule="exact"/>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gridSpan w:val="2"/>
          </w:tcPr>
          <w:p>
            <w:pPr>
              <w:spacing w:after="0"/>
              <w:rPr>
                <w:sz w:val="17"/>
                <w:szCs w:val="17"/>
                <w:color w:val="auto"/>
              </w:rPr>
            </w:pPr>
          </w:p>
        </w:tc>
        <w:tc>
          <w:tcPr>
            <w:tcW w:w="240" w:type="dxa"/>
            <w:vAlign w:val="bottom"/>
            <w:tcBorders>
              <w:bottom w:val="single" w:sz="8" w:color="auto"/>
            </w:tcBorders>
          </w:tcPr>
          <w:p>
            <w:pPr>
              <w:jc w:val="right"/>
              <w:ind w:right="16"/>
              <w:spacing w:after="0" w:line="196" w:lineRule="exact"/>
              <w:rPr>
                <w:sz w:val="20"/>
                <w:szCs w:val="20"/>
                <w:color w:val="auto"/>
              </w:rPr>
            </w:pPr>
            <w:r>
              <w:rPr>
                <w:rFonts w:ascii="Arial" w:cs="Arial" w:eastAsia="Arial" w:hAnsi="Arial"/>
                <w:sz w:val="18"/>
                <w:szCs w:val="18"/>
                <w:color w:val="231F20"/>
              </w:rPr>
              <w:t>$</w:t>
            </w:r>
          </w:p>
        </w:tc>
        <w:tc>
          <w:tcPr>
            <w:tcW w:w="86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231F20"/>
              </w:rPr>
              <w:t>11,454</w:t>
            </w:r>
          </w:p>
        </w:tc>
        <w:tc>
          <w:tcPr>
            <w:tcW w:w="340" w:type="dxa"/>
            <w:vAlign w:val="bottom"/>
            <w:tcBorders>
              <w:bottom w:val="single" w:sz="8" w:color="auto"/>
            </w:tcBorders>
          </w:tcPr>
          <w:p>
            <w:pPr>
              <w:jc w:val="right"/>
              <w:ind w:right="16"/>
              <w:spacing w:after="0" w:line="196" w:lineRule="exact"/>
              <w:rPr>
                <w:sz w:val="20"/>
                <w:szCs w:val="20"/>
                <w:color w:val="auto"/>
              </w:rPr>
            </w:pPr>
            <w:r>
              <w:rPr>
                <w:rFonts w:ascii="Arial" w:cs="Arial" w:eastAsia="Arial" w:hAnsi="Arial"/>
                <w:sz w:val="18"/>
                <w:szCs w:val="18"/>
                <w:color w:val="231F20"/>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231F20"/>
              </w:rPr>
              <w:t>8,065</w:t>
            </w:r>
          </w:p>
        </w:tc>
        <w:tc>
          <w:tcPr>
            <w:tcW w:w="20" w:type="dxa"/>
            <w:vAlign w:val="bottom"/>
          </w:tcPr>
          <w:p>
            <w:pPr>
              <w:spacing w:after="0"/>
              <w:rPr>
                <w:sz w:val="17"/>
                <w:szCs w:val="17"/>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6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hanging="410"/>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198"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 2014, the Company’s Board of Directors and stockholders approved and adopted the 2014 Stock Plan (the “2014 Plan”). The 2014 Plan permitted the grant of options and restricted stock awards (including restricted stock purchase rights and restricted stock bonus awards). The 2014 Plan was terminated on the date the 2020 Equity Incentive Plan (the “2020 Plan”), which is described below, became effective, and no additional awards will be made pursuant to the 2014 Plan. However, any outstanding awards granted under the 2014 Plan will remain outstanding, subject to the terms of the 2014 Plan award agreements, until such outstanding options are exercised or until any awards terminate or expire by their terms.</w:t>
      </w:r>
    </w:p>
    <w:p>
      <w:pPr>
        <w:spacing w:after="0" w:line="18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7"/>
          <w:szCs w:val="17"/>
          <w:color w:val="auto"/>
        </w:rPr>
        <w:t>In 2020, the Company’s Board of Directors and stockholders approved and adopted the 2020 Plan. The 2020 Plan permits the grant of options, restricted stock awards, stock appreciation rights, restricted stock unit awards, performance awards, and other awards. The maximum number of shares of common stock that may be issued under the 2020 Plan will not exceed 6,494,510 shares of the Company’s common stock, which is the sum of</w:t>
      </w:r>
    </w:p>
    <w:p>
      <w:pPr>
        <w:jc w:val="both"/>
        <w:ind w:left="60" w:right="59" w:hanging="10"/>
        <w:spacing w:after="0" w:line="237" w:lineRule="auto"/>
        <w:tabs>
          <w:tab w:leader="none" w:pos="273" w:val="left"/>
        </w:tabs>
        <w:numPr>
          <w:ilvl w:val="0"/>
          <w:numId w:val="8"/>
        </w:numPr>
        <w:rPr>
          <w:rFonts w:ascii="Arial" w:cs="Arial" w:eastAsia="Arial" w:hAnsi="Arial"/>
          <w:sz w:val="18"/>
          <w:szCs w:val="18"/>
          <w:color w:val="auto"/>
        </w:rPr>
      </w:pPr>
      <w:r>
        <w:rPr>
          <w:rFonts w:ascii="Arial" w:cs="Arial" w:eastAsia="Arial" w:hAnsi="Arial"/>
          <w:sz w:val="18"/>
          <w:szCs w:val="18"/>
          <w:color w:val="auto"/>
        </w:rPr>
        <w:t>2,152,080 new shares, plus (ii) an additional number of shares not to exceed 4,342,430 shares, consisting of any shares of the Company’s common stock subject to outstanding stock options or other stock awards granted under the Company’s 2014 Plan that, on or after the 2020 Plan becomes effective, terminate or expire prior to exercise or settlement; are not issued because the award is settled in cash; are forfeited because of the failure to vest; or are reacquired or withheld (or not issued) to satisfy a tax withholding obligation or the purchase or exercise price. In addition, the number of shares of the Company’s common stock reserved for issuance under the 2020 Plan automatically increases on January 1 of each year for a period of ten years, beginning on January 1, 2021 and continuing through January 1, 2030, in an amount equal to the lesser of (1) 5% of the total number of shares of the Company’s common stock outstanding on December 31 of the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immediately preceding year, or (2) a lesser number of shares determined by the Company’s board of directors no later than December 31 of the immediately preceding year.</w:t>
      </w:r>
    </w:p>
    <w:p>
      <w:pPr>
        <w:spacing w:after="0" w:line="154"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In 2022, the Company’s Board of Directors approved and adopted the 2022 Inducement Plan (the “2022 Inducement Plan”). Under the 2022 Inducement Plan, initially 2,000,000 shares of common stock were reserved for issuance. The 2022 Inducement Plan permits the grant of options, restricted stock awards, stock appreciation rights, restricted stock unit awards, performance awards, and other awards.</w:t>
      </w:r>
    </w:p>
    <w:p>
      <w:pPr>
        <w:spacing w:after="0" w:line="174"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The exercise price for each option and stock appreciation right shall be established at the discretion of the Board, provided that the exercise price of a stock option will not be less than 100% of the fair market value of the Company’s common stock on the date of grant. Specific vesting for stock options and stock appreciation rights is service related and determined in each award agreement, where stock options and stock appreciation rights are fully vested at the grant date or follow a graded vesting schedule. Stock options and stock appreciation rights granted under the Plan generally expire ten years after the date of grant.</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Option Valuation</w:t>
      </w:r>
    </w:p>
    <w:p>
      <w:pPr>
        <w:spacing w:after="0" w:line="210"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The fair value of stock option grants is estimated using the Black-Scholes option-pricing model. The Company lacks company-specific historical and implied volatility information. Therefore, it estimated its expected stock volatility based on the historical volatility of a publicly traded set of peer companies in addition to its own historical volatility. For options with service- based vesting conditions, the expected term of the Company’s stock options has been determined utilizing the “simplified” method for awards that qualify as “plain-vanilla” options.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0% since the Company has never paid cash dividends and does not expect to pay any cash dividends in the foreseeable future.</w:t>
      </w:r>
    </w:p>
    <w:p>
      <w:pPr>
        <w:spacing w:after="0" w:line="18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 assumptions that the Company used to determine the estimated grant-date fair value of stock options granted to employees and directors under the 2020 Plan and the 2022 Inducement Plan were as follows, presented as a weighted average:</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160" w:type="dxa"/>
            <w:vAlign w:val="bottom"/>
            <w:tcBorders>
              <w:top w:val="single" w:sz="8" w:color="auto"/>
            </w:tcBorders>
          </w:tcPr>
          <w:p>
            <w:pPr>
              <w:spacing w:after="0"/>
              <w:rPr>
                <w:sz w:val="15"/>
                <w:szCs w:val="15"/>
                <w:color w:val="auto"/>
              </w:rPr>
            </w:pPr>
          </w:p>
        </w:tc>
        <w:tc>
          <w:tcPr>
            <w:tcW w:w="3320" w:type="dxa"/>
            <w:vAlign w:val="bottom"/>
            <w:tcBorders>
              <w:top w:val="single" w:sz="8" w:color="auto"/>
            </w:tcBorders>
          </w:tcPr>
          <w:p>
            <w:pPr>
              <w:spacing w:after="0"/>
              <w:rPr>
                <w:sz w:val="15"/>
                <w:szCs w:val="15"/>
                <w:color w:val="auto"/>
              </w:rPr>
            </w:pPr>
          </w:p>
        </w:tc>
        <w:tc>
          <w:tcPr>
            <w:tcW w:w="2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231F20"/>
              </w:rPr>
              <w:t>Nine Months Ended September 30,</w:t>
            </w:r>
          </w:p>
        </w:tc>
        <w:tc>
          <w:tcPr>
            <w:tcW w:w="20" w:type="dxa"/>
            <w:vAlign w:val="bottom"/>
          </w:tcPr>
          <w:p>
            <w:pPr>
              <w:spacing w:after="0"/>
              <w:rPr>
                <w:sz w:val="15"/>
                <w:szCs w:val="15"/>
                <w:color w:val="auto"/>
              </w:rPr>
            </w:pPr>
          </w:p>
        </w:tc>
      </w:tr>
      <w:tr>
        <w:trPr>
          <w:trHeight w:val="155"/>
        </w:trPr>
        <w:tc>
          <w:tcPr>
            <w:tcW w:w="3160" w:type="dxa"/>
            <w:vAlign w:val="bottom"/>
            <w:tcBorders>
              <w:bottom w:val="single" w:sz="8" w:color="CCEEFF"/>
            </w:tcBorders>
          </w:tcPr>
          <w:p>
            <w:pPr>
              <w:spacing w:after="0"/>
              <w:rPr>
                <w:sz w:val="13"/>
                <w:szCs w:val="13"/>
                <w:color w:val="auto"/>
              </w:rPr>
            </w:pPr>
          </w:p>
        </w:tc>
        <w:tc>
          <w:tcPr>
            <w:tcW w:w="332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tcPr>
          <w:p>
            <w:pPr>
              <w:jc w:val="right"/>
              <w:ind w:right="599"/>
              <w:spacing w:after="0" w:line="155" w:lineRule="exact"/>
              <w:rPr>
                <w:sz w:val="20"/>
                <w:szCs w:val="20"/>
                <w:color w:val="auto"/>
              </w:rPr>
            </w:pPr>
            <w:r>
              <w:rPr>
                <w:rFonts w:ascii="Arial" w:cs="Arial" w:eastAsia="Arial" w:hAnsi="Arial"/>
                <w:sz w:val="14"/>
                <w:szCs w:val="14"/>
                <w:b w:val="1"/>
                <w:bCs w:val="1"/>
                <w:color w:val="231F20"/>
              </w:rPr>
              <w:t>2022</w:t>
            </w:r>
          </w:p>
        </w:tc>
        <w:tc>
          <w:tcPr>
            <w:tcW w:w="92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231F20"/>
              </w:rPr>
              <w:t>2021</w:t>
            </w:r>
          </w:p>
        </w:tc>
        <w:tc>
          <w:tcPr>
            <w:tcW w:w="20" w:type="dxa"/>
            <w:vAlign w:val="bottom"/>
          </w:tcPr>
          <w:p>
            <w:pPr>
              <w:spacing w:after="0"/>
              <w:rPr>
                <w:sz w:val="13"/>
                <w:szCs w:val="13"/>
                <w:color w:val="auto"/>
              </w:rPr>
            </w:pPr>
          </w:p>
        </w:tc>
      </w:tr>
      <w:tr>
        <w:trPr>
          <w:trHeight w:val="196"/>
        </w:trPr>
        <w:tc>
          <w:tcPr>
            <w:tcW w:w="31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231F20"/>
              </w:rPr>
              <w:t>Risk-free interest rate</w:t>
            </w:r>
          </w:p>
        </w:tc>
        <w:tc>
          <w:tcPr>
            <w:tcW w:w="33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79"/>
              <w:spacing w:after="0" w:line="196" w:lineRule="exact"/>
              <w:rPr>
                <w:sz w:val="20"/>
                <w:szCs w:val="20"/>
                <w:color w:val="auto"/>
              </w:rPr>
            </w:pPr>
            <w:r>
              <w:rPr>
                <w:rFonts w:ascii="Arial" w:cs="Arial" w:eastAsia="Arial" w:hAnsi="Arial"/>
                <w:sz w:val="18"/>
                <w:szCs w:val="18"/>
                <w:color w:val="231F20"/>
              </w:rPr>
              <w:t>1.89%</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0.63%</w:t>
            </w:r>
          </w:p>
        </w:tc>
        <w:tc>
          <w:tcPr>
            <w:tcW w:w="20" w:type="dxa"/>
            <w:vAlign w:val="bottom"/>
          </w:tcPr>
          <w:p>
            <w:pPr>
              <w:spacing w:after="0"/>
              <w:rPr>
                <w:sz w:val="17"/>
                <w:szCs w:val="17"/>
                <w:color w:val="auto"/>
              </w:rPr>
            </w:pPr>
          </w:p>
        </w:tc>
      </w:tr>
      <w:tr>
        <w:trPr>
          <w:trHeight w:val="203"/>
        </w:trPr>
        <w:tc>
          <w:tcPr>
            <w:tcW w:w="3160" w:type="dxa"/>
            <w:vAlign w:val="bottom"/>
          </w:tcPr>
          <w:p>
            <w:pPr>
              <w:ind w:left="20"/>
              <w:spacing w:after="0" w:line="202" w:lineRule="exact"/>
              <w:rPr>
                <w:sz w:val="20"/>
                <w:szCs w:val="20"/>
                <w:color w:val="auto"/>
              </w:rPr>
            </w:pPr>
            <w:r>
              <w:rPr>
                <w:rFonts w:ascii="Arial" w:cs="Arial" w:eastAsia="Arial" w:hAnsi="Arial"/>
                <w:sz w:val="18"/>
                <w:szCs w:val="18"/>
                <w:color w:val="231F20"/>
              </w:rPr>
              <w:t>Expected term (in years)</w:t>
            </w:r>
          </w:p>
        </w:tc>
        <w:tc>
          <w:tcPr>
            <w:tcW w:w="4820" w:type="dxa"/>
            <w:vAlign w:val="bottom"/>
            <w:gridSpan w:val="2"/>
          </w:tcPr>
          <w:p>
            <w:pPr>
              <w:jc w:val="right"/>
              <w:ind w:right="179"/>
              <w:spacing w:after="0" w:line="202" w:lineRule="exact"/>
              <w:rPr>
                <w:sz w:val="20"/>
                <w:szCs w:val="20"/>
                <w:color w:val="auto"/>
              </w:rPr>
            </w:pPr>
            <w:r>
              <w:rPr>
                <w:rFonts w:ascii="Arial" w:cs="Arial" w:eastAsia="Arial" w:hAnsi="Arial"/>
                <w:sz w:val="18"/>
                <w:szCs w:val="18"/>
                <w:color w:val="231F20"/>
              </w:rPr>
              <w:t>6.03</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231F20"/>
              </w:rPr>
              <w:t>5.98</w:t>
            </w:r>
          </w:p>
        </w:tc>
        <w:tc>
          <w:tcPr>
            <w:tcW w:w="20" w:type="dxa"/>
            <w:vAlign w:val="bottom"/>
          </w:tcPr>
          <w:p>
            <w:pPr>
              <w:spacing w:after="0"/>
              <w:rPr>
                <w:sz w:val="17"/>
                <w:szCs w:val="17"/>
                <w:color w:val="auto"/>
              </w:rPr>
            </w:pPr>
          </w:p>
        </w:tc>
      </w:tr>
      <w:tr>
        <w:trPr>
          <w:trHeight w:val="202"/>
        </w:trPr>
        <w:tc>
          <w:tcPr>
            <w:tcW w:w="31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231F20"/>
              </w:rPr>
              <w:t>Expected volatility</w:t>
            </w:r>
          </w:p>
        </w:tc>
        <w:tc>
          <w:tcPr>
            <w:tcW w:w="4820" w:type="dxa"/>
            <w:vAlign w:val="bottom"/>
            <w:gridSpan w:val="2"/>
            <w:shd w:val="clear" w:color="auto" w:fill="CCEEFF"/>
          </w:tcPr>
          <w:p>
            <w:pPr>
              <w:jc w:val="right"/>
              <w:ind w:right="179"/>
              <w:spacing w:after="0" w:line="202" w:lineRule="exact"/>
              <w:rPr>
                <w:sz w:val="20"/>
                <w:szCs w:val="20"/>
                <w:color w:val="auto"/>
              </w:rPr>
            </w:pPr>
            <w:r>
              <w:rPr>
                <w:rFonts w:ascii="Arial" w:cs="Arial" w:eastAsia="Arial" w:hAnsi="Arial"/>
                <w:sz w:val="18"/>
                <w:szCs w:val="18"/>
                <w:color w:val="231F20"/>
              </w:rPr>
              <w:t>79.55%</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77.07%</w:t>
            </w:r>
          </w:p>
        </w:tc>
        <w:tc>
          <w:tcPr>
            <w:tcW w:w="20" w:type="dxa"/>
            <w:vAlign w:val="bottom"/>
          </w:tcPr>
          <w:p>
            <w:pPr>
              <w:spacing w:after="0"/>
              <w:rPr>
                <w:sz w:val="17"/>
                <w:szCs w:val="17"/>
                <w:color w:val="auto"/>
              </w:rPr>
            </w:pPr>
          </w:p>
        </w:tc>
      </w:tr>
      <w:tr>
        <w:trPr>
          <w:trHeight w:val="203"/>
        </w:trPr>
        <w:tc>
          <w:tcPr>
            <w:tcW w:w="316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231F20"/>
              </w:rPr>
              <w:t>Expected dividend yield</w:t>
            </w:r>
          </w:p>
        </w:tc>
        <w:tc>
          <w:tcPr>
            <w:tcW w:w="33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79"/>
              <w:spacing w:after="0" w:line="202" w:lineRule="exact"/>
              <w:rPr>
                <w:sz w:val="20"/>
                <w:szCs w:val="20"/>
                <w:color w:val="auto"/>
              </w:rPr>
            </w:pPr>
            <w:r>
              <w:rPr>
                <w:rFonts w:ascii="Arial" w:cs="Arial" w:eastAsia="Arial" w:hAnsi="Arial"/>
                <w:sz w:val="18"/>
                <w:szCs w:val="18"/>
                <w:color w:val="231F20"/>
              </w:rPr>
              <w:t>—</w:t>
            </w: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231F20"/>
              </w:rPr>
              <w:t>—</w:t>
            </w:r>
          </w:p>
        </w:tc>
        <w:tc>
          <w:tcPr>
            <w:tcW w:w="20" w:type="dxa"/>
            <w:vAlign w:val="bottom"/>
          </w:tcPr>
          <w:p>
            <w:pPr>
              <w:spacing w:after="0"/>
              <w:rPr>
                <w:sz w:val="17"/>
                <w:szCs w:val="17"/>
                <w:color w:val="auto"/>
              </w:rPr>
            </w:pPr>
          </w:p>
        </w:tc>
      </w:tr>
      <w:tr>
        <w:trPr>
          <w:trHeight w:val="20"/>
        </w:trPr>
        <w:tc>
          <w:tcPr>
            <w:tcW w:w="316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5"/>
        </w:trPr>
        <w:tc>
          <w:tcPr>
            <w:tcW w:w="3160" w:type="dxa"/>
            <w:vAlign w:val="bottom"/>
          </w:tcPr>
          <w:p>
            <w:pPr>
              <w:spacing w:after="0"/>
              <w:rPr>
                <w:sz w:val="24"/>
                <w:szCs w:val="24"/>
                <w:color w:val="auto"/>
              </w:rPr>
            </w:pPr>
          </w:p>
        </w:tc>
        <w:tc>
          <w:tcPr>
            <w:tcW w:w="3320" w:type="dxa"/>
            <w:vAlign w:val="bottom"/>
          </w:tcPr>
          <w:p>
            <w:pPr>
              <w:jc w:val="right"/>
              <w:ind w:right="1830"/>
              <w:spacing w:after="0"/>
              <w:rPr>
                <w:sz w:val="20"/>
                <w:szCs w:val="20"/>
                <w:color w:val="auto"/>
              </w:rPr>
            </w:pPr>
            <w:r>
              <w:rPr>
                <w:rFonts w:ascii="Arial" w:cs="Arial" w:eastAsia="Arial" w:hAnsi="Arial"/>
                <w:sz w:val="18"/>
                <w:szCs w:val="18"/>
                <w:color w:val="auto"/>
              </w:rPr>
              <w:t>15</w:t>
            </w:r>
          </w:p>
        </w:tc>
        <w:tc>
          <w:tcPr>
            <w:tcW w:w="1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3"/>
        </w:trPr>
        <w:tc>
          <w:tcPr>
            <w:tcW w:w="31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Option Activity</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the stock option activity under the 2014 Plan, the 2020 Plan and the 2022</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Inducement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143510</wp:posOffset>
            </wp:positionV>
            <wp:extent cx="56489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4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740" w:type="dxa"/>
            <w:vAlign w:val="bottom"/>
          </w:tcPr>
          <w:p>
            <w:pPr>
              <w:spacing w:after="0"/>
              <w:rPr>
                <w:sz w:val="17"/>
                <w:szCs w:val="17"/>
                <w:color w:val="auto"/>
              </w:rPr>
            </w:pPr>
          </w:p>
        </w:tc>
        <w:tc>
          <w:tcPr>
            <w:tcW w:w="1020" w:type="dxa"/>
            <w:vAlign w:val="bottom"/>
          </w:tcPr>
          <w:p>
            <w:pPr>
              <w:jc w:val="right"/>
              <w:ind w:right="114"/>
              <w:spacing w:after="0"/>
              <w:rPr>
                <w:sz w:val="20"/>
                <w:szCs w:val="20"/>
                <w:color w:val="auto"/>
              </w:rPr>
            </w:pPr>
            <w:r>
              <w:rPr>
                <w:rFonts w:ascii="Arial" w:cs="Arial" w:eastAsia="Arial" w:hAnsi="Arial"/>
                <w:sz w:val="14"/>
                <w:szCs w:val="14"/>
                <w:b w:val="1"/>
                <w:bCs w:val="1"/>
                <w:color w:val="auto"/>
              </w:rPr>
              <w:t>Number of</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Exercise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300" w:type="dxa"/>
            <w:vAlign w:val="bottom"/>
          </w:tcPr>
          <w:p>
            <w:pPr>
              <w:spacing w:after="0"/>
              <w:rPr>
                <w:sz w:val="17"/>
                <w:szCs w:val="17"/>
                <w:color w:val="auto"/>
              </w:rPr>
            </w:pPr>
          </w:p>
        </w:tc>
        <w:tc>
          <w:tcPr>
            <w:tcW w:w="960" w:type="dxa"/>
            <w:vAlign w:val="bottom"/>
          </w:tcPr>
          <w:p>
            <w:pPr>
              <w:jc w:val="center"/>
              <w:ind w:right="92"/>
              <w:spacing w:after="0"/>
              <w:rPr>
                <w:sz w:val="20"/>
                <w:szCs w:val="20"/>
                <w:color w:val="auto"/>
              </w:rPr>
            </w:pPr>
            <w:r>
              <w:rPr>
                <w:rFonts w:ascii="Arial" w:cs="Arial" w:eastAsia="Arial" w:hAnsi="Arial"/>
                <w:sz w:val="14"/>
                <w:szCs w:val="14"/>
                <w:b w:val="1"/>
                <w:bCs w:val="1"/>
                <w:color w:val="auto"/>
              </w:rPr>
              <w:t>Aggregate</w:t>
            </w:r>
          </w:p>
        </w:tc>
      </w:tr>
      <w:tr>
        <w:trPr>
          <w:trHeight w:val="178"/>
        </w:trPr>
        <w:tc>
          <w:tcPr>
            <w:tcW w:w="4740" w:type="dxa"/>
            <w:vAlign w:val="bottom"/>
          </w:tcPr>
          <w:p>
            <w:pPr>
              <w:spacing w:after="0"/>
              <w:rPr>
                <w:sz w:val="15"/>
                <w:szCs w:val="15"/>
                <w:color w:val="auto"/>
              </w:rPr>
            </w:pPr>
          </w:p>
        </w:tc>
        <w:tc>
          <w:tcPr>
            <w:tcW w:w="10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Shares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Price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1260" w:type="dxa"/>
            <w:vAlign w:val="bottom"/>
            <w:tcBorders>
              <w:bottom w:val="single" w:sz="8" w:color="auto"/>
            </w:tcBorders>
            <w:gridSpan w:val="2"/>
          </w:tcPr>
          <w:p>
            <w:pPr>
              <w:jc w:val="center"/>
              <w:ind w:left="33"/>
              <w:spacing w:after="0"/>
              <w:rPr>
                <w:sz w:val="20"/>
                <w:szCs w:val="20"/>
                <w:color w:val="auto"/>
              </w:rPr>
            </w:pPr>
            <w:r>
              <w:rPr>
                <w:rFonts w:ascii="Arial" w:cs="Arial" w:eastAsia="Arial" w:hAnsi="Arial"/>
                <w:sz w:val="14"/>
                <w:szCs w:val="14"/>
                <w:b w:val="1"/>
                <w:bCs w:val="1"/>
                <w:color w:val="auto"/>
              </w:rPr>
              <w:t>Intrinsic Value</w:t>
            </w:r>
          </w:p>
        </w:tc>
      </w:tr>
      <w:tr>
        <w:trPr>
          <w:trHeight w:val="196"/>
        </w:trPr>
        <w:tc>
          <w:tcPr>
            <w:tcW w:w="4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rPr>
              <w:t>(in years)</w:t>
            </w:r>
          </w:p>
        </w:tc>
        <w:tc>
          <w:tcPr>
            <w:tcW w:w="1260" w:type="dxa"/>
            <w:vAlign w:val="bottom"/>
            <w:gridSpan w:val="2"/>
          </w:tcPr>
          <w:p>
            <w:pPr>
              <w:jc w:val="center"/>
              <w:ind w:left="33"/>
              <w:spacing w:after="0" w:line="196" w:lineRule="exact"/>
              <w:rPr>
                <w:sz w:val="20"/>
                <w:szCs w:val="20"/>
                <w:color w:val="auto"/>
              </w:rPr>
            </w:pPr>
            <w:r>
              <w:rPr>
                <w:rFonts w:ascii="Arial" w:cs="Arial" w:eastAsia="Arial" w:hAnsi="Arial"/>
                <w:sz w:val="18"/>
                <w:szCs w:val="18"/>
                <w:color w:val="auto"/>
                <w:w w:val="99"/>
              </w:rPr>
              <w:t>(in thousands)</w:t>
            </w:r>
          </w:p>
        </w:tc>
      </w:tr>
      <w:tr>
        <w:trPr>
          <w:trHeight w:val="203"/>
        </w:trPr>
        <w:tc>
          <w:tcPr>
            <w:tcW w:w="4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Outstanding as of December 31, 2021</w:t>
            </w:r>
          </w:p>
        </w:tc>
        <w:tc>
          <w:tcPr>
            <w:tcW w:w="102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5,768,028</w:t>
            </w:r>
          </w:p>
        </w:tc>
        <w:tc>
          <w:tcPr>
            <w:tcW w:w="860" w:type="dxa"/>
            <w:vAlign w:val="bottom"/>
            <w:shd w:val="clear" w:color="auto" w:fill="CCEEFF"/>
          </w:tcPr>
          <w:p>
            <w:pPr>
              <w:jc w:val="right"/>
              <w:ind w:right="77"/>
              <w:spacing w:after="0" w:line="202" w:lineRule="exact"/>
              <w:rPr>
                <w:sz w:val="20"/>
                <w:szCs w:val="20"/>
                <w:color w:val="auto"/>
              </w:rPr>
            </w:pPr>
            <w:r>
              <w:rPr>
                <w:rFonts w:ascii="Arial" w:cs="Arial" w:eastAsia="Arial" w:hAnsi="Arial"/>
                <w:sz w:val="18"/>
                <w:szCs w:val="18"/>
                <w:color w:val="auto"/>
              </w:rPr>
              <w:t>$ 15.99</w:t>
            </w:r>
          </w:p>
        </w:tc>
        <w:tc>
          <w:tcPr>
            <w:tcW w:w="1020" w:type="dxa"/>
            <w:vAlign w:val="bottom"/>
            <w:shd w:val="clear" w:color="auto" w:fill="CCEEFF"/>
          </w:tcPr>
          <w:p>
            <w:pPr>
              <w:jc w:val="right"/>
              <w:ind w:right="77"/>
              <w:spacing w:after="0" w:line="202" w:lineRule="exact"/>
              <w:rPr>
                <w:sz w:val="20"/>
                <w:szCs w:val="20"/>
                <w:color w:val="auto"/>
              </w:rPr>
            </w:pPr>
            <w:r>
              <w:rPr>
                <w:rFonts w:ascii="Arial" w:cs="Arial" w:eastAsia="Arial" w:hAnsi="Arial"/>
                <w:sz w:val="18"/>
                <w:szCs w:val="18"/>
                <w:color w:val="auto"/>
              </w:rPr>
              <w:t>8.82</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11,365</w:t>
            </w:r>
          </w:p>
        </w:tc>
      </w:tr>
      <w:tr>
        <w:trPr>
          <w:trHeight w:val="203"/>
        </w:trPr>
        <w:tc>
          <w:tcPr>
            <w:tcW w:w="4740" w:type="dxa"/>
            <w:vAlign w:val="bottom"/>
          </w:tcPr>
          <w:p>
            <w:pPr>
              <w:ind w:left="120"/>
              <w:spacing w:after="0" w:line="202" w:lineRule="exact"/>
              <w:rPr>
                <w:sz w:val="20"/>
                <w:szCs w:val="20"/>
                <w:color w:val="auto"/>
              </w:rPr>
            </w:pPr>
            <w:r>
              <w:rPr>
                <w:rFonts w:ascii="Arial" w:cs="Arial" w:eastAsia="Arial" w:hAnsi="Arial"/>
                <w:sz w:val="18"/>
                <w:szCs w:val="18"/>
                <w:color w:val="auto"/>
              </w:rPr>
              <w:t>Granted</w:t>
            </w:r>
          </w:p>
        </w:tc>
        <w:tc>
          <w:tcPr>
            <w:tcW w:w="1020" w:type="dxa"/>
            <w:vAlign w:val="bottom"/>
          </w:tcPr>
          <w:p>
            <w:pPr>
              <w:jc w:val="right"/>
              <w:ind w:right="94"/>
              <w:spacing w:after="0" w:line="202" w:lineRule="exact"/>
              <w:rPr>
                <w:sz w:val="20"/>
                <w:szCs w:val="20"/>
                <w:color w:val="auto"/>
              </w:rPr>
            </w:pPr>
            <w:r>
              <w:rPr>
                <w:rFonts w:ascii="Arial" w:cs="Arial" w:eastAsia="Arial" w:hAnsi="Arial"/>
                <w:sz w:val="18"/>
                <w:szCs w:val="18"/>
                <w:color w:val="auto"/>
              </w:rPr>
              <w:t>3,132,140</w:t>
            </w:r>
          </w:p>
        </w:tc>
        <w:tc>
          <w:tcPr>
            <w:tcW w:w="860" w:type="dxa"/>
            <w:vAlign w:val="bottom"/>
          </w:tcPr>
          <w:p>
            <w:pPr>
              <w:jc w:val="right"/>
              <w:ind w:right="77"/>
              <w:spacing w:after="0" w:line="202" w:lineRule="exact"/>
              <w:rPr>
                <w:sz w:val="20"/>
                <w:szCs w:val="20"/>
                <w:color w:val="auto"/>
              </w:rPr>
            </w:pPr>
            <w:r>
              <w:rPr>
                <w:rFonts w:ascii="Arial" w:cs="Arial" w:eastAsia="Arial" w:hAnsi="Arial"/>
                <w:sz w:val="18"/>
                <w:szCs w:val="18"/>
                <w:color w:val="auto"/>
              </w:rPr>
              <w:t>6.57</w:t>
            </w:r>
          </w:p>
        </w:tc>
        <w:tc>
          <w:tcPr>
            <w:tcW w:w="1020" w:type="dxa"/>
            <w:vAlign w:val="bottom"/>
          </w:tcPr>
          <w:p>
            <w:pPr>
              <w:jc w:val="right"/>
              <w:ind w:right="77"/>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7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Exercised(1)</w:t>
            </w:r>
          </w:p>
        </w:tc>
        <w:tc>
          <w:tcPr>
            <w:tcW w:w="102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(108,459)</w:t>
            </w:r>
          </w:p>
        </w:tc>
        <w:tc>
          <w:tcPr>
            <w:tcW w:w="860" w:type="dxa"/>
            <w:vAlign w:val="bottom"/>
            <w:shd w:val="clear" w:color="auto" w:fill="CCEEFF"/>
          </w:tcPr>
          <w:p>
            <w:pPr>
              <w:jc w:val="right"/>
              <w:ind w:right="77"/>
              <w:spacing w:after="0" w:line="202" w:lineRule="exact"/>
              <w:rPr>
                <w:sz w:val="20"/>
                <w:szCs w:val="20"/>
                <w:color w:val="auto"/>
              </w:rPr>
            </w:pPr>
            <w:r>
              <w:rPr>
                <w:rFonts w:ascii="Arial" w:cs="Arial" w:eastAsia="Arial" w:hAnsi="Arial"/>
                <w:sz w:val="18"/>
                <w:szCs w:val="18"/>
                <w:color w:val="auto"/>
              </w:rPr>
              <w:t>2.71</w:t>
            </w:r>
          </w:p>
        </w:tc>
        <w:tc>
          <w:tcPr>
            <w:tcW w:w="1020" w:type="dxa"/>
            <w:vAlign w:val="bottom"/>
            <w:shd w:val="clear" w:color="auto" w:fill="CCEEFF"/>
          </w:tcPr>
          <w:p>
            <w:pPr>
              <w:jc w:val="right"/>
              <w:ind w:right="77"/>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74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Forfeited</w:t>
            </w:r>
          </w:p>
        </w:tc>
        <w:tc>
          <w:tcPr>
            <w:tcW w:w="102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(461,761)</w:t>
            </w:r>
          </w:p>
        </w:tc>
        <w:tc>
          <w:tcPr>
            <w:tcW w:w="860" w:type="dxa"/>
            <w:vAlign w:val="bottom"/>
            <w:tcBorders>
              <w:bottom w:val="single" w:sz="8" w:color="auto"/>
            </w:tcBorders>
          </w:tcPr>
          <w:p>
            <w:pPr>
              <w:jc w:val="right"/>
              <w:ind w:right="77"/>
              <w:spacing w:after="0" w:line="202" w:lineRule="exact"/>
              <w:rPr>
                <w:sz w:val="20"/>
                <w:szCs w:val="20"/>
                <w:color w:val="auto"/>
              </w:rPr>
            </w:pPr>
            <w:r>
              <w:rPr>
                <w:rFonts w:ascii="Arial" w:cs="Arial" w:eastAsia="Arial" w:hAnsi="Arial"/>
                <w:sz w:val="18"/>
                <w:szCs w:val="18"/>
                <w:color w:val="auto"/>
              </w:rPr>
              <w:t>22.32</w:t>
            </w:r>
          </w:p>
        </w:tc>
        <w:tc>
          <w:tcPr>
            <w:tcW w:w="1020" w:type="dxa"/>
            <w:vAlign w:val="bottom"/>
            <w:tcBorders>
              <w:bottom w:val="single" w:sz="8" w:color="auto"/>
            </w:tcBorders>
          </w:tcPr>
          <w:p>
            <w:pPr>
              <w:jc w:val="right"/>
              <w:ind w:right="77"/>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47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Outstanding as of September 30, 2022(2)</w:t>
            </w:r>
          </w:p>
        </w:tc>
        <w:tc>
          <w:tcPr>
            <w:tcW w:w="1020" w:type="dxa"/>
            <w:vAlign w:val="bottom"/>
            <w:tcBorders>
              <w:bottom w:val="single" w:sz="8" w:color="auto"/>
            </w:tcBorders>
            <w:shd w:val="clear" w:color="auto" w:fill="CCEEFF"/>
          </w:tcPr>
          <w:p>
            <w:pPr>
              <w:jc w:val="right"/>
              <w:ind w:right="94"/>
              <w:spacing w:after="0" w:line="196" w:lineRule="exact"/>
              <w:rPr>
                <w:sz w:val="20"/>
                <w:szCs w:val="20"/>
                <w:color w:val="auto"/>
              </w:rPr>
            </w:pPr>
            <w:r>
              <w:rPr>
                <w:rFonts w:ascii="Arial" w:cs="Arial" w:eastAsia="Arial" w:hAnsi="Arial"/>
                <w:sz w:val="18"/>
                <w:szCs w:val="18"/>
                <w:color w:val="auto"/>
              </w:rPr>
              <w:t>8,329,948</w:t>
            </w:r>
          </w:p>
        </w:tc>
        <w:tc>
          <w:tcPr>
            <w:tcW w:w="860" w:type="dxa"/>
            <w:vAlign w:val="bottom"/>
            <w:tcBorders>
              <w:bottom w:val="single" w:sz="8" w:color="auto"/>
            </w:tcBorders>
            <w:shd w:val="clear" w:color="auto" w:fill="CCEEFF"/>
          </w:tcPr>
          <w:p>
            <w:pPr>
              <w:jc w:val="right"/>
              <w:ind w:right="77"/>
              <w:spacing w:after="0" w:line="196" w:lineRule="exact"/>
              <w:rPr>
                <w:sz w:val="20"/>
                <w:szCs w:val="20"/>
                <w:color w:val="auto"/>
              </w:rPr>
            </w:pPr>
            <w:r>
              <w:rPr>
                <w:rFonts w:ascii="Arial" w:cs="Arial" w:eastAsia="Arial" w:hAnsi="Arial"/>
                <w:sz w:val="18"/>
                <w:szCs w:val="18"/>
                <w:color w:val="auto"/>
              </w:rPr>
              <w:t>$ 12.23</w:t>
            </w:r>
          </w:p>
        </w:tc>
        <w:tc>
          <w:tcPr>
            <w:tcW w:w="1020" w:type="dxa"/>
            <w:vAlign w:val="bottom"/>
            <w:tcBorders>
              <w:bottom w:val="single" w:sz="8" w:color="auto"/>
            </w:tcBorders>
            <w:shd w:val="clear" w:color="auto" w:fill="CCEEFF"/>
          </w:tcPr>
          <w:p>
            <w:pPr>
              <w:jc w:val="right"/>
              <w:ind w:right="77"/>
              <w:spacing w:after="0" w:line="196" w:lineRule="exact"/>
              <w:rPr>
                <w:sz w:val="20"/>
                <w:szCs w:val="20"/>
                <w:color w:val="auto"/>
              </w:rPr>
            </w:pPr>
            <w:r>
              <w:rPr>
                <w:rFonts w:ascii="Arial" w:cs="Arial" w:eastAsia="Arial" w:hAnsi="Arial"/>
                <w:sz w:val="18"/>
                <w:szCs w:val="18"/>
                <w:color w:val="auto"/>
              </w:rPr>
              <w:t>8.48</w:t>
            </w:r>
          </w:p>
        </w:tc>
        <w:tc>
          <w:tcPr>
            <w:tcW w:w="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353</w:t>
            </w:r>
          </w:p>
        </w:tc>
      </w:tr>
      <w:tr>
        <w:trPr>
          <w:trHeight w:val="20"/>
        </w:trPr>
        <w:tc>
          <w:tcPr>
            <w:tcW w:w="4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4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4"/>
        </w:trPr>
        <w:tc>
          <w:tcPr>
            <w:tcW w:w="474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Options vested and exercisable as of</w:t>
            </w:r>
          </w:p>
        </w:tc>
        <w:tc>
          <w:tcPr>
            <w:tcW w:w="10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21"/>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30, 2022</w:t>
            </w:r>
          </w:p>
        </w:tc>
        <w:tc>
          <w:tcPr>
            <w:tcW w:w="10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2,913,655</w:t>
            </w: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$ 14.20</w:t>
            </w:r>
          </w:p>
        </w:tc>
        <w:tc>
          <w:tcPr>
            <w:tcW w:w="10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7.86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03"/>
        </w:trPr>
        <w:tc>
          <w:tcPr>
            <w:tcW w:w="474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Options expected to vest as of September 30, 2022</w:t>
            </w:r>
          </w:p>
        </w:tc>
        <w:tc>
          <w:tcPr>
            <w:tcW w:w="1020" w:type="dxa"/>
            <w:vAlign w:val="bottom"/>
            <w:tcBorders>
              <w:bottom w:val="single" w:sz="8" w:color="auto"/>
            </w:tcBorders>
          </w:tcPr>
          <w:p>
            <w:pPr>
              <w:jc w:val="right"/>
              <w:ind w:right="94"/>
              <w:spacing w:after="0" w:line="202" w:lineRule="exact"/>
              <w:rPr>
                <w:sz w:val="20"/>
                <w:szCs w:val="20"/>
                <w:color w:val="auto"/>
              </w:rPr>
            </w:pPr>
            <w:r>
              <w:rPr>
                <w:rFonts w:ascii="Arial" w:cs="Arial" w:eastAsia="Arial" w:hAnsi="Arial"/>
                <w:sz w:val="18"/>
                <w:szCs w:val="18"/>
                <w:color w:val="auto"/>
              </w:rPr>
              <w:t>5,416,293</w:t>
            </w:r>
          </w:p>
        </w:tc>
        <w:tc>
          <w:tcPr>
            <w:tcW w:w="860" w:type="dxa"/>
            <w:vAlign w:val="bottom"/>
            <w:tcBorders>
              <w:bottom w:val="single" w:sz="8" w:color="auto"/>
            </w:tcBorders>
          </w:tcPr>
          <w:p>
            <w:pPr>
              <w:jc w:val="right"/>
              <w:ind w:right="77"/>
              <w:spacing w:after="0" w:line="202" w:lineRule="exact"/>
              <w:rPr>
                <w:sz w:val="20"/>
                <w:szCs w:val="20"/>
                <w:color w:val="auto"/>
              </w:rPr>
            </w:pPr>
            <w:r>
              <w:rPr>
                <w:rFonts w:ascii="Arial" w:cs="Arial" w:eastAsia="Arial" w:hAnsi="Arial"/>
                <w:sz w:val="18"/>
                <w:szCs w:val="18"/>
                <w:color w:val="auto"/>
              </w:rPr>
              <w:t>$ 11.17</w:t>
            </w:r>
          </w:p>
        </w:tc>
        <w:tc>
          <w:tcPr>
            <w:tcW w:w="1020" w:type="dxa"/>
            <w:vAlign w:val="bottom"/>
            <w:tcBorders>
              <w:bottom w:val="single" w:sz="8" w:color="auto"/>
            </w:tcBorders>
          </w:tcPr>
          <w:p>
            <w:pPr>
              <w:jc w:val="right"/>
              <w:ind w:right="77"/>
              <w:spacing w:after="0" w:line="202" w:lineRule="exact"/>
              <w:rPr>
                <w:sz w:val="20"/>
                <w:szCs w:val="20"/>
                <w:color w:val="auto"/>
              </w:rPr>
            </w:pPr>
            <w:r>
              <w:rPr>
                <w:rFonts w:ascii="Arial" w:cs="Arial" w:eastAsia="Arial" w:hAnsi="Arial"/>
                <w:sz w:val="18"/>
                <w:szCs w:val="18"/>
                <w:color w:val="auto"/>
              </w:rPr>
              <w:t>8.81</w:t>
            </w:r>
          </w:p>
        </w:tc>
        <w:tc>
          <w:tcPr>
            <w:tcW w:w="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82</w:t>
            </w: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80" w:hanging="330"/>
        <w:spacing w:after="0"/>
        <w:tabs>
          <w:tab w:leader="none" w:pos="380" w:val="left"/>
        </w:tabs>
        <w:numPr>
          <w:ilvl w:val="0"/>
          <w:numId w:val="9"/>
        </w:numPr>
        <w:rPr>
          <w:rFonts w:ascii="Arial" w:cs="Arial" w:eastAsia="Arial" w:hAnsi="Arial"/>
          <w:sz w:val="14"/>
          <w:szCs w:val="14"/>
          <w:color w:val="231F20"/>
        </w:rPr>
      </w:pPr>
      <w:r>
        <w:rPr>
          <w:rFonts w:ascii="Arial" w:cs="Arial" w:eastAsia="Arial" w:hAnsi="Arial"/>
          <w:sz w:val="14"/>
          <w:szCs w:val="14"/>
          <w:color w:val="231F20"/>
        </w:rPr>
        <w:t>Exercised amount includes vesting of early exercised options.</w:t>
      </w:r>
    </w:p>
    <w:p>
      <w:pPr>
        <w:spacing w:after="0" w:line="217" w:lineRule="exact"/>
        <w:rPr>
          <w:rFonts w:ascii="Arial" w:cs="Arial" w:eastAsia="Arial" w:hAnsi="Arial"/>
          <w:sz w:val="14"/>
          <w:szCs w:val="14"/>
          <w:color w:val="231F20"/>
        </w:rPr>
      </w:pPr>
    </w:p>
    <w:p>
      <w:pPr>
        <w:ind w:left="380" w:hanging="330"/>
        <w:spacing w:after="0"/>
        <w:tabs>
          <w:tab w:leader="none" w:pos="380" w:val="left"/>
        </w:tabs>
        <w:numPr>
          <w:ilvl w:val="0"/>
          <w:numId w:val="9"/>
        </w:numPr>
        <w:rPr>
          <w:rFonts w:ascii="Arial" w:cs="Arial" w:eastAsia="Arial" w:hAnsi="Arial"/>
          <w:sz w:val="14"/>
          <w:szCs w:val="14"/>
          <w:color w:val="231F20"/>
        </w:rPr>
      </w:pPr>
      <w:r>
        <w:rPr>
          <w:rFonts w:ascii="Arial" w:cs="Arial" w:eastAsia="Arial" w:hAnsi="Arial"/>
          <w:sz w:val="14"/>
          <w:szCs w:val="14"/>
          <w:color w:val="231F20"/>
        </w:rPr>
        <w:t>Balance as of September 30, 2022 includes 25,629 unvested early exercised stock options.</w:t>
      </w:r>
    </w:p>
    <w:p>
      <w:pPr>
        <w:spacing w:after="0" w:line="20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Early Exercise of Stock Options</w:t>
      </w:r>
    </w:p>
    <w:p>
      <w:pPr>
        <w:spacing w:after="0" w:line="21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September 2020, one employee and one non-employee paid $0.6 million to early exercise 135,525 options with exercise prices ranging from $4.406 per share to $4.824 per share. As of September 30, 2022, 109,896 of such shares had vested with the remaining shares vesting over their respective terms. The terms of the 2014 Plan permit certain option holders to exercise options before their options are vested, subject to certain limitations. The early exercised options are subject to the same vesting provisions in the original stock option awards. Shares issued as a result of early exercise that have not vested are subject to repurchase by the Company upon termination of the purchaser’s employment, at the price paid by the purchaser. Such shares are not deemed to be outstanding for accounting purposes until they vest and are therefore excluded from shares outstanding and from basic and diluted net loss per share until the repurchase right lapses and the shares are no longer subject to the repurchase feature. A liability is recognized related to the cash proceeds of the unvested options and is reclassified into common stock and additional paid-in capital as the shares vest and the repurchase right lapses. Accordingly, the Company has recorded the unvested portion of the exercise proceeds of $0.1 million in other current liabilities as of September 30, 2022.</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 Awards</w:t>
      </w:r>
    </w:p>
    <w:p>
      <w:pPr>
        <w:spacing w:after="0" w:line="210"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In June 2020, the Company granted to certain employees 789,095 shares of restricted common stock (the “RSAs”) under the 2014 Plan as consideration for services with a deemed value of $2.40 per share, or $1.9 million. The following table summarizes the restricted stock activity under the Plan during the nine months ended September 30, 2022:</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000" w:type="dxa"/>
            <w:vAlign w:val="bottom"/>
            <w:tcBorders>
              <w:top w:val="single" w:sz="8" w:color="auto"/>
              <w:bottom w:val="single" w:sz="8" w:color="CCEEFF"/>
            </w:tcBorders>
          </w:tcPr>
          <w:p>
            <w:pPr>
              <w:spacing w:after="0"/>
              <w:rPr>
                <w:sz w:val="15"/>
                <w:szCs w:val="15"/>
                <w:color w:val="auto"/>
              </w:rPr>
            </w:pPr>
          </w:p>
        </w:tc>
        <w:tc>
          <w:tcPr>
            <w:tcW w:w="13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231F20"/>
              </w:rPr>
              <w:t>Number of Shares</w:t>
            </w:r>
          </w:p>
        </w:tc>
        <w:tc>
          <w:tcPr>
            <w:tcW w:w="1580" w:type="dxa"/>
            <w:vAlign w:val="bottom"/>
            <w:tcBorders>
              <w:top w:val="single" w:sz="8" w:color="auto"/>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231F20"/>
              </w:rPr>
              <w:t>Grant Date Fair Value</w:t>
            </w:r>
          </w:p>
        </w:tc>
      </w:tr>
      <w:tr>
        <w:trPr>
          <w:trHeight w:val="196"/>
        </w:trPr>
        <w:tc>
          <w:tcPr>
            <w:tcW w:w="60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231F20"/>
              </w:rPr>
              <w:t>Unvested restricted stock as of December 31, 2021</w:t>
            </w:r>
          </w:p>
        </w:tc>
        <w:tc>
          <w:tcPr>
            <w:tcW w:w="1380" w:type="dxa"/>
            <w:vAlign w:val="bottom"/>
            <w:shd w:val="clear" w:color="auto" w:fill="CCEEFF"/>
          </w:tcPr>
          <w:p>
            <w:pPr>
              <w:jc w:val="right"/>
              <w:ind w:right="93"/>
              <w:spacing w:after="0" w:line="196" w:lineRule="exact"/>
              <w:rPr>
                <w:sz w:val="20"/>
                <w:szCs w:val="20"/>
                <w:color w:val="auto"/>
              </w:rPr>
            </w:pPr>
            <w:r>
              <w:rPr>
                <w:rFonts w:ascii="Arial" w:cs="Arial" w:eastAsia="Arial" w:hAnsi="Arial"/>
                <w:sz w:val="18"/>
                <w:szCs w:val="18"/>
                <w:color w:val="231F20"/>
              </w:rPr>
              <w:t>493,185</w:t>
            </w:r>
          </w:p>
        </w:tc>
        <w:tc>
          <w:tcPr>
            <w:tcW w:w="700" w:type="dxa"/>
            <w:vAlign w:val="bottom"/>
            <w:gridSpan w:val="2"/>
            <w:shd w:val="clear" w:color="auto" w:fill="CCEEFF"/>
          </w:tcPr>
          <w:p>
            <w:pPr>
              <w:ind w:left="120"/>
              <w:spacing w:after="0" w:line="196" w:lineRule="exact"/>
              <w:rPr>
                <w:sz w:val="20"/>
                <w:szCs w:val="20"/>
                <w:color w:val="auto"/>
              </w:rPr>
            </w:pPr>
            <w:r>
              <w:rPr>
                <w:rFonts w:ascii="Arial" w:cs="Arial" w:eastAsia="Arial" w:hAnsi="Arial"/>
                <w:sz w:val="18"/>
                <w:szCs w:val="18"/>
                <w:color w:val="231F20"/>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2.40</w:t>
            </w:r>
          </w:p>
        </w:tc>
      </w:tr>
      <w:tr>
        <w:trPr>
          <w:trHeight w:val="203"/>
        </w:trPr>
        <w:tc>
          <w:tcPr>
            <w:tcW w:w="6000" w:type="dxa"/>
            <w:vAlign w:val="bottom"/>
          </w:tcPr>
          <w:p>
            <w:pPr>
              <w:ind w:left="120"/>
              <w:spacing w:after="0" w:line="202" w:lineRule="exact"/>
              <w:rPr>
                <w:sz w:val="20"/>
                <w:szCs w:val="20"/>
                <w:color w:val="auto"/>
              </w:rPr>
            </w:pPr>
            <w:r>
              <w:rPr>
                <w:rFonts w:ascii="Arial" w:cs="Arial" w:eastAsia="Arial" w:hAnsi="Arial"/>
                <w:sz w:val="18"/>
                <w:szCs w:val="18"/>
                <w:color w:val="231F20"/>
              </w:rPr>
              <w:t>Granted</w:t>
            </w:r>
          </w:p>
        </w:tc>
        <w:tc>
          <w:tcPr>
            <w:tcW w:w="1380" w:type="dxa"/>
            <w:vAlign w:val="bottom"/>
          </w:tcPr>
          <w:p>
            <w:pPr>
              <w:jc w:val="right"/>
              <w:ind w:right="93"/>
              <w:spacing w:after="0" w:line="202" w:lineRule="exact"/>
              <w:rPr>
                <w:sz w:val="20"/>
                <w:szCs w:val="20"/>
                <w:color w:val="auto"/>
              </w:rPr>
            </w:pPr>
            <w:r>
              <w:rPr>
                <w:rFonts w:ascii="Arial" w:cs="Arial" w:eastAsia="Arial" w:hAnsi="Arial"/>
                <w:sz w:val="18"/>
                <w:szCs w:val="18"/>
                <w:color w:val="231F20"/>
              </w:rPr>
              <w:t>—</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231F20"/>
              </w:rPr>
              <w:t>—</w:t>
            </w:r>
          </w:p>
        </w:tc>
      </w:tr>
      <w:tr>
        <w:trPr>
          <w:trHeight w:val="203"/>
        </w:trPr>
        <w:tc>
          <w:tcPr>
            <w:tcW w:w="60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231F20"/>
              </w:rPr>
              <w:t>Vested</w:t>
            </w:r>
          </w:p>
        </w:tc>
        <w:tc>
          <w:tcPr>
            <w:tcW w:w="138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231F20"/>
              </w:rPr>
              <w:t>(147,955)</w:t>
            </w: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2.40</w:t>
            </w:r>
          </w:p>
        </w:tc>
      </w:tr>
      <w:tr>
        <w:trPr>
          <w:trHeight w:val="203"/>
        </w:trPr>
        <w:tc>
          <w:tcPr>
            <w:tcW w:w="600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231F20"/>
              </w:rPr>
              <w:t>Forfeited</w:t>
            </w:r>
          </w:p>
        </w:tc>
        <w:tc>
          <w:tcPr>
            <w:tcW w:w="1380" w:type="dxa"/>
            <w:vAlign w:val="bottom"/>
            <w:tcBorders>
              <w:bottom w:val="single" w:sz="8" w:color="231F20"/>
            </w:tcBorders>
          </w:tcPr>
          <w:p>
            <w:pPr>
              <w:jc w:val="right"/>
              <w:ind w:right="93"/>
              <w:spacing w:after="0" w:line="202" w:lineRule="exact"/>
              <w:rPr>
                <w:sz w:val="20"/>
                <w:szCs w:val="20"/>
                <w:color w:val="auto"/>
              </w:rPr>
            </w:pPr>
            <w:r>
              <w:rPr>
                <w:rFonts w:ascii="Arial" w:cs="Arial" w:eastAsia="Arial" w:hAnsi="Arial"/>
                <w:sz w:val="18"/>
                <w:szCs w:val="18"/>
                <w:color w:val="231F20"/>
              </w:rPr>
              <w:t>—</w:t>
            </w:r>
          </w:p>
        </w:tc>
        <w:tc>
          <w:tcPr>
            <w:tcW w:w="220" w:type="dxa"/>
            <w:vAlign w:val="bottom"/>
            <w:tcBorders>
              <w:bottom w:val="single" w:sz="8" w:color="231F20"/>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231F20"/>
              </w:rPr>
              <w:t>—</w:t>
            </w:r>
          </w:p>
        </w:tc>
      </w:tr>
      <w:tr>
        <w:trPr>
          <w:trHeight w:val="196"/>
        </w:trPr>
        <w:tc>
          <w:tcPr>
            <w:tcW w:w="600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231F20"/>
              </w:rPr>
              <w:t>Unvested restricted stock as of September 30, 2022</w:t>
            </w:r>
          </w:p>
        </w:tc>
        <w:tc>
          <w:tcPr>
            <w:tcW w:w="1380" w:type="dxa"/>
            <w:vAlign w:val="bottom"/>
            <w:tcBorders>
              <w:bottom w:val="single" w:sz="8" w:color="auto"/>
            </w:tcBorders>
            <w:shd w:val="clear" w:color="auto" w:fill="CCEEFF"/>
          </w:tcPr>
          <w:p>
            <w:pPr>
              <w:jc w:val="right"/>
              <w:ind w:right="93"/>
              <w:spacing w:after="0" w:line="196" w:lineRule="exact"/>
              <w:rPr>
                <w:sz w:val="20"/>
                <w:szCs w:val="20"/>
                <w:color w:val="auto"/>
              </w:rPr>
            </w:pPr>
            <w:r>
              <w:rPr>
                <w:rFonts w:ascii="Arial" w:cs="Arial" w:eastAsia="Arial" w:hAnsi="Arial"/>
                <w:sz w:val="18"/>
                <w:szCs w:val="18"/>
                <w:color w:val="231F20"/>
              </w:rPr>
              <w:t>345,230</w:t>
            </w:r>
          </w:p>
        </w:tc>
        <w:tc>
          <w:tcPr>
            <w:tcW w:w="220" w:type="dxa"/>
            <w:vAlign w:val="bottom"/>
            <w:tcBorders>
              <w:bottom w:val="single" w:sz="8" w:color="auto"/>
            </w:tcBorders>
            <w:shd w:val="clear" w:color="auto" w:fill="CCEEFF"/>
          </w:tcPr>
          <w:p>
            <w:pPr>
              <w:ind w:left="120"/>
              <w:spacing w:after="0" w:line="196" w:lineRule="exact"/>
              <w:rPr>
                <w:sz w:val="20"/>
                <w:szCs w:val="20"/>
                <w:color w:val="auto"/>
              </w:rPr>
            </w:pPr>
            <w:r>
              <w:rPr>
                <w:rFonts w:ascii="Arial" w:cs="Arial" w:eastAsia="Arial" w:hAnsi="Arial"/>
                <w:sz w:val="18"/>
                <w:szCs w:val="18"/>
                <w:color w:val="231F20"/>
                <w:w w:val="79"/>
              </w:rPr>
              <w:t>$</w:t>
            </w:r>
          </w:p>
        </w:tc>
        <w:tc>
          <w:tcPr>
            <w:tcW w:w="4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2.40</w:t>
            </w:r>
          </w:p>
        </w:tc>
      </w:tr>
      <w:tr>
        <w:trPr>
          <w:trHeight w:val="20"/>
        </w:trPr>
        <w:tc>
          <w:tcPr>
            <w:tcW w:w="60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2020 Employee Stock Purchase Plan</w:t>
      </w:r>
    </w:p>
    <w:p>
      <w:pPr>
        <w:spacing w:after="0" w:line="21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2020, the Company’s board of directors and stockholders approved and adopted the 2020 ESPP. The ESPP permits eligible employees who elect to participate in an offering under the ESPP to have up to 15% of their eligible earnings withheld, subject to certain limitations, to purchase shares of common stock pursuant to the ESPP. The price of the common stock purchased under the ESPP is equal to the lesser of (i) 85% of the fair market value of a share of the Company’s common stock on the first day of an offering; or (ii) 85% of the fair market value of a share of the Company’s common stock on the date of purchase. Each offering period is not to exceed 27 months and will include one or more purchase periods (each a “Purchase Period”) as approved by the Company’s board of directors in the offering. The current offering period will consist of two (2) six month purchase periods (each a “Purchase Period”) during which payroll deductions of the participants are accumulated under the ESPP. The last business day of each Purchase Period is referred to as the “Purchase Date.” A total of 430,416 shares of common stock were initially reserved for issuance pursuant to the ESPP.</w:t>
      </w:r>
    </w:p>
    <w:p>
      <w:pPr>
        <w:spacing w:after="0" w:line="186"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The ESPP is a compensatory plan as defined by the authoritative guidance for stock-based compensation. The Company uses the Black-Scholes option-pricing model to estimate the fair value of stock offered under the ESPP. Stock-based compensation expense related to the ESPP was $0.1 million and $0.3 million for the three and nine months ended September 30, 2022, respectively.</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Stock-Based Compensation Expense</w:t>
      </w:r>
    </w:p>
    <w:p>
      <w:pPr>
        <w:spacing w:after="0" w:line="21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Stock-based compensation expense related to awards granted under the 2014 Plan, the 2020 Plan, the 2020 ESPP Plan and the 2022 Inducement Plan was classified in the condensed consolidated statements of operations and comprehensive loss as follows (in thousands):</w:t>
      </w:r>
    </w:p>
    <w:p>
      <w:pPr>
        <w:spacing w:after="0" w:line="73" w:lineRule="exact"/>
        <w:rPr>
          <w:sz w:val="20"/>
          <w:szCs w:val="20"/>
          <w:color w:val="auto"/>
        </w:rPr>
      </w:pPr>
    </w:p>
    <w:tbl>
      <w:tblPr>
        <w:tblLayout w:type="fixed"/>
        <w:tblInd w:w="60" w:type="dxa"/>
        <w:tblCellMar>
          <w:top w:w="0" w:type="dxa"/>
          <w:left w:w="0" w:type="dxa"/>
          <w:bottom w:w="0" w:type="dxa"/>
          <w:right w:w="0" w:type="dxa"/>
        </w:tblCellMar>
      </w:tblPr>
      <w:tr>
        <w:trPr>
          <w:trHeight w:val="166"/>
        </w:trPr>
        <w:tc>
          <w:tcPr>
            <w:tcW w:w="51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840" w:type="dxa"/>
            <w:vAlign w:val="bottom"/>
            <w:tcBorders>
              <w:top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gridSpan w:val="3"/>
          </w:tcPr>
          <w:p>
            <w:pPr>
              <w:jc w:val="right"/>
              <w:ind w:right="135"/>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4"/>
          </w:tcPr>
          <w:p>
            <w:pPr>
              <w:ind w:left="2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640" w:type="dxa"/>
            <w:vAlign w:val="bottom"/>
            <w:gridSpan w:val="3"/>
          </w:tcPr>
          <w:p>
            <w:pPr>
              <w:jc w:val="right"/>
              <w:ind w:right="335"/>
              <w:spacing w:after="0"/>
              <w:rPr>
                <w:sz w:val="20"/>
                <w:szCs w:val="20"/>
                <w:color w:val="auto"/>
              </w:rPr>
            </w:pPr>
            <w:r>
              <w:rPr>
                <w:rFonts w:ascii="Arial" w:cs="Arial" w:eastAsia="Arial" w:hAnsi="Arial"/>
                <w:sz w:val="14"/>
                <w:szCs w:val="14"/>
                <w:b w:val="1"/>
                <w:bCs w:val="1"/>
                <w:color w:val="auto"/>
              </w:rPr>
              <w:t>September 30,</w:t>
            </w:r>
          </w:p>
        </w:tc>
      </w:tr>
      <w:tr>
        <w:trPr>
          <w:trHeight w:val="155"/>
        </w:trPr>
        <w:tc>
          <w:tcPr>
            <w:tcW w:w="516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231F20"/>
              </w:rPr>
              <w:t>2022</w:t>
            </w:r>
          </w:p>
        </w:tc>
        <w:tc>
          <w:tcPr>
            <w:tcW w:w="32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231F20"/>
              </w:rPr>
              <w:t>2021</w:t>
            </w:r>
          </w:p>
        </w:tc>
        <w:tc>
          <w:tcPr>
            <w:tcW w:w="22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231F20"/>
              </w:rPr>
              <w:t>2022</w:t>
            </w:r>
          </w:p>
        </w:tc>
        <w:tc>
          <w:tcPr>
            <w:tcW w:w="2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231F20"/>
              </w:rPr>
              <w:t>2021</w:t>
            </w:r>
          </w:p>
        </w:tc>
      </w:tr>
      <w:tr>
        <w:trPr>
          <w:trHeight w:val="196"/>
        </w:trPr>
        <w:tc>
          <w:tcPr>
            <w:tcW w:w="5160" w:type="dxa"/>
            <w:vAlign w:val="bottom"/>
            <w:shd w:val="clear" w:color="auto" w:fill="CCEEFF"/>
          </w:tcPr>
          <w:p>
            <w:pPr>
              <w:spacing w:after="0" w:line="196" w:lineRule="exact"/>
              <w:rPr>
                <w:sz w:val="20"/>
                <w:szCs w:val="20"/>
                <w:color w:val="auto"/>
              </w:rPr>
            </w:pPr>
            <w:r>
              <w:rPr>
                <w:rFonts w:ascii="Arial" w:cs="Arial" w:eastAsia="Arial" w:hAnsi="Arial"/>
                <w:sz w:val="18"/>
                <w:szCs w:val="18"/>
                <w:color w:val="231F20"/>
              </w:rPr>
              <w:t>Research and development</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w w:val="79"/>
              </w:rPr>
              <w:t>$</w:t>
            </w:r>
          </w:p>
        </w:tc>
        <w:tc>
          <w:tcPr>
            <w:tcW w:w="660" w:type="dxa"/>
            <w:vAlign w:val="bottom"/>
            <w:shd w:val="clear" w:color="auto" w:fill="CCEEFF"/>
          </w:tcPr>
          <w:p>
            <w:pPr>
              <w:ind w:left="80"/>
              <w:spacing w:after="0" w:line="196" w:lineRule="exact"/>
              <w:rPr>
                <w:sz w:val="20"/>
                <w:szCs w:val="20"/>
                <w:color w:val="auto"/>
              </w:rPr>
            </w:pPr>
            <w:r>
              <w:rPr>
                <w:rFonts w:ascii="Arial" w:cs="Arial" w:eastAsia="Arial" w:hAnsi="Arial"/>
                <w:sz w:val="18"/>
                <w:szCs w:val="18"/>
                <w:color w:val="231F20"/>
              </w:rPr>
              <w:t>2,812</w:t>
            </w:r>
          </w:p>
        </w:tc>
        <w:tc>
          <w:tcPr>
            <w:tcW w:w="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2,405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w w:val="79"/>
              </w:rPr>
              <w:t>$</w:t>
            </w:r>
          </w:p>
        </w:tc>
        <w:tc>
          <w:tcPr>
            <w:tcW w:w="720" w:type="dxa"/>
            <w:vAlign w:val="bottom"/>
            <w:shd w:val="clear" w:color="auto" w:fill="CCEEFF"/>
          </w:tcPr>
          <w:p>
            <w:pPr>
              <w:jc w:val="right"/>
              <w:ind w:right="59"/>
              <w:spacing w:after="0" w:line="196" w:lineRule="exact"/>
              <w:rPr>
                <w:sz w:val="20"/>
                <w:szCs w:val="20"/>
                <w:color w:val="auto"/>
              </w:rPr>
            </w:pPr>
            <w:r>
              <w:rPr>
                <w:rFonts w:ascii="Arial" w:cs="Arial" w:eastAsia="Arial" w:hAnsi="Arial"/>
                <w:sz w:val="18"/>
                <w:szCs w:val="18"/>
                <w:color w:val="231F20"/>
              </w:rPr>
              <w:t>9,088</w:t>
            </w:r>
          </w:p>
        </w:tc>
        <w:tc>
          <w:tcPr>
            <w:tcW w:w="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6,427</w:t>
            </w:r>
          </w:p>
        </w:tc>
      </w:tr>
      <w:tr>
        <w:trPr>
          <w:trHeight w:val="203"/>
        </w:trPr>
        <w:tc>
          <w:tcPr>
            <w:tcW w:w="51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231F20"/>
              </w:rPr>
              <w:t>General and administrative</w:t>
            </w:r>
          </w:p>
        </w:tc>
        <w:tc>
          <w:tcPr>
            <w:tcW w:w="140" w:type="dxa"/>
            <w:vAlign w:val="bottom"/>
            <w:tcBorders>
              <w:bottom w:val="single" w:sz="8" w:color="231F20"/>
            </w:tcBorders>
          </w:tcPr>
          <w:p>
            <w:pPr>
              <w:spacing w:after="0"/>
              <w:rPr>
                <w:sz w:val="17"/>
                <w:szCs w:val="17"/>
                <w:color w:val="auto"/>
              </w:rPr>
            </w:pPr>
          </w:p>
        </w:tc>
        <w:tc>
          <w:tcPr>
            <w:tcW w:w="660" w:type="dxa"/>
            <w:vAlign w:val="bottom"/>
            <w:tcBorders>
              <w:bottom w:val="single" w:sz="8" w:color="231F20"/>
            </w:tcBorders>
          </w:tcPr>
          <w:p>
            <w:pPr>
              <w:ind w:left="80"/>
              <w:spacing w:after="0" w:line="202" w:lineRule="exact"/>
              <w:rPr>
                <w:sz w:val="20"/>
                <w:szCs w:val="20"/>
                <w:color w:val="auto"/>
              </w:rPr>
            </w:pPr>
            <w:r>
              <w:rPr>
                <w:rFonts w:ascii="Arial" w:cs="Arial" w:eastAsia="Arial" w:hAnsi="Arial"/>
                <w:sz w:val="18"/>
                <w:szCs w:val="18"/>
                <w:color w:val="231F20"/>
              </w:rPr>
              <w:t>1,463</w:t>
            </w:r>
          </w:p>
        </w:tc>
        <w:tc>
          <w:tcPr>
            <w:tcW w:w="320" w:type="dxa"/>
            <w:vAlign w:val="bottom"/>
            <w:tcBorders>
              <w:bottom w:val="single" w:sz="8" w:color="231F20"/>
            </w:tcBorders>
          </w:tcPr>
          <w:p>
            <w:pPr>
              <w:spacing w:after="0"/>
              <w:rPr>
                <w:sz w:val="17"/>
                <w:szCs w:val="17"/>
                <w:color w:val="auto"/>
              </w:rPr>
            </w:pPr>
          </w:p>
        </w:tc>
        <w:tc>
          <w:tcPr>
            <w:tcW w:w="640" w:type="dxa"/>
            <w:vAlign w:val="bottom"/>
            <w:tcBorders>
              <w:bottom w:val="single" w:sz="8" w:color="231F20"/>
            </w:tcBorders>
          </w:tcPr>
          <w:p>
            <w:pPr>
              <w:jc w:val="right"/>
              <w:spacing w:after="0" w:line="202" w:lineRule="exact"/>
              <w:rPr>
                <w:sz w:val="20"/>
                <w:szCs w:val="20"/>
                <w:color w:val="auto"/>
              </w:rPr>
            </w:pPr>
            <w:r>
              <w:rPr>
                <w:rFonts w:ascii="Arial" w:cs="Arial" w:eastAsia="Arial" w:hAnsi="Arial"/>
                <w:sz w:val="18"/>
                <w:szCs w:val="18"/>
                <w:color w:val="231F20"/>
              </w:rPr>
              <w:t>1,752</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720" w:type="dxa"/>
            <w:vAlign w:val="bottom"/>
            <w:tcBorders>
              <w:bottom w:val="single" w:sz="8" w:color="231F20"/>
            </w:tcBorders>
          </w:tcPr>
          <w:p>
            <w:pPr>
              <w:jc w:val="right"/>
              <w:ind w:right="59"/>
              <w:spacing w:after="0" w:line="202" w:lineRule="exact"/>
              <w:rPr>
                <w:sz w:val="20"/>
                <w:szCs w:val="20"/>
                <w:color w:val="auto"/>
              </w:rPr>
            </w:pPr>
            <w:r>
              <w:rPr>
                <w:rFonts w:ascii="Arial" w:cs="Arial" w:eastAsia="Arial" w:hAnsi="Arial"/>
                <w:sz w:val="18"/>
                <w:szCs w:val="18"/>
                <w:color w:val="231F20"/>
              </w:rPr>
              <w:t>4,880</w:t>
            </w:r>
          </w:p>
        </w:tc>
        <w:tc>
          <w:tcPr>
            <w:tcW w:w="280" w:type="dxa"/>
            <w:vAlign w:val="bottom"/>
            <w:tcBorders>
              <w:bottom w:val="single" w:sz="8" w:color="231F20"/>
            </w:tcBorders>
          </w:tcPr>
          <w:p>
            <w:pPr>
              <w:spacing w:after="0"/>
              <w:rPr>
                <w:sz w:val="17"/>
                <w:szCs w:val="17"/>
                <w:color w:val="auto"/>
              </w:rPr>
            </w:pPr>
          </w:p>
        </w:tc>
        <w:tc>
          <w:tcPr>
            <w:tcW w:w="640" w:type="dxa"/>
            <w:vAlign w:val="bottom"/>
            <w:tcBorders>
              <w:bottom w:val="single" w:sz="8" w:color="231F20"/>
            </w:tcBorders>
          </w:tcPr>
          <w:p>
            <w:pPr>
              <w:jc w:val="right"/>
              <w:spacing w:after="0" w:line="202" w:lineRule="exact"/>
              <w:rPr>
                <w:sz w:val="20"/>
                <w:szCs w:val="20"/>
                <w:color w:val="auto"/>
              </w:rPr>
            </w:pPr>
            <w:r>
              <w:rPr>
                <w:rFonts w:ascii="Arial" w:cs="Arial" w:eastAsia="Arial" w:hAnsi="Arial"/>
                <w:sz w:val="18"/>
                <w:szCs w:val="18"/>
                <w:color w:val="231F20"/>
              </w:rPr>
              <w:t>4,859</w:t>
            </w:r>
          </w:p>
        </w:tc>
      </w:tr>
      <w:tr>
        <w:trPr>
          <w:trHeight w:val="196"/>
        </w:trPr>
        <w:tc>
          <w:tcPr>
            <w:tcW w:w="5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w w:val="79"/>
              </w:rPr>
              <w:t>$</w:t>
            </w:r>
          </w:p>
        </w:tc>
        <w:tc>
          <w:tcPr>
            <w:tcW w:w="660" w:type="dxa"/>
            <w:vAlign w:val="bottom"/>
            <w:tcBorders>
              <w:bottom w:val="single" w:sz="8" w:color="auto"/>
            </w:tcBorders>
            <w:shd w:val="clear" w:color="auto" w:fill="CCEEFF"/>
          </w:tcPr>
          <w:p>
            <w:pPr>
              <w:ind w:left="80"/>
              <w:spacing w:after="0" w:line="196" w:lineRule="exact"/>
              <w:rPr>
                <w:sz w:val="20"/>
                <w:szCs w:val="20"/>
                <w:color w:val="auto"/>
              </w:rPr>
            </w:pPr>
            <w:r>
              <w:rPr>
                <w:rFonts w:ascii="Arial" w:cs="Arial" w:eastAsia="Arial" w:hAnsi="Arial"/>
                <w:sz w:val="18"/>
                <w:szCs w:val="18"/>
                <w:color w:val="231F20"/>
              </w:rPr>
              <w:t>4,275</w:t>
            </w:r>
          </w:p>
        </w:tc>
        <w:tc>
          <w:tcPr>
            <w:tcW w:w="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4,157</w:t>
            </w:r>
          </w:p>
        </w:tc>
        <w:tc>
          <w:tcPr>
            <w:tcW w:w="2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w w:val="79"/>
              </w:rPr>
              <w:t>$</w:t>
            </w:r>
          </w:p>
        </w:tc>
        <w:tc>
          <w:tcPr>
            <w:tcW w:w="720" w:type="dxa"/>
            <w:vAlign w:val="bottom"/>
            <w:tcBorders>
              <w:bottom w:val="single" w:sz="8" w:color="auto"/>
            </w:tcBorders>
            <w:shd w:val="clear" w:color="auto" w:fill="CCEEFF"/>
          </w:tcPr>
          <w:p>
            <w:pPr>
              <w:jc w:val="right"/>
              <w:ind w:right="59"/>
              <w:spacing w:after="0" w:line="196" w:lineRule="exact"/>
              <w:rPr>
                <w:sz w:val="20"/>
                <w:szCs w:val="20"/>
                <w:color w:val="auto"/>
              </w:rPr>
            </w:pPr>
            <w:r>
              <w:rPr>
                <w:rFonts w:ascii="Arial" w:cs="Arial" w:eastAsia="Arial" w:hAnsi="Arial"/>
                <w:sz w:val="18"/>
                <w:szCs w:val="18"/>
                <w:color w:val="231F20"/>
              </w:rPr>
              <w:t>13,968</w:t>
            </w:r>
          </w:p>
        </w:tc>
        <w:tc>
          <w:tcPr>
            <w:tcW w:w="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w w:val="98"/>
              </w:rPr>
              <w:t>11,286</w:t>
            </w: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60"/>
        <w:spacing w:after="0"/>
        <w:tabs>
          <w:tab w:leader="none" w:pos="360" w:val="left"/>
        </w:tabs>
        <w:rPr>
          <w:sz w:val="20"/>
          <w:szCs w:val="20"/>
          <w:color w:val="auto"/>
        </w:rPr>
      </w:pPr>
      <w:r>
        <w:rPr>
          <w:rFonts w:ascii="Arial" w:cs="Arial" w:eastAsia="Arial" w:hAnsi="Arial"/>
          <w:sz w:val="18"/>
          <w:szCs w:val="18"/>
          <w:color w:val="auto"/>
        </w:rPr>
        <w:t>8.</w:t>
        <w:tab/>
        <w:t>Net Loss Per Share</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Loss Per Share</w:t>
      </w:r>
    </w:p>
    <w:p>
      <w:pPr>
        <w:spacing w:after="0" w:line="210"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Basic and diluted net loss per share was calculated as follows (in thousands, except share and per share amounts):</w:t>
      </w:r>
    </w:p>
    <w:p>
      <w:pPr>
        <w:spacing w:after="0" w:line="58"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39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420" w:type="dxa"/>
            <w:vAlign w:val="bottom"/>
            <w:tcBorders>
              <w:top w:val="single" w:sz="8" w:color="auto"/>
            </w:tcBorders>
            <w:gridSpan w:val="4"/>
          </w:tcPr>
          <w:p>
            <w:pPr>
              <w:jc w:val="center"/>
              <w:ind w:right="280"/>
              <w:spacing w:after="0"/>
              <w:rPr>
                <w:sz w:val="20"/>
                <w:szCs w:val="20"/>
                <w:color w:val="auto"/>
              </w:rPr>
            </w:pPr>
            <w:r>
              <w:rPr>
                <w:rFonts w:ascii="Arial" w:cs="Arial" w:eastAsia="Arial" w:hAnsi="Arial"/>
                <w:sz w:val="14"/>
                <w:szCs w:val="14"/>
                <w:b w:val="1"/>
                <w:bCs w:val="1"/>
                <w:color w:val="231F20"/>
              </w:rPr>
              <w:t>Three Months Ended</w:t>
            </w: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231F20"/>
              </w:rPr>
              <w:t>September 30,</w:t>
            </w:r>
          </w:p>
        </w:tc>
        <w:tc>
          <w:tcPr>
            <w:tcW w:w="2440" w:type="dxa"/>
            <w:vAlign w:val="bottom"/>
            <w:gridSpan w:val="4"/>
          </w:tcPr>
          <w:p>
            <w:pPr>
              <w:ind w:left="20"/>
              <w:spacing w:after="0"/>
              <w:rPr>
                <w:sz w:val="20"/>
                <w:szCs w:val="20"/>
                <w:color w:val="auto"/>
              </w:rPr>
            </w:pPr>
            <w:r>
              <w:rPr>
                <w:rFonts w:ascii="Arial" w:cs="Arial" w:eastAsia="Arial" w:hAnsi="Arial"/>
                <w:sz w:val="14"/>
                <w:szCs w:val="14"/>
                <w:b w:val="1"/>
                <w:bCs w:val="1"/>
                <w:color w:val="231F20"/>
              </w:rPr>
              <w:t>Nine Months Ended September 30,</w:t>
            </w:r>
          </w:p>
        </w:tc>
      </w:tr>
      <w:tr>
        <w:trPr>
          <w:trHeight w:val="155"/>
        </w:trPr>
        <w:tc>
          <w:tcPr>
            <w:tcW w:w="20" w:type="dxa"/>
            <w:vAlign w:val="bottom"/>
          </w:tcPr>
          <w:p>
            <w:pPr>
              <w:spacing w:after="0"/>
              <w:rPr>
                <w:sz w:val="13"/>
                <w:szCs w:val="13"/>
                <w:color w:val="auto"/>
              </w:rPr>
            </w:pPr>
          </w:p>
        </w:tc>
        <w:tc>
          <w:tcPr>
            <w:tcW w:w="39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98"/>
              <w:spacing w:after="0" w:line="155" w:lineRule="exact"/>
              <w:rPr>
                <w:sz w:val="20"/>
                <w:szCs w:val="20"/>
                <w:color w:val="auto"/>
              </w:rPr>
            </w:pPr>
            <w:r>
              <w:rPr>
                <w:rFonts w:ascii="Arial" w:cs="Arial" w:eastAsia="Arial" w:hAnsi="Arial"/>
                <w:sz w:val="14"/>
                <w:szCs w:val="14"/>
                <w:b w:val="1"/>
                <w:bCs w:val="1"/>
                <w:color w:val="231F20"/>
              </w:rPr>
              <w:t>2022</w:t>
            </w:r>
          </w:p>
        </w:tc>
        <w:tc>
          <w:tcPr>
            <w:tcW w:w="2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231F20"/>
              </w:rPr>
              <w:t>2021</w:t>
            </w:r>
          </w:p>
        </w:tc>
        <w:tc>
          <w:tcPr>
            <w:tcW w:w="14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231F20"/>
              </w:rPr>
              <w:t>2022</w:t>
            </w:r>
          </w:p>
        </w:tc>
        <w:tc>
          <w:tcPr>
            <w:tcW w:w="2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231F20"/>
              </w:rPr>
              <w:t>2021</w:t>
            </w:r>
          </w:p>
        </w:tc>
      </w:tr>
      <w:tr>
        <w:trPr>
          <w:trHeight w:val="196"/>
        </w:trPr>
        <w:tc>
          <w:tcPr>
            <w:tcW w:w="20" w:type="dxa"/>
            <w:vAlign w:val="bottom"/>
          </w:tcPr>
          <w:p>
            <w:pPr>
              <w:spacing w:after="0"/>
              <w:rPr>
                <w:sz w:val="17"/>
                <w:szCs w:val="17"/>
                <w:color w:val="auto"/>
              </w:rPr>
            </w:pPr>
          </w:p>
        </w:tc>
        <w:tc>
          <w:tcPr>
            <w:tcW w:w="3900" w:type="dxa"/>
            <w:vAlign w:val="bottom"/>
            <w:shd w:val="clear" w:color="auto" w:fill="CCEEFF"/>
          </w:tcPr>
          <w:p>
            <w:pPr>
              <w:spacing w:after="0" w:line="196" w:lineRule="exact"/>
              <w:rPr>
                <w:sz w:val="20"/>
                <w:szCs w:val="20"/>
                <w:color w:val="auto"/>
              </w:rPr>
            </w:pPr>
            <w:r>
              <w:rPr>
                <w:rFonts w:ascii="Arial" w:cs="Arial" w:eastAsia="Arial" w:hAnsi="Arial"/>
                <w:sz w:val="18"/>
                <w:szCs w:val="18"/>
                <w:color w:val="231F20"/>
              </w:rPr>
              <w:t>Numerator:</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00" w:type="dxa"/>
            <w:vAlign w:val="bottom"/>
          </w:tcPr>
          <w:p>
            <w:pPr>
              <w:ind w:left="100"/>
              <w:spacing w:after="0" w:line="202" w:lineRule="exact"/>
              <w:rPr>
                <w:sz w:val="20"/>
                <w:szCs w:val="20"/>
                <w:color w:val="auto"/>
              </w:rPr>
            </w:pPr>
            <w:r>
              <w:rPr>
                <w:rFonts w:ascii="Arial" w:cs="Arial" w:eastAsia="Arial" w:hAnsi="Arial"/>
                <w:sz w:val="18"/>
                <w:szCs w:val="18"/>
                <w:color w:val="231F20"/>
              </w:rPr>
              <w:t>Net loss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231F20"/>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231F20"/>
              </w:rPr>
              <w:t>(22,720)</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231F20"/>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231F20"/>
              </w:rPr>
              <w:t>(17,713)</w:t>
            </w:r>
          </w:p>
        </w:tc>
        <w:tc>
          <w:tcPr>
            <w:tcW w:w="140" w:type="dxa"/>
            <w:vAlign w:val="bottom"/>
          </w:tcPr>
          <w:p>
            <w:pPr>
              <w:spacing w:after="0"/>
              <w:rPr>
                <w:sz w:val="17"/>
                <w:szCs w:val="17"/>
                <w:color w:val="auto"/>
              </w:rPr>
            </w:pPr>
          </w:p>
        </w:tc>
        <w:tc>
          <w:tcPr>
            <w:tcW w:w="140" w:type="dxa"/>
            <w:vAlign w:val="bottom"/>
          </w:tcPr>
          <w:p>
            <w:pPr>
              <w:ind w:left="20"/>
              <w:spacing w:after="0" w:line="202" w:lineRule="exact"/>
              <w:rPr>
                <w:sz w:val="20"/>
                <w:szCs w:val="20"/>
                <w:color w:val="auto"/>
              </w:rPr>
            </w:pPr>
            <w:r>
              <w:rPr>
                <w:rFonts w:ascii="Arial" w:cs="Arial" w:eastAsia="Arial" w:hAnsi="Arial"/>
                <w:sz w:val="18"/>
                <w:szCs w:val="18"/>
                <w:color w:val="231F20"/>
                <w:w w:val="9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231F20"/>
              </w:rPr>
              <w:t>(78,608)</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231F20"/>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231F20"/>
              </w:rPr>
              <w:t>(49,458)</w:t>
            </w: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231F20"/>
              </w:rPr>
              <w:t>Denominator:</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84"/>
        </w:trPr>
        <w:tc>
          <w:tcPr>
            <w:tcW w:w="20" w:type="dxa"/>
            <w:vAlign w:val="bottom"/>
          </w:tcPr>
          <w:p>
            <w:pPr>
              <w:spacing w:after="0"/>
              <w:rPr>
                <w:sz w:val="15"/>
                <w:szCs w:val="15"/>
                <w:color w:val="auto"/>
              </w:rPr>
            </w:pPr>
          </w:p>
        </w:tc>
        <w:tc>
          <w:tcPr>
            <w:tcW w:w="3900" w:type="dxa"/>
            <w:vAlign w:val="bottom"/>
          </w:tcPr>
          <w:p>
            <w:pPr>
              <w:ind w:left="100"/>
              <w:spacing w:after="0" w:line="183" w:lineRule="exact"/>
              <w:rPr>
                <w:sz w:val="20"/>
                <w:szCs w:val="20"/>
                <w:color w:val="auto"/>
              </w:rPr>
            </w:pPr>
            <w:r>
              <w:rPr>
                <w:rFonts w:ascii="Arial" w:cs="Arial" w:eastAsia="Arial" w:hAnsi="Arial"/>
                <w:sz w:val="18"/>
                <w:szCs w:val="18"/>
                <w:color w:val="231F20"/>
              </w:rPr>
              <w:t>Weighted average shares used to compute</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39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231F20"/>
              </w:rPr>
              <w:t>net loss per share, basic and diluted</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231F20"/>
                <w:w w:val="99"/>
              </w:rPr>
              <w:t>40,036,201</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w w:val="99"/>
              </w:rPr>
              <w:t>39,607,745</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231F20"/>
              </w:rPr>
              <w:t>39,930,418</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39,450,655</w:t>
            </w:r>
          </w:p>
        </w:tc>
      </w:tr>
      <w:tr>
        <w:trPr>
          <w:trHeight w:val="196"/>
        </w:trPr>
        <w:tc>
          <w:tcPr>
            <w:tcW w:w="20" w:type="dxa"/>
            <w:vAlign w:val="bottom"/>
          </w:tcPr>
          <w:p>
            <w:pPr>
              <w:spacing w:after="0"/>
              <w:rPr>
                <w:sz w:val="17"/>
                <w:szCs w:val="17"/>
                <w:color w:val="auto"/>
              </w:rPr>
            </w:pPr>
          </w:p>
        </w:tc>
        <w:tc>
          <w:tcPr>
            <w:tcW w:w="39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231F20"/>
              </w:rPr>
              <w:t>Net loss per share, basic and diluted</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(0.57)</w:t>
            </w: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(0.45)</w:t>
            </w:r>
          </w:p>
        </w:tc>
        <w:tc>
          <w:tcPr>
            <w:tcW w:w="1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231F20"/>
                <w:w w:val="9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(1.97)</w:t>
            </w:r>
          </w:p>
        </w:tc>
        <w:tc>
          <w:tcPr>
            <w:tcW w:w="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(1.25)</w:t>
            </w:r>
          </w:p>
        </w:tc>
      </w:tr>
      <w:tr>
        <w:trPr>
          <w:trHeight w:val="20"/>
        </w:trPr>
        <w:tc>
          <w:tcPr>
            <w:tcW w:w="20" w:type="dxa"/>
            <w:vAlign w:val="bottom"/>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835"/>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478"/>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43"/>
        </w:trPr>
        <w:tc>
          <w:tcPr>
            <w:tcW w:w="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The potentially dilutive shares that were excluded from the calculation of diluted net loss per share because their effect would have been anti-dilutive for the periods presented are as follows:</w:t>
      </w:r>
    </w:p>
    <w:p>
      <w:pPr>
        <w:spacing w:after="0" w:line="58"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6760" w:type="dxa"/>
            <w:vAlign w:val="bottom"/>
            <w:tcBorders>
              <w:top w:val="single" w:sz="8" w:color="auto"/>
            </w:tcBorders>
          </w:tcPr>
          <w:p>
            <w:pPr>
              <w:spacing w:after="0"/>
              <w:rPr>
                <w:sz w:val="16"/>
                <w:szCs w:val="16"/>
                <w:color w:val="auto"/>
              </w:rPr>
            </w:pPr>
          </w:p>
        </w:tc>
        <w:tc>
          <w:tcPr>
            <w:tcW w:w="2140" w:type="dxa"/>
            <w:vAlign w:val="bottom"/>
            <w:tcBorders>
              <w:top w:val="single" w:sz="8" w:color="auto"/>
              <w:bottom w:val="single" w:sz="8" w:color="auto"/>
            </w:tcBorders>
            <w:gridSpan w:val="2"/>
          </w:tcPr>
          <w:p>
            <w:pPr>
              <w:jc w:val="right"/>
              <w:ind w:right="514"/>
              <w:spacing w:after="0"/>
              <w:rPr>
                <w:sz w:val="20"/>
                <w:szCs w:val="20"/>
                <w:color w:val="auto"/>
              </w:rPr>
            </w:pPr>
            <w:r>
              <w:rPr>
                <w:rFonts w:ascii="Arial" w:cs="Arial" w:eastAsia="Arial" w:hAnsi="Arial"/>
                <w:sz w:val="14"/>
                <w:szCs w:val="14"/>
                <w:b w:val="1"/>
                <w:bCs w:val="1"/>
                <w:color w:val="231F20"/>
              </w:rPr>
              <w:t>September 30,</w:t>
            </w:r>
          </w:p>
        </w:tc>
      </w:tr>
      <w:tr>
        <w:trPr>
          <w:trHeight w:val="183"/>
        </w:trPr>
        <w:tc>
          <w:tcPr>
            <w:tcW w:w="676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231F20"/>
              </w:rPr>
              <w:t>2022</w:t>
            </w:r>
          </w:p>
        </w:tc>
        <w:tc>
          <w:tcPr>
            <w:tcW w:w="10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231F20"/>
              </w:rPr>
              <w:t>2021</w:t>
            </w:r>
          </w:p>
        </w:tc>
      </w:tr>
      <w:tr>
        <w:trPr>
          <w:trHeight w:val="196"/>
        </w:trPr>
        <w:tc>
          <w:tcPr>
            <w:tcW w:w="67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231F20"/>
              </w:rPr>
              <w:t>Unvested restricted common stock</w:t>
            </w:r>
          </w:p>
        </w:tc>
        <w:tc>
          <w:tcPr>
            <w:tcW w:w="1080" w:type="dxa"/>
            <w:vAlign w:val="bottom"/>
            <w:shd w:val="clear" w:color="auto" w:fill="CCEEFF"/>
          </w:tcPr>
          <w:p>
            <w:pPr>
              <w:jc w:val="right"/>
              <w:ind w:right="136"/>
              <w:spacing w:after="0" w:line="196" w:lineRule="exact"/>
              <w:rPr>
                <w:sz w:val="20"/>
                <w:szCs w:val="20"/>
                <w:color w:val="auto"/>
              </w:rPr>
            </w:pPr>
            <w:r>
              <w:rPr>
                <w:rFonts w:ascii="Arial" w:cs="Arial" w:eastAsia="Arial" w:hAnsi="Arial"/>
                <w:sz w:val="18"/>
                <w:szCs w:val="18"/>
                <w:color w:val="231F20"/>
              </w:rPr>
              <w:t>345,230</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542,504</w:t>
            </w:r>
          </w:p>
        </w:tc>
      </w:tr>
      <w:tr>
        <w:trPr>
          <w:trHeight w:val="203"/>
        </w:trPr>
        <w:tc>
          <w:tcPr>
            <w:tcW w:w="6760" w:type="dxa"/>
            <w:vAlign w:val="bottom"/>
          </w:tcPr>
          <w:p>
            <w:pPr>
              <w:ind w:left="20"/>
              <w:spacing w:after="0" w:line="202" w:lineRule="exact"/>
              <w:rPr>
                <w:sz w:val="20"/>
                <w:szCs w:val="20"/>
                <w:color w:val="auto"/>
              </w:rPr>
            </w:pPr>
            <w:r>
              <w:rPr>
                <w:rFonts w:ascii="Arial" w:cs="Arial" w:eastAsia="Arial" w:hAnsi="Arial"/>
                <w:sz w:val="18"/>
                <w:szCs w:val="18"/>
                <w:color w:val="231F20"/>
              </w:rPr>
              <w:t>Options to purchase common stock</w:t>
            </w:r>
          </w:p>
        </w:tc>
        <w:tc>
          <w:tcPr>
            <w:tcW w:w="1080" w:type="dxa"/>
            <w:vAlign w:val="bottom"/>
          </w:tcPr>
          <w:p>
            <w:pPr>
              <w:jc w:val="right"/>
              <w:ind w:right="136"/>
              <w:spacing w:after="0" w:line="202" w:lineRule="exact"/>
              <w:rPr>
                <w:sz w:val="20"/>
                <w:szCs w:val="20"/>
                <w:color w:val="auto"/>
              </w:rPr>
            </w:pPr>
            <w:r>
              <w:rPr>
                <w:rFonts w:ascii="Arial" w:cs="Arial" w:eastAsia="Arial" w:hAnsi="Arial"/>
                <w:sz w:val="18"/>
                <w:szCs w:val="18"/>
                <w:color w:val="231F20"/>
              </w:rPr>
              <w:t>8,329,948</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231F20"/>
              </w:rPr>
              <w:t>5,564,588</w:t>
            </w:r>
          </w:p>
        </w:tc>
      </w:tr>
      <w:tr>
        <w:trPr>
          <w:trHeight w:val="203"/>
        </w:trPr>
        <w:tc>
          <w:tcPr>
            <w:tcW w:w="67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231F20"/>
              </w:rPr>
              <w:t>Employee stock purchase plan contingently issuable</w:t>
            </w:r>
          </w:p>
        </w:tc>
        <w:tc>
          <w:tcPr>
            <w:tcW w:w="1080" w:type="dxa"/>
            <w:vAlign w:val="bottom"/>
            <w:tcBorders>
              <w:bottom w:val="single" w:sz="8" w:color="auto"/>
            </w:tcBorders>
            <w:shd w:val="clear" w:color="auto" w:fill="CCEEFF"/>
          </w:tcPr>
          <w:p>
            <w:pPr>
              <w:jc w:val="right"/>
              <w:ind w:right="136"/>
              <w:spacing w:after="0" w:line="202" w:lineRule="exact"/>
              <w:rPr>
                <w:sz w:val="20"/>
                <w:szCs w:val="20"/>
                <w:color w:val="auto"/>
              </w:rPr>
            </w:pPr>
            <w:r>
              <w:rPr>
                <w:rFonts w:ascii="Arial" w:cs="Arial" w:eastAsia="Arial" w:hAnsi="Arial"/>
                <w:sz w:val="18"/>
                <w:szCs w:val="18"/>
                <w:color w:val="231F20"/>
              </w:rPr>
              <w:t>182,139</w:t>
            </w: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16,979</w:t>
            </w:r>
          </w:p>
        </w:tc>
      </w:tr>
      <w:tr>
        <w:trPr>
          <w:trHeight w:val="196"/>
        </w:trPr>
        <w:tc>
          <w:tcPr>
            <w:tcW w:w="67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36"/>
              <w:spacing w:after="0" w:line="196" w:lineRule="exact"/>
              <w:rPr>
                <w:sz w:val="20"/>
                <w:szCs w:val="20"/>
                <w:color w:val="auto"/>
              </w:rPr>
            </w:pPr>
            <w:r>
              <w:rPr>
                <w:rFonts w:ascii="Arial" w:cs="Arial" w:eastAsia="Arial" w:hAnsi="Arial"/>
                <w:sz w:val="18"/>
                <w:szCs w:val="18"/>
                <w:color w:val="231F20"/>
              </w:rPr>
              <w:t>8,857,317</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231F20"/>
              </w:rPr>
              <w:t>6,124,071</w:t>
            </w:r>
          </w:p>
        </w:tc>
      </w:tr>
      <w:tr>
        <w:trPr>
          <w:trHeight w:val="20"/>
        </w:trPr>
        <w:tc>
          <w:tcPr>
            <w:tcW w:w="67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Included in the potentially dilutive options to purchase common stock noted above are 211,621 shares issued upon exercise of options under non-recourse notes receivable during 2015 (see Note 7, “Stock-Based Compensation” in the Company’s Form 10-K as filed with the SEC on February 28, 2022). The Company determined the purchase of the stock to be non-substantive, and as such, the shares subject to the promissory notes will not be deemed outstanding until such time as the promissory notes have been repaid. As of December 31, 2020, all outstanding principal and accrued interest relating to the Non-Recourse Notes were settled in full by the two noteholders, and as a result, the Company issued 211,621 shares of common stock to the noteholders and included these shares in the basic and diluted net loss per share for three and nine months ended September 30, 2021. Also included in the potentially dilutive options to purchase common stock are 25,629 unvested stock options that were early exercised by an employee and a non-employee in September 2020 (see Note 7, “Stock-Based Compensation”). The Company determined the early exercises to be non-substantive as the shares were subject to repurchase rights. Accordingly, the Company has excluded these shares from the calculation of basic and diluted net loss per share for the three and nine months ended September 30, 2022 and 2021.</w:t>
      </w:r>
    </w:p>
    <w:p>
      <w:pPr>
        <w:spacing w:after="0" w:line="189" w:lineRule="exact"/>
        <w:rPr>
          <w:sz w:val="20"/>
          <w:szCs w:val="20"/>
          <w:color w:val="auto"/>
        </w:rPr>
      </w:pPr>
    </w:p>
    <w:p>
      <w:pPr>
        <w:ind w:left="380" w:hanging="330"/>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Leases</w:t>
      </w:r>
    </w:p>
    <w:p>
      <w:pPr>
        <w:spacing w:after="0" w:line="212"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The Company leases certain of its facilities under non-cancellable operating leases expiring at various dates through 2026.</w:t>
      </w:r>
    </w:p>
    <w:p>
      <w:pPr>
        <w:spacing w:after="0" w:line="15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On June 1, 2013, the Company entered into a management services agreement with MandalMed, Inc. (“MandalMed”) (the “MandalMed Services Agreement”) to have access to and use a portion of approximately 5,762 square feet of space for the use of laboratory benches, lab equipment, office space, and administrative and facilities services. The Company subsequently entered into six amendments to extend the lease term to November 2023. As part of the sixth amendment, the Company leased additional space of approximately 2,130 square feet (the “Additional Space”) for a three year period commencing on December 1, 2020 and ending on November 30, 2023. According to the terms of the MandalMed Services Agreement, the Company paid a security deposit of less than $0.1 million and is required to pay monthly rent and common area charges.</w:t>
      </w:r>
    </w:p>
    <w:p>
      <w:pPr>
        <w:spacing w:after="0" w:line="180"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On August 27, 2020, the Company entered into a lease agreement with 512 2nd Street LLC to lease approximately 3,500 square feet of office space in San Francisco, California (the “Office Space Lease Agreement”). The Office Space Lease Agreement is for a period of two years commencing on September 1, 2020 and ending August 31, 2022. In April 2022, the Company extended the Office Space Lease Agreement up to August 31, 2023 and has one year renewal option to extend the term up to August 31, 2024. According to the terms of the Office Space Lease Agreement, the Company paid a $0.1 million security deposit and is required to pay monthly rent and common area charges. The extension of the lease term was accounted for as a modification under Topic 842 and the Company recorded additional ROU asset and lease liability of $0.3 million and $0.3 million, respectively, in the condensed consolidated financial statements.</w:t>
      </w:r>
    </w:p>
    <w:p>
      <w:pPr>
        <w:spacing w:after="0" w:line="183"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On December 15, 2020, the Company entered into a lease agreement with Tennieh LLC to lease approximately 9,800 square feet of office space in San Francisco, California (the “Laboratory Lease Agreement”). The Laboratory Lease Agreement is for a period of five years commencing approximately February 1, 2021 and ending January 31, 2026. According to the terms of the Laboratory Lease Agreement, the Company paid a $0.4 million security deposit and is required to pay monthly rent and common area charges.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The following table summarizes total lease expense during the three and nine months ended September 30, 2022 (in thousands):</w:t>
      </w:r>
    </w:p>
    <w:p>
      <w:pPr>
        <w:spacing w:after="0" w:line="58"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34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7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231F20"/>
              </w:rPr>
              <w:t>Three Months Ended September 30,</w:t>
            </w:r>
          </w:p>
        </w:tc>
        <w:tc>
          <w:tcPr>
            <w:tcW w:w="1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4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231F20"/>
              </w:rPr>
              <w:t>Nine Months Ended September 30,</w:t>
            </w:r>
          </w:p>
        </w:tc>
      </w:tr>
      <w:tr>
        <w:trPr>
          <w:trHeight w:val="171"/>
        </w:trPr>
        <w:tc>
          <w:tcPr>
            <w:tcW w:w="34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tcPr>
          <w:p>
            <w:pPr>
              <w:jc w:val="right"/>
              <w:ind w:right="1036"/>
              <w:spacing w:after="0"/>
              <w:rPr>
                <w:sz w:val="20"/>
                <w:szCs w:val="20"/>
                <w:color w:val="auto"/>
              </w:rPr>
            </w:pPr>
            <w:r>
              <w:rPr>
                <w:rFonts w:ascii="Arial" w:cs="Arial" w:eastAsia="Arial" w:hAnsi="Arial"/>
                <w:sz w:val="14"/>
                <w:szCs w:val="14"/>
                <w:b w:val="1"/>
                <w:bCs w:val="1"/>
                <w:color w:val="231F20"/>
              </w:rPr>
              <w:t>2022</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tcPr>
          <w:p>
            <w:pPr>
              <w:jc w:val="right"/>
              <w:ind w:right="976"/>
              <w:spacing w:after="0"/>
              <w:rPr>
                <w:sz w:val="20"/>
                <w:szCs w:val="20"/>
                <w:color w:val="auto"/>
              </w:rPr>
            </w:pPr>
            <w:r>
              <w:rPr>
                <w:rFonts w:ascii="Arial" w:cs="Arial" w:eastAsia="Arial" w:hAnsi="Arial"/>
                <w:sz w:val="14"/>
                <w:szCs w:val="14"/>
                <w:b w:val="1"/>
                <w:bCs w:val="1"/>
                <w:color w:val="231F20"/>
              </w:rPr>
              <w:t>2022</w:t>
            </w:r>
          </w:p>
        </w:tc>
      </w:tr>
      <w:tr>
        <w:trPr>
          <w:trHeight w:val="196"/>
        </w:trPr>
        <w:tc>
          <w:tcPr>
            <w:tcW w:w="34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Straight-line operating lease expense</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7"/>
                <w:szCs w:val="17"/>
                <w:color w:val="auto"/>
              </w:rPr>
            </w:pPr>
          </w:p>
        </w:tc>
        <w:tc>
          <w:tcPr>
            <w:tcW w:w="2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7"/>
                <w:szCs w:val="17"/>
                <w:color w:val="auto"/>
              </w:rPr>
            </w:pPr>
          </w:p>
        </w:tc>
        <w:tc>
          <w:tcPr>
            <w:tcW w:w="2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974</w:t>
            </w:r>
          </w:p>
        </w:tc>
      </w:tr>
      <w:tr>
        <w:trPr>
          <w:trHeight w:val="203"/>
        </w:trPr>
        <w:tc>
          <w:tcPr>
            <w:tcW w:w="3460" w:type="dxa"/>
            <w:vAlign w:val="bottom"/>
          </w:tcPr>
          <w:p>
            <w:pPr>
              <w:ind w:left="20"/>
              <w:spacing w:after="0" w:line="202" w:lineRule="exact"/>
              <w:rPr>
                <w:sz w:val="20"/>
                <w:szCs w:val="20"/>
                <w:color w:val="auto"/>
              </w:rPr>
            </w:pPr>
            <w:r>
              <w:rPr>
                <w:rFonts w:ascii="Arial" w:cs="Arial" w:eastAsia="Arial" w:hAnsi="Arial"/>
                <w:sz w:val="18"/>
                <w:szCs w:val="18"/>
                <w:color w:val="auto"/>
              </w:rPr>
              <w:t>Short-term lease expense</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64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tcPr>
          <w:p>
            <w:pPr>
              <w:jc w:val="right"/>
              <w:spacing w:after="0" w:line="202" w:lineRule="exact"/>
              <w:rPr>
                <w:sz w:val="20"/>
                <w:szCs w:val="20"/>
                <w:color w:val="auto"/>
              </w:rPr>
            </w:pPr>
            <w:r>
              <w:rPr>
                <w:rFonts w:ascii="Arial" w:cs="Arial" w:eastAsia="Arial" w:hAnsi="Arial"/>
                <w:sz w:val="18"/>
                <w:szCs w:val="18"/>
                <w:color w:val="auto"/>
              </w:rPr>
              <w:t>184</w:t>
            </w:r>
          </w:p>
        </w:tc>
      </w:tr>
      <w:tr>
        <w:trPr>
          <w:trHeight w:val="203"/>
        </w:trPr>
        <w:tc>
          <w:tcPr>
            <w:tcW w:w="34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Variable lease expense</w:t>
            </w: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4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w:t>
            </w:r>
          </w:p>
        </w:tc>
      </w:tr>
      <w:tr>
        <w:trPr>
          <w:trHeight w:val="196"/>
        </w:trPr>
        <w:tc>
          <w:tcPr>
            <w:tcW w:w="346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 operating lease expense</w:t>
            </w:r>
          </w:p>
        </w:tc>
        <w:tc>
          <w:tcPr>
            <w:tcW w:w="12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w w:val="79"/>
              </w:rPr>
              <w:t>$</w:t>
            </w:r>
          </w:p>
        </w:tc>
        <w:tc>
          <w:tcPr>
            <w:tcW w:w="2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411</w:t>
            </w: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w w:val="99"/>
              </w:rPr>
              <w:t>$</w:t>
            </w:r>
          </w:p>
        </w:tc>
        <w:tc>
          <w:tcPr>
            <w:tcW w:w="2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1,198</w:t>
            </w:r>
          </w:p>
        </w:tc>
      </w:tr>
      <w:tr>
        <w:trPr>
          <w:trHeight w:val="20"/>
        </w:trPr>
        <w:tc>
          <w:tcPr>
            <w:tcW w:w="3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supplemental cash flow information during the three and nine months ended</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2022 (in thousands):</w:t>
      </w:r>
    </w:p>
    <w:p>
      <w:pPr>
        <w:spacing w:after="0" w:line="98"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34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5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231F20"/>
              </w:rPr>
              <w:t>Three Months Ended September 30,</w:t>
            </w:r>
          </w:p>
        </w:tc>
        <w:tc>
          <w:tcPr>
            <w:tcW w:w="3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4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231F20"/>
              </w:rPr>
              <w:t>Nine Months Ended September 30,</w:t>
            </w:r>
          </w:p>
        </w:tc>
      </w:tr>
      <w:tr>
        <w:trPr>
          <w:trHeight w:val="171"/>
        </w:trPr>
        <w:tc>
          <w:tcPr>
            <w:tcW w:w="34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tcPr>
          <w:p>
            <w:pPr>
              <w:jc w:val="right"/>
              <w:ind w:right="1039"/>
              <w:spacing w:after="0"/>
              <w:rPr>
                <w:sz w:val="20"/>
                <w:szCs w:val="20"/>
                <w:color w:val="auto"/>
              </w:rPr>
            </w:pPr>
            <w:r>
              <w:rPr>
                <w:rFonts w:ascii="Arial" w:cs="Arial" w:eastAsia="Arial" w:hAnsi="Arial"/>
                <w:sz w:val="14"/>
                <w:szCs w:val="14"/>
                <w:b w:val="1"/>
                <w:bCs w:val="1"/>
                <w:color w:val="231F20"/>
              </w:rPr>
              <w:t>2022</w:t>
            </w:r>
          </w:p>
        </w:tc>
        <w:tc>
          <w:tcPr>
            <w:tcW w:w="3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tcPr>
          <w:p>
            <w:pPr>
              <w:jc w:val="right"/>
              <w:ind w:right="979"/>
              <w:spacing w:after="0"/>
              <w:rPr>
                <w:sz w:val="20"/>
                <w:szCs w:val="20"/>
                <w:color w:val="auto"/>
              </w:rPr>
            </w:pPr>
            <w:r>
              <w:rPr>
                <w:rFonts w:ascii="Arial" w:cs="Arial" w:eastAsia="Arial" w:hAnsi="Arial"/>
                <w:sz w:val="14"/>
                <w:szCs w:val="14"/>
                <w:b w:val="1"/>
                <w:bCs w:val="1"/>
                <w:color w:val="231F20"/>
              </w:rPr>
              <w:t>2022</w:t>
            </w:r>
          </w:p>
        </w:tc>
      </w:tr>
      <w:tr>
        <w:trPr>
          <w:trHeight w:val="164"/>
        </w:trPr>
        <w:tc>
          <w:tcPr>
            <w:tcW w:w="3440" w:type="dxa"/>
            <w:vAlign w:val="bottom"/>
            <w:shd w:val="clear" w:color="auto" w:fill="CCEEFF"/>
          </w:tcPr>
          <w:p>
            <w:pPr>
              <w:ind w:left="20"/>
              <w:spacing w:after="0" w:line="164" w:lineRule="exact"/>
              <w:rPr>
                <w:sz w:val="20"/>
                <w:szCs w:val="20"/>
                <w:color w:val="auto"/>
              </w:rPr>
            </w:pPr>
            <w:r>
              <w:rPr>
                <w:rFonts w:ascii="Arial" w:cs="Arial" w:eastAsia="Arial" w:hAnsi="Arial"/>
                <w:sz w:val="18"/>
                <w:szCs w:val="18"/>
                <w:color w:val="auto"/>
              </w:rPr>
              <w:t>Cash paid for amounts included</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r>
      <w:tr>
        <w:trPr>
          <w:trHeight w:val="221"/>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measurement of lease liabilities:</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r>
      <w:tr>
        <w:trPr>
          <w:trHeight w:val="184"/>
        </w:trPr>
        <w:tc>
          <w:tcPr>
            <w:tcW w:w="3440" w:type="dxa"/>
            <w:vAlign w:val="bottom"/>
          </w:tcPr>
          <w:p>
            <w:pPr>
              <w:ind w:left="160"/>
              <w:spacing w:after="0" w:line="183" w:lineRule="exact"/>
              <w:rPr>
                <w:sz w:val="20"/>
                <w:szCs w:val="20"/>
                <w:color w:val="auto"/>
              </w:rPr>
            </w:pPr>
            <w:r>
              <w:rPr>
                <w:rFonts w:ascii="Arial" w:cs="Arial" w:eastAsia="Arial" w:hAnsi="Arial"/>
                <w:sz w:val="18"/>
                <w:szCs w:val="18"/>
                <w:color w:val="auto"/>
              </w:rPr>
              <w:t>Operating cash flows from operating</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221"/>
        </w:trPr>
        <w:tc>
          <w:tcPr>
            <w:tcW w:w="3440" w:type="dxa"/>
            <w:vAlign w:val="bottom"/>
          </w:tcPr>
          <w:p>
            <w:pPr>
              <w:ind w:left="20"/>
              <w:spacing w:after="0"/>
              <w:rPr>
                <w:sz w:val="20"/>
                <w:szCs w:val="20"/>
                <w:color w:val="auto"/>
              </w:rPr>
            </w:pPr>
            <w:r>
              <w:rPr>
                <w:rFonts w:ascii="Arial" w:cs="Arial" w:eastAsia="Arial" w:hAnsi="Arial"/>
                <w:sz w:val="18"/>
                <w:szCs w:val="18"/>
                <w:color w:val="auto"/>
              </w:rPr>
              <w:t>leases</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2540" w:type="dxa"/>
            <w:vAlign w:val="bottom"/>
          </w:tcPr>
          <w:p>
            <w:pPr>
              <w:jc w:val="right"/>
              <w:spacing w:after="0"/>
              <w:rPr>
                <w:sz w:val="20"/>
                <w:szCs w:val="20"/>
                <w:color w:val="auto"/>
              </w:rPr>
            </w:pPr>
            <w:r>
              <w:rPr>
                <w:rFonts w:ascii="Arial" w:cs="Arial" w:eastAsia="Arial" w:hAnsi="Arial"/>
                <w:sz w:val="18"/>
                <w:szCs w:val="18"/>
                <w:color w:val="auto"/>
              </w:rPr>
              <w:t>319</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440" w:type="dxa"/>
            <w:vAlign w:val="bottom"/>
          </w:tcPr>
          <w:p>
            <w:pPr>
              <w:jc w:val="right"/>
              <w:spacing w:after="0"/>
              <w:rPr>
                <w:sz w:val="20"/>
                <w:szCs w:val="20"/>
                <w:color w:val="auto"/>
              </w:rPr>
            </w:pPr>
            <w:r>
              <w:rPr>
                <w:rFonts w:ascii="Arial" w:cs="Arial" w:eastAsia="Arial" w:hAnsi="Arial"/>
                <w:sz w:val="18"/>
                <w:szCs w:val="18"/>
                <w:color w:val="auto"/>
              </w:rPr>
              <w:t>951</w:t>
            </w:r>
          </w:p>
        </w:tc>
      </w:tr>
      <w:tr>
        <w:trPr>
          <w:trHeight w:val="184"/>
        </w:trPr>
        <w:tc>
          <w:tcPr>
            <w:tcW w:w="344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Supplemental noncash information on</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r>
      <w:tr>
        <w:trPr>
          <w:trHeight w:val="203"/>
        </w:trPr>
        <w:tc>
          <w:tcPr>
            <w:tcW w:w="34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9"/>
              </w:rPr>
              <w:t>lease liability arising from obtaining a right-</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r>
      <w:tr>
        <w:trPr>
          <w:trHeight w:val="221"/>
        </w:trPr>
        <w:tc>
          <w:tcPr>
            <w:tcW w:w="3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of-use asset</w:t>
            </w: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0"/>
        </w:trPr>
        <w:tc>
          <w:tcPr>
            <w:tcW w:w="3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The following table summarizes the Company’s future minimum lease payments and reconciliation of lease liabilities as of September 30, 2022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49530</wp:posOffset>
            </wp:positionV>
            <wp:extent cx="56489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6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231F20"/>
        </w:rPr>
        <w:t>Years Ending December 31,</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7140" w:type="dxa"/>
            <w:vAlign w:val="bottom"/>
            <w:tcBorders>
              <w:top w:val="single" w:sz="8" w:color="auto"/>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2022 (from October 2022)</w:t>
            </w:r>
          </w:p>
        </w:tc>
        <w:tc>
          <w:tcPr>
            <w:tcW w:w="1140" w:type="dxa"/>
            <w:vAlign w:val="bottom"/>
            <w:tcBorders>
              <w:top w:val="single" w:sz="8" w:color="auto"/>
            </w:tcBorders>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321</w:t>
            </w: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1,186</w:t>
            </w:r>
          </w:p>
        </w:tc>
      </w:tr>
      <w:tr>
        <w:trPr>
          <w:trHeight w:val="203"/>
        </w:trPr>
        <w:tc>
          <w:tcPr>
            <w:tcW w:w="6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2024</w:t>
            </w:r>
          </w:p>
        </w:tc>
        <w:tc>
          <w:tcPr>
            <w:tcW w:w="5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799</w:t>
            </w: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822</w:t>
            </w:r>
          </w:p>
        </w:tc>
      </w:tr>
      <w:tr>
        <w:trPr>
          <w:trHeight w:val="203"/>
        </w:trPr>
        <w:tc>
          <w:tcPr>
            <w:tcW w:w="6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2026</w:t>
            </w:r>
          </w:p>
        </w:tc>
        <w:tc>
          <w:tcPr>
            <w:tcW w:w="5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w:t>
            </w:r>
          </w:p>
        </w:tc>
      </w:tr>
      <w:tr>
        <w:trPr>
          <w:trHeight w:val="203"/>
        </w:trPr>
        <w:tc>
          <w:tcPr>
            <w:tcW w:w="714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8"/>
                <w:szCs w:val="18"/>
                <w:color w:val="auto"/>
              </w:rPr>
              <w:t>Thereafter</w:t>
            </w:r>
          </w:p>
        </w:tc>
        <w:tc>
          <w:tcPr>
            <w:tcW w:w="64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714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Total future minimum lease payments</w:t>
            </w: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3,197</w:t>
            </w:r>
          </w:p>
        </w:tc>
      </w:tr>
      <w:tr>
        <w:trPr>
          <w:trHeight w:val="203"/>
        </w:trPr>
        <w:tc>
          <w:tcPr>
            <w:tcW w:w="714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8"/>
                <w:szCs w:val="18"/>
                <w:color w:val="auto"/>
              </w:rPr>
              <w:t>Less: Interest</w:t>
            </w:r>
          </w:p>
        </w:tc>
        <w:tc>
          <w:tcPr>
            <w:tcW w:w="64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(367)</w:t>
            </w:r>
          </w:p>
        </w:tc>
      </w:tr>
      <w:tr>
        <w:trPr>
          <w:trHeight w:val="196"/>
        </w:trPr>
        <w:tc>
          <w:tcPr>
            <w:tcW w:w="714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Total lease liabilities at present value</w:t>
            </w: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2,830</w:t>
            </w:r>
          </w:p>
        </w:tc>
      </w:tr>
      <w:tr>
        <w:trPr>
          <w:trHeight w:val="243"/>
        </w:trPr>
        <w:tc>
          <w:tcPr>
            <w:tcW w:w="7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Lease liabilities, current</w:t>
            </w:r>
          </w:p>
        </w:tc>
        <w:tc>
          <w:tcPr>
            <w:tcW w:w="64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w:t>
            </w:r>
          </w:p>
        </w:tc>
      </w:tr>
      <w:tr>
        <w:trPr>
          <w:trHeight w:val="223"/>
        </w:trPr>
        <w:tc>
          <w:tcPr>
            <w:tcW w:w="71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Lease liabilities, non-current</w:t>
            </w:r>
          </w:p>
        </w:tc>
        <w:tc>
          <w:tcPr>
            <w:tcW w:w="1140" w:type="dxa"/>
            <w:vAlign w:val="bottom"/>
            <w:tcBorders>
              <w:bottom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w:t>
            </w:r>
          </w:p>
        </w:tc>
      </w:tr>
      <w:tr>
        <w:trPr>
          <w:trHeight w:val="20"/>
        </w:trPr>
        <w:tc>
          <w:tcPr>
            <w:tcW w:w="66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403"/>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The following table summarizes lease term and discount rate as of September 30, 2022:</w:t>
            </w: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04"/>
        </w:trPr>
        <w:tc>
          <w:tcPr>
            <w:tcW w:w="66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gridSpan w:val="2"/>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r>
      <w:tr>
        <w:trPr>
          <w:trHeight w:val="146"/>
        </w:trPr>
        <w:tc>
          <w:tcPr>
            <w:tcW w:w="6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40" w:type="dxa"/>
            <w:vAlign w:val="bottom"/>
            <w:gridSpan w:val="2"/>
          </w:tcPr>
          <w:p>
            <w:pPr>
              <w:jc w:val="right"/>
              <w:ind w:right="60"/>
              <w:spacing w:after="0" w:line="147" w:lineRule="exact"/>
              <w:rPr>
                <w:sz w:val="20"/>
                <w:szCs w:val="20"/>
                <w:color w:val="auto"/>
              </w:rPr>
            </w:pPr>
            <w:r>
              <w:rPr>
                <w:rFonts w:ascii="Arial" w:cs="Arial" w:eastAsia="Arial" w:hAnsi="Arial"/>
                <w:sz w:val="14"/>
                <w:szCs w:val="14"/>
                <w:b w:val="1"/>
                <w:bCs w:val="1"/>
                <w:color w:val="231F20"/>
              </w:rPr>
              <w:t>September 30,</w:t>
            </w:r>
          </w:p>
        </w:tc>
        <w:tc>
          <w:tcPr>
            <w:tcW w:w="620" w:type="dxa"/>
            <w:vAlign w:val="bottom"/>
          </w:tcPr>
          <w:p>
            <w:pPr>
              <w:spacing w:after="0"/>
              <w:rPr>
                <w:sz w:val="12"/>
                <w:szCs w:val="12"/>
                <w:color w:val="auto"/>
              </w:rPr>
            </w:pPr>
          </w:p>
        </w:tc>
      </w:tr>
      <w:tr>
        <w:trPr>
          <w:trHeight w:val="171"/>
        </w:trPr>
        <w:tc>
          <w:tcPr>
            <w:tcW w:w="66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231F20"/>
              </w:rPr>
              <w:t>2022</w:t>
            </w:r>
          </w:p>
        </w:tc>
        <w:tc>
          <w:tcPr>
            <w:tcW w:w="620" w:type="dxa"/>
            <w:vAlign w:val="bottom"/>
            <w:tcBorders>
              <w:bottom w:val="single" w:sz="8" w:color="auto"/>
            </w:tcBorders>
          </w:tcPr>
          <w:p>
            <w:pPr>
              <w:spacing w:after="0"/>
              <w:rPr>
                <w:sz w:val="14"/>
                <w:szCs w:val="14"/>
                <w:color w:val="auto"/>
              </w:rPr>
            </w:pPr>
          </w:p>
        </w:tc>
      </w:tr>
      <w:tr>
        <w:trPr>
          <w:trHeight w:val="196"/>
        </w:trPr>
        <w:tc>
          <w:tcPr>
            <w:tcW w:w="66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Weighted-average remaining lease term (years)</w:t>
            </w:r>
          </w:p>
        </w:tc>
        <w:tc>
          <w:tcPr>
            <w:tcW w:w="5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2.91</w:t>
            </w:r>
          </w:p>
        </w:tc>
      </w:tr>
      <w:tr>
        <w:trPr>
          <w:trHeight w:val="203"/>
        </w:trPr>
        <w:tc>
          <w:tcPr>
            <w:tcW w:w="7140" w:type="dxa"/>
            <w:vAlign w:val="bottom"/>
            <w:tcBorders>
              <w:bottom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Weighted-average discount rate</w:t>
            </w:r>
          </w:p>
        </w:tc>
        <w:tc>
          <w:tcPr>
            <w:tcW w:w="6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8.70%</w:t>
            </w:r>
          </w:p>
        </w:tc>
      </w:tr>
      <w:tr>
        <w:trPr>
          <w:trHeight w:val="20"/>
        </w:trPr>
        <w:tc>
          <w:tcPr>
            <w:tcW w:w="66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 Commitments and Contingencies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Clinical Collaboration and Supply Agreement</w:t>
      </w:r>
    </w:p>
    <w:p>
      <w:pPr>
        <w:spacing w:after="0" w:line="183"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On July 22, 2020, the Company entered into a non-exclusive clinical collaboration and supply agreement with Novartis Institutes for BioMedical Research, Inc. (“Novartis”) (the “Novartis Agreement”). The collaboration is focused on the evaluation of the safety, tolerability and efficacy of OP-1250 in combination with Novartis’ proprietary CDK4/6 inhibitor Kisqali® (ribociclib) and/or Novartis’ proprietary phosphatidylinositol 3-kinase inhibitor Piqray® (alpelisib) (collectively the “Novartis Study Drugs”) as part of the Company’s planned Phase 1b clinical trial of OP-1250 in patients with metastatic estrogen receptor-positive breast cancer. The Company</w:t>
      </w:r>
    </w:p>
    <w:p>
      <w:pPr>
        <w:sectPr>
          <w:pgSz w:w="11900" w:h="16838" w:orient="portrait"/>
          <w:cols w:equalWidth="0" w:num="1">
            <w:col w:w="9019"/>
          </w:cols>
          <w:pgMar w:left="1440" w:top="513" w:right="1440"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will be responsible for the conduct of the clinical trials for the combined therapies in accordance with a mutually agreed development plan. As part of the collaboration, the parties granted to each other a non-exclusive, royalty- free license under certain of the parties’ respective background patent rights and other technology to use the parties’ respective study drugs in research and development, solely to the extent reasonably needed for the other party’s activities in the collaboration. All inventions and data developed in the performance of the clinical trials for the combined therapies (other than those specific to each component study drug), will be jointly owned by the parties.</w:t>
      </w:r>
    </w:p>
    <w:p>
      <w:pPr>
        <w:spacing w:after="0" w:line="18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Company is responsible for manufacturing, packaging and labeling OP-1250, and for packaging and labeling all drugs used in the clinical trials for the combined therapies (other than the Novartis Study Drugs). Novartis is responsible for manufacturing and delivering to the Company the Novartis Study Drugs in such quantities as reasonably needed for the clinical trials for the combined therapies. In accordance with an agreed budget, subject to certain thresholds, Novartis will reimburse the Company for a majority of the direct outside costs that the Company incurs related to conducting the activities under the agreed development plan in conducting the clinical trials for the combined therapies.</w:t>
      </w:r>
    </w:p>
    <w:p>
      <w:pPr>
        <w:spacing w:after="0" w:line="185"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The Novartis Agreement will terminate upon completion of all activities outlined in the development plan and the relevant protocols. Either party may terminate the Novartis Agreement for the uncured material breach or insolvency of the other party, if it reasonably deems it necessary in order to protect the safety, health or welfare of subjects enrolled in the clinical trials for the combined therapies due to the existence of a material safety issue, or in certain circumstances for an unresolved clinical hold with respect to either the Novartis Study Drugs or OP-1250. In addition, Novartis may terminate the Novartis Agreement if certain disputes between the parties are not resolved after following the applicable dispute resolution procedures, and the Company may terminate the Novartis Agreement in the event the Company terminates all clinical trials of the combined therapies other than due to a material safety issue or upon a clinical hold.</w:t>
      </w:r>
    </w:p>
    <w:p>
      <w:pPr>
        <w:spacing w:after="0" w:line="183"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Costs associated with research activities performed under the agreement are included in research and development expenses in the accompanying condensed consolidated financial statements, with any reimbursable costs from Novartis reflected as a reduction of such expenses. For the three and nine months ended September 30, 2022, costs reimbursable from Novartis were $0.5 million and $ 1.1 million, respectively. As of September 30, 2020, the receivable due from Novartis was $1.1 million, which is recorded under prepaid expenses and other current assets in the accompanying condensed consolidated financial statements.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Clinical Trial Agreement</w:t>
      </w:r>
    </w:p>
    <w:p>
      <w:pPr>
        <w:spacing w:after="0" w:line="210"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In November 2020, the Company entered into a non-exclusive clinical trial agreement with Pfizer Inc. (“Pfizer”) (the “Pfizer Agreement”), to evaluate the safety and tolerability of OP-1250 in combination with Pfizer’s proprietary CDK4/6 inhibitor IBRANCE® (palbociclib) in patients with recurrent, locally advanced or metastatic ER+, HER2- breast cancer in a clinical trial. Under the terms of the non-exclusive agreement, the Company will be responsible for conducting the clinical trial for the combined therapies and Pfizer is responsible for supplying IBRANCE® to the Company at no cost to the Company.</w:t>
      </w:r>
    </w:p>
    <w:p>
      <w:pPr>
        <w:spacing w:after="0" w:line="179"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The Company is responsible for manufacturing, packaging and labeling OP-1250, and for packaging and labeling all drugs used in the clinical trials for the combined therapies (other than IBRANCE® (palbociclib)). Pfizer is responsible for manufacturing and delivering to us IBRANCE® (palbociclib) in such quantities as reasonably needed for the clinical trials for the combined therapies.</w:t>
      </w:r>
    </w:p>
    <w:p>
      <w:pPr>
        <w:spacing w:after="0" w:line="174"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The Pfizer Agreement will terminate upon completion of all activities outlined in the study plan and the relevant protocols. Either party may terminate the Pfizer Agreement for the uncured material breach or insolvency of the other party, if it reasonably deems it necessary in order to protect the safety, health or welfare of subjects enrolled in the clinical trials for the combined therapies due to the existence of a material safety issue, or in certain circumstances for an unresolved clinical hold with respect to either the IBRANCE® (palbociclib) or OP-1250. In addition, either party may terminate the Pfizer Agreement if certain disputes between the parties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are not resolved after following the applicable dispute resolution procedures or if either party determines to discontinue clinical development for medical, scientific, legal or other reasons.</w:t>
      </w:r>
    </w:p>
    <w:p>
      <w:pPr>
        <w:spacing w:after="0" w:line="154"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The Pfizer Agreement does not grant any right of first negotiation to participate in future clinical trials, and each of the parties retains all rights and ability to evaluate their respective compounds. Costs incurred in connection to the Pfizer Agreement are included in the research and development expense in the condensed consolidated statements of operations and comprehensive loss for the three and nine months ended September 30, 2022 and 2021.</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License Agreement</w:t>
      </w:r>
    </w:p>
    <w:p>
      <w:pPr>
        <w:spacing w:after="0" w:line="21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In June 2022, the Company entered into an exclusive global license agreement with Aurigene Discovery Technologies Limited (“Aurigene”) to research, develop and commercialize novel small molecule inhibitors of an undisclosed oncology target (“the Aurigene Agreement”).</w:t>
      </w:r>
    </w:p>
    <w:p>
      <w:pPr>
        <w:spacing w:after="0" w:line="16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Under the terms of the Aurigene Agreement, Aurigene will provide to the Company an exclusive license to its portfolio of novel small molecule inhibitors of the target. Financial terms of the Aurigene Agreement include a $8.0 million upfront payment for rights to a pre-existing Aurigene program and potential future milestone payments of up to $60.0 million in clinical development and regulatory milestones, and up to $370.0 million in commercial milestones. Aurigene is also eligible to receive mid-single digits to the low double digits royalties on product sales, if any. During the research term, the Company will contribute funding to Aurigene to facilitate Aurigene’s ongoing discovery efforts. The Company and Aurigene will jointly direct further preclinical work and, if successful, the Company will lead clinical development as well as regulatory and commercial activities.</w:t>
      </w:r>
    </w:p>
    <w:p>
      <w:pPr>
        <w:spacing w:after="0" w:line="180"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The term of the Aurigene Agreement will continue until the expiration of the last-to-expire of all payment obligations with respect to all licensed products thereunder, unless terminated earlier in accordance with the terms of the Aurigene Agreement. The Aurigene Agreement may be terminated (a) by the Company for convenience, in its sole discretion, upon prior written notice to Aurigene, (b) by either the Company or Aurigene in connection with the other party’s uncured material breach or (c) by either the Company or Aurigene in connection with the insolvency of the other party.</w:t>
      </w:r>
    </w:p>
    <w:p>
      <w:pPr>
        <w:spacing w:after="0" w:line="179"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The $8.0 million upfront payment was incurred in June 2022 and recorded as research and development expense in the condensed consolidated statements of operations and comprehensive loss. Costs incurred and milestones payments due to Aurigene prior to regulatory approval are recognized as research and development expenses in the period incurred. Payments due to Aurigene upon or subsequent to regulatory approval will be accrued as a provision to cost of sales in the period when achievement of respective milestone target is probable.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Management Services Agreements</w:t>
      </w:r>
    </w:p>
    <w:p>
      <w:pPr>
        <w:spacing w:after="0" w:line="210"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7"/>
          <w:szCs w:val="17"/>
          <w:color w:val="auto"/>
        </w:rPr>
        <w:t>The Company conducts research and development programs internally and through third parties that include, among others, arrangements with vendors, consultants, CMOs, and CROs. The Company has contractual arrangements in the normal course of business with these parties, however, the contracts with these parties are cancelable generally on reasonable notice within one year and the Company’s obligations under these contracts are primarily based on services performed through termination dates plus certain cancelation charges, if any, as defined in each of the respective agreements. In addition, these agreements may, from time to time, be subjected to amendments as a result of any change orders executed by the parties. As of September 30, 2022, the Company did not have material contractual commitments with respect to these arrangements.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Contingencies</w:t>
      </w:r>
    </w:p>
    <w:p>
      <w:pPr>
        <w:spacing w:after="0" w:line="210"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business. The Company accrues a liability for such matters when it is probable that future expenditures will be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made, and such expenditures can be reasonably estimated. For all periods presented, the Company was not a party to any pending material litigation or other material legal proceedings.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Indemnification Agreements</w:t>
      </w:r>
    </w:p>
    <w:p>
      <w:pPr>
        <w:spacing w:after="0" w:line="210"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As of September 30, 2022 and December 31, 2021, the Company had not incurred any material costs as a result of such indemnifications.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14"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unaudited condensed consolidated financial statements and related notes that are included elsewhere in this Quarterly Report on Form 10-Q and the audited financial statements and related notes that are included in our Annual Report on Form 10-K for the fiscal year ended December 31, 2021 filed with the U.S. Securities and Exchange Commission, or the SEC, on February 28, 2022, or our Annual Report on Form 10-K.</w:t>
      </w:r>
    </w:p>
    <w:p>
      <w:pPr>
        <w:spacing w:after="0" w:line="18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i w:val="1"/>
          <w:iCs w:val="1"/>
          <w:color w:val="auto"/>
        </w:rPr>
        <w:t>This Quarterly Report on Form 10-Q contains forward-looking statements within the meaning of Section 27A of the Securities Act of 1933, as amended, or the Securities Act, and Section 21E of the Securities Exchange Act of 1934, as amended, or the Exchange Act. Forward-looking statements are identified by words such as “believe,” “will,” “may,” “estimate,” “continue,” “anticipate,” “intend,” “should,” “plan,” “expect,” “predict,” “could,” “potentially” or the negative of these terms or similar expressions.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 — “Risk Factors,” and elsewhere in this report.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We caution investors that our business and financial performance are subject to substantial risks and uncertainties. In addition, statements that “we believe” and similar statements reflect our beliefs and opinions on the relevant subject. These statements are based on information available to us as of the date of this Quarterly Report on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are a clinical-stage biopharmaceutical company focused on the discovery, development and commercialization of next generation targeted therapies for women’s cancers. Our team has spent the past decade characterizing the structure and function of the estrogen receptor, or ER, a key driver of breast cancer in approximately 75% of patients, in order to develop more potent, oral therapies that completely inactivate this signaling pathway. Our lead product candidate, OP-1250, is a novel oral therapy with combined activity as both a complete ER antagonist, or CERAN, and a selective ER degrader, or SERD, which we believe will drive deeper, more durable responses than existing therapies. OP-1250, both as a monotherapy and in combination with inhibitors of cyclin-dependent kinase 4 and 6, or CDK4/6, demonstrated robust anti-tumor activity in a range of preclinical xenograft models of breast cancer, including in ESR1 and PIK3CA mutations and central nervous system (CNS) metastasis. In August 2020, we initiated an ongoing Phase 1/2 dose escalation and expansion trial evaluating OP-1250 for the treatment of recurrent, locally advanced or metastatic ER-positive, or ER+, human epidermal growth factor receptor 2-negative, or HER2-, breast cancer. We reported initial data from the Phase 1 dose escalation portion of this trial in November 2021, which provide proof-of-concept for OP-1250 as a monotherapy treatment for ER+/HER2- breast cancer. In June 2022, we selected 120 mg as the Recommended Phase 2 dose (“RP2D”) for OP-1250 to advance into Phase 2 evaluation. Following the selection of RP2D based on pharmacokinetics, safety and tolerability, and encouraging early anti -tumor activity, the Phase 2 monotherapy study is rapidly advancing with primary cohorts fully enrolled: patients with measurable disease (N=50) and patients with non-measurable disease (N=15). In October 2022, we reported preliminary results from the Phase 1b dose expansion of OP-1250 at doses of 60 and 120 mg. Based on our clinical results to date, we are actively planning to initiate a pivotal Phase 3 monotherapy study in second- and third-line patients in mid-2023 and intend to request an End of Phase 2 meeting with FDA prior to initiating such</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trial. In January 2022, we initiated a Phase 1b dose escalation trial evaluating OP-1250 in combination with palbociclib for the treatment of recurrent, locally advanced or metastatic ER+/HER2 breast cancer. We anticipate reporting preliminary results from this study in the fourth quarter of 2022. Concurrently, in the third quarter of 2022 we initiated a Phase 1b dose escalation trial of OP-1250 in combination with ribociclib and apelisib. In July 2022 we were granted Fast Track designation from FDA for OP-1250 for ER+/HER2- metastatic breast cancer that has progressed following one or more lines of endocrine therapy with at least one line given in combination with a CDK 4/6 inhibitor. We own worldwide development and commercialization rights to OP-1250. We believe OP-1250’s oral formulation and dual mechanism of action directly address the limitations of current endocrine therapies, such as fulvestrant and tamoxifen, and position OP-1250 as a differentiated ER antagonist and potential endocrine therapy of choice for the treatment of ER+ breast cancers. Our goal is to transform the standard of care for women living with cancers by developing more effective therapies that apply our deep understanding and collective expertise in endocrine-driven cancers, nuclear receptor activities and mechanisms of acquired resistance.</w:t>
      </w:r>
    </w:p>
    <w:p>
      <w:pPr>
        <w:spacing w:after="0" w:line="180"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Since our inception, we have devoted substantially all of our resources to organizing and staffing our company, research and development activities, business planning, raising capital, establishing and maintaining our intellectual property portfolio, conducting nonclinical studies and clinical trials and providing general and administrative support for these operations.</w:t>
      </w:r>
    </w:p>
    <w:p>
      <w:pPr>
        <w:spacing w:after="0" w:line="174"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We do not have any product candidates approved for commercial sale, and we have not generated any revenue from product sales. Our ability to generate product revenue sufficient to achieve profitability, if ever, will depend on the successful development and eventual commercialization of one or more of our product candidates which we expect, if it ever occurs, will take a number of years. We also do not own or operate, and currently have no plans to establish, any manufacturing facilities. We rely, and expect to continue to rely, on third parties for the manufacture of our product candidates for nonclinical and clinical testing, as well as for commercial manufacturing if any of our product candidates obtain marketing approval. We believe that this strategy allows us to maintain a more efficient infrastructure by eliminating the need for us to invest in our own manufacturing facilities, equipment and personnel while also enabling us to focus our expertise and resources on the development of our product candidates.</w:t>
      </w:r>
    </w:p>
    <w:p>
      <w:pPr>
        <w:spacing w:after="0" w:line="180"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As of September 30, 2022, we had cash, cash equivalents, and marketable securities of $222.6 million. Based on our current operating plan, we believe that our cash, cash equivalents, and marketable securities at September 30, 2022 will be sufficient to fund our planned operating expenses and capital expenditure requirements into the second half of 2024.</w:t>
      </w:r>
    </w:p>
    <w:p>
      <w:pPr>
        <w:spacing w:after="0" w:line="174"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We have incurred significant operating losses since the commencement of our operations. Our net losses were $22.7 million and $17.7 million for the three months ended September 30, 2022 and 2021, respectively, and $78.6 million and $49.5 million for the nine months ended September 30, 2022 and 2021, respectively. We expect to incur significant and increasing losses for the foreseeable future as we continue to advance our product candidate, and as we continue to operate as a public company. Our net losses may fluctuate significantly from period to period, depending on the timing of expenditures on our research and development activities. As of September 30, 2022, we had an accumulated deficit of $182.8 million. Our primary use of cash is to fund operating expenses, which consist primarily of research and development expenditures and general and administrative expenditures. Cash used to fund operating expenses is impacted by the timing of when we pay these expenses, as reflected in the change in our outstanding accounts payable and other current liabilities.</w:t>
      </w:r>
    </w:p>
    <w:p>
      <w:pPr>
        <w:spacing w:after="0" w:line="180"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We expect to continue to incur net operating losses for at least the next several years, and we expect our research and development expenses, general and administrative expenses, and capital expenditures will continue to increase. We expect our expenses and capital requirements will increase significantly in connection with our ongoing activities as we:</w:t>
      </w:r>
    </w:p>
    <w:p>
      <w:pPr>
        <w:spacing w:after="0" w:line="174" w:lineRule="exact"/>
        <w:rPr>
          <w:sz w:val="20"/>
          <w:szCs w:val="20"/>
          <w:color w:val="auto"/>
        </w:rPr>
      </w:pPr>
    </w:p>
    <w:p>
      <w:pPr>
        <w:ind w:left="720" w:right="79" w:hanging="319"/>
        <w:spacing w:after="0" w:line="270" w:lineRule="auto"/>
        <w:tabs>
          <w:tab w:leader="none" w:pos="720" w:val="left"/>
        </w:tabs>
        <w:numPr>
          <w:ilvl w:val="0"/>
          <w:numId w:val="11"/>
        </w:numPr>
        <w:rPr>
          <w:rFonts w:ascii="Times New Roman" w:cs="Times New Roman" w:eastAsia="Times New Roman" w:hAnsi="Times New Roman"/>
          <w:sz w:val="18"/>
          <w:szCs w:val="18"/>
          <w:color w:val="231F20"/>
        </w:rPr>
      </w:pPr>
      <w:r>
        <w:rPr>
          <w:rFonts w:ascii="Arial" w:cs="Arial" w:eastAsia="Arial" w:hAnsi="Arial"/>
          <w:sz w:val="18"/>
          <w:szCs w:val="18"/>
          <w:color w:val="231F20"/>
        </w:rPr>
        <w:t>continue our ongoing and planned research and development of our lead product candidate OP-1250 for the treatment of ER+ positive breast cancer;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20" w:right="79" w:hanging="319"/>
        <w:spacing w:after="0" w:line="270" w:lineRule="auto"/>
        <w:tabs>
          <w:tab w:leader="none" w:pos="720" w:val="left"/>
        </w:tabs>
        <w:numPr>
          <w:ilvl w:val="0"/>
          <w:numId w:val="12"/>
        </w:numPr>
        <w:rPr>
          <w:rFonts w:ascii="Times New Roman" w:cs="Times New Roman" w:eastAsia="Times New Roman" w:hAnsi="Times New Roman"/>
          <w:sz w:val="18"/>
          <w:szCs w:val="18"/>
          <w:color w:val="231F20"/>
        </w:rPr>
      </w:pPr>
      <w:r>
        <w:rPr>
          <w:rFonts w:ascii="Arial" w:cs="Arial" w:eastAsia="Arial" w:hAnsi="Arial"/>
          <w:sz w:val="18"/>
          <w:szCs w:val="18"/>
          <w:color w:val="231F20"/>
        </w:rPr>
        <w:t>initiate nonclinical studies and clinical trials for any additional product candidates that we may pursue in the future;</w:t>
      </w:r>
    </w:p>
    <w:p>
      <w:pPr>
        <w:spacing w:after="0" w:line="154" w:lineRule="exact"/>
        <w:rPr>
          <w:rFonts w:ascii="Times New Roman" w:cs="Times New Roman" w:eastAsia="Times New Roman" w:hAnsi="Times New Roman"/>
          <w:sz w:val="18"/>
          <w:szCs w:val="18"/>
          <w:color w:val="231F20"/>
        </w:rPr>
      </w:pPr>
    </w:p>
    <w:p>
      <w:pPr>
        <w:ind w:left="720" w:right="79" w:hanging="319"/>
        <w:spacing w:after="0" w:line="270" w:lineRule="auto"/>
        <w:tabs>
          <w:tab w:leader="none" w:pos="720" w:val="left"/>
        </w:tabs>
        <w:numPr>
          <w:ilvl w:val="0"/>
          <w:numId w:val="12"/>
        </w:numPr>
        <w:rPr>
          <w:rFonts w:ascii="Times New Roman" w:cs="Times New Roman" w:eastAsia="Times New Roman" w:hAnsi="Times New Roman"/>
          <w:sz w:val="18"/>
          <w:szCs w:val="18"/>
          <w:color w:val="231F20"/>
        </w:rPr>
      </w:pPr>
      <w:r>
        <w:rPr>
          <w:rFonts w:ascii="Arial" w:cs="Arial" w:eastAsia="Arial" w:hAnsi="Arial"/>
          <w:sz w:val="18"/>
          <w:szCs w:val="18"/>
          <w:color w:val="231F20"/>
        </w:rPr>
        <w:t>seek to discover and develop additional product candidates and further expand our clinical product pipeline;</w:t>
      </w:r>
    </w:p>
    <w:p>
      <w:pPr>
        <w:spacing w:after="0" w:line="154"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231F20"/>
        </w:rPr>
      </w:pPr>
      <w:r>
        <w:rPr>
          <w:rFonts w:ascii="Arial" w:cs="Arial" w:eastAsia="Arial" w:hAnsi="Arial"/>
          <w:sz w:val="18"/>
          <w:szCs w:val="18"/>
          <w:color w:val="231F20"/>
        </w:rPr>
        <w:t>seek regulatory approvals for any product candidates that successfully complete clinical trials;</w:t>
      </w:r>
    </w:p>
    <w:p>
      <w:pPr>
        <w:spacing w:after="0" w:line="224" w:lineRule="exact"/>
        <w:rPr>
          <w:rFonts w:ascii="Times New Roman" w:cs="Times New Roman" w:eastAsia="Times New Roman" w:hAnsi="Times New Roman"/>
          <w:sz w:val="18"/>
          <w:szCs w:val="18"/>
          <w:color w:val="231F20"/>
        </w:rPr>
      </w:pPr>
    </w:p>
    <w:p>
      <w:pPr>
        <w:ind w:left="720" w:right="79" w:hanging="319"/>
        <w:spacing w:after="0" w:line="270" w:lineRule="auto"/>
        <w:tabs>
          <w:tab w:leader="none" w:pos="720" w:val="left"/>
        </w:tabs>
        <w:numPr>
          <w:ilvl w:val="0"/>
          <w:numId w:val="12"/>
        </w:numPr>
        <w:rPr>
          <w:rFonts w:ascii="Times New Roman" w:cs="Times New Roman" w:eastAsia="Times New Roman" w:hAnsi="Times New Roman"/>
          <w:sz w:val="18"/>
          <w:szCs w:val="18"/>
          <w:color w:val="231F20"/>
        </w:rPr>
      </w:pPr>
      <w:r>
        <w:rPr>
          <w:rFonts w:ascii="Arial" w:cs="Arial" w:eastAsia="Arial" w:hAnsi="Arial"/>
          <w:sz w:val="18"/>
          <w:szCs w:val="18"/>
          <w:color w:val="231F20"/>
        </w:rPr>
        <w:t>continue to scale up external manufacturing capacity with the aim of securing sufficient quantities to meet our capacity requirements for clinical trials and potential commercialization;</w:t>
      </w:r>
    </w:p>
    <w:p>
      <w:pPr>
        <w:spacing w:after="0" w:line="154" w:lineRule="exact"/>
        <w:rPr>
          <w:rFonts w:ascii="Times New Roman" w:cs="Times New Roman" w:eastAsia="Times New Roman" w:hAnsi="Times New Roman"/>
          <w:sz w:val="18"/>
          <w:szCs w:val="18"/>
          <w:color w:val="231F20"/>
        </w:rPr>
      </w:pPr>
    </w:p>
    <w:p>
      <w:pPr>
        <w:ind w:left="720" w:right="79" w:hanging="319"/>
        <w:spacing w:after="0" w:line="270" w:lineRule="auto"/>
        <w:tabs>
          <w:tab w:leader="none" w:pos="720" w:val="left"/>
        </w:tabs>
        <w:numPr>
          <w:ilvl w:val="0"/>
          <w:numId w:val="12"/>
        </w:numPr>
        <w:rPr>
          <w:rFonts w:ascii="Times New Roman" w:cs="Times New Roman" w:eastAsia="Times New Roman" w:hAnsi="Times New Roman"/>
          <w:sz w:val="18"/>
          <w:szCs w:val="18"/>
          <w:color w:val="231F20"/>
        </w:rPr>
      </w:pPr>
      <w:r>
        <w:rPr>
          <w:rFonts w:ascii="Arial" w:cs="Arial" w:eastAsia="Arial" w:hAnsi="Arial"/>
          <w:sz w:val="18"/>
          <w:szCs w:val="18"/>
          <w:color w:val="231F20"/>
        </w:rPr>
        <w:t>establish a sales, marketing and distribution infrastructure to commercialize any approved product candidates and related additional commercial manufacturing costs;</w:t>
      </w:r>
    </w:p>
    <w:p>
      <w:pPr>
        <w:spacing w:after="0" w:line="154" w:lineRule="exact"/>
        <w:rPr>
          <w:rFonts w:ascii="Times New Roman" w:cs="Times New Roman" w:eastAsia="Times New Roman" w:hAnsi="Times New Roman"/>
          <w:sz w:val="18"/>
          <w:szCs w:val="18"/>
          <w:color w:val="231F20"/>
        </w:rPr>
      </w:pPr>
    </w:p>
    <w:p>
      <w:pPr>
        <w:ind w:left="720" w:right="79" w:hanging="319"/>
        <w:spacing w:after="0" w:line="270" w:lineRule="auto"/>
        <w:tabs>
          <w:tab w:leader="none" w:pos="720" w:val="left"/>
        </w:tabs>
        <w:numPr>
          <w:ilvl w:val="0"/>
          <w:numId w:val="12"/>
        </w:numPr>
        <w:rPr>
          <w:rFonts w:ascii="Times New Roman" w:cs="Times New Roman" w:eastAsia="Times New Roman" w:hAnsi="Times New Roman"/>
          <w:sz w:val="18"/>
          <w:szCs w:val="18"/>
          <w:color w:val="231F20"/>
        </w:rPr>
      </w:pPr>
      <w:r>
        <w:rPr>
          <w:rFonts w:ascii="Arial" w:cs="Arial" w:eastAsia="Arial" w:hAnsi="Arial"/>
          <w:sz w:val="18"/>
          <w:szCs w:val="18"/>
          <w:color w:val="231F20"/>
        </w:rPr>
        <w:t>develop, maintain, expand, protect and enforce our intellectual property portfolio, including patents, trade secrets and know how;</w:t>
      </w:r>
    </w:p>
    <w:p>
      <w:pPr>
        <w:spacing w:after="0" w:line="154"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231F20"/>
        </w:rPr>
      </w:pPr>
      <w:r>
        <w:rPr>
          <w:rFonts w:ascii="Arial" w:cs="Arial" w:eastAsia="Arial" w:hAnsi="Arial"/>
          <w:sz w:val="18"/>
          <w:szCs w:val="18"/>
          <w:color w:val="231F20"/>
        </w:rPr>
        <w:t>acquire or in-license other product candidates and technologies;</w:t>
      </w:r>
    </w:p>
    <w:p>
      <w:pPr>
        <w:spacing w:after="0" w:line="224" w:lineRule="exact"/>
        <w:rPr>
          <w:rFonts w:ascii="Times New Roman" w:cs="Times New Roman" w:eastAsia="Times New Roman" w:hAnsi="Times New Roman"/>
          <w:sz w:val="18"/>
          <w:szCs w:val="18"/>
          <w:color w:val="231F20"/>
        </w:rPr>
      </w:pPr>
    </w:p>
    <w:p>
      <w:pPr>
        <w:ind w:left="720" w:right="79" w:hanging="319"/>
        <w:spacing w:after="0" w:line="270" w:lineRule="auto"/>
        <w:tabs>
          <w:tab w:leader="none" w:pos="720" w:val="left"/>
        </w:tabs>
        <w:numPr>
          <w:ilvl w:val="0"/>
          <w:numId w:val="12"/>
        </w:numPr>
        <w:rPr>
          <w:rFonts w:ascii="Times New Roman" w:cs="Times New Roman" w:eastAsia="Times New Roman" w:hAnsi="Times New Roman"/>
          <w:sz w:val="18"/>
          <w:szCs w:val="18"/>
          <w:color w:val="231F20"/>
        </w:rPr>
      </w:pPr>
      <w:r>
        <w:rPr>
          <w:rFonts w:ascii="Arial" w:cs="Arial" w:eastAsia="Arial" w:hAnsi="Arial"/>
          <w:sz w:val="18"/>
          <w:szCs w:val="18"/>
          <w:color w:val="231F20"/>
        </w:rPr>
        <w:t>attract, hire and retain additional clinical, scientific, quality control, and manufacturing management and administrative personnel;</w:t>
      </w:r>
    </w:p>
    <w:p>
      <w:pPr>
        <w:spacing w:after="0" w:line="154" w:lineRule="exact"/>
        <w:rPr>
          <w:rFonts w:ascii="Times New Roman" w:cs="Times New Roman" w:eastAsia="Times New Roman" w:hAnsi="Times New Roman"/>
          <w:sz w:val="18"/>
          <w:szCs w:val="18"/>
          <w:color w:val="231F20"/>
        </w:rPr>
      </w:pPr>
    </w:p>
    <w:p>
      <w:pPr>
        <w:ind w:left="720" w:right="79" w:hanging="319"/>
        <w:spacing w:after="0" w:line="270" w:lineRule="auto"/>
        <w:tabs>
          <w:tab w:leader="none" w:pos="720" w:val="left"/>
        </w:tabs>
        <w:numPr>
          <w:ilvl w:val="0"/>
          <w:numId w:val="12"/>
        </w:numPr>
        <w:rPr>
          <w:rFonts w:ascii="Times New Roman" w:cs="Times New Roman" w:eastAsia="Times New Roman" w:hAnsi="Times New Roman"/>
          <w:sz w:val="18"/>
          <w:szCs w:val="18"/>
          <w:color w:val="231F20"/>
        </w:rPr>
      </w:pPr>
      <w:r>
        <w:rPr>
          <w:rFonts w:ascii="Arial" w:cs="Arial" w:eastAsia="Arial" w:hAnsi="Arial"/>
          <w:sz w:val="18"/>
          <w:szCs w:val="18"/>
          <w:color w:val="231F20"/>
        </w:rPr>
        <w:t>add clinical, operational, financial and management information systems and personnel, including personnel to support our product development and planned future commercialization efforts;</w:t>
      </w:r>
    </w:p>
    <w:p>
      <w:pPr>
        <w:spacing w:after="0" w:line="154"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231F20"/>
        </w:rPr>
      </w:pPr>
      <w:r>
        <w:rPr>
          <w:rFonts w:ascii="Arial" w:cs="Arial" w:eastAsia="Arial" w:hAnsi="Arial"/>
          <w:sz w:val="18"/>
          <w:szCs w:val="18"/>
          <w:color w:val="231F20"/>
        </w:rPr>
        <w:t>expand our operations in the United States and to other geographies; and</w:t>
      </w:r>
    </w:p>
    <w:p>
      <w:pPr>
        <w:spacing w:after="0" w:line="224" w:lineRule="exact"/>
        <w:rPr>
          <w:rFonts w:ascii="Times New Roman" w:cs="Times New Roman" w:eastAsia="Times New Roman" w:hAnsi="Times New Roman"/>
          <w:sz w:val="18"/>
          <w:szCs w:val="18"/>
          <w:color w:val="231F20"/>
        </w:rPr>
      </w:pPr>
    </w:p>
    <w:p>
      <w:pPr>
        <w:ind w:left="720" w:right="79" w:hanging="319"/>
        <w:spacing w:after="0" w:line="270" w:lineRule="auto"/>
        <w:tabs>
          <w:tab w:leader="none" w:pos="720" w:val="left"/>
        </w:tabs>
        <w:numPr>
          <w:ilvl w:val="0"/>
          <w:numId w:val="12"/>
        </w:numPr>
        <w:rPr>
          <w:rFonts w:ascii="Times New Roman" w:cs="Times New Roman" w:eastAsia="Times New Roman" w:hAnsi="Times New Roman"/>
          <w:sz w:val="18"/>
          <w:szCs w:val="18"/>
          <w:color w:val="231F20"/>
        </w:rPr>
      </w:pPr>
      <w:r>
        <w:rPr>
          <w:rFonts w:ascii="Arial" w:cs="Arial" w:eastAsia="Arial" w:hAnsi="Arial"/>
          <w:sz w:val="18"/>
          <w:szCs w:val="18"/>
          <w:color w:val="231F20"/>
        </w:rPr>
        <w:t>incur additional legal, accounting, investor relations and other expenses associated with operating as a public company.</w:t>
      </w:r>
    </w:p>
    <w:p>
      <w:pPr>
        <w:spacing w:after="0" w:line="15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also expect to increase the size of our administrative function to support the growth of our business. Our net losses may fluctuate significantly from quarter-to-quarter and year-to-year, depending on the timing of our clinical trials and our expenditures on other research and development activities.</w:t>
      </w:r>
    </w:p>
    <w:p>
      <w:pPr>
        <w:spacing w:after="0" w:line="16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will require substantial additional funding to develop our product candidates and support our continuing operations. Until such time that we can generate significant revenue from product sales or other sources, if ever, we expect to finance our operations through the sale of equity, debt financings or other capital sources, which could include income from collaborations, strategic partnerships or marketing, distribution, licensing or other strategic arrangements with third parties, or from grants. We may be unable to raise additional funds or to enter into such agreements or arrangements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ongoing COVID-19 pandemic and other geopolitical and macroeconomic conditions. Our failure to obtain sufficient funds on acceptable terms when needed could have a material adverse effect on our business, results of operations or financial condition, including requiring us to have to delay, reduce or eliminate our product development or future commercialization efforts. Insufficient liquidity may also require us to relinquish rights to product candidates at an earlier stage of development or on less favorable terms than we would otherwise choose. The amount and timing of our future funding requirements will depend on many factors, including the pace and results of our development efforts. We cannot provide assurance that we will ever be profitable or generate positive cash flow from operating activities.</w:t>
      </w:r>
    </w:p>
    <w:p>
      <w:pPr>
        <w:spacing w:after="0" w:line="18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The COVID-19 pandemic continues to evolve. As a result of the COVID-19 pandemic, we experienced some delays in setting up our current Phase 1/2 clinical trial and in clinical site initiation, including delays in recruiting</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clinical site investigators and clinical site staff, which we may experience again in the future for clinical trials, including ongoing clinical trials involving OP-1250 in combination with other therapies. The extent of the impact of the COVID-19 pandemic on our business, operations and development timelines and plans, including the resulting impact on our expenditures and capital needs, remains uncertain, and will depend on certain developments, including the duration of the COVID-19 pandemic, frequency of outbreaks and its impact on our development activities, planned clinical trial enrollment, future trial sites, contract research organizations, or CROs, third-party manufacturers, and other third parties with whom we do business, as well as its impact on regulatory authorities and our key scientific and management personnel. We continue to actively monitor the evolving situation related to the COVID-19 pandemic and may take further actions that alter our operations, including those that may be required by federal, state or local authorities, or that we determine are in the best interests of our employees and other third parties with whom we do business. During 2021 and 2022, although we modified our operations and practices due to the COVID-19 pandemic and to comply with federal, state and local requirements, our business, operations and development timelines were not materially adversely affected. In March 2022, we fully re-opened our offices to all employees and continue to comply with protocols implemented by respective health authorities. We continue to monitor developments related to COVID-19 and may close our offices again in the future. The extent to which the COVID-19 pandemic may affect our business, operations and development timelines and plans in the future, including the resulting impact on our expenditures and capital needs, remains uncertain.</w:t>
      </w:r>
    </w:p>
    <w:p>
      <w:pPr>
        <w:spacing w:after="0" w:line="182"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In addition to the ongoing COVID-19 pandemic, global economic and business activities continue to face widespread macroeconomic uncertainties, including labor shortages, inflation and monetary supply shifts, recession risks and potential disruptions from the Russia-Ukraine conflict, all of which have resulted in volatility in the U.S. and global financial markets, and disruptions to trade, commerce, pricing stability, credit availability and supply chain continuity globally. The extent of the impact of these factors on our operational and financial performance, including our ability to execute our business strategies and initiatives in the expected time frame, will depend on future developments, which are uncertain and cannot be predicted. Any continued or renewed disruption resulting from these factors could negatively impact our business. We continue to monitor the impact of these macroeconomic factors on our results of operations, financial condition and cash flows.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10"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To date, we have not generated any revenue from product sales and do not expect to generate any revenue from the sale of products for the foreseeable future.</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w:t>
      </w:r>
    </w:p>
    <w:p>
      <w:pPr>
        <w:spacing w:after="0" w:line="210"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Research and development expenses account for a significant portion of our operating expenses and consist primarily of external and internal expenses incurred in connection with the discovery and development of our product candidates. To date, our research and development expenses have related primarily to discovery efforts and nonclinical and clinical development of our product candidate OP-1250. Research and development expenses are recognized as incurred and payments made prior to the receipt of goods or services to be used in research and development are capitalized until the goods or services are received.</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External expenses include:</w:t>
      </w:r>
    </w:p>
    <w:p>
      <w:pPr>
        <w:spacing w:after="0" w:line="212" w:lineRule="exact"/>
        <w:rPr>
          <w:sz w:val="20"/>
          <w:szCs w:val="20"/>
          <w:color w:val="auto"/>
        </w:rPr>
      </w:pPr>
    </w:p>
    <w:p>
      <w:pPr>
        <w:ind w:left="720" w:right="79" w:hanging="319"/>
        <w:spacing w:after="0" w:line="270" w:lineRule="auto"/>
        <w:tabs>
          <w:tab w:leader="none" w:pos="720" w:val="left"/>
        </w:tabs>
        <w:numPr>
          <w:ilvl w:val="0"/>
          <w:numId w:val="13"/>
        </w:numPr>
        <w:rPr>
          <w:rFonts w:ascii="Times New Roman" w:cs="Times New Roman" w:eastAsia="Times New Roman" w:hAnsi="Times New Roman"/>
          <w:sz w:val="18"/>
          <w:szCs w:val="18"/>
          <w:color w:val="231F20"/>
        </w:rPr>
      </w:pPr>
      <w:r>
        <w:rPr>
          <w:rFonts w:ascii="Arial" w:cs="Arial" w:eastAsia="Arial" w:hAnsi="Arial"/>
          <w:sz w:val="18"/>
          <w:szCs w:val="18"/>
          <w:color w:val="231F20"/>
        </w:rPr>
        <w:t>expenses incurred in connection with the discovery and nonclinical development of our product candidates, including under agreements with third parties, such as consultants and CROs;</w:t>
      </w:r>
    </w:p>
    <w:p>
      <w:pPr>
        <w:spacing w:after="0" w:line="154" w:lineRule="exact"/>
        <w:rPr>
          <w:rFonts w:ascii="Times New Roman" w:cs="Times New Roman" w:eastAsia="Times New Roman" w:hAnsi="Times New Roman"/>
          <w:sz w:val="18"/>
          <w:szCs w:val="18"/>
          <w:color w:val="231F20"/>
        </w:rPr>
      </w:pPr>
    </w:p>
    <w:p>
      <w:pPr>
        <w:ind w:left="720" w:right="79" w:hanging="319"/>
        <w:spacing w:after="0" w:line="270" w:lineRule="auto"/>
        <w:tabs>
          <w:tab w:leader="none" w:pos="720" w:val="left"/>
        </w:tabs>
        <w:numPr>
          <w:ilvl w:val="0"/>
          <w:numId w:val="13"/>
        </w:numPr>
        <w:rPr>
          <w:rFonts w:ascii="Times New Roman" w:cs="Times New Roman" w:eastAsia="Times New Roman" w:hAnsi="Times New Roman"/>
          <w:sz w:val="18"/>
          <w:szCs w:val="18"/>
          <w:color w:val="231F20"/>
        </w:rPr>
      </w:pPr>
      <w:r>
        <w:rPr>
          <w:rFonts w:ascii="Arial" w:cs="Arial" w:eastAsia="Arial" w:hAnsi="Arial"/>
          <w:sz w:val="18"/>
          <w:szCs w:val="18"/>
          <w:color w:val="231F20"/>
        </w:rPr>
        <w:t>costs of manufacturing products for use in our nonclinical studies and clinical trials, including payments to contract manufacturing organizations, or CMOs, and consultants;</w:t>
      </w:r>
    </w:p>
    <w:p>
      <w:pPr>
        <w:sectPr>
          <w:pgSz w:w="11900" w:h="16838" w:orient="portrait"/>
          <w:cols w:equalWidth="0" w:num="1">
            <w:col w:w="9019"/>
          </w:cols>
          <w:pgMar w:left="1440" w:top="513" w:right="1440" w:bottom="1440" w:gutter="0" w:footer="0" w:header="0"/>
        </w:sect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231F20"/>
        </w:rPr>
      </w:pPr>
      <w:r>
        <w:rPr>
          <w:rFonts w:ascii="Arial" w:cs="Arial" w:eastAsia="Arial" w:hAnsi="Arial"/>
          <w:sz w:val="18"/>
          <w:szCs w:val="18"/>
          <w:color w:val="231F20"/>
        </w:rPr>
        <w:t>costs of funding research performed by third parties;</w:t>
      </w:r>
    </w:p>
    <w:p>
      <w:pPr>
        <w:spacing w:after="0" w:line="224" w:lineRule="exact"/>
        <w:rPr>
          <w:rFonts w:ascii="Times New Roman" w:cs="Times New Roman" w:eastAsia="Times New Roman" w:hAnsi="Times New Roman"/>
          <w:sz w:val="18"/>
          <w:szCs w:val="18"/>
          <w:color w:val="231F20"/>
        </w:rPr>
      </w:pPr>
    </w:p>
    <w:p>
      <w:pPr>
        <w:ind w:left="720" w:right="79" w:hanging="319"/>
        <w:spacing w:after="0" w:line="270" w:lineRule="auto"/>
        <w:tabs>
          <w:tab w:leader="none" w:pos="720" w:val="left"/>
        </w:tabs>
        <w:numPr>
          <w:ilvl w:val="0"/>
          <w:numId w:val="14"/>
        </w:numPr>
        <w:rPr>
          <w:rFonts w:ascii="Times New Roman" w:cs="Times New Roman" w:eastAsia="Times New Roman" w:hAnsi="Times New Roman"/>
          <w:sz w:val="18"/>
          <w:szCs w:val="18"/>
          <w:color w:val="231F20"/>
        </w:rPr>
      </w:pPr>
      <w:r>
        <w:rPr>
          <w:rFonts w:ascii="Arial" w:cs="Arial" w:eastAsia="Arial" w:hAnsi="Arial"/>
          <w:sz w:val="18"/>
          <w:szCs w:val="18"/>
          <w:color w:val="231F20"/>
        </w:rPr>
        <w:t>costs of purchasing lab supplies and non-capital equipment used in designing, developing and manufacturing nonclinical study and clinical trial materials;</w:t>
      </w:r>
    </w:p>
    <w:p>
      <w:pPr>
        <w:spacing w:after="0" w:line="154" w:lineRule="exact"/>
        <w:rPr>
          <w:rFonts w:ascii="Times New Roman" w:cs="Times New Roman" w:eastAsia="Times New Roman" w:hAnsi="Times New Roman"/>
          <w:sz w:val="18"/>
          <w:szCs w:val="18"/>
          <w:color w:val="231F20"/>
        </w:rPr>
      </w:pPr>
    </w:p>
    <w:p>
      <w:pPr>
        <w:ind w:left="720" w:right="79" w:hanging="319"/>
        <w:spacing w:after="0" w:line="270" w:lineRule="auto"/>
        <w:tabs>
          <w:tab w:leader="none" w:pos="720" w:val="left"/>
        </w:tabs>
        <w:numPr>
          <w:ilvl w:val="0"/>
          <w:numId w:val="14"/>
        </w:numPr>
        <w:rPr>
          <w:rFonts w:ascii="Times New Roman" w:cs="Times New Roman" w:eastAsia="Times New Roman" w:hAnsi="Times New Roman"/>
          <w:sz w:val="18"/>
          <w:szCs w:val="18"/>
          <w:color w:val="231F20"/>
        </w:rPr>
      </w:pPr>
      <w:r>
        <w:rPr>
          <w:rFonts w:ascii="Arial" w:cs="Arial" w:eastAsia="Arial" w:hAnsi="Arial"/>
          <w:sz w:val="18"/>
          <w:szCs w:val="18"/>
          <w:color w:val="231F20"/>
        </w:rPr>
        <w:t>costs associated with consultants for chemistry, manufacturing and controls development, regulatory, statistics and other services;</w:t>
      </w:r>
    </w:p>
    <w:p>
      <w:pPr>
        <w:spacing w:after="0" w:line="154"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231F20"/>
        </w:rPr>
      </w:pPr>
      <w:r>
        <w:rPr>
          <w:rFonts w:ascii="Arial" w:cs="Arial" w:eastAsia="Arial" w:hAnsi="Arial"/>
          <w:sz w:val="18"/>
          <w:szCs w:val="18"/>
          <w:color w:val="231F20"/>
        </w:rPr>
        <w:t>expenses related to regulatory activities, including filing fees paid to regulatory agencies; and</w:t>
      </w:r>
    </w:p>
    <w:p>
      <w:pPr>
        <w:spacing w:after="0" w:line="224"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231F20"/>
        </w:rPr>
      </w:pPr>
      <w:r>
        <w:rPr>
          <w:rFonts w:ascii="Arial" w:cs="Arial" w:eastAsia="Arial" w:hAnsi="Arial"/>
          <w:sz w:val="18"/>
          <w:szCs w:val="18"/>
          <w:color w:val="231F20"/>
        </w:rPr>
        <w:t>facility costs including rent, depreciation and maintenance expenses.</w:t>
      </w:r>
    </w:p>
    <w:p>
      <w:pPr>
        <w:spacing w:after="0" w:line="22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Internal expenses include employee and personnel-related costs and expenses, including salaries, benefits and stock-based compensation expense for employees and personnel engaged in research and development functions.</w:t>
      </w:r>
    </w:p>
    <w:p>
      <w:pPr>
        <w:spacing w:after="0" w:line="169"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We expense research and development expenses in the periods in which they are incurred. Costs for certain activities, such as manufacturing and nonclinical studies and clinical trials, are generally recognized based on an evaluation of the progress to completion of specific tasks using information and data provided to us by our vendors and collaborators.</w:t>
      </w:r>
    </w:p>
    <w:p>
      <w:pPr>
        <w:spacing w:after="0" w:line="174"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We typically use our employee, consultant and infrastructure resources across our development programs. We track outsourced development costs by product candidate or nonclinical program, but we do not allocate personnel costs, other internal costs or external consultant costs to specific product candidates or nonclinical programs.</w:t>
      </w:r>
    </w:p>
    <w:p>
      <w:pPr>
        <w:spacing w:after="0" w:line="174"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Research and development expenses to advance the development of our lead product candidate and nonclinical program were $17.6 million and $12.5 million for the three months ended September 30, 2022 and 2021, respectively, and $60.7 million and $35.1 million for the nine months ended September 30, 2022 and 2021, respectively.</w:t>
      </w:r>
    </w:p>
    <w:p>
      <w:pPr>
        <w:spacing w:after="0" w:line="174" w:lineRule="exact"/>
        <w:rPr>
          <w:sz w:val="20"/>
          <w:szCs w:val="20"/>
          <w:color w:val="auto"/>
        </w:rPr>
      </w:pPr>
    </w:p>
    <w:p>
      <w:pPr>
        <w:jc w:val="both"/>
        <w:ind w:left="60" w:right="59"/>
        <w:spacing w:after="0" w:line="251" w:lineRule="auto"/>
        <w:rPr>
          <w:sz w:val="20"/>
          <w:szCs w:val="20"/>
          <w:color w:val="auto"/>
        </w:rPr>
      </w:pPr>
      <w:r>
        <w:rPr>
          <w:rFonts w:ascii="Arial" w:cs="Arial" w:eastAsia="Arial" w:hAnsi="Arial"/>
          <w:sz w:val="17"/>
          <w:szCs w:val="17"/>
          <w:color w:val="auto"/>
        </w:rPr>
        <w:t>We expect our research and development expenses to increase substantially in absolute dollars for the foreseeable future as we advance OP-1250 or any other future product candidates we may develop into and through nonclinical studies and clinical trials and pursue regulatory approval of our product candidates. The process of conducting the necessary clinical research to obtain regulatory approval is costly and time-consuming. The actual probability of success for OP-1250 or any other future product candidates we may develop may be affected by a variety of factors including but not limited to: the safety and efficacy of our product candidates, early clinical data, investment in our clinical program, the ability of collaborators to successfully develop our licensed product candidates, competition, manufacturing capability and commercial viability. We may never succeed in achieving regulatory approval for our product candidates. As a result of the uncertainties discussed above, we are unable to determine the duration and completion costs of our research and development projects or when and to what extent we will generate revenue from the commercialization and sale of our OP-1250 or any other future product candidates we may develop. Clinical and nonclinical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nonclinical studies and clinical trials, regulatory developments and our ongoing assessments as to each product candidate’s commercial potential. In addition, we cannot forecast whether OP-1250 or any other future product candidates we may develop may be subject to future collaborations, when such arrangements will be secured, if at all, and to what degree such arrangements would affect our development plans and capital requirements. We are also unable to predict when, if ever, we will generate revenue from our product candidates to offset these expenses. Our expenditures on current and future nonclinical and clinical development programs are subject to numerous uncertainties in timing and cost to completion. The duration, costs and timing of</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nonclinical studies and clinical trials and development of our product candidates will depend on a variety of factors, including:</w:t>
      </w:r>
    </w:p>
    <w:p>
      <w:pPr>
        <w:spacing w:after="0" w:line="154" w:lineRule="exact"/>
        <w:rPr>
          <w:sz w:val="20"/>
          <w:szCs w:val="20"/>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231F20"/>
        </w:rPr>
      </w:pPr>
      <w:r>
        <w:rPr>
          <w:rFonts w:ascii="Arial" w:cs="Arial" w:eastAsia="Arial" w:hAnsi="Arial"/>
          <w:sz w:val="18"/>
          <w:szCs w:val="18"/>
          <w:color w:val="231F20"/>
        </w:rPr>
        <w:t>the timing and progress of nonclinical and clinical development activities;</w:t>
      </w:r>
    </w:p>
    <w:p>
      <w:pPr>
        <w:spacing w:after="0" w:line="224"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231F20"/>
        </w:rPr>
      </w:pPr>
      <w:r>
        <w:rPr>
          <w:rFonts w:ascii="Arial" w:cs="Arial" w:eastAsia="Arial" w:hAnsi="Arial"/>
          <w:sz w:val="18"/>
          <w:szCs w:val="18"/>
          <w:color w:val="231F20"/>
        </w:rPr>
        <w:t>the number and scope of nonclinical and clinical programs we decide to pursue;</w:t>
      </w:r>
    </w:p>
    <w:p>
      <w:pPr>
        <w:spacing w:after="0" w:line="224"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maintain our current research and development programs and to establish new ones;</w:t>
      </w:r>
    </w:p>
    <w:p>
      <w:pPr>
        <w:spacing w:after="0" w:line="224"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231F20"/>
        </w:rPr>
      </w:pPr>
      <w:r>
        <w:rPr>
          <w:rFonts w:ascii="Arial" w:cs="Arial" w:eastAsia="Arial" w:hAnsi="Arial"/>
          <w:sz w:val="18"/>
          <w:szCs w:val="18"/>
          <w:color w:val="231F20"/>
        </w:rPr>
        <w:t>establishing an appropriate safety profile with investigational new drug-enabling toxicology studies;</w:t>
      </w:r>
    </w:p>
    <w:p>
      <w:pPr>
        <w:spacing w:after="0" w:line="224"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231F20"/>
        </w:rPr>
      </w:pPr>
      <w:r>
        <w:rPr>
          <w:rFonts w:ascii="Arial" w:cs="Arial" w:eastAsia="Arial" w:hAnsi="Arial"/>
          <w:sz w:val="18"/>
          <w:szCs w:val="18"/>
          <w:color w:val="231F20"/>
        </w:rPr>
        <w:t>successful patient enrollment in, and the initiation and completion of, clinical trials;</w:t>
      </w:r>
    </w:p>
    <w:p>
      <w:pPr>
        <w:spacing w:after="0" w:line="224" w:lineRule="exact"/>
        <w:rPr>
          <w:rFonts w:ascii="Times New Roman" w:cs="Times New Roman" w:eastAsia="Times New Roman" w:hAnsi="Times New Roman"/>
          <w:sz w:val="18"/>
          <w:szCs w:val="18"/>
          <w:color w:val="231F20"/>
        </w:rPr>
      </w:pPr>
    </w:p>
    <w:p>
      <w:pPr>
        <w:ind w:left="720" w:right="79" w:hanging="319"/>
        <w:spacing w:after="0" w:line="270" w:lineRule="auto"/>
        <w:tabs>
          <w:tab w:leader="none" w:pos="720" w:val="left"/>
        </w:tabs>
        <w:numPr>
          <w:ilvl w:val="0"/>
          <w:numId w:val="15"/>
        </w:numPr>
        <w:rPr>
          <w:rFonts w:ascii="Times New Roman" w:cs="Times New Roman" w:eastAsia="Times New Roman" w:hAnsi="Times New Roman"/>
          <w:sz w:val="18"/>
          <w:szCs w:val="18"/>
          <w:color w:val="231F20"/>
        </w:rPr>
      </w:pPr>
      <w:r>
        <w:rPr>
          <w:rFonts w:ascii="Arial" w:cs="Arial" w:eastAsia="Arial" w:hAnsi="Arial"/>
          <w:sz w:val="18"/>
          <w:szCs w:val="18"/>
          <w:color w:val="231F20"/>
        </w:rPr>
        <w:t>the successful completion of clinical trials with safety, tolerability and efficacy profiles that are satisfactory to the FDA or any comparable foreign regulatory authority;</w:t>
      </w:r>
    </w:p>
    <w:p>
      <w:pPr>
        <w:spacing w:after="0" w:line="154" w:lineRule="exact"/>
        <w:rPr>
          <w:rFonts w:ascii="Times New Roman" w:cs="Times New Roman" w:eastAsia="Times New Roman" w:hAnsi="Times New Roman"/>
          <w:sz w:val="18"/>
          <w:szCs w:val="18"/>
          <w:color w:val="231F20"/>
        </w:rPr>
      </w:pPr>
    </w:p>
    <w:p>
      <w:pPr>
        <w:ind w:left="720" w:right="79" w:hanging="319"/>
        <w:spacing w:after="0" w:line="270" w:lineRule="auto"/>
        <w:tabs>
          <w:tab w:leader="none" w:pos="720" w:val="left"/>
        </w:tabs>
        <w:numPr>
          <w:ilvl w:val="0"/>
          <w:numId w:val="15"/>
        </w:numPr>
        <w:rPr>
          <w:rFonts w:ascii="Times New Roman" w:cs="Times New Roman" w:eastAsia="Times New Roman" w:hAnsi="Times New Roman"/>
          <w:sz w:val="18"/>
          <w:szCs w:val="18"/>
          <w:color w:val="231F20"/>
        </w:rPr>
      </w:pPr>
      <w:r>
        <w:rPr>
          <w:rFonts w:ascii="Arial" w:cs="Arial" w:eastAsia="Arial" w:hAnsi="Arial"/>
          <w:sz w:val="18"/>
          <w:szCs w:val="18"/>
          <w:color w:val="231F20"/>
        </w:rPr>
        <w:t>establishing commercial manufacturing capabilities or making arrangements with third-party manufacturers;</w:t>
      </w:r>
    </w:p>
    <w:p>
      <w:pPr>
        <w:spacing w:after="0" w:line="154"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231F20"/>
        </w:rPr>
      </w:pPr>
      <w:r>
        <w:rPr>
          <w:rFonts w:ascii="Arial" w:cs="Arial" w:eastAsia="Arial" w:hAnsi="Arial"/>
          <w:sz w:val="18"/>
          <w:szCs w:val="18"/>
          <w:color w:val="231F20"/>
        </w:rPr>
        <w:t>receipt of regulatory approvals from applicable regulatory authorities;</w:t>
      </w:r>
    </w:p>
    <w:p>
      <w:pPr>
        <w:spacing w:after="0" w:line="224"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231F20"/>
        </w:rPr>
      </w:pPr>
      <w:r>
        <w:rPr>
          <w:rFonts w:ascii="Arial" w:cs="Arial" w:eastAsia="Arial" w:hAnsi="Arial"/>
          <w:sz w:val="18"/>
          <w:szCs w:val="18"/>
          <w:color w:val="231F20"/>
        </w:rPr>
        <w:t>the timing, receipt and terms of any marketing approvals from applicable regulatory authorities;</w:t>
      </w:r>
    </w:p>
    <w:p>
      <w:pPr>
        <w:spacing w:after="0" w:line="224"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establish licensing or collaboration arrangements;</w:t>
      </w:r>
    </w:p>
    <w:p>
      <w:pPr>
        <w:spacing w:after="0" w:line="224"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231F20"/>
        </w:rPr>
      </w:pPr>
      <w:r>
        <w:rPr>
          <w:rFonts w:ascii="Arial" w:cs="Arial" w:eastAsia="Arial" w:hAnsi="Arial"/>
          <w:sz w:val="18"/>
          <w:szCs w:val="18"/>
          <w:color w:val="231F20"/>
        </w:rPr>
        <w:t>the performance of our future collaborators, if any;</w:t>
      </w:r>
    </w:p>
    <w:p>
      <w:pPr>
        <w:spacing w:after="0" w:line="224" w:lineRule="exact"/>
        <w:rPr>
          <w:rFonts w:ascii="Times New Roman" w:cs="Times New Roman" w:eastAsia="Times New Roman" w:hAnsi="Times New Roman"/>
          <w:sz w:val="18"/>
          <w:szCs w:val="18"/>
          <w:color w:val="231F20"/>
        </w:rPr>
      </w:pPr>
    </w:p>
    <w:p>
      <w:pPr>
        <w:ind w:left="720" w:right="79" w:hanging="319"/>
        <w:spacing w:after="0" w:line="270" w:lineRule="auto"/>
        <w:tabs>
          <w:tab w:leader="none" w:pos="720" w:val="left"/>
        </w:tabs>
        <w:numPr>
          <w:ilvl w:val="0"/>
          <w:numId w:val="15"/>
        </w:numPr>
        <w:rPr>
          <w:rFonts w:ascii="Times New Roman" w:cs="Times New Roman" w:eastAsia="Times New Roman" w:hAnsi="Times New Roman"/>
          <w:sz w:val="18"/>
          <w:szCs w:val="18"/>
          <w:color w:val="231F20"/>
        </w:rPr>
      </w:pPr>
      <w:r>
        <w:rPr>
          <w:rFonts w:ascii="Arial" w:cs="Arial" w:eastAsia="Arial" w:hAnsi="Arial"/>
          <w:sz w:val="18"/>
          <w:szCs w:val="18"/>
          <w:color w:val="231F20"/>
        </w:rPr>
        <w:t>development and timely delivery of commercial-grade product formulations that can be used in our planned clinical trials and for commercial launch;</w:t>
      </w:r>
    </w:p>
    <w:p>
      <w:pPr>
        <w:spacing w:after="0" w:line="154"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231F20"/>
        </w:rPr>
      </w:pPr>
      <w:r>
        <w:rPr>
          <w:rFonts w:ascii="Arial" w:cs="Arial" w:eastAsia="Arial" w:hAnsi="Arial"/>
          <w:sz w:val="18"/>
          <w:szCs w:val="18"/>
          <w:color w:val="231F20"/>
        </w:rPr>
        <w:t>commercializing the product candidate, if approved, whether alone or in collaboration with others;</w:t>
      </w:r>
    </w:p>
    <w:p>
      <w:pPr>
        <w:spacing w:after="0" w:line="224" w:lineRule="exact"/>
        <w:rPr>
          <w:rFonts w:ascii="Times New Roman" w:cs="Times New Roman" w:eastAsia="Times New Roman" w:hAnsi="Times New Roman"/>
          <w:sz w:val="18"/>
          <w:szCs w:val="18"/>
          <w:color w:val="231F20"/>
        </w:rPr>
      </w:pPr>
    </w:p>
    <w:p>
      <w:pPr>
        <w:ind w:left="720" w:right="79" w:hanging="319"/>
        <w:spacing w:after="0" w:line="270" w:lineRule="auto"/>
        <w:tabs>
          <w:tab w:leader="none" w:pos="720" w:val="left"/>
        </w:tabs>
        <w:numPr>
          <w:ilvl w:val="0"/>
          <w:numId w:val="15"/>
        </w:numPr>
        <w:rPr>
          <w:rFonts w:ascii="Times New Roman" w:cs="Times New Roman" w:eastAsia="Times New Roman" w:hAnsi="Times New Roman"/>
          <w:sz w:val="18"/>
          <w:szCs w:val="18"/>
          <w:color w:val="231F20"/>
        </w:rPr>
      </w:pPr>
      <w:r>
        <w:rPr>
          <w:rFonts w:ascii="Arial" w:cs="Arial" w:eastAsia="Arial" w:hAnsi="Arial"/>
          <w:sz w:val="18"/>
          <w:szCs w:val="18"/>
          <w:color w:val="231F20"/>
        </w:rPr>
        <w:t>obtaining and maintaining patent and trade secret protection and regulatory exclusivity for our product candidates;</w:t>
      </w:r>
    </w:p>
    <w:p>
      <w:pPr>
        <w:spacing w:after="0" w:line="154"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231F20"/>
        </w:rPr>
      </w:pPr>
      <w:r>
        <w:rPr>
          <w:rFonts w:ascii="Arial" w:cs="Arial" w:eastAsia="Arial" w:hAnsi="Arial"/>
          <w:sz w:val="18"/>
          <w:szCs w:val="18"/>
          <w:color w:val="231F20"/>
        </w:rPr>
        <w:t>obtaining, maintaining, defending and enforcing patent claims and other intellectual property rights;</w:t>
      </w:r>
    </w:p>
    <w:p>
      <w:pPr>
        <w:spacing w:after="0" w:line="224"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231F20"/>
        </w:rPr>
      </w:pPr>
      <w:r>
        <w:rPr>
          <w:rFonts w:ascii="Arial" w:cs="Arial" w:eastAsia="Arial" w:hAnsi="Arial"/>
          <w:sz w:val="18"/>
          <w:szCs w:val="18"/>
          <w:color w:val="231F20"/>
        </w:rPr>
        <w:t>maintaining a continued acceptable safety profiles of our products following approval; and</w:t>
      </w:r>
    </w:p>
    <w:p>
      <w:pPr>
        <w:spacing w:after="0" w:line="224"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231F20"/>
        </w:rPr>
      </w:pPr>
      <w:r>
        <w:rPr>
          <w:rFonts w:ascii="Arial" w:cs="Arial" w:eastAsia="Arial" w:hAnsi="Arial"/>
          <w:sz w:val="18"/>
          <w:szCs w:val="18"/>
          <w:color w:val="231F20"/>
        </w:rPr>
        <w:t>obtaining and retaining key research and development personnel.</w:t>
      </w:r>
    </w:p>
    <w:p>
      <w:pPr>
        <w:spacing w:after="0" w:line="22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Any changes in the outcome of any of these factors could significantly impact the costs, timing and viability associated with the development of our product candidates.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210"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General and administrative expenses consist primarily of personnel expenses, including salaries, benefits and stock-based compensation expense, for personnel in executive, finance, accounting, business development, legal, human resources, information technology, and administrative functions. General and administrative expenses also include costs not otherwise included in research and development expenses, including corporate facility costs, depreciation and other expenses, which include direct or allocated expenses for rent and maintenance of facilities and insurance, and professional fees for legal, patent and consulting services.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expect that our general and administrative expenses will increase in the foreseeable future as we increase our headcount to support the continued research and development of our programs and the growth of our business. We also anticipate incurring additional expenses associated with operating as a public company, including increased expenses related to the building and improving of our IT infrastructure, including cyber security monitoring, legal, other regulatory and compliance, director and officer insurance, investor and public relations and tax-related services associated with maintaining compliance with the rules and regulations of the SEC and standards applicable to companies listed on a national securities exchange, additional insurance expenses, investor relations activities and other administrative and professional services.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Total other income</w:t>
      </w:r>
    </w:p>
    <w:p>
      <w:pPr>
        <w:spacing w:after="0" w:line="210"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Total other income consists of interest income and other expense. Interest income primarily consists of interest income on our cash equivalents and marketable securities. Other expense primarily consists of unrealized foreign currency remeasurement gain (loss) and miscellaneous income (expense) not related to operating activities.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Comparison of the three months ended September 30, 2022 and 2021</w:t>
      </w:r>
    </w:p>
    <w:p>
      <w:pPr>
        <w:spacing w:after="0" w:line="21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The following table summarizes our results of operations for the three months ended September 30, 2022 and 2021:</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5580" w:type="dxa"/>
            <w:vAlign w:val="bottom"/>
            <w:tcBorders>
              <w:top w:val="single" w:sz="8" w:color="auto"/>
            </w:tcBorders>
          </w:tcPr>
          <w:p>
            <w:pPr>
              <w:spacing w:after="0"/>
              <w:rPr>
                <w:sz w:val="14"/>
                <w:szCs w:val="14"/>
                <w:color w:val="auto"/>
              </w:rPr>
            </w:pPr>
          </w:p>
        </w:tc>
        <w:tc>
          <w:tcPr>
            <w:tcW w:w="2540" w:type="dxa"/>
            <w:vAlign w:val="bottom"/>
            <w:tcBorders>
              <w:top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r>
      <w:tr>
        <w:trPr>
          <w:trHeight w:val="171"/>
        </w:trPr>
        <w:tc>
          <w:tcPr>
            <w:tcW w:w="55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 Change</w:t>
            </w:r>
          </w:p>
        </w:tc>
      </w:tr>
      <w:tr>
        <w:trPr>
          <w:trHeight w:val="155"/>
        </w:trPr>
        <w:tc>
          <w:tcPr>
            <w:tcW w:w="5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0" w:type="dxa"/>
            <w:vAlign w:val="bottom"/>
            <w:gridSpan w:val="2"/>
          </w:tcPr>
          <w:p>
            <w:pPr>
              <w:jc w:val="right"/>
              <w:ind w:right="232"/>
              <w:spacing w:after="0" w:line="155" w:lineRule="exact"/>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203"/>
        </w:trPr>
        <w:tc>
          <w:tcPr>
            <w:tcW w:w="5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5580" w:type="dxa"/>
            <w:vAlign w:val="bottom"/>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2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17,627</w:t>
            </w:r>
          </w:p>
        </w:tc>
        <w:tc>
          <w:tcPr>
            <w:tcW w:w="400" w:type="dxa"/>
            <w:vAlign w:val="bottom"/>
          </w:tcPr>
          <w:p>
            <w:pPr>
              <w:jc w:val="right"/>
              <w:ind w:right="96"/>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12,523</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5,104</w:t>
            </w:r>
          </w:p>
        </w:tc>
      </w:tr>
      <w:tr>
        <w:trPr>
          <w:trHeight w:val="203"/>
        </w:trPr>
        <w:tc>
          <w:tcPr>
            <w:tcW w:w="55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5,595</w:t>
            </w:r>
          </w:p>
        </w:tc>
        <w:tc>
          <w:tcPr>
            <w:tcW w:w="4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5,239</w:t>
            </w: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356</w:t>
            </w:r>
          </w:p>
        </w:tc>
      </w:tr>
      <w:tr>
        <w:trPr>
          <w:trHeight w:val="196"/>
        </w:trPr>
        <w:tc>
          <w:tcPr>
            <w:tcW w:w="558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92"/>
              <w:spacing w:after="0" w:line="196" w:lineRule="exact"/>
              <w:rPr>
                <w:sz w:val="20"/>
                <w:szCs w:val="20"/>
                <w:color w:val="auto"/>
              </w:rPr>
            </w:pPr>
            <w:r>
              <w:rPr>
                <w:rFonts w:ascii="Arial" w:cs="Arial" w:eastAsia="Arial" w:hAnsi="Arial"/>
                <w:sz w:val="18"/>
                <w:szCs w:val="18"/>
                <w:color w:val="auto"/>
              </w:rPr>
              <w:t>23,222</w:t>
            </w: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17,762</w:t>
            </w: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5,460</w:t>
            </w:r>
          </w:p>
        </w:tc>
      </w:tr>
      <w:tr>
        <w:trPr>
          <w:trHeight w:val="196"/>
        </w:trPr>
        <w:tc>
          <w:tcPr>
            <w:tcW w:w="55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(23,222)</w:t>
            </w:r>
          </w:p>
        </w:tc>
        <w:tc>
          <w:tcPr>
            <w:tcW w:w="4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(17,762)</w:t>
            </w: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(5,460)</w:t>
            </w:r>
          </w:p>
        </w:tc>
      </w:tr>
      <w:tr>
        <w:trPr>
          <w:trHeight w:val="196"/>
        </w:trPr>
        <w:tc>
          <w:tcPr>
            <w:tcW w:w="5580" w:type="dxa"/>
            <w:vAlign w:val="bottom"/>
          </w:tcPr>
          <w:p>
            <w:pPr>
              <w:ind w:left="20"/>
              <w:spacing w:after="0" w:line="196" w:lineRule="exact"/>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55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622</w:t>
            </w: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517</w:t>
            </w:r>
          </w:p>
        </w:tc>
      </w:tr>
      <w:tr>
        <w:trPr>
          <w:trHeight w:val="203"/>
        </w:trPr>
        <w:tc>
          <w:tcPr>
            <w:tcW w:w="558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Other income (expense):</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(120)</w:t>
            </w: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w:t>
            </w: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w:t>
            </w:r>
          </w:p>
        </w:tc>
      </w:tr>
      <w:tr>
        <w:trPr>
          <w:trHeight w:val="196"/>
        </w:trPr>
        <w:tc>
          <w:tcPr>
            <w:tcW w:w="558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other income</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rPr>
              <w:t>502</w:t>
            </w:r>
          </w:p>
        </w:tc>
        <w:tc>
          <w:tcPr>
            <w:tcW w:w="4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w:t>
            </w: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453</w:t>
            </w:r>
          </w:p>
        </w:tc>
      </w:tr>
      <w:tr>
        <w:trPr>
          <w:trHeight w:val="196"/>
        </w:trPr>
        <w:tc>
          <w:tcPr>
            <w:tcW w:w="558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Net loss</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(22,720)</w:t>
            </w:r>
          </w:p>
        </w:tc>
        <w:tc>
          <w:tcPr>
            <w:tcW w:w="400" w:type="dxa"/>
            <w:vAlign w:val="bottom"/>
            <w:tcBorders>
              <w:bottom w:val="single" w:sz="8" w:color="auto"/>
            </w:tcBorders>
          </w:tcPr>
          <w:p>
            <w:pPr>
              <w:jc w:val="right"/>
              <w:ind w:right="96"/>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(17,713)</w:t>
            </w: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(5,007)</w:t>
            </w:r>
          </w:p>
        </w:tc>
      </w:tr>
      <w:tr>
        <w:trPr>
          <w:trHeight w:val="20"/>
        </w:trPr>
        <w:tc>
          <w:tcPr>
            <w:tcW w:w="5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10"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Research and development expenses for the three months ended September 30, 2022 were $17.6 million, compared to $12.5 million for the three months ended September 30, 2021. The increase of $5.1 million was primarily due to increased spending in (i) advancing the clinical study for our lead product candidate OP-1250 and the associated contract manufacturing costs, (ii) other nonclinical research and discovery program costs, and (iii) personnel-related costs due to increased headcount, including non-cash stock-based compensation expenses increase of $0.4 million.</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0"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General and administrative expenses for the three months ended September 30, 2022 were $5.6 million compared to $5.2 million for the three months ended September 30, 2021. The increase of $0.4 million was primarily due to increased spending in (i) personnel-related expenses, which was offset by non-cash stock-based compensation expenses decrease of $0.3 million, and (ii) public entity related costs, including legal compliance and other corporate costs.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w:t>
      </w:r>
    </w:p>
    <w:p>
      <w:pPr>
        <w:spacing w:after="0" w:line="210"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Other income for the three months ended September 30, 2022 was $0.5 million, which primarily consisted of interest income from our marketable securities of $0.6 million, partially offset by unrealized foreign currency remeasurement loss on our foreign-currency denominated monetary accounts.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Comparison of the nine months ended September 30, 2022 and 2021</w:t>
      </w:r>
    </w:p>
    <w:p>
      <w:pPr>
        <w:spacing w:after="0" w:line="21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The following table summarizes our results of operations for the nine months ended September 30, 2022 and 2021:</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5580" w:type="dxa"/>
            <w:vAlign w:val="bottom"/>
            <w:tcBorders>
              <w:top w:val="single" w:sz="8" w:color="auto"/>
            </w:tcBorders>
          </w:tcPr>
          <w:p>
            <w:pPr>
              <w:spacing w:after="0"/>
              <w:rPr>
                <w:sz w:val="14"/>
                <w:szCs w:val="14"/>
                <w:color w:val="auto"/>
              </w:rPr>
            </w:pPr>
          </w:p>
        </w:tc>
        <w:tc>
          <w:tcPr>
            <w:tcW w:w="2460" w:type="dxa"/>
            <w:vAlign w:val="bottom"/>
            <w:tcBorders>
              <w:top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860" w:type="dxa"/>
            <w:vAlign w:val="bottom"/>
            <w:tcBorders>
              <w:top w:val="single" w:sz="8" w:color="auto"/>
            </w:tcBorders>
          </w:tcPr>
          <w:p>
            <w:pPr>
              <w:spacing w:after="0"/>
              <w:rPr>
                <w:sz w:val="14"/>
                <w:szCs w:val="14"/>
                <w:color w:val="auto"/>
              </w:rPr>
            </w:pPr>
          </w:p>
        </w:tc>
      </w:tr>
      <w:tr>
        <w:trPr>
          <w:trHeight w:val="171"/>
        </w:trPr>
        <w:tc>
          <w:tcPr>
            <w:tcW w:w="55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156"/>
        </w:trPr>
        <w:tc>
          <w:tcPr>
            <w:tcW w:w="5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80" w:type="dxa"/>
            <w:vAlign w:val="bottom"/>
            <w:gridSpan w:val="2"/>
          </w:tcPr>
          <w:p>
            <w:pPr>
              <w:jc w:val="right"/>
              <w:ind w:right="192"/>
              <w:spacing w:after="0" w:line="155" w:lineRule="exact"/>
              <w:rPr>
                <w:sz w:val="20"/>
                <w:szCs w:val="20"/>
                <w:color w:val="auto"/>
              </w:rPr>
            </w:pPr>
            <w:r>
              <w:rPr>
                <w:rFonts w:ascii="Arial" w:cs="Arial" w:eastAsia="Arial" w:hAnsi="Arial"/>
                <w:sz w:val="14"/>
                <w:szCs w:val="14"/>
                <w:color w:val="auto"/>
              </w:rPr>
              <w:t>(in thousands)</w:t>
            </w:r>
          </w:p>
        </w:tc>
        <w:tc>
          <w:tcPr>
            <w:tcW w:w="860" w:type="dxa"/>
            <w:vAlign w:val="bottom"/>
          </w:tcPr>
          <w:p>
            <w:pPr>
              <w:spacing w:after="0"/>
              <w:rPr>
                <w:sz w:val="13"/>
                <w:szCs w:val="13"/>
                <w:color w:val="auto"/>
              </w:rPr>
            </w:pPr>
          </w:p>
        </w:tc>
      </w:tr>
      <w:tr>
        <w:trPr>
          <w:trHeight w:val="203"/>
        </w:trPr>
        <w:tc>
          <w:tcPr>
            <w:tcW w:w="5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3"/>
        </w:trPr>
        <w:tc>
          <w:tcPr>
            <w:tcW w:w="5580" w:type="dxa"/>
            <w:vAlign w:val="bottom"/>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26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60,690</w:t>
            </w:r>
          </w:p>
        </w:tc>
        <w:tc>
          <w:tcPr>
            <w:tcW w:w="400" w:type="dxa"/>
            <w:vAlign w:val="bottom"/>
          </w:tcPr>
          <w:p>
            <w:pPr>
              <w:jc w:val="right"/>
              <w:ind w:right="36"/>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35,125</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$ 25,565</w:t>
            </w:r>
          </w:p>
        </w:tc>
      </w:tr>
      <w:tr>
        <w:trPr>
          <w:trHeight w:val="203"/>
        </w:trPr>
        <w:tc>
          <w:tcPr>
            <w:tcW w:w="55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19,079</w:t>
            </w:r>
          </w:p>
        </w:tc>
        <w:tc>
          <w:tcPr>
            <w:tcW w:w="4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14,609</w:t>
            </w: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4,470</w:t>
            </w:r>
          </w:p>
        </w:tc>
      </w:tr>
      <w:tr>
        <w:trPr>
          <w:trHeight w:val="196"/>
        </w:trPr>
        <w:tc>
          <w:tcPr>
            <w:tcW w:w="558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79,769</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49,734</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30,035</w:t>
            </w:r>
          </w:p>
        </w:tc>
      </w:tr>
      <w:tr>
        <w:trPr>
          <w:trHeight w:val="196"/>
        </w:trPr>
        <w:tc>
          <w:tcPr>
            <w:tcW w:w="55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(79,769)</w:t>
            </w:r>
          </w:p>
        </w:tc>
        <w:tc>
          <w:tcPr>
            <w:tcW w:w="4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(49,734)</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(30,035)</w:t>
            </w:r>
          </w:p>
        </w:tc>
      </w:tr>
      <w:tr>
        <w:trPr>
          <w:trHeight w:val="196"/>
        </w:trPr>
        <w:tc>
          <w:tcPr>
            <w:tcW w:w="5580" w:type="dxa"/>
            <w:vAlign w:val="bottom"/>
          </w:tcPr>
          <w:p>
            <w:pPr>
              <w:ind w:left="20"/>
              <w:spacing w:after="0" w:line="196" w:lineRule="exact"/>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55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1,255</w:t>
            </w: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333</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922</w:t>
            </w:r>
          </w:p>
        </w:tc>
      </w:tr>
      <w:tr>
        <w:trPr>
          <w:trHeight w:val="203"/>
        </w:trPr>
        <w:tc>
          <w:tcPr>
            <w:tcW w:w="558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(94)</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w:t>
            </w: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w:t>
            </w:r>
          </w:p>
        </w:tc>
      </w:tr>
      <w:tr>
        <w:trPr>
          <w:trHeight w:val="196"/>
        </w:trPr>
        <w:tc>
          <w:tcPr>
            <w:tcW w:w="558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other income</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1,161</w:t>
            </w:r>
          </w:p>
        </w:tc>
        <w:tc>
          <w:tcPr>
            <w:tcW w:w="4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276</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885</w:t>
            </w:r>
          </w:p>
        </w:tc>
      </w:tr>
      <w:tr>
        <w:trPr>
          <w:trHeight w:val="196"/>
        </w:trPr>
        <w:tc>
          <w:tcPr>
            <w:tcW w:w="558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(78,608)</w:t>
            </w:r>
          </w:p>
        </w:tc>
        <w:tc>
          <w:tcPr>
            <w:tcW w:w="400" w:type="dxa"/>
            <w:vAlign w:val="bottom"/>
            <w:tcBorders>
              <w:bottom w:val="single" w:sz="8" w:color="auto"/>
            </w:tcBorders>
          </w:tcPr>
          <w:p>
            <w:pPr>
              <w:jc w:val="right"/>
              <w:ind w:right="36"/>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(49,458)</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(29,150)</w:t>
            </w:r>
          </w:p>
        </w:tc>
      </w:tr>
      <w:tr>
        <w:trPr>
          <w:trHeight w:val="20"/>
        </w:trPr>
        <w:tc>
          <w:tcPr>
            <w:tcW w:w="5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1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Research and development expenses for the nine months ended September 30, 2022 were $60.7 million, compared to $35.1 million for the nine months ended September 30, 2021. The increase of $25.6 million was primarily due to increased spending in (i) advancing the clinical study for our lead product candidate OP-1250 and the associated contract manufacturing costs, (ii) other nonclinical research and discovery program costs, including the $8.0 million upfront payment in connection with the Aurigene Agreement, and (iii) personnel-related costs due to increased headcount, including non-cash stock-based compensation expenses increase of $2.7 million.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0"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General and administrative expenses for the nine months ended September 30, 2022 were $ 19.1 million compared to $14.6 million for the nine months ended September 30, 2021. The increase of $4.5 million was primarily due to increased spending in (i) personnel-related expenses, including non-cash stock-based compensation expenses increase of less than $0.1 million, and (ii) public entity related costs, including legal compliance and other corporate costs.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w:t>
      </w:r>
    </w:p>
    <w:p>
      <w:pPr>
        <w:spacing w:after="0" w:line="210"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Other income for the nine months ended September 30, 2022 was $1.2 million, which primarily consisted of interest income from our marketable securities of $1.3 million, partially offset by unrealized foreign currency remeasurement loss on our foreign-currency denominated monetary accounts.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1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Since our inception, we have not generated any revenue from product sales and have incurred significant operating losses and negative cash flows from our operations. Our net losses were $22.7 million and $17.7 million for the three months ended September 30, 2022 and 2021, respectively, and $78.6 million and $49.5 million for the nine months ended September 30, 2022 and 2021, respectively. Through September 30, 2022, we had received aggregate gross proceeds of $392.8 million from sales of our common stock, convertible preferred stock and issuance of convertible promissory notes, stock option exercises, and the sale of stock through the ESPP.</w:t>
      </w:r>
    </w:p>
    <w:p>
      <w:pPr>
        <w:spacing w:after="0" w:line="185"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As of September 30, 2022, we had $222.6 million in cash, cash equivalents and marketable securities. As of September 30, 2022, we had accumulated deficit of $182.8 million. We had no debt outstanding as of September 30, 2022.</w:t>
      </w:r>
    </w:p>
    <w:p>
      <w:pPr>
        <w:spacing w:after="0" w:line="16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expect to incur significant expenses and operating losses for the foreseeable future as we advance the nonclinical and clinical development of OP-1250. We expect that our research and development and general and administrative costs will increase in connection with conducting additional nonclinical studies and clinical trials for our current and future research programs and product candidates, contracting with CMOs to support nonclinical studies and clinical trials, expanding our intellectual property portfolio, and providing general and administrative support for our operations. As a result, we will need additional capital to fund our operations, which we may obtain from additional equity or debt financings, collaborations, licensing arrangements or other sources.</w:t>
      </w:r>
    </w:p>
    <w:p>
      <w:pPr>
        <w:spacing w:after="0" w:line="18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Our primary uses of cash are to fund our research and development activities, including with respect to OP-1250 and other nonclinical programs, business planning, establishing and maintaining our intellectual property portfolio, hiring personnel, raising capital and providing general and administrative support for these operations.</w:t>
      </w:r>
    </w:p>
    <w:p>
      <w:pPr>
        <w:spacing w:after="0" w:line="16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We currently have no financing commitments, such as lines of credit or guarantees, that are expected to affect our liquidity over the next five years.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210"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To date, we have not generated any revenue from product sales. We do not expect to generate any meaningful revenue unless and until we obtain regulatory approval of and commercialize any of our product candidates, and we do not know when, or if at all, that will occur. We expect our expenses to increase in connection with our ongoing activities, particularly as we continue the research and development of, continue or initiate clinical trials of, and seek marketing approval for, our product candidates. In addition, if we obtain marketing approval for our product candidates, we expect to incur significant commercialization expenses related to program sales, marketing, manufacturing and distribution to the extent that such sales, marketing and distribution are not the responsibility of potential collaborators. Furthermore, we have incurred and expect to continue to incur additional costs associated with operating as a public company. The amount and timing of our future funding requirements will depend on many factors, including the pace and results of our development efforts.</w:t>
      </w:r>
    </w:p>
    <w:p>
      <w:pPr>
        <w:spacing w:after="0" w:line="180"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We expect our cash, cash equivalents, and marketable securities at September 30, 2022 will enable us to fund our operating expenses and capital expenditure requirements into the second half of 2024 at which point we would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 Our future capital requirements will depend on many factors, including:</w:t>
      </w:r>
    </w:p>
    <w:p>
      <w:pPr>
        <w:spacing w:after="0" w:line="179" w:lineRule="exact"/>
        <w:rPr>
          <w:sz w:val="20"/>
          <w:szCs w:val="20"/>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231F20"/>
        </w:rPr>
      </w:pPr>
      <w:r>
        <w:rPr>
          <w:rFonts w:ascii="Arial" w:cs="Arial" w:eastAsia="Arial" w:hAnsi="Arial"/>
          <w:sz w:val="18"/>
          <w:szCs w:val="18"/>
          <w:color w:val="231F20"/>
        </w:rPr>
        <w:t>the scope, progress, results and costs of product discovery, nonclinical studies and clinical trials;</w:t>
      </w:r>
    </w:p>
    <w:p>
      <w:pPr>
        <w:spacing w:after="0" w:line="200" w:lineRule="exact"/>
        <w:rPr>
          <w:rFonts w:ascii="Times New Roman" w:cs="Times New Roman" w:eastAsia="Times New Roman" w:hAnsi="Times New Roman"/>
          <w:sz w:val="18"/>
          <w:szCs w:val="18"/>
          <w:color w:val="231F20"/>
        </w:rPr>
      </w:pPr>
    </w:p>
    <w:p>
      <w:pPr>
        <w:spacing w:after="0" w:line="240" w:lineRule="exact"/>
        <w:rPr>
          <w:rFonts w:ascii="Times New Roman" w:cs="Times New Roman" w:eastAsia="Times New Roman" w:hAnsi="Times New Roman"/>
          <w:sz w:val="18"/>
          <w:szCs w:val="18"/>
          <w:color w:val="231F20"/>
        </w:rPr>
      </w:pPr>
    </w:p>
    <w:p>
      <w:pPr>
        <w:ind w:left="4400"/>
        <w:spacing w:after="0"/>
        <w:rPr>
          <w:rFonts w:ascii="Times New Roman" w:cs="Times New Roman" w:eastAsia="Times New Roman" w:hAnsi="Times New Roman"/>
          <w:sz w:val="18"/>
          <w:szCs w:val="18"/>
          <w:color w:val="231F20"/>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231F20"/>
        </w:rPr>
      </w:pPr>
      <w:r>
        <w:rPr>
          <w:rFonts w:ascii="Arial" w:cs="Arial" w:eastAsia="Arial" w:hAnsi="Arial"/>
          <w:sz w:val="18"/>
          <w:szCs w:val="18"/>
          <w:color w:val="231F20"/>
        </w:rPr>
        <w:t>the scope, prioritization and number of our research and development programs;</w:t>
      </w:r>
    </w:p>
    <w:p>
      <w:pPr>
        <w:spacing w:after="0" w:line="224"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231F20"/>
        </w:rPr>
      </w:pPr>
      <w:r>
        <w:rPr>
          <w:rFonts w:ascii="Arial" w:cs="Arial" w:eastAsia="Arial" w:hAnsi="Arial"/>
          <w:sz w:val="18"/>
          <w:szCs w:val="18"/>
          <w:color w:val="231F20"/>
        </w:rPr>
        <w:t>the costs, timing and outcome of regulatory review of our product candidate;</w:t>
      </w:r>
    </w:p>
    <w:p>
      <w:pPr>
        <w:spacing w:after="0" w:line="224"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establish and maintain collaborations on favorable terms, if at all;</w:t>
      </w:r>
    </w:p>
    <w:p>
      <w:pPr>
        <w:spacing w:after="0" w:line="224" w:lineRule="exact"/>
        <w:rPr>
          <w:rFonts w:ascii="Times New Roman" w:cs="Times New Roman" w:eastAsia="Times New Roman" w:hAnsi="Times New Roman"/>
          <w:sz w:val="18"/>
          <w:szCs w:val="18"/>
          <w:color w:val="231F20"/>
        </w:rPr>
      </w:pPr>
    </w:p>
    <w:p>
      <w:pPr>
        <w:ind w:left="720" w:right="79" w:hanging="319"/>
        <w:spacing w:after="0" w:line="270" w:lineRule="auto"/>
        <w:tabs>
          <w:tab w:leader="none" w:pos="720" w:val="left"/>
        </w:tabs>
        <w:numPr>
          <w:ilvl w:val="0"/>
          <w:numId w:val="17"/>
        </w:numPr>
        <w:rPr>
          <w:rFonts w:ascii="Times New Roman" w:cs="Times New Roman" w:eastAsia="Times New Roman" w:hAnsi="Times New Roman"/>
          <w:sz w:val="18"/>
          <w:szCs w:val="18"/>
          <w:color w:val="231F20"/>
        </w:rPr>
      </w:pPr>
      <w:r>
        <w:rPr>
          <w:rFonts w:ascii="Arial" w:cs="Arial" w:eastAsia="Arial" w:hAnsi="Arial"/>
          <w:sz w:val="18"/>
          <w:szCs w:val="18"/>
          <w:color w:val="231F20"/>
        </w:rPr>
        <w:t>the achievement of milestones or occurrence of other developments that trigger payments under any collaboration agreements we enter into;</w:t>
      </w:r>
    </w:p>
    <w:p>
      <w:pPr>
        <w:spacing w:after="0" w:line="154" w:lineRule="exact"/>
        <w:rPr>
          <w:rFonts w:ascii="Times New Roman" w:cs="Times New Roman" w:eastAsia="Times New Roman" w:hAnsi="Times New Roman"/>
          <w:sz w:val="18"/>
          <w:szCs w:val="18"/>
          <w:color w:val="231F20"/>
        </w:rPr>
      </w:pPr>
    </w:p>
    <w:p>
      <w:pPr>
        <w:ind w:left="720" w:right="79" w:hanging="319"/>
        <w:spacing w:after="0" w:line="270" w:lineRule="auto"/>
        <w:tabs>
          <w:tab w:leader="none" w:pos="720" w:val="left"/>
        </w:tabs>
        <w:numPr>
          <w:ilvl w:val="0"/>
          <w:numId w:val="17"/>
        </w:numPr>
        <w:rPr>
          <w:rFonts w:ascii="Times New Roman" w:cs="Times New Roman" w:eastAsia="Times New Roman" w:hAnsi="Times New Roman"/>
          <w:sz w:val="18"/>
          <w:szCs w:val="18"/>
          <w:color w:val="231F20"/>
        </w:rPr>
      </w:pPr>
      <w:r>
        <w:rPr>
          <w:rFonts w:ascii="Arial" w:cs="Arial" w:eastAsia="Arial" w:hAnsi="Arial"/>
          <w:sz w:val="18"/>
          <w:szCs w:val="18"/>
          <w:color w:val="231F20"/>
        </w:rPr>
        <w:t>the extent to which we are obligated to reimburse, or entitled to reimbursement of, clinical trial costs under collaboration agreements, if any;</w:t>
      </w:r>
    </w:p>
    <w:p>
      <w:pPr>
        <w:spacing w:after="0" w:line="154" w:lineRule="exact"/>
        <w:rPr>
          <w:rFonts w:ascii="Times New Roman" w:cs="Times New Roman" w:eastAsia="Times New Roman" w:hAnsi="Times New Roman"/>
          <w:sz w:val="18"/>
          <w:szCs w:val="18"/>
          <w:color w:val="231F20"/>
        </w:rPr>
      </w:pPr>
    </w:p>
    <w:p>
      <w:pPr>
        <w:ind w:left="720" w:right="79" w:hanging="319"/>
        <w:spacing w:after="0" w:line="270" w:lineRule="auto"/>
        <w:tabs>
          <w:tab w:leader="none" w:pos="720" w:val="left"/>
        </w:tabs>
        <w:numPr>
          <w:ilvl w:val="0"/>
          <w:numId w:val="17"/>
        </w:numPr>
        <w:rPr>
          <w:rFonts w:ascii="Times New Roman" w:cs="Times New Roman" w:eastAsia="Times New Roman" w:hAnsi="Times New Roman"/>
          <w:sz w:val="18"/>
          <w:szCs w:val="18"/>
          <w:color w:val="231F20"/>
        </w:rPr>
      </w:pPr>
      <w:r>
        <w:rPr>
          <w:rFonts w:ascii="Arial" w:cs="Arial" w:eastAsia="Arial" w:hAnsi="Arial"/>
          <w:sz w:val="18"/>
          <w:szCs w:val="18"/>
          <w:color w:val="231F20"/>
        </w:rPr>
        <w:t>the costs of preparing, filing and prosecuting patent applications, maintaining and enforcing our intellectual property rights and defending intellectual property-related claims;</w:t>
      </w:r>
    </w:p>
    <w:p>
      <w:pPr>
        <w:spacing w:after="0" w:line="154"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231F20"/>
        </w:rPr>
      </w:pPr>
      <w:r>
        <w:rPr>
          <w:rFonts w:ascii="Arial" w:cs="Arial" w:eastAsia="Arial" w:hAnsi="Arial"/>
          <w:sz w:val="18"/>
          <w:szCs w:val="18"/>
          <w:color w:val="231F20"/>
        </w:rPr>
        <w:t>the extent to which we acquire or in-license other product candidates and technologies;</w:t>
      </w:r>
    </w:p>
    <w:p>
      <w:pPr>
        <w:spacing w:after="0" w:line="224"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231F20"/>
        </w:rPr>
      </w:pPr>
      <w:r>
        <w:rPr>
          <w:rFonts w:ascii="Arial" w:cs="Arial" w:eastAsia="Arial" w:hAnsi="Arial"/>
          <w:sz w:val="18"/>
          <w:szCs w:val="18"/>
          <w:color w:val="231F20"/>
        </w:rPr>
        <w:t>the costs of securing manufacturing arrangements for commercial production; and</w:t>
      </w:r>
    </w:p>
    <w:p>
      <w:pPr>
        <w:spacing w:after="0" w:line="224" w:lineRule="exact"/>
        <w:rPr>
          <w:rFonts w:ascii="Times New Roman" w:cs="Times New Roman" w:eastAsia="Times New Roman" w:hAnsi="Times New Roman"/>
          <w:sz w:val="18"/>
          <w:szCs w:val="18"/>
          <w:color w:val="231F20"/>
        </w:rPr>
      </w:pPr>
    </w:p>
    <w:p>
      <w:pPr>
        <w:ind w:left="720" w:right="79" w:hanging="319"/>
        <w:spacing w:after="0" w:line="270" w:lineRule="auto"/>
        <w:tabs>
          <w:tab w:leader="none" w:pos="720" w:val="left"/>
        </w:tabs>
        <w:numPr>
          <w:ilvl w:val="0"/>
          <w:numId w:val="17"/>
        </w:numPr>
        <w:rPr>
          <w:rFonts w:ascii="Times New Roman" w:cs="Times New Roman" w:eastAsia="Times New Roman" w:hAnsi="Times New Roman"/>
          <w:sz w:val="18"/>
          <w:szCs w:val="18"/>
          <w:color w:val="231F20"/>
        </w:rPr>
      </w:pPr>
      <w:r>
        <w:rPr>
          <w:rFonts w:ascii="Arial" w:cs="Arial" w:eastAsia="Arial" w:hAnsi="Arial"/>
          <w:sz w:val="18"/>
          <w:szCs w:val="18"/>
          <w:color w:val="231F20"/>
        </w:rPr>
        <w:t>the costs of establishing or contracting for sales and marketing capabilities if we obtain regulatory approvals to market our product candidates.</w:t>
      </w:r>
    </w:p>
    <w:p>
      <w:pPr>
        <w:spacing w:after="0" w:line="15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Identifying potential product candidates and conducting nonclinical studies and clinical trials is a time-consuming, expensive and uncertain process that takes many years to complete, and we may never generate the necessary data or results required to obtain marketing approval and achieve product sales. In addition, our product candidate, if approved, may not achieve commercial success. Our commercial revenues, if any, will be derived from sales of a product candidate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8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shareholder. Debt financing, if available, may involve agreements that include covenants limiting or restricting our ability to take specific actions, such as incurring additional debt, making capital expenditures or declaring dividends.</w:t>
      </w:r>
    </w:p>
    <w:p>
      <w:pPr>
        <w:spacing w:after="0" w:line="185"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If we raise funds through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shows a summary of our cash flows for each of the periods presented:</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6400" w:type="dxa"/>
            <w:vAlign w:val="bottom"/>
            <w:tcBorders>
              <w:top w:val="single" w:sz="8" w:color="auto"/>
              <w:bottom w:val="single" w:sz="8" w:color="auto"/>
            </w:tcBorders>
            <w:vMerge w:val="restart"/>
          </w:tcPr>
          <w:p>
            <w:pPr>
              <w:ind w:left="20"/>
              <w:spacing w:after="0"/>
              <w:rPr>
                <w:sz w:val="20"/>
                <w:szCs w:val="20"/>
                <w:color w:val="auto"/>
              </w:rPr>
            </w:pPr>
            <w:r>
              <w:rPr>
                <w:rFonts w:ascii="Arial" w:cs="Arial" w:eastAsia="Arial" w:hAnsi="Arial"/>
                <w:sz w:val="14"/>
                <w:szCs w:val="14"/>
                <w:color w:val="auto"/>
              </w:rPr>
              <w:t>(in thousands)</w:t>
            </w:r>
          </w:p>
        </w:tc>
        <w:tc>
          <w:tcPr>
            <w:tcW w:w="2500" w:type="dxa"/>
            <w:vAlign w:val="bottom"/>
            <w:tcBorders>
              <w:top w:val="single" w:sz="8" w:color="auto"/>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5"/>
        </w:trPr>
        <w:tc>
          <w:tcPr>
            <w:tcW w:w="6400" w:type="dxa"/>
            <w:vAlign w:val="bottom"/>
            <w:tcBorders>
              <w:bottom w:val="single" w:sz="8" w:color="CCEEFF"/>
            </w:tcBorders>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6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cash used in operating activities</w:t>
            </w:r>
          </w:p>
        </w:tc>
        <w:tc>
          <w:tcPr>
            <w:tcW w:w="280" w:type="dxa"/>
            <w:vAlign w:val="bottom"/>
            <w:shd w:val="clear" w:color="auto" w:fill="CCEEFF"/>
          </w:tcPr>
          <w:p>
            <w:pPr>
              <w:ind w:left="8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4"/>
              <w:spacing w:after="0" w:line="196" w:lineRule="exact"/>
              <w:rPr>
                <w:sz w:val="20"/>
                <w:szCs w:val="20"/>
                <w:color w:val="auto"/>
              </w:rPr>
            </w:pPr>
            <w:r>
              <w:rPr>
                <w:rFonts w:ascii="Arial" w:cs="Arial" w:eastAsia="Arial" w:hAnsi="Arial"/>
                <w:sz w:val="18"/>
                <w:szCs w:val="18"/>
                <w:color w:val="auto"/>
              </w:rPr>
              <w:t>(62,354)</w:t>
            </w:r>
          </w:p>
        </w:tc>
        <w:tc>
          <w:tcPr>
            <w:tcW w:w="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(32,087)</w:t>
            </w:r>
          </w:p>
        </w:tc>
        <w:tc>
          <w:tcPr>
            <w:tcW w:w="0" w:type="dxa"/>
            <w:vAlign w:val="bottom"/>
          </w:tcPr>
          <w:p>
            <w:pPr>
              <w:spacing w:after="0"/>
              <w:rPr>
                <w:sz w:val="1"/>
                <w:szCs w:val="1"/>
                <w:color w:val="auto"/>
              </w:rPr>
            </w:pPr>
          </w:p>
        </w:tc>
      </w:tr>
      <w:tr>
        <w:trPr>
          <w:trHeight w:val="203"/>
        </w:trPr>
        <w:tc>
          <w:tcPr>
            <w:tcW w:w="6400" w:type="dxa"/>
            <w:vAlign w:val="bottom"/>
          </w:tcPr>
          <w:p>
            <w:pPr>
              <w:ind w:left="20"/>
              <w:spacing w:after="0" w:line="202" w:lineRule="exact"/>
              <w:rPr>
                <w:sz w:val="20"/>
                <w:szCs w:val="20"/>
                <w:color w:val="auto"/>
              </w:rPr>
            </w:pPr>
            <w:r>
              <w:rPr>
                <w:rFonts w:ascii="Arial" w:cs="Arial" w:eastAsia="Arial" w:hAnsi="Arial"/>
                <w:sz w:val="18"/>
                <w:szCs w:val="18"/>
                <w:color w:val="auto"/>
              </w:rPr>
              <w:t>Net cash provided by (used in) investing activities</w:t>
            </w:r>
          </w:p>
        </w:tc>
        <w:tc>
          <w:tcPr>
            <w:tcW w:w="280" w:type="dxa"/>
            <w:vAlign w:val="bottom"/>
          </w:tcPr>
          <w:p>
            <w:pPr>
              <w:spacing w:after="0"/>
              <w:rPr>
                <w:sz w:val="17"/>
                <w:szCs w:val="17"/>
                <w:color w:val="auto"/>
              </w:rPr>
            </w:pPr>
          </w:p>
        </w:tc>
        <w:tc>
          <w:tcPr>
            <w:tcW w:w="102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75,143</w:t>
            </w:r>
          </w:p>
        </w:tc>
        <w:tc>
          <w:tcPr>
            <w:tcW w:w="3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(281,438)</w:t>
            </w:r>
          </w:p>
        </w:tc>
        <w:tc>
          <w:tcPr>
            <w:tcW w:w="0" w:type="dxa"/>
            <w:vAlign w:val="bottom"/>
          </w:tcPr>
          <w:p>
            <w:pPr>
              <w:spacing w:after="0"/>
              <w:rPr>
                <w:sz w:val="1"/>
                <w:szCs w:val="1"/>
                <w:color w:val="auto"/>
              </w:rPr>
            </w:pPr>
          </w:p>
        </w:tc>
      </w:tr>
      <w:tr>
        <w:trPr>
          <w:trHeight w:val="203"/>
        </w:trPr>
        <w:tc>
          <w:tcPr>
            <w:tcW w:w="64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54"/>
              <w:spacing w:after="0" w:line="202" w:lineRule="exact"/>
              <w:rPr>
                <w:sz w:val="20"/>
                <w:szCs w:val="20"/>
                <w:color w:val="auto"/>
              </w:rPr>
            </w:pPr>
            <w:r>
              <w:rPr>
                <w:rFonts w:ascii="Arial" w:cs="Arial" w:eastAsia="Arial" w:hAnsi="Arial"/>
                <w:sz w:val="18"/>
                <w:szCs w:val="18"/>
                <w:color w:val="auto"/>
              </w:rPr>
              <w:t>203</w:t>
            </w:r>
          </w:p>
        </w:tc>
        <w:tc>
          <w:tcPr>
            <w:tcW w:w="3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196"/>
        </w:trPr>
        <w:tc>
          <w:tcPr>
            <w:tcW w:w="640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54"/>
              <w:spacing w:after="0" w:line="196" w:lineRule="exact"/>
              <w:rPr>
                <w:sz w:val="20"/>
                <w:szCs w:val="20"/>
                <w:color w:val="auto"/>
              </w:rPr>
            </w:pPr>
            <w:r>
              <w:rPr>
                <w:rFonts w:ascii="Arial" w:cs="Arial" w:eastAsia="Arial" w:hAnsi="Arial"/>
                <w:sz w:val="18"/>
                <w:szCs w:val="18"/>
                <w:color w:val="auto"/>
              </w:rPr>
              <w:t>12,992</w:t>
            </w:r>
          </w:p>
        </w:tc>
        <w:tc>
          <w:tcPr>
            <w:tcW w:w="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(312,952)</w:t>
            </w:r>
          </w:p>
        </w:tc>
        <w:tc>
          <w:tcPr>
            <w:tcW w:w="0" w:type="dxa"/>
            <w:vAlign w:val="bottom"/>
          </w:tcPr>
          <w:p>
            <w:pPr>
              <w:spacing w:after="0"/>
              <w:rPr>
                <w:sz w:val="1"/>
                <w:szCs w:val="1"/>
                <w:color w:val="auto"/>
              </w:rPr>
            </w:pPr>
          </w:p>
        </w:tc>
      </w:tr>
      <w:tr>
        <w:trPr>
          <w:trHeight w:val="20"/>
        </w:trPr>
        <w:tc>
          <w:tcPr>
            <w:tcW w:w="6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Operating activities</w:t>
      </w:r>
    </w:p>
    <w:p>
      <w:pPr>
        <w:spacing w:after="0" w:line="21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Net cash used in operating activities in the nine months ended September 30, 2022 consisted primarily of our net loss of $78.6 million, partially offset by non-cash charges of $14.0 million and a net increase in operating assets and liabilities of $2.2 million. The net loss consisted primarily of $60.7 million in research and development expenses and $19.1 million in general and administrative expenses. The non-cash charges consisted primarily of stock-based compensation of $14.0 million and depreciation and amortization expenses of less than $0.1 million, including premium amortization on our marketable securities, and non-cash lease expense of less than $0.1 million, net of cash payments of $1.0 million. The net increase in operating assets and liabilities was primarily due to (i) an increase of $3.3 million in other current liabilities and (ii) a decrease of $0.1 million in prepaid expenses and other current assets. The changes are partially offset by (i) a net increase of $1.1 million in other assets and (ii) an increase of less than $0.1 million in accounts payable, which is primarily a result of timing of invoice payment.</w:t>
      </w:r>
    </w:p>
    <w:p>
      <w:pPr>
        <w:spacing w:after="0" w:line="18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Net cash used in operating activities in the nine months ended September 30, 2021 consisted primarily of our net loss of $49.5 million, partially offset by non-cash charges of $ 11.6 million and a net change of $5.8 million in net operating assets and liabilities. The net loss consisted primarily of $35.1 million in research and development expenses and $14.6 million in general and administrative expenses. The non-cash charges consisted primarily of stock-based compensation of $11.3 million and depreciation and amortization expenses of $0.3 million, primarily related to premium amortization on our marketable securities. The change in operating assets and liabilities was primarily due to an increase of $5.1 million in other current liabilities, primarily related to the increased spending in (i) research and development related costs, including contract manufacturing and CRO expenses as a result of our continued advancement of our lead product program, and (ii) personnel related expenses, including employee bonuses, due to increased headcount, and a decrease in prepaid expenses and other current assets of $1.2 million, offset by a decrease in accounts payable of $0.5 million.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Investing Activities</w:t>
      </w:r>
    </w:p>
    <w:p>
      <w:pPr>
        <w:spacing w:after="0" w:line="210"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Net cash provided by investing activities in the nine months ended September 30, 2022 was predominately due to maturities of marketable securities which was partially offset by purchase of marketable securities.</w:t>
      </w:r>
    </w:p>
    <w:p>
      <w:pPr>
        <w:spacing w:after="0" w:line="15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Net cash used in investing activities in the nine months ended September 30, 2021 was predominately due to purchases of marketable securities which was financed through the proceeds from the IPO and convertible preferred stock sale, and purchases of equipment, partially offset by the maturities of marketable securities.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Financing activities</w:t>
      </w:r>
    </w:p>
    <w:p>
      <w:pPr>
        <w:spacing w:after="0" w:line="21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Net cash provided by financing activities during the nine months ended September 30, 2022 consists of $0.1 million and $0.1 million in net proceeds from the sale of our common stock under the 2020 ESPP and the exercise of stock options, respectively.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Net cash provided by financing activities in the nine months ended September 30, 2021 consisted of $0.4 million and $0.2 million in net proceeds from the sale of our common stock under the 2020 ESPP and the exercise of stock options, respectively.</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significant judgements and estimates</w:t>
      </w:r>
    </w:p>
    <w:p>
      <w:pPr>
        <w:spacing w:after="0" w:line="212"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Our management’s discussion and analysis of our financial condition and results of operations are based on our condensed consolidated financial statements, which have been prepared in accordance with U.S. generally accepted accounting principles, or U.S. GAAP. The preparation of our condensed consolidated financial statements and related disclosures requires us to make estimates and judgments that affect the reported amounts of assets, liabilities, expenses and the disclosure of our contingent liabilities in our condensed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8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During the nine months ended September 30, 2022, there were no material changes to our critical accounting policies and estimates as reported in our Annual Report on Form 10-K.</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2"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During the nine months ended September 30, 2022, there were no material changes to our market risk disclosures reported in our Annual Report on Form 10-K.</w:t>
      </w:r>
    </w:p>
    <w:p>
      <w:pPr>
        <w:spacing w:after="0" w:line="154"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1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As of September 30, 2022, management, with the participation of our Chief Executive Officer and Chief Financial Officer, performed an evaluation of the effectiveness of the design and operation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Chief Financial Officer, to allow timely decisions regarding required disclosures.</w:t>
      </w:r>
    </w:p>
    <w:p>
      <w:pPr>
        <w:spacing w:after="0" w:line="180"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September 30, 2022, the design and operation of our disclosure controls and procedures were effective at a reasonable assurance level.</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1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Rules 13a-15(d) and 15d-15(d) of the Exchange Act that occurred during the three months ended September 30, 2022 that has materially affected, or is reasonably likely to materially affect, our internal control over financial reporting. We have not experienced any material impact to our internal controls over financial reporting despite the fact that most of our employees are working remotely due to the COVID-19 pandemic. We are continually monitoring and assessing the COVID-19 situation to minimize the impact to the design and operating effectiveness of our internal controls.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are not currently a party to any material litigation or other material legal proceedings.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14"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i w:val="1"/>
          <w:iCs w:val="1"/>
          <w:color w:val="auto"/>
        </w:rPr>
        <w:t>Our business involves significant risks, some of which are described below. You should carefully consider the following risks, as well as the other information in this Quarterly Report on Form 10-Q, including our condensed consolidated financial statements and the related notes and “Management’s Discussion and Analysis of Financial Condition and Results of Operations.” The occurrence of any of the events or developments described below could have a material adverse effect on our business, results of operations, financial condition, prospects and stock price. In such an event, the market price of our common stock could decline, and you may lose all or part of your investment. Additional risks and uncertainties not presently known to us or that we currently deem immaterial may also impair our business operations and the market price of our common stock.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 SUMMARY</w:t>
      </w:r>
    </w:p>
    <w:p>
      <w:pPr>
        <w:spacing w:after="0" w:line="198"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Investing in our common stock involves numerous risks, including the risks described in “Part II, Item 1A. Risk Factors” of this Quarterly Report on Form 10-Q. Below are some of these risks, any one of which could materially adversely affect our business, financial condition, results of operations, and prospects.</w:t>
      </w:r>
    </w:p>
    <w:p>
      <w:pPr>
        <w:spacing w:after="0" w:line="155" w:lineRule="exact"/>
        <w:rPr>
          <w:sz w:val="20"/>
          <w:szCs w:val="20"/>
          <w:color w:val="auto"/>
        </w:rPr>
      </w:pPr>
    </w:p>
    <w:p>
      <w:pPr>
        <w:jc w:val="both"/>
        <w:ind w:left="720" w:right="79" w:hanging="319"/>
        <w:spacing w:after="0" w:line="241" w:lineRule="auto"/>
        <w:tabs>
          <w:tab w:leader="none" w:pos="7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We have not completed any clinical trials and have no products approved for commercial sale, which may make it difficult for you to evaluate our current business and predict our future success and viability.</w:t>
      </w:r>
    </w:p>
    <w:p>
      <w:pPr>
        <w:spacing w:after="0" w:line="1" w:lineRule="exact"/>
        <w:rPr>
          <w:rFonts w:ascii="Times New Roman" w:cs="Times New Roman" w:eastAsia="Times New Roman" w:hAnsi="Times New Roman"/>
          <w:sz w:val="18"/>
          <w:szCs w:val="18"/>
          <w:color w:val="auto"/>
        </w:rPr>
      </w:pPr>
    </w:p>
    <w:p>
      <w:pPr>
        <w:jc w:val="both"/>
        <w:ind w:left="720" w:right="79" w:hanging="319"/>
        <w:spacing w:after="0" w:line="234" w:lineRule="auto"/>
        <w:tabs>
          <w:tab w:leader="none" w:pos="7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We will require substantial additional capital to finance our operations. If we are unable to raise such capital when needed, or on acceptable terms, we may be forced to delay, reduce and/or eliminate one or more of our research and drug development programs of our only product or future commercialization efforts.</w:t>
      </w:r>
    </w:p>
    <w:p>
      <w:pPr>
        <w:spacing w:after="0" w:line="1" w:lineRule="exact"/>
        <w:rPr>
          <w:rFonts w:ascii="Times New Roman" w:cs="Times New Roman" w:eastAsia="Times New Roman" w:hAnsi="Times New Roman"/>
          <w:sz w:val="18"/>
          <w:szCs w:val="18"/>
          <w:color w:val="auto"/>
        </w:rPr>
      </w:pPr>
    </w:p>
    <w:p>
      <w:pPr>
        <w:jc w:val="both"/>
        <w:ind w:left="720" w:right="79" w:hanging="319"/>
        <w:spacing w:after="0" w:line="234" w:lineRule="auto"/>
        <w:tabs>
          <w:tab w:leader="none" w:pos="7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We have incurred net losses since inception, and we expect to continue to incur net losses for the foreseeable future. We expect to continue to incur increased expenses and operating losses for the foreseeable future as we continue our research and development efforts and seek to obtain regulatory approval for OP-1250. In addition, we may be unable to continue as a going concern over the long term.</w:t>
      </w:r>
    </w:p>
    <w:p>
      <w:pPr>
        <w:spacing w:after="0" w:line="2" w:lineRule="exact"/>
        <w:rPr>
          <w:rFonts w:ascii="Times New Roman" w:cs="Times New Roman" w:eastAsia="Times New Roman" w:hAnsi="Times New Roman"/>
          <w:sz w:val="18"/>
          <w:szCs w:val="18"/>
          <w:color w:val="auto"/>
        </w:rPr>
      </w:pPr>
    </w:p>
    <w:p>
      <w:pPr>
        <w:jc w:val="both"/>
        <w:ind w:left="720" w:right="79" w:hanging="319"/>
        <w:spacing w:after="0" w:line="234" w:lineRule="auto"/>
        <w:tabs>
          <w:tab w:leader="none" w:pos="7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We are substantially dependent on the success of our only product candidate, OP-1250, which is currently in the early stages of clinical development. We cannot assure you that our planned clinical development programs for OP-1250 will be completed in a timely manner, or at all, or that we will be able to obtain approval for OP-1250 from the FDA, or any comparable foreign regulatory authority. If we are unable to complete development of, obtain regulatory approval for and commercialize OP-1250 in one or more indications and in a timely manner, our business, financial condition, results of operations and prospects will be significantly harmed.</w:t>
      </w:r>
    </w:p>
    <w:p>
      <w:pPr>
        <w:spacing w:after="0" w:line="4" w:lineRule="exact"/>
        <w:rPr>
          <w:rFonts w:ascii="Times New Roman" w:cs="Times New Roman" w:eastAsia="Times New Roman" w:hAnsi="Times New Roman"/>
          <w:sz w:val="18"/>
          <w:szCs w:val="18"/>
          <w:color w:val="auto"/>
        </w:rPr>
      </w:pPr>
    </w:p>
    <w:p>
      <w:pPr>
        <w:jc w:val="both"/>
        <w:ind w:left="720" w:right="79" w:hanging="319"/>
        <w:spacing w:after="0" w:line="234" w:lineRule="auto"/>
        <w:tabs>
          <w:tab w:leader="none" w:pos="7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Clinical development is a lengthy and expensive process with an uncertain outcome, and results of earlier studies and trials may not be predictive of future trial results. Failure can occur at any stage of clinical development. We have never completed a pivotal clinical trial or submitted a New Drug Application, or NDA, to the FDA or similar drug approval filings to comparable foreign authorities. If we are ultimately unable to obtain regulatory approval for OP-1250, we will be unable to generate product revenue and our business, financial condition, results of operations and prospects will be significantly harmed.</w:t>
      </w:r>
    </w:p>
    <w:p>
      <w:pPr>
        <w:spacing w:after="0" w:line="4" w:lineRule="exact"/>
        <w:rPr>
          <w:rFonts w:ascii="Times New Roman" w:cs="Times New Roman" w:eastAsia="Times New Roman" w:hAnsi="Times New Roman"/>
          <w:sz w:val="18"/>
          <w:szCs w:val="18"/>
          <w:color w:val="auto"/>
        </w:rPr>
      </w:pPr>
    </w:p>
    <w:p>
      <w:pPr>
        <w:jc w:val="both"/>
        <w:ind w:left="720" w:right="79" w:hanging="319"/>
        <w:spacing w:after="0" w:line="238" w:lineRule="auto"/>
        <w:tabs>
          <w:tab w:leader="none" w:pos="7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Even if approved, OP-1250 may not achieve adequate market acceptance among physicians, patients, healthcare payors and others in the medical community necessary for commercial success. The degree of market acceptance would depend on a number of factors. If OP-1250 is approved but does not achieve an adequate level of acceptance by physicians, hospitals, healthcare payors and patients, we may not generate or derive sufficient revenue and could significantly harm our business, financial condition, results of operations and prospects.</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720" w:right="79" w:hanging="319"/>
        <w:spacing w:after="0" w:line="241" w:lineRule="auto"/>
        <w:tabs>
          <w:tab w:leader="none" w:pos="7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We face significant competition, and if our competitors develop and market technologies or products more rapidly than we do or that are more effective, safer or less expensive than OP-1250, or product candidates we may develop in the future, our commercial opportunities will be negatively impacted.</w:t>
      </w:r>
    </w:p>
    <w:p>
      <w:pPr>
        <w:spacing w:after="0" w:line="1" w:lineRule="exact"/>
        <w:rPr>
          <w:rFonts w:ascii="Times New Roman" w:cs="Times New Roman" w:eastAsia="Times New Roman" w:hAnsi="Times New Roman"/>
          <w:sz w:val="18"/>
          <w:szCs w:val="18"/>
          <w:color w:val="auto"/>
        </w:rPr>
      </w:pPr>
    </w:p>
    <w:p>
      <w:pPr>
        <w:ind w:left="720" w:right="79" w:hanging="319"/>
        <w:spacing w:after="0" w:line="234" w:lineRule="auto"/>
        <w:tabs>
          <w:tab w:leader="none" w:pos="7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obtain U.S. or foreign regulatory approvals and, as a result, may be unable to commercialize OP-1250 or any future product candidate we may develop.</w:t>
      </w:r>
    </w:p>
    <w:p>
      <w:pPr>
        <w:ind w:left="720" w:right="79" w:hanging="319"/>
        <w:spacing w:after="0" w:line="234" w:lineRule="auto"/>
        <w:tabs>
          <w:tab w:leader="none" w:pos="7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COVID-19 pandemic could adversely impact our business, including our nonclinical studies and clinical trials.</w:t>
      </w:r>
    </w:p>
    <w:p>
      <w:pPr>
        <w:ind w:left="720" w:right="79" w:hanging="319"/>
        <w:spacing w:after="0" w:line="234" w:lineRule="auto"/>
        <w:tabs>
          <w:tab w:leader="none" w:pos="7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Unfavorable U.S. and global economic conditions could adversely affect our business, financial condition and results of operations.</w:t>
      </w:r>
    </w:p>
    <w:p>
      <w:pPr>
        <w:jc w:val="both"/>
        <w:ind w:left="720" w:right="79" w:hanging="319"/>
        <w:spacing w:after="0" w:line="234" w:lineRule="auto"/>
        <w:tabs>
          <w:tab w:leader="none" w:pos="7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In order to successfully implement our plans and strategies, we will need to grow the size of our organization, and we may experience difficulties in managing this growth. Given the small size of our organization, we may encounter difficulties managing multiple clinical trials at the same time, which could negatively affect our ability to manage the growth of our organization, particularly as we take on additional responsibility associated with being a public company. If we are not able to effectively expand our organization by hiring new employees and/or engaging additional third-party service providers, we may not be able to successfully implement the tasks necessary to further develop and commercialize OP-1250 and any other future product candidates we may develop and, accordingly, may not achieve our research, development and commercialization goals.</w:t>
      </w:r>
    </w:p>
    <w:p>
      <w:pPr>
        <w:spacing w:after="0" w:line="5" w:lineRule="exact"/>
        <w:rPr>
          <w:rFonts w:ascii="Times New Roman" w:cs="Times New Roman" w:eastAsia="Times New Roman" w:hAnsi="Times New Roman"/>
          <w:sz w:val="18"/>
          <w:szCs w:val="18"/>
          <w:color w:val="auto"/>
        </w:rPr>
      </w:pPr>
    </w:p>
    <w:p>
      <w:pPr>
        <w:jc w:val="both"/>
        <w:ind w:left="720" w:right="79" w:hanging="319"/>
        <w:spacing w:after="0" w:line="234" w:lineRule="auto"/>
        <w:tabs>
          <w:tab w:leader="none" w:pos="7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Our internal computer systems, or those of any of our CROs, manufacturers, other contractors, consultants, collaborators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2" w:lineRule="exact"/>
        <w:rPr>
          <w:rFonts w:ascii="Times New Roman" w:cs="Times New Roman" w:eastAsia="Times New Roman" w:hAnsi="Times New Roman"/>
          <w:sz w:val="18"/>
          <w:szCs w:val="18"/>
          <w:color w:val="auto"/>
        </w:rPr>
      </w:pPr>
    </w:p>
    <w:p>
      <w:pPr>
        <w:jc w:val="both"/>
        <w:ind w:left="720" w:right="79" w:hanging="319"/>
        <w:spacing w:after="0" w:line="234" w:lineRule="auto"/>
        <w:tabs>
          <w:tab w:leader="none" w:pos="7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Our success depends on our ability to protect our intellectual property and our proprietary technologies. Even issued patents may later be found invalid or unenforceable or may be modified or revoked in proceedings instituted by third parties before various patent offices or in courts. Thus, the degree of future protection for our proprietary rights is uncertain.</w:t>
      </w:r>
    </w:p>
    <w:p>
      <w:pPr>
        <w:spacing w:after="0" w:line="1" w:lineRule="exact"/>
        <w:rPr>
          <w:rFonts w:ascii="Times New Roman" w:cs="Times New Roman" w:eastAsia="Times New Roman" w:hAnsi="Times New Roman"/>
          <w:sz w:val="18"/>
          <w:szCs w:val="18"/>
          <w:color w:val="auto"/>
        </w:rPr>
      </w:pPr>
    </w:p>
    <w:p>
      <w:pPr>
        <w:jc w:val="both"/>
        <w:ind w:left="720" w:right="79" w:hanging="319"/>
        <w:spacing w:after="0" w:line="234" w:lineRule="auto"/>
        <w:tabs>
          <w:tab w:leader="none" w:pos="7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We rely, and expect to continue to rely, on third parties, including independent clinical investigators and CROs to conduct certain aspects of our nonclinical studies and clinical trials. If these third parties do not successfully carry out their contractual duties, comply with applicable regulatory requirements or meet expected deadlines, we may not be able to obtain regulatory approval for or commercialize OP-1250 or future product candidates we may develop and our business, financial condition, results of operations and prospects could be significantly harmed.</w:t>
      </w:r>
    </w:p>
    <w:p>
      <w:pPr>
        <w:spacing w:after="0" w:line="3" w:lineRule="exact"/>
        <w:rPr>
          <w:rFonts w:ascii="Times New Roman" w:cs="Times New Roman" w:eastAsia="Times New Roman" w:hAnsi="Times New Roman"/>
          <w:sz w:val="18"/>
          <w:szCs w:val="18"/>
          <w:color w:val="auto"/>
        </w:rPr>
      </w:pPr>
    </w:p>
    <w:p>
      <w:pPr>
        <w:jc w:val="both"/>
        <w:ind w:left="720" w:right="79" w:hanging="319"/>
        <w:spacing w:after="0" w:line="239" w:lineRule="auto"/>
        <w:tabs>
          <w:tab w:leader="none" w:pos="7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We qualify as a “smaller reporting company” within the meaning of the Exchange Act and may take advantage of certain exemptions from disclosure requirements available to smaller reporting companies, which could make our securities less attractive to investors and may make it more difficult to compare our performance to the performance of other public companies.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financial position and the need for additional capital</w:t>
      </w:r>
    </w:p>
    <w:p>
      <w:pPr>
        <w:spacing w:after="0" w:line="214"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b w:val="1"/>
          <w:bCs w:val="1"/>
          <w:i w:val="1"/>
          <w:iCs w:val="1"/>
          <w:color w:val="auto"/>
        </w:rPr>
        <w:t>We have not completed any clinical trials and have no products approved for commercial sale, which may make it difficult for you to evaluate our current business and predict our future success and viability.</w:t>
      </w:r>
    </w:p>
    <w:p>
      <w:pPr>
        <w:spacing w:after="0" w:line="159"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We are a clinical-stage biopharmaceutical company and we have no products approved for commercial sale, have not generated any revenue from product sales and have incurred losses since inception. To date, we have devoted substantially all of our resources and efforts to organizing and staffing our company, business planning, executing partnerships, raising capital, discovering, identifying and developing our product candidate, OP-1250, securing related intellectual property rights and conducting nonclinical studies and a Phase 1/2 clinical trial of OP-1250. We have not yet demonstrated our ability to successfully complete any clinical trials, obtain marketing approvals, manufacture a commercial-scale product or arrange for a third party to do so on our behalf, or conduct sales and marketing activities necessary for successful product commercialization. As a result, it may be more difficult for you to accurately predict our future success or viability than it could be if we had a longer operating history.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In addition, we may encounter unforeseen expenses, difficulties, complications, delays and other known and unknown factors and risks frequently experienced by clinical-stage biopharmaceutical companies in rapidly evolving fields. We also may need to transition from a company with a research focus to a company capable of successfully executing drug development activities and supporting commercial operations. If we do not adequately address these risks and difficulties or successfully make such a transition, our business, financial condition, results of operations and prospects will be significantly harmed.</w:t>
      </w:r>
    </w:p>
    <w:p>
      <w:pPr>
        <w:spacing w:after="0" w:line="181" w:lineRule="exact"/>
        <w:rPr>
          <w:sz w:val="20"/>
          <w:szCs w:val="20"/>
          <w:color w:val="auto"/>
        </w:rPr>
      </w:pPr>
    </w:p>
    <w:p>
      <w:pPr>
        <w:jc w:val="both"/>
        <w:ind w:left="60" w:right="59"/>
        <w:spacing w:after="0" w:line="249" w:lineRule="auto"/>
        <w:rPr>
          <w:sz w:val="20"/>
          <w:szCs w:val="20"/>
          <w:color w:val="auto"/>
        </w:rPr>
      </w:pPr>
      <w:r>
        <w:rPr>
          <w:rFonts w:ascii="Arial" w:cs="Arial" w:eastAsia="Arial" w:hAnsi="Arial"/>
          <w:sz w:val="18"/>
          <w:szCs w:val="18"/>
          <w:b w:val="1"/>
          <w:bCs w:val="1"/>
          <w:i w:val="1"/>
          <w:iCs w:val="1"/>
          <w:color w:val="auto"/>
        </w:rPr>
        <w:t>We require substantial additional capital to finance our operations. If we are unable to raise such capital when needed, or on acceptable terms, we may be forced to delay, reduce and/or eliminate one or more of our research and drug development programs of our only product or future commercialization efforts.</w:t>
      </w:r>
    </w:p>
    <w:p>
      <w:pPr>
        <w:spacing w:after="0" w:line="16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Developing pharmaceutical products, including conducting nonclinical studies and clinical trials, is a very time-consuming, expensive and uncertain process that takes years to complete. Our operations have consumed substantial amounts of cash since inception, and we expect our expenses will increase in connection with our ongoing activities, particularly as we initiate and conduct clinical trials of, and seek marketing approval for, OP-1250. We anticipate incurring significant costs associated with the development of OP-1250 and any future drug candidates we may develop. Our expenses could increase beyond expectations if we are required by the U.S. Food and Drug Administration, or the FDA, the European Medicines Agency, or the EMA, or other regulatory agencies to perform clinical trials or nonclinical studies in addition to those that we currently anticipate. Other unanticipated costs may also arise. In addition, if we obtain marketing approval for OP-1250, we expect to incur significant commercialization expenses related to drug sales, marketing, manufacturing and distribution. Because the design and outcome of our planned and anticipated clinical trials are highly uncertain, we cannot reasonably estimate the actual amounts necessary to successfully complete the development and commercialization of any product candidate we develop. We also incur additional costs associated with operating as a public company. Accordingly, we will need to obtain substantial additional funding in order to maintain our continuing operations.</w:t>
      </w:r>
    </w:p>
    <w:p>
      <w:pPr>
        <w:spacing w:after="0" w:line="17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As of September 30, 2022, we had $ 222.6 million in cash, cash equivalents, and marketable securities. Based on our current operating plans, we believe that our cash, cash equivalents, and marketable securities at September 30, 2022 will be sufficient to fund our operating expenses and capital expenditures requirements into the second half of 2024. Our estimate as to how long we expect our existing cash and cash equivalents, to be able to continue to fund our operating expenses and capital expenditures requirements is based on assumptions that may prove to be wrong, and we could use our available capital resources sooner than we currently expect. Changing circumstances, some of which may be beyond our control, including a default in one or several of the financial institutions in which we hold, or a negative return on, our cash and cash equivalents, could cause us to consume capital significantly faster than we currently anticipate, and we may need to seek additional funds sooner than planned. Moreover, it is particularly difficult to estimate with certainty our future expenses given the dynamic nature of our business, the COVID-19 pandemic and the geopolitical and macroeconomic environment generally. Advancing the development of OP-1250 and any future product candidates we may develop will require a significant amount of capital, and our existing cash and cash equivalents will not be sufficient to fund all of the activities that are necessary to complete the development of OP-1250.</w:t>
      </w:r>
    </w:p>
    <w:p>
      <w:pPr>
        <w:spacing w:after="0" w:line="188"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We will be required to obtain additional funding through public or private equity offerings, debt financings, collaborations and licensing arrangements or other sources, which may dilute our stockholders or restrict our operating activities. Adequate additional financing may not be available to us on acceptable terms, or at all. Market volatility, including as a result of the COVID-19 pandemic and geopolitical and macroeconomic events, could adversely increase our need to access capital and likewise, adversely impact our ability to access capital as and when needed. For example, inflation rates, particularly in the United States, have increased recently to levels not seen in years, and increased inflation may result in increases in our operating costs (including our labor costs), reduced liquidity and limits on our ability to access credit or otherwise raise capital on acceptable terms, if at all. In addition, the U.S. Federal Reserve has raised, and may again raise, interest rates in response to concerns about inflation, which, coupled with reduced government spending and volatility in financial markets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may have the effect of heightening these risks and further increasing economic uncertainty. 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176"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b w:val="1"/>
          <w:bCs w:val="1"/>
          <w:i w:val="1"/>
          <w:iCs w:val="1"/>
          <w:color w:val="auto"/>
        </w:rPr>
        <w:t>We have incurred net losses since inception, and we expect to continue to incur net losses for the foreseeable future. In addition, we may be unable to continue as a going concern over the long-term.</w:t>
      </w:r>
    </w:p>
    <w:p>
      <w:pPr>
        <w:spacing w:after="0" w:line="13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have incurred net losses in each reporting period since our inception, have not generated any revenue from product sales to date and have financed our operations principally through our initial public offering and private financings. We have incurred net losses of $ 78.6 million for the nine months ended September 30, 2022. We had an accumulated deficit of $182.8 million as of September 30, 2022. Our losses have resulted principally from expenses incurred in research and development of OP-1250 and from management and administrative costs and other expenses that we have incurred while building our business infrastructure. Our only product candidate, OP-1250, is in early-stage clinical trials. As a result, we expect that it will be several years, if ever, before we have a commercialized product and generate revenue from product sales. Even if we succeed in receiving marketing approval for and commercializing OP-1250 in one of our lead indications, we expect that we will continue to incur substantial research and development and other expenses as we continue the clinical development programs for OP-1250 in other indications.</w:t>
      </w:r>
    </w:p>
    <w:p>
      <w:pPr>
        <w:spacing w:after="0" w:line="18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expect to continue to incur increased expenses and operating losses for the foreseeable future as we continue our research and development efforts and seek to obtain regulatory approval for OP-1250.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In any particular period, our operating results could be below the expectations of securities analysts or investors, which could cause our stock price to decline.</w:t>
      </w:r>
    </w:p>
    <w:p>
      <w:pPr>
        <w:spacing w:after="0" w:line="167"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In addition, our condensed consolidated financial statements for the nine months ended September 30, 2022 and 2021 included elsewhere in this report have been prepared assuming we will continue as a going concern. However, we have incurred losses and negative cash flows from operations. As a development stage company, we expect to incur significant and increasing losses until regulatory approval is granted for OP-1250. Regulatory approval is not guaranteed and may never be obtained. As a result, these conditions raise substantial doubt about our ability to continue as a going concern over the long-term.</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be profitable.</w:t>
      </w:r>
    </w:p>
    <w:p>
      <w:pPr>
        <w:spacing w:after="0" w:line="210" w:lineRule="exact"/>
        <w:rPr>
          <w:sz w:val="20"/>
          <w:szCs w:val="20"/>
          <w:color w:val="auto"/>
        </w:rPr>
      </w:pPr>
    </w:p>
    <w:p>
      <w:pPr>
        <w:jc w:val="both"/>
        <w:ind w:left="60" w:right="59"/>
        <w:spacing w:after="0" w:line="261" w:lineRule="auto"/>
        <w:rPr>
          <w:sz w:val="20"/>
          <w:szCs w:val="20"/>
          <w:color w:val="auto"/>
        </w:rPr>
      </w:pPr>
      <w:r>
        <w:rPr>
          <w:rFonts w:ascii="Arial" w:cs="Arial" w:eastAsia="Arial" w:hAnsi="Arial"/>
          <w:sz w:val="17"/>
          <w:szCs w:val="17"/>
          <w:color w:val="auto"/>
        </w:rPr>
        <w:t>Our ability to generate revenue from product sales and achieve profitability depends on our ability, alone or with our collaboration partners, to successfully complete the development of, and obtain the regulatory approvals necessary to commercialize, OP-1250 and any future product candidates we may develop. We do not anticipate generating revenue from product sales for the next several years, if ever. Our ability to generate revenue from product sales depends heavily on our and our current and potential future collaborators’ success in:</w:t>
      </w:r>
    </w:p>
    <w:p>
      <w:pPr>
        <w:spacing w:after="0" w:line="166" w:lineRule="exact"/>
        <w:rPr>
          <w:sz w:val="20"/>
          <w:szCs w:val="20"/>
          <w:color w:val="auto"/>
        </w:rPr>
      </w:pPr>
    </w:p>
    <w:p>
      <w:pPr>
        <w:ind w:left="720" w:right="79" w:hanging="319"/>
        <w:spacing w:after="0" w:line="270" w:lineRule="auto"/>
        <w:tabs>
          <w:tab w:leader="none" w:pos="7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231F20"/>
        </w:rPr>
        <w:t>completing clinical and nonclinical development of product candidates and programs and identifying and developing new product candidates;</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231F20"/>
        </w:rPr>
        <w:t>seeking and obtaining marketing approvals for any product candidates that we develop;</w:t>
      </w:r>
    </w:p>
    <w:p>
      <w:pPr>
        <w:spacing w:after="0" w:line="224" w:lineRule="exact"/>
        <w:rPr>
          <w:rFonts w:ascii="Times New Roman" w:cs="Times New Roman" w:eastAsia="Times New Roman" w:hAnsi="Times New Roman"/>
          <w:sz w:val="18"/>
          <w:szCs w:val="18"/>
          <w:color w:val="auto"/>
        </w:rPr>
      </w:pPr>
    </w:p>
    <w:p>
      <w:pPr>
        <w:jc w:val="both"/>
        <w:ind w:left="720" w:right="79" w:hanging="319"/>
        <w:spacing w:after="0" w:line="252" w:lineRule="auto"/>
        <w:tabs>
          <w:tab w:leader="none" w:pos="7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231F20"/>
        </w:rPr>
        <w:t>launching and commercializing product candidates for which we obtain marketing approval by establishing a sales force, marketing, medical affairs and distribution infrastructure or, alternatively, collaborating with a commercialization partner;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20" w:right="79" w:hanging="319"/>
        <w:spacing w:after="0" w:line="270" w:lineRule="auto"/>
        <w:tabs>
          <w:tab w:leader="none" w:pos="7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231F20"/>
        </w:rPr>
        <w:t>achieving adequate access and reimbursement by government and third-party payors for product candidates that we develop;</w:t>
      </w:r>
    </w:p>
    <w:p>
      <w:pPr>
        <w:spacing w:after="0" w:line="154" w:lineRule="exact"/>
        <w:rPr>
          <w:rFonts w:ascii="Times New Roman" w:cs="Times New Roman" w:eastAsia="Times New Roman" w:hAnsi="Times New Roman"/>
          <w:sz w:val="18"/>
          <w:szCs w:val="18"/>
          <w:color w:val="auto"/>
        </w:rPr>
      </w:pPr>
    </w:p>
    <w:p>
      <w:pPr>
        <w:jc w:val="both"/>
        <w:ind w:left="720" w:right="79" w:hanging="319"/>
        <w:spacing w:after="0" w:line="252" w:lineRule="auto"/>
        <w:tabs>
          <w:tab w:leader="none" w:pos="7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231F20"/>
        </w:rPr>
        <w:t>establishing and maintaining supply and manufacturing relationships with third parties that can provide adequate, in both amount and quality, products and services to support clinical development and the market demand for product candidates that we develop, if approved;</w:t>
      </w:r>
    </w:p>
    <w:p>
      <w:pPr>
        <w:spacing w:after="0" w:line="17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231F20"/>
        </w:rPr>
        <w:t>obtaining market acceptance of product candidates that we develop as viable treatment options;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231F20"/>
        </w:rPr>
        <w:t>addressing any competing technological and market developments;</w:t>
      </w:r>
    </w:p>
    <w:p>
      <w:pPr>
        <w:spacing w:after="0" w:line="22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231F20"/>
        </w:rPr>
        <w:t>negotiating favorable terms in any collaboration, licensing or other arrangements into which we may enter and performing our obligations in such collaborations;</w:t>
      </w:r>
    </w:p>
    <w:p>
      <w:pPr>
        <w:spacing w:after="0" w:line="15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231F20"/>
        </w:rPr>
        <w:t>maintaining, protecting, enforcing and expanding our portfolio of intellectual property rights, including patents, trade secrets and know-how;</w:t>
      </w:r>
    </w:p>
    <w:p>
      <w:pPr>
        <w:spacing w:after="0" w:line="15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231F20"/>
        </w:rPr>
        <w:t>defending against third-party interference, infringement or other intellectual property-related claims, if any; and</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231F20"/>
        </w:rPr>
        <w:t>attracting, hiring and retaining qualified personnel.</w:t>
      </w:r>
    </w:p>
    <w:p>
      <w:pPr>
        <w:spacing w:after="0" w:line="224"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Even if OP-1250 or any future product candidate that we may develop is approved for commercial sale, we anticipate incurring significant costs associated with commercializing any approved product candidate. Our expenses could increase beyond expectations if we are required by the FDA, the EMA or other comparable regulatory agencies to perform clinical trials or nonclinical studies in addition to those that we currently anticipate. Even if we are able to generate revenue from the sale of any approved products, we may not become profitable and may need to obtain additional funding to continue operations.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w:t>
      </w:r>
    </w:p>
    <w:p>
      <w:pPr>
        <w:spacing w:after="0" w:line="214"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8"/>
          <w:szCs w:val="18"/>
          <w:b w:val="1"/>
          <w:bCs w:val="1"/>
          <w:i w:val="1"/>
          <w:iCs w:val="1"/>
          <w:color w:val="auto"/>
        </w:rPr>
        <w:t>We are substantially dependent on the success of our only product candidate, OP-1250, which is currently in the early stages of clinical development. If we are unable to complete development of, obtain regulatory approval for and commercialize OP-1250 in one or more indications and in a timely manner, our business, financial condition, results of operations and prospects will be significantly harmed.</w:t>
      </w:r>
    </w:p>
    <w:p>
      <w:pPr>
        <w:spacing w:after="0" w:line="17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Our future success is heavily dependent on our ability to timely complete clinical trials, obtain marketing approval for and successfully commercialize OP-1250, our only product candidate. We expect that a substantial portion of our efforts and expenses over the next several years will be devoted to the development of OP-1250 in our ongoing clinical trials in multiple indications. We are investing significant efforts and financial resources in the research and development of OP-1250. OP-1250 will require additional clinical development, evaluation of clinical, nonclinical and manufacturing activities, marketing approval from government regulators, and significant marketing efforts before we can generate any revenues from product sales. We are not permitted to market or promote OP-1250 before we receive marketing approval from the FDA and comparable foreign regulatory authorities, and we may never receive such marketing approvals. Should our planned clinical development of OP-1250 in our lead indications fail to be completed in a timely manner or at all, we will need to rely on our ongoing and planned clinical development of OP-1250 in additional indications, which will require more time and resources to obtain regulatory approval and proceed with commercialization, and may ultimately be unsuccessful.</w:t>
      </w:r>
    </w:p>
    <w:p>
      <w:pPr>
        <w:spacing w:after="0" w:line="18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We cannot assure you that our planned clinical development programs for OP-1250 will be completed in a timely manner, or at all, or that we will be able to obtain approval for OP-1250 from the FDA, European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8"/>
          <w:szCs w:val="18"/>
          <w:color w:val="auto"/>
        </w:rPr>
        <w:t>Commission (based on the positive opinion of the Committee for Medicinal Products for Human Use of the EMA and commonly referred to as EMA approval</w:t>
      </w:r>
      <w:r>
        <w:rPr>
          <w:rFonts w:ascii="Times New Roman" w:cs="Times New Roman" w:eastAsia="Times New Roman" w:hAnsi="Times New Roman"/>
          <w:sz w:val="21"/>
          <w:szCs w:val="21"/>
          <w:color w:val="auto"/>
        </w:rPr>
        <w:t>)</w:t>
      </w:r>
      <w:r>
        <w:rPr>
          <w:rFonts w:ascii="Arial" w:cs="Arial" w:eastAsia="Arial" w:hAnsi="Arial"/>
          <w:sz w:val="18"/>
          <w:szCs w:val="18"/>
          <w:color w:val="auto"/>
        </w:rPr>
        <w:t>, or any comparable foreign regulatory authority. If we are unable to complete development of, obtain regulatory approval for and commercialize OP-1250 in one or more indications and in a timely manner, our business, financial condition, results of operations and prospects will be significantly harmed.</w:t>
      </w:r>
    </w:p>
    <w:p>
      <w:pPr>
        <w:spacing w:after="0" w:line="165"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b w:val="1"/>
          <w:bCs w:val="1"/>
          <w:i w:val="1"/>
          <w:iCs w:val="1"/>
          <w:color w:val="auto"/>
        </w:rPr>
        <w:t>Clinical development is a lengthy and expensive process with an uncertain outcome, and results of earlier studies and trials may not be predictive of future trial results. Failure can occur at any stage of clinical development. We have never completed a clinical trial or submitted a New Drug Application, or NDA, to the FDA or similar drug approval filings to comparable foreign authorities. If we are ultimately unable to obtain regulatory approval for OP-1250, we will be unable to generate product revenue and our business, financial condition, results of operations and prospects will be significantly harmed.</w:t>
      </w:r>
    </w:p>
    <w:p>
      <w:pPr>
        <w:spacing w:after="0" w:line="172"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Clinical testing is expensive and can take many years to complete, and its outcome is inherently uncertain. Failure can occur at any time during the clinical trial process. The results of nonclinical studies and early clinical trials of OP-1250 and any future product candidates we may develop may not be predictive of the results of subsequent clinical trials. We have a limited operating history and to date have not demonstrated our ability to complete large scale clinical trials.</w:t>
      </w:r>
    </w:p>
    <w:p>
      <w:pPr>
        <w:spacing w:after="0" w:line="176"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Product candidates in later stages of clinical trials may fail to show the desired safety and efficacy traits despite having progressed through nonclinical studies and initial clinical trials. In addition to the safety and efficacy traits of any product candidate, clinical trial failures may result from a multitude of factors including flaws in trial design, dose selection, placebo effect and patient enrollment criteria. A number of companies in the biopharmaceutical industry have suffered significant setbacks in advanced clinical trials due to lack of efficacy or adverse safety profiles, notwithstanding promising results in earlier trials. Based upon negative or inconclusive results, we or any potential future collaborator may decide, or regulators may require us, to conduct additional clinical trials or nonclinical studies. In addition, data obtained from trials and studies are susceptible to varying interpretations, and regulators may not interpret our data as favorably as we do, which may delay, limit or prevent regulatory approval.</w:t>
      </w:r>
    </w:p>
    <w:p>
      <w:pPr>
        <w:spacing w:after="0" w:line="18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Our future clinical trials may not be successful. If any product candidate is found to be unsafe or lack efficacy, we will not be able to obtain regulatory approval for it and our business, financial condition, results of operations and prospects may be significantly harmed. In some instances, there can be significant variability in safety and/or efficacy results between different trials of the same product candidate due to numerous factors, including changes in trial protocols, differences in composition of the patient populations, adherence to the dosing regimen and other trial protocols and the dropout rate among clinical trial participants. Patients treated with OP-1250 or product candidates we may develop in the future may also be undergoing surgical, radiation and chemotherapy treatments and may be using other approved products or investigational new drugs, which can cause side effects or adverse events that are unrelated to OP-1250 or product candidates we may develop. As a result, assessments of efficacy can vary widely for a particular patient, and from patient to patient and site to site within a clinical trial. This subjectivity can increase the uncertainty of, and adversely impact, our clinical trial outcomes. We do not know whether any clinical trials we may conduct will demonstrate consistent or adequate efficacy and safety sufficient to obtain marketing approval to market OP-1250 or any future product candidates we may develop.</w:t>
      </w:r>
    </w:p>
    <w:p>
      <w:pPr>
        <w:spacing w:after="0" w:line="189"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We do not know whether our current clinical trial of OP-1250 or any future clinical trials we may conduct will demonstrate consistent or adequate efficacy and safety to obtain regulatory approval to market OP-1250 or any future product candidates we may develop. Most product candidates that begin clinical trials are never approved by regulatory authorities for commercialization. If we are unable to bring OP-1250 or any future product candidates to market, our ability to create long-term shareholder value will be limited.</w:t>
      </w:r>
    </w:p>
    <w:p>
      <w:pPr>
        <w:spacing w:after="0" w:line="17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In addition, we may rely in part on nonclinical, clinical and quality data generated by CROs and other third parties for regulatory submissions for OP-1250. While we have or will have agreements governing these third parties’ services, we have limited influence over their actual performance. If these third parties do not make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data available to us, or, if applicable, make regulatory submissions in a timely manner, our development programs may be significantly delayed, and we may need to conduct additional studies or collect additional data independently. In either case, our development costs would increase.</w:t>
      </w:r>
    </w:p>
    <w:p>
      <w:pPr>
        <w:spacing w:after="0" w:line="16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Moreover, nonclinical and clinical data are often susceptible to varying interpretations and analyses and many companies that believed their product candidates performed satisfactorily in nonclinical studies and clinical trials nonetheless failed to obtain FDA, EMA or comparable foreign regulatory authority approval. We cannot guarantee that the FDA or foreign regulatory authorities will interpret trial results as we do, and more trials could be required before we are able to submit an application seeking approval of OP-1250 or any future product candidates we may develop.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OP-1250 or any future product candidates we may develop. Even if regulatory approval is secured for OP-1250, the terms of such approval may limit the scope and use of OP-1250, which may also limit its commercial potential. Furthermore, the approval policies or regulations of the FDA, EMA or comparable foreign regulatory authorities may significantly change in a manner rendering our clinical data insufficient for approval, which may lead to the FDA, EMA or comparable foreign regulatory authorities delaying, limiting or denying approval of OP-1250, including and any other indication we are seeking for approval under OP-1250.</w:t>
      </w:r>
    </w:p>
    <w:p>
      <w:pPr>
        <w:spacing w:after="0" w:line="191" w:lineRule="exact"/>
        <w:rPr>
          <w:sz w:val="20"/>
          <w:szCs w:val="20"/>
          <w:color w:val="auto"/>
        </w:rPr>
      </w:pPr>
    </w:p>
    <w:p>
      <w:pPr>
        <w:jc w:val="both"/>
        <w:ind w:left="60" w:right="59"/>
        <w:spacing w:after="0" w:line="249" w:lineRule="auto"/>
        <w:rPr>
          <w:sz w:val="20"/>
          <w:szCs w:val="20"/>
          <w:color w:val="auto"/>
        </w:rPr>
      </w:pPr>
      <w:r>
        <w:rPr>
          <w:rFonts w:ascii="Arial" w:cs="Arial" w:eastAsia="Arial" w:hAnsi="Arial"/>
          <w:sz w:val="18"/>
          <w:szCs w:val="18"/>
          <w:b w:val="1"/>
          <w:bCs w:val="1"/>
          <w:i w:val="1"/>
          <w:iCs w:val="1"/>
          <w:color w:val="auto"/>
        </w:rPr>
        <w:t>The regulatory approval processes of the FDA, EMA and comparable foreign authorities are lengthy, time consuming and inherently unpredictable, and if we are ultimately unable to obtain regulatory approval for OP-1250 or any future product candidates we may develop, our business, financial condition, results of operations and prospects will be significantly harmed.</w:t>
      </w:r>
    </w:p>
    <w:p>
      <w:pPr>
        <w:spacing w:after="0" w:line="165"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The time required to obtain approval by the FDA, EMA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Applications for OP-1250 could fail to receive regulatory approval for many reasons, including the following:</w:t>
      </w:r>
    </w:p>
    <w:p>
      <w:pPr>
        <w:spacing w:after="0" w:line="212" w:lineRule="exact"/>
        <w:rPr>
          <w:sz w:val="20"/>
          <w:szCs w:val="20"/>
          <w:color w:val="auto"/>
        </w:rPr>
      </w:pPr>
    </w:p>
    <w:p>
      <w:pPr>
        <w:ind w:left="720" w:right="79" w:hanging="319"/>
        <w:spacing w:after="0" w:line="270" w:lineRule="auto"/>
        <w:tabs>
          <w:tab w:leader="none" w:pos="720" w:val="left"/>
        </w:tabs>
        <w:numPr>
          <w:ilvl w:val="0"/>
          <w:numId w:val="22"/>
        </w:numPr>
        <w:rPr>
          <w:rFonts w:ascii="Times New Roman" w:cs="Times New Roman" w:eastAsia="Times New Roman" w:hAnsi="Times New Roman"/>
          <w:sz w:val="18"/>
          <w:szCs w:val="18"/>
          <w:color w:val="231F20"/>
        </w:rPr>
      </w:pPr>
      <w:r>
        <w:rPr>
          <w:rFonts w:ascii="Arial" w:cs="Arial" w:eastAsia="Arial" w:hAnsi="Arial"/>
          <w:sz w:val="18"/>
          <w:szCs w:val="18"/>
          <w:color w:val="231F20"/>
        </w:rPr>
        <w:t>the FDA, EMA or other comparable foreign regulatory authorities may disagree with the design, implementation or results of our clinical trials;</w:t>
      </w:r>
    </w:p>
    <w:p>
      <w:pPr>
        <w:spacing w:after="0" w:line="154" w:lineRule="exact"/>
        <w:rPr>
          <w:rFonts w:ascii="Times New Roman" w:cs="Times New Roman" w:eastAsia="Times New Roman" w:hAnsi="Times New Roman"/>
          <w:sz w:val="18"/>
          <w:szCs w:val="18"/>
          <w:color w:val="231F20"/>
        </w:rPr>
      </w:pPr>
    </w:p>
    <w:p>
      <w:pPr>
        <w:jc w:val="both"/>
        <w:ind w:left="720" w:right="79" w:hanging="319"/>
        <w:spacing w:after="0" w:line="246" w:lineRule="auto"/>
        <w:tabs>
          <w:tab w:leader="none" w:pos="720" w:val="left"/>
        </w:tabs>
        <w:numPr>
          <w:ilvl w:val="0"/>
          <w:numId w:val="22"/>
        </w:numPr>
        <w:rPr>
          <w:rFonts w:ascii="Times New Roman" w:cs="Times New Roman" w:eastAsia="Times New Roman" w:hAnsi="Times New Roman"/>
          <w:sz w:val="18"/>
          <w:szCs w:val="18"/>
          <w:color w:val="231F20"/>
        </w:rPr>
      </w:pPr>
      <w:r>
        <w:rPr>
          <w:rFonts w:ascii="Arial" w:cs="Arial" w:eastAsia="Arial" w:hAnsi="Arial"/>
          <w:sz w:val="18"/>
          <w:szCs w:val="18"/>
          <w:color w:val="231F20"/>
        </w:rPr>
        <w:t>the FDA, EMA or other comparable foreign regulatory authorities may determine that OP-1250 is not safe and effective, only moderately effective or have undesirable or unintended side effects, toxicities or other characteristics that preclude our obtaining marketing approval or prevent or limit commercial use;</w:t>
      </w:r>
    </w:p>
    <w:p>
      <w:pPr>
        <w:spacing w:after="0" w:line="176" w:lineRule="exact"/>
        <w:rPr>
          <w:rFonts w:ascii="Times New Roman" w:cs="Times New Roman" w:eastAsia="Times New Roman" w:hAnsi="Times New Roman"/>
          <w:sz w:val="18"/>
          <w:szCs w:val="18"/>
          <w:color w:val="231F20"/>
        </w:rPr>
      </w:pPr>
    </w:p>
    <w:p>
      <w:pPr>
        <w:ind w:left="720" w:right="79" w:hanging="319"/>
        <w:spacing w:after="0" w:line="270" w:lineRule="auto"/>
        <w:tabs>
          <w:tab w:leader="none" w:pos="720" w:val="left"/>
        </w:tabs>
        <w:numPr>
          <w:ilvl w:val="0"/>
          <w:numId w:val="22"/>
        </w:numPr>
        <w:rPr>
          <w:rFonts w:ascii="Times New Roman" w:cs="Times New Roman" w:eastAsia="Times New Roman" w:hAnsi="Times New Roman"/>
          <w:sz w:val="18"/>
          <w:szCs w:val="18"/>
          <w:color w:val="231F20"/>
        </w:rPr>
      </w:pPr>
      <w:r>
        <w:rPr>
          <w:rFonts w:ascii="Arial" w:cs="Arial" w:eastAsia="Arial" w:hAnsi="Arial"/>
          <w:sz w:val="18"/>
          <w:szCs w:val="18"/>
          <w:color w:val="231F20"/>
        </w:rPr>
        <w:t>the population studied in the clinical trial may not be sufficiently broad or representative to assure efficacy and safety in the full population for which we seek approval;</w:t>
      </w:r>
    </w:p>
    <w:p>
      <w:pPr>
        <w:spacing w:after="0" w:line="154" w:lineRule="exact"/>
        <w:rPr>
          <w:rFonts w:ascii="Times New Roman" w:cs="Times New Roman" w:eastAsia="Times New Roman" w:hAnsi="Times New Roman"/>
          <w:sz w:val="18"/>
          <w:szCs w:val="18"/>
          <w:color w:val="231F20"/>
        </w:rPr>
      </w:pPr>
    </w:p>
    <w:p>
      <w:pPr>
        <w:ind w:left="720" w:right="79" w:hanging="319"/>
        <w:spacing w:after="0" w:line="270" w:lineRule="auto"/>
        <w:tabs>
          <w:tab w:leader="none" w:pos="720" w:val="left"/>
        </w:tabs>
        <w:numPr>
          <w:ilvl w:val="0"/>
          <w:numId w:val="22"/>
        </w:numPr>
        <w:rPr>
          <w:rFonts w:ascii="Times New Roman" w:cs="Times New Roman" w:eastAsia="Times New Roman" w:hAnsi="Times New Roman"/>
          <w:sz w:val="18"/>
          <w:szCs w:val="18"/>
          <w:color w:val="231F20"/>
        </w:rPr>
      </w:pPr>
      <w:r>
        <w:rPr>
          <w:rFonts w:ascii="Arial" w:cs="Arial" w:eastAsia="Arial" w:hAnsi="Arial"/>
          <w:sz w:val="18"/>
          <w:szCs w:val="18"/>
          <w:color w:val="231F20"/>
        </w:rPr>
        <w:t>the FDA, EMA or other comparable foreign regulatory authorities may disagree with our interpretation of data from nonclinical studies or clinical trials;</w:t>
      </w:r>
    </w:p>
    <w:p>
      <w:pPr>
        <w:spacing w:after="0" w:line="154" w:lineRule="exact"/>
        <w:rPr>
          <w:rFonts w:ascii="Times New Roman" w:cs="Times New Roman" w:eastAsia="Times New Roman" w:hAnsi="Times New Roman"/>
          <w:sz w:val="18"/>
          <w:szCs w:val="18"/>
          <w:color w:val="231F20"/>
        </w:rPr>
      </w:pPr>
    </w:p>
    <w:p>
      <w:pPr>
        <w:ind w:left="720" w:right="79" w:hanging="319"/>
        <w:spacing w:after="0" w:line="270" w:lineRule="auto"/>
        <w:tabs>
          <w:tab w:leader="none" w:pos="720" w:val="left"/>
        </w:tabs>
        <w:numPr>
          <w:ilvl w:val="0"/>
          <w:numId w:val="22"/>
        </w:numPr>
        <w:rPr>
          <w:rFonts w:ascii="Times New Roman" w:cs="Times New Roman" w:eastAsia="Times New Roman" w:hAnsi="Times New Roman"/>
          <w:sz w:val="18"/>
          <w:szCs w:val="18"/>
          <w:color w:val="231F20"/>
        </w:rPr>
      </w:pPr>
      <w:r>
        <w:rPr>
          <w:rFonts w:ascii="Arial" w:cs="Arial" w:eastAsia="Arial" w:hAnsi="Arial"/>
          <w:sz w:val="18"/>
          <w:szCs w:val="18"/>
          <w:color w:val="231F20"/>
        </w:rPr>
        <w:t>the data collected from clinical trials of OP-1250 may not be sufficient to support the submission of a NDA, or other submission or to obtain regulatory approval in the United States or elsewhere;</w:t>
      </w:r>
    </w:p>
    <w:p>
      <w:pPr>
        <w:spacing w:after="0" w:line="154" w:lineRule="exact"/>
        <w:rPr>
          <w:rFonts w:ascii="Times New Roman" w:cs="Times New Roman" w:eastAsia="Times New Roman" w:hAnsi="Times New Roman"/>
          <w:sz w:val="18"/>
          <w:szCs w:val="18"/>
          <w:color w:val="231F20"/>
        </w:rPr>
      </w:pPr>
    </w:p>
    <w:p>
      <w:pPr>
        <w:ind w:left="720" w:right="79" w:hanging="319"/>
        <w:spacing w:after="0" w:line="270" w:lineRule="auto"/>
        <w:tabs>
          <w:tab w:leader="none" w:pos="720" w:val="left"/>
        </w:tabs>
        <w:numPr>
          <w:ilvl w:val="0"/>
          <w:numId w:val="22"/>
        </w:numPr>
        <w:rPr>
          <w:rFonts w:ascii="Times New Roman" w:cs="Times New Roman" w:eastAsia="Times New Roman" w:hAnsi="Times New Roman"/>
          <w:sz w:val="18"/>
          <w:szCs w:val="18"/>
          <w:color w:val="231F20"/>
        </w:rPr>
      </w:pPr>
      <w:r>
        <w:rPr>
          <w:rFonts w:ascii="Arial" w:cs="Arial" w:eastAsia="Arial" w:hAnsi="Arial"/>
          <w:sz w:val="18"/>
          <w:szCs w:val="18"/>
          <w:color w:val="231F20"/>
        </w:rPr>
        <w:t>we may be unable to demonstrate to the FDA, EMA or other comparable foreign regulatory authorities that OP-1250’s risk-benefit ratio for its proposed indication is acceptable;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720" w:right="79" w:hanging="319"/>
        <w:spacing w:after="0" w:line="252" w:lineRule="auto"/>
        <w:tabs>
          <w:tab w:leader="none" w:pos="720" w:val="left"/>
        </w:tabs>
        <w:numPr>
          <w:ilvl w:val="0"/>
          <w:numId w:val="23"/>
        </w:numPr>
        <w:rPr>
          <w:rFonts w:ascii="Times New Roman" w:cs="Times New Roman" w:eastAsia="Times New Roman" w:hAnsi="Times New Roman"/>
          <w:sz w:val="18"/>
          <w:szCs w:val="18"/>
          <w:color w:val="231F20"/>
        </w:rPr>
      </w:pPr>
      <w:r>
        <w:rPr>
          <w:rFonts w:ascii="Arial" w:cs="Arial" w:eastAsia="Arial" w:hAnsi="Arial"/>
          <w:sz w:val="18"/>
          <w:szCs w:val="18"/>
          <w:color w:val="231F20"/>
        </w:rPr>
        <w:t>the FDA, EMA or other comparable foreign regulatory authorities may fail to approve the manufacturing processes, test procedures and specifications or facilities of third-party manufacturers with which we contract for clinical and commercial supplies; and</w:t>
      </w:r>
    </w:p>
    <w:p>
      <w:pPr>
        <w:spacing w:after="0" w:line="170" w:lineRule="exact"/>
        <w:rPr>
          <w:rFonts w:ascii="Times New Roman" w:cs="Times New Roman" w:eastAsia="Times New Roman" w:hAnsi="Times New Roman"/>
          <w:sz w:val="18"/>
          <w:szCs w:val="18"/>
          <w:color w:val="231F20"/>
        </w:rPr>
      </w:pPr>
    </w:p>
    <w:p>
      <w:pPr>
        <w:ind w:left="720" w:right="79" w:hanging="319"/>
        <w:spacing w:after="0" w:line="270" w:lineRule="auto"/>
        <w:tabs>
          <w:tab w:leader="none" w:pos="7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231F20"/>
        </w:rPr>
        <w:t>the approval policies or regulations of the FDA, EMA or other comparable foreign regulatory authorities may significantly change in a manner rendering our clinical data insufficient for approval.</w:t>
      </w:r>
    </w:p>
    <w:p>
      <w:pPr>
        <w:spacing w:after="0" w:line="154" w:lineRule="exact"/>
        <w:rPr>
          <w:rFonts w:ascii="Times New Roman" w:cs="Times New Roman" w:eastAsia="Times New Roman" w:hAnsi="Times New Roman"/>
          <w:sz w:val="18"/>
          <w:szCs w:val="18"/>
          <w:color w:val="auto"/>
        </w:rPr>
      </w:pPr>
    </w:p>
    <w:p>
      <w:pPr>
        <w:jc w:val="both"/>
        <w:ind w:left="720" w:right="79" w:hanging="319"/>
        <w:spacing w:after="0" w:line="252" w:lineRule="auto"/>
        <w:tabs>
          <w:tab w:leader="none" w:pos="7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This lengthy approval process, as well as the unpredictability of the results of clinical trials, may result in our failing to obtain regulatory approval to market OP-1250, which would significantly harm our business, financial condition, results of operations and prospects.</w:t>
      </w:r>
    </w:p>
    <w:p>
      <w:pPr>
        <w:spacing w:after="0" w:line="171"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 addition, even if we obtain approval of OP-1250 for a lead indication, regulatory authorities may not approve OP-1250 for other indications, may impose significant limitations in the form of narrow indications, warnings, or a Risk Evaluation and Mitigation Strategy, or REMS. Certain regulatory authorities may grant approval contingent on the performance of costly post-marketing clinical trials or may approve OP-1250 with a label that does not include the labeling claims necessary or desirable for successful. In addition, regulatory authorities in certain countries may not approve the price we intend to charge for the product we develop. If we are unable to obtain regulatory approval of OP-1250, or if regulatory approval is limited, our business, financial condition, results of operation and prospects will be significantly harmed.</w:t>
      </w:r>
    </w:p>
    <w:p>
      <w:pPr>
        <w:spacing w:after="0" w:line="182"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b w:val="1"/>
          <w:bCs w:val="1"/>
          <w:i w:val="1"/>
          <w:iCs w:val="1"/>
          <w:color w:val="auto"/>
        </w:rPr>
        <w:t>Delays in clinical trials are common and have many causes, and any delay could result in increased costs to us and jeopardize or delay our ability to obtain regulatory approval and commence product sales.</w:t>
      </w:r>
    </w:p>
    <w:p>
      <w:pPr>
        <w:spacing w:after="0" w:line="159"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We may experience delays in clinical trials of OP-1250 or any future product candidate we may develop. Our planned clinical trials may not begin on time, have an effective design, enroll a sufficient number of patients, or be completed on schedule, if at all. Our clinical trials can be delayed for a variety of reasons, including delays related to:</w:t>
      </w:r>
    </w:p>
    <w:p>
      <w:pPr>
        <w:spacing w:after="0" w:line="174" w:lineRule="exact"/>
        <w:rPr>
          <w:sz w:val="20"/>
          <w:szCs w:val="20"/>
          <w:color w:val="auto"/>
        </w:rPr>
      </w:pPr>
    </w:p>
    <w:p>
      <w:pPr>
        <w:ind w:left="720" w:right="79" w:hanging="319"/>
        <w:spacing w:after="0" w:line="270" w:lineRule="auto"/>
        <w:tabs>
          <w:tab w:leader="none" w:pos="7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231F20"/>
        </w:rPr>
        <w:t>the FDA, EMA or comparable foreign regulatory authorities disagreeing as to the design or implementation of our clinical trials;</w:t>
      </w:r>
    </w:p>
    <w:p>
      <w:pPr>
        <w:spacing w:after="0" w:line="15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231F20"/>
        </w:rPr>
        <w:t>obtaining regulatory authorizations to commence a trial or reaching a consensus with regulatory authorities on trial design;</w:t>
      </w:r>
    </w:p>
    <w:p>
      <w:pPr>
        <w:spacing w:after="0" w:line="15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231F20"/>
        </w:rPr>
        <w:t>any failure or delay in reaching an agreement with CROs and clinical trial sites, the terms of which can be subject to extensive negotiation and may vary significantly among different CROs and trial sites;</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231F20"/>
        </w:rPr>
        <w:t>obtaining approval from one or more institutional review boards, or IRBs;</w:t>
      </w:r>
    </w:p>
    <w:p>
      <w:pPr>
        <w:spacing w:after="0" w:line="22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231F20"/>
        </w:rPr>
        <w:t>IRBs refusing to approve, suspending or terminating the trial at an investigational site, precluding enrollment of additional subjects, or withdrawing their approval of the trial;</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231F20"/>
        </w:rPr>
        <w:t>changes to clinical trial protocol;</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231F20"/>
        </w:rPr>
        <w:t>clinical sites deviating from trial protocol or dropping out of a trial;</w:t>
      </w:r>
    </w:p>
    <w:p>
      <w:pPr>
        <w:spacing w:after="0" w:line="22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231F20"/>
        </w:rPr>
        <w:t>manufacturing sufficient quantities of product candidate or obtaining sufficient quantities of combination therapies for use in clinical trials;</w:t>
      </w:r>
    </w:p>
    <w:p>
      <w:pPr>
        <w:spacing w:after="0" w:line="15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231F20"/>
        </w:rPr>
        <w:t>subjects failing to enroll or remain in our trial at the rate we expect, or failing to return for post-treatment follow- up;</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231F20"/>
        </w:rPr>
        <w:t>delays in enrollment by subjects, or completion of the trial by subjects, due to the COVID-19 pandemic;</w:t>
      </w:r>
    </w:p>
    <w:p>
      <w:pPr>
        <w:spacing w:after="0" w:line="22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231F20"/>
        </w:rPr>
        <w:t>subjects choosing an alternative treatment for the indication for which we are developing OP-1250, or participating in competing clinical trials;</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231F20"/>
        </w:rPr>
        <w:t>lack of adequate funding to continue the clinical trial;</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231F20"/>
        </w:rPr>
        <w:t>subjects experiencing severe or unexpected drug-related adverse effects;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231F20"/>
        </w:rPr>
        <w:t>regulatory authorities imposing a clinical hold;</w:t>
      </w:r>
    </w:p>
    <w:p>
      <w:pPr>
        <w:spacing w:after="0" w:line="22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231F20"/>
        </w:rPr>
        <w:t>occurrence of serious adverse events in trials of the same class of agents conducted by other companies;</w:t>
      </w:r>
    </w:p>
    <w:p>
      <w:pPr>
        <w:spacing w:after="0" w:line="15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231F20"/>
        </w:rPr>
        <w:t>selection of clinical end points that require prolonged periods of clinical observation or analysis of the resulting data;</w:t>
      </w:r>
    </w:p>
    <w:p>
      <w:pPr>
        <w:spacing w:after="0" w:line="154" w:lineRule="exact"/>
        <w:rPr>
          <w:rFonts w:ascii="Times New Roman" w:cs="Times New Roman" w:eastAsia="Times New Roman" w:hAnsi="Times New Roman"/>
          <w:sz w:val="18"/>
          <w:szCs w:val="18"/>
          <w:color w:val="auto"/>
        </w:rPr>
      </w:pPr>
    </w:p>
    <w:p>
      <w:pPr>
        <w:jc w:val="both"/>
        <w:ind w:left="720" w:right="79" w:hanging="319"/>
        <w:spacing w:after="0" w:line="242" w:lineRule="auto"/>
        <w:tabs>
          <w:tab w:leader="none" w:pos="7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231F20"/>
        </w:rPr>
        <w:t>shutdowns, either temporarily or permanently, of any facility manufacturing OP-1250 or any future product candidate we may develop or any of their components, including by order from the FDA, competent authorities of EU Member States or comparable foreign regulatory authorities due to violations of current good manufacturing practice, or cGMP, regulations or other applicable requirements, or infections or cross-contaminations of OP-1250 or any future product candidate we may develop in the manufacturing process;</w:t>
      </w:r>
    </w:p>
    <w:p>
      <w:pPr>
        <w:spacing w:after="0" w:line="17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231F20"/>
        </w:rPr>
        <w:t>any changes to our manufacturing process that may be necessary or desired;</w:t>
      </w:r>
    </w:p>
    <w:p>
      <w:pPr>
        <w:spacing w:after="0" w:line="224" w:lineRule="exact"/>
        <w:rPr>
          <w:rFonts w:ascii="Times New Roman" w:cs="Times New Roman" w:eastAsia="Times New Roman" w:hAnsi="Times New Roman"/>
          <w:sz w:val="18"/>
          <w:szCs w:val="18"/>
          <w:color w:val="auto"/>
        </w:rPr>
      </w:pPr>
    </w:p>
    <w:p>
      <w:pPr>
        <w:jc w:val="both"/>
        <w:ind w:left="720" w:right="79" w:hanging="319"/>
        <w:spacing w:after="0" w:line="252" w:lineRule="auto"/>
        <w:tabs>
          <w:tab w:leader="none" w:pos="7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231F20"/>
        </w:rPr>
        <w:t>third-party clinical investigators losing the licenses or permits necessary to perform our clinical trials, not performing our clinical trials on our anticipated schedule or consistent with the clinical trial protocol, good clinical practices, or GCP, or other regulatory requirements;</w:t>
      </w:r>
    </w:p>
    <w:p>
      <w:pPr>
        <w:spacing w:after="0" w:line="17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231F20"/>
        </w:rPr>
        <w:t>third-party contractors not performing data collection or analysis in a timely or accurate manner; or</w:t>
      </w:r>
    </w:p>
    <w:p>
      <w:pPr>
        <w:spacing w:after="0" w:line="224" w:lineRule="exact"/>
        <w:rPr>
          <w:rFonts w:ascii="Times New Roman" w:cs="Times New Roman" w:eastAsia="Times New Roman" w:hAnsi="Times New Roman"/>
          <w:sz w:val="18"/>
          <w:szCs w:val="18"/>
          <w:color w:val="auto"/>
        </w:rPr>
      </w:pPr>
    </w:p>
    <w:p>
      <w:pPr>
        <w:jc w:val="both"/>
        <w:ind w:left="720" w:right="79" w:hanging="319"/>
        <w:spacing w:after="0" w:line="246" w:lineRule="auto"/>
        <w:tabs>
          <w:tab w:leader="none" w:pos="7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231F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177"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 xml:space="preserve">In addition, disruptions caused by the COVID-19 pandemic may increase the likelihood that we encounter such difficulties or delays in initiating, enrolling, conducting or completing our planned and ongoing clinical trials. We could also encounter delays if a clinical trial is suspended or terminated by us, by the IRBs of the institutions in which such trials are being conducted, by a Data Safety Monitoring Board for such trial or by the FDA, </w:t>
      </w:r>
      <w:r>
        <w:rPr>
          <w:rFonts w:ascii="Arial" w:cs="Arial" w:eastAsia="Arial" w:hAnsi="Arial"/>
          <w:sz w:val="18"/>
          <w:szCs w:val="18"/>
          <w:color w:val="231F20"/>
        </w:rPr>
        <w:t xml:space="preserve">competent authorities of EU Member States </w:t>
      </w:r>
      <w:r>
        <w:rPr>
          <w:rFonts w:ascii="Arial" w:cs="Arial" w:eastAsia="Arial" w:hAnsi="Arial"/>
          <w:sz w:val="18"/>
          <w:szCs w:val="18"/>
          <w:color w:val="000000"/>
        </w:rPr>
        <w:t>or comparable foreign regulatory authorities. Such authorities may</w:t>
      </w:r>
      <w:r>
        <w:rPr>
          <w:rFonts w:ascii="Arial" w:cs="Arial" w:eastAsia="Arial" w:hAnsi="Arial"/>
          <w:sz w:val="18"/>
          <w:szCs w:val="18"/>
          <w:color w:val="231F20"/>
        </w:rPr>
        <w:t xml:space="preserve"> </w:t>
      </w:r>
      <w:r>
        <w:rPr>
          <w:rFonts w:ascii="Arial" w:cs="Arial" w:eastAsia="Arial" w:hAnsi="Arial"/>
          <w:sz w:val="18"/>
          <w:szCs w:val="18"/>
          <w:color w:val="000000"/>
        </w:rPr>
        <w:t xml:space="preserve">impose such a suspension or termination due to a number of factors, including failure to conduct the clinical trial in accordance with regulatory requirements or our clinical protocols, inspection of the clinical trial operations or trial site by the FDA, </w:t>
      </w:r>
      <w:r>
        <w:rPr>
          <w:rFonts w:ascii="Arial" w:cs="Arial" w:eastAsia="Arial" w:hAnsi="Arial"/>
          <w:sz w:val="18"/>
          <w:szCs w:val="18"/>
          <w:color w:val="231F20"/>
        </w:rPr>
        <w:t>competent authorities of EU Member States</w:t>
      </w:r>
      <w:r>
        <w:rPr>
          <w:rFonts w:ascii="Arial" w:cs="Arial" w:eastAsia="Arial" w:hAnsi="Arial"/>
          <w:sz w:val="18"/>
          <w:szCs w:val="18"/>
          <w:color w:val="000000"/>
        </w:rPr>
        <w:t xml:space="preserve">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Further, conducting clinical trials in foreign countries, as we may do for OP-1250 or product candidates we may develop in the future,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7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If we experience delays in the completion of, or termination of, any clinical trial of OP-1250 or any product candidates we may develop in the future, the commercial prospects of OP-1250 or any product candidates we may develop in the future will be harmed, and our ability to generate product revenues from OP-1250 or any product candidates we may develop in the future will be delayed. Moreover, any delays in completing our clinical trials will increase our costs, slow down OP-1250’s or any product candidates we may develop in the future’s development and approval process and jeopardize our ability to commence product sales and generate revenues.</w:t>
      </w:r>
    </w:p>
    <w:p>
      <w:pPr>
        <w:spacing w:after="0" w:line="18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 addition, many of the factors that cause, or lead to, termination or suspension of, or a delay in the commencement or completion of, clinical trials may also ultimately lead to the denial of regulatory approval of OP-1250 or any product candidates we may develop in the future. Any delays in our clinical trials that occur as a result could shorten any period during which we may have the exclusive right to commercialize OP-1250 or any product candidates we may develop in the future and our competitors may be able to bring products to market before we do, and the commercial viability of OP-1250 or any product candidates we may develop in the future could be significantly reduced. Any of these occurrences may significantly harm our business, financial condition, results of operations and prospects.</w:t>
      </w:r>
    </w:p>
    <w:p>
      <w:pPr>
        <w:spacing w:after="0" w:line="182" w:lineRule="exact"/>
        <w:rPr>
          <w:sz w:val="20"/>
          <w:szCs w:val="20"/>
          <w:color w:val="auto"/>
        </w:rPr>
      </w:pPr>
    </w:p>
    <w:p>
      <w:pPr>
        <w:jc w:val="both"/>
        <w:ind w:left="60" w:right="79"/>
        <w:spacing w:after="0" w:line="249" w:lineRule="auto"/>
        <w:rPr>
          <w:sz w:val="20"/>
          <w:szCs w:val="20"/>
          <w:color w:val="auto"/>
        </w:rPr>
      </w:pPr>
      <w:r>
        <w:rPr>
          <w:rFonts w:ascii="Arial" w:cs="Arial" w:eastAsia="Arial" w:hAnsi="Arial"/>
          <w:sz w:val="18"/>
          <w:szCs w:val="18"/>
          <w:b w:val="1"/>
          <w:bCs w:val="1"/>
          <w:i w:val="1"/>
          <w:iCs w:val="1"/>
          <w:color w:val="auto"/>
        </w:rPr>
        <w:t>Although we have received Fast Track designation for OP-1250 for ER+/HER2- metastatic breast cancer that has progressed following one or more lines of endocrine therapy with at least one line given in combination with a CDK 4/6 inhibitor, we may be unable to obtain or maintain the benefits associated with such designation.</w:t>
      </w:r>
    </w:p>
    <w:p>
      <w:pPr>
        <w:spacing w:after="0" w:line="165"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In July 2022, we were granted FDA Fast Track designation for OP-1250 for ER+/HER2- metastatic breast cancer that has progressed following one or more lines of endocrine therapy with at least one line given in combination with a CDK 4/6 inhibitor. If a drug is intended for the treatment of a serious or life-threatening condition and demonstrates the potential to address unmet medical needs for this condition, the sponsor may apply for FDA Fast Track designation for a particular indication. NDAs submitted for Fast Track designated drugs may qualify for priority review, accelerated approval and rolling submission under the policies and procedures offered by the FDA, but the Fast Track designation does not assure any such qualification or ultimate marketing approval by the FDA. In addition, we may not experience a faster development process, review or approval compared to conventional FDA procedures, and receiving a Fast Track designation does not provide assurance of ultimate FDA approval.</w:t>
      </w:r>
    </w:p>
    <w:p>
      <w:pPr>
        <w:spacing w:after="0" w:line="182"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b w:val="1"/>
          <w:bCs w:val="1"/>
          <w:i w:val="1"/>
          <w:iCs w:val="1"/>
          <w:color w:val="auto"/>
        </w:rPr>
        <w:t>Because we are pursuing a variety of target indications for OP-1250, we may expend our limited resources to pursue a particular indication and fail to capitalize on indications or additional product candidates that may be more profitable or for which there is a greater likelihood of success.</w:t>
      </w:r>
    </w:p>
    <w:p>
      <w:pPr>
        <w:spacing w:after="0" w:line="15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are currently focused on pursuing a variety of target indications for OP-1250, and we have expended, and plan to continue to expend, significant resources to pursue these and other indications for OP-1250. In addition, we may in the future spend our resources on other research programs and product candidates for specific indications that ultimately do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18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Because we have limited financial and managerial resources, we must focus our research and development efforts on those product candidates and specific indications that we believe are the most promising. As a result, we may forego or delay pursuit of opportunities with other product candidates or other indications that later</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prove to have greater commercial potential. Our resource allocation decisions may cause us to fail to capitalize on viable commercial products or profitable market opportunities, which will significantly harm our business, financial condition, results of operations and prospects.</w:t>
      </w:r>
    </w:p>
    <w:p>
      <w:pPr>
        <w:spacing w:after="0" w:line="171"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Even if approved, OP-1250 may not achieve adequate market acceptance among physicians, patients, healthcare payors and others in the medical community necessary for commercial success.</w:t>
      </w:r>
    </w:p>
    <w:p>
      <w:pPr>
        <w:spacing w:after="0" w:line="13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Even if OP-1250 receives regulatory approval, it may not gain adequate market acceptance among physicians, patients, healthcare payors and others in the medical community. The degree of market acceptance would depend on a number of factors, including:</w:t>
      </w:r>
    </w:p>
    <w:p>
      <w:pPr>
        <w:spacing w:after="0" w:line="169" w:lineRule="exact"/>
        <w:rPr>
          <w:sz w:val="20"/>
          <w:szCs w:val="20"/>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231F20"/>
        </w:rPr>
        <w:t>the efficacy and safety profile as demonstrated in clinical trials compared to alternative treatments;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231F20"/>
        </w:rPr>
        <w:t>the timing of market introduction of the product candidate as well as competitive products;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231F20"/>
        </w:rPr>
        <w:t>the clinical indications for which the product candidate is approved;</w:t>
      </w:r>
    </w:p>
    <w:p>
      <w:pPr>
        <w:spacing w:after="0" w:line="22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231F20"/>
        </w:rPr>
        <w:t>restrictions on the use of OP-1250, such as boxed warnings or contraindications in labeling, or a REMS, if any, which may not be required of alternative treatments and competitor products;</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231F20"/>
        </w:rPr>
        <w:t>the potential and perceived advantages of product candidates over alternative treatments;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231F20"/>
        </w:rPr>
        <w:t>the cost of treatment in relation to alternative treatments;</w:t>
      </w:r>
    </w:p>
    <w:p>
      <w:pPr>
        <w:spacing w:after="0" w:line="22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231F20"/>
        </w:rPr>
        <w:t>our pricing and the availability of coverage and adequate reimbursement by third-party payors, including government authorities;</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231F20"/>
        </w:rPr>
        <w:t>the availability of OP-1250 for use as a combination therapy;</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231F20"/>
        </w:rPr>
        <w:t>relative convenience and ease of administration;</w:t>
      </w:r>
    </w:p>
    <w:p>
      <w:pPr>
        <w:spacing w:after="0" w:line="22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231F20"/>
        </w:rPr>
        <w:t>the willingness of the target patient population to try new therapies and of physicians to prescribe these therapies;</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231F20"/>
        </w:rPr>
        <w:t>the effectiveness of sales and marketing efforts;</w:t>
      </w:r>
    </w:p>
    <w:p>
      <w:pPr>
        <w:spacing w:after="0" w:line="22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231F20"/>
        </w:rPr>
        <w:t>unfavorable publicity relating to OP-1250 or similar approved products or product candidates in development by third parties; and</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231F20"/>
        </w:rPr>
        <w:t>the approval of other new therapies for the same indications.</w:t>
      </w:r>
    </w:p>
    <w:p>
      <w:pPr>
        <w:spacing w:after="0" w:line="224"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If OP-1250 is approved but does not achieve an adequate level of acceptance by physicians, hospitals, healthcare payors and patients, we may not generate or derive sufficient revenue and could significantly harm our business, financial condition, results of operations and prospects.</w:t>
      </w:r>
    </w:p>
    <w:p>
      <w:pPr>
        <w:spacing w:after="0" w:line="171"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If we experience delays or difficulties in the enrollment and/or maintenance of patients in clinical trials, our clinical development activities could be delayed or otherwise adversely affected.</w:t>
      </w:r>
    </w:p>
    <w:p>
      <w:pPr>
        <w:spacing w:after="0" w:line="139"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Patient enrollment is a significant factor in the timing of clinical trials, and the timing of our clinical trials depends, in part, on the speed at which we can recruit patients to participate in our trials, as well as completion of required follow-up periods. We may not be able to initiate or continue clinical trials for OP-1250, or any future product candidate we may develop, if we are unable to locate and enroll a sufficient number of eligible patients to participate in these trials to such trial’s conclusion as required by the FDA, EMA or other comparable foreign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regulatory authorities. Additionally, certain clinical trials for future product candidates may be focused on indications with relatively small patient populations, which may further limit enrollment of eligible patients or may result in slower enrollment than we anticipate. The eligibility criteria of our clinical trials, once established, may further limit the pool of available trial participants.</w:t>
      </w:r>
    </w:p>
    <w:p>
      <w:pPr>
        <w:spacing w:after="0" w:line="17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As a result of the COVID-19 pandemic, we have faced risk that enrollment of patients in our clinical trials and maintaining patients in our ongoing clinical trials could be delayed or limited as our clinical trial sites limit their onsite staff or temporarily close as a result of the COVID-19 pandemic, or are otherwise resource constrained, and may continue to face these risks as the COVID-19 pandemic continues to evolve. In addition, if, for any reason, patients are unable to visit clinical trial sites for dosing or data collection purposes related to the COVID-19 pandemic or for other reasons, such factors could delay the anticipated readouts from our clinical trials and ultimately delay future regulatory submissions.</w:t>
      </w:r>
    </w:p>
    <w:p>
      <w:pPr>
        <w:spacing w:after="0" w:line="185"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Patient enrollment may also be affected if our competitors have ongoing clinical trials for product candidates that are under development for the same indications as OP-1250, or any future product candidate we may develop, and patients who would otherwise be eligible for our clinical trials instead enroll in clinical trials of our competitors’ product candidates. Patient enrollment for any of our clinical trials may be affected by other factors, including:</w:t>
      </w:r>
    </w:p>
    <w:p>
      <w:pPr>
        <w:spacing w:after="0" w:line="176" w:lineRule="exact"/>
        <w:rPr>
          <w:sz w:val="20"/>
          <w:szCs w:val="20"/>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231F20"/>
        </w:rPr>
        <w:t>size and nature of the patient population;</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231F20"/>
        </w:rPr>
        <w:t>severity of the disease under investigation;</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231F20"/>
        </w:rPr>
        <w:t>availability and efficacy of approved drugs for the disease under investigation;</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231F20"/>
        </w:rPr>
        <w:t>patient eligibility criteria for the trial in question as defined in the protocol;</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231F20"/>
        </w:rPr>
        <w:t>perceived risks and benefits of the product candidate under study;</w:t>
      </w:r>
    </w:p>
    <w:p>
      <w:pPr>
        <w:spacing w:after="0" w:line="224" w:lineRule="exact"/>
        <w:rPr>
          <w:rFonts w:ascii="Times New Roman" w:cs="Times New Roman" w:eastAsia="Times New Roman" w:hAnsi="Times New Roman"/>
          <w:sz w:val="18"/>
          <w:szCs w:val="18"/>
          <w:color w:val="auto"/>
        </w:rPr>
      </w:pPr>
    </w:p>
    <w:p>
      <w:pPr>
        <w:jc w:val="both"/>
        <w:ind w:left="720" w:right="79" w:hanging="319"/>
        <w:spacing w:after="0" w:line="252" w:lineRule="auto"/>
        <w:tabs>
          <w:tab w:leader="none" w:pos="7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231F20"/>
        </w:rPr>
        <w:t>clinicians’ and patients’ perceptions as to the potential advantages of the product candidate being studied in relation to other available therapies, including any new products that may be approved for the indications we are investigating;</w:t>
      </w:r>
    </w:p>
    <w:p>
      <w:pPr>
        <w:spacing w:after="0" w:line="17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231F20"/>
        </w:rPr>
        <w:t>efforts to facilitate timely enrollment in clinical trials;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231F20"/>
        </w:rPr>
        <w:t>patient referral practices of physicians;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231F20"/>
        </w:rPr>
        <w:t>the ability to monitor patients adequately during and after treatment;</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231F20"/>
        </w:rPr>
        <w:t>proximity and availability of clinical trial sites for prospective patients;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231F20"/>
        </w:rPr>
        <w:t>continued enrollment of prospective patients by clinical trial sites;</w:t>
      </w:r>
    </w:p>
    <w:p>
      <w:pPr>
        <w:spacing w:after="0" w:line="22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231F20"/>
        </w:rPr>
        <w:t>the risk that patients enrolled in clinical trials will drop out of the trials before completion or, because they may be late-stage cancer patients, will not survive the full terms of the clinical trials; and</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231F20"/>
        </w:rPr>
        <w:t>the level of resources that clinical sites have to conduct a growing number of clinical studies.</w:t>
      </w:r>
    </w:p>
    <w:p>
      <w:pPr>
        <w:spacing w:after="0" w:line="224"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Our inability to enroll and maintain a sufficient number of patients for our clinical trials would result in significant delays or may require us to abandon one or more clinical trials altogether. Enrollment delays in our clinical trials may result in increased development costs for OP -250 or any future product candidate we may develop and jeopardize our ability to obtain marketing approval for the sale of OP-1250 or any product candidate we may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develop in the future. Furthermore, even if we are able to enroll a sufficient number of patients for our clinical trials, we may have difficulty maintaining enrollment of such patients in our clinical trials.</w:t>
      </w:r>
    </w:p>
    <w:p>
      <w:pPr>
        <w:spacing w:after="0" w:line="156"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b w:val="1"/>
          <w:bCs w:val="1"/>
          <w:i w:val="1"/>
          <w:iCs w:val="1"/>
          <w:color w:val="auto"/>
        </w:rPr>
        <w:t>We intend to develop OP-1250, and may develop future product candidates, in combination with other therapies, which exposes us to additional risks.</w:t>
      </w:r>
    </w:p>
    <w:p>
      <w:pPr>
        <w:spacing w:after="0" w:line="139"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We intend to develop OP-1250, and may develop other future product candidates, in combination with one or more other approved or unapproved therapies to treat cancer or other diseases. For example, in December 2021, we initiated a Phase 1b clinical trial of OP-1250 in a combination trial with a cyclin-dependent kinase 4 and 6 inhibitor, and in the third quarter of 2022 we initiated Phase 1b clinical trials of OP-1250 in combination with another cyclin-dependent kinase 4 and 6 inhibitor and with a phosphatidylinositol 3 kinase alpha inhibitor.</w:t>
      </w:r>
    </w:p>
    <w:p>
      <w:pPr>
        <w:spacing w:after="0" w:line="176"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Even if OP-1250, or any future product candidate we develop, were to receive marketing approval or be commercialized for use in combination with other existing therapies, we would continue to be subject to the risks that the FDA, EMA or comparable foreign regulatory authorities could revoke approval of the therapy used in combination with our product or that safety, efficacy, manufacturing or supply issues could arise with any of those existing therapies. If the therapies we use in combination with OP-1250, or any future product candidate we may develop, are replaced as the standard of care for the indications we choose for OP-1250 or any future product candidate we may develop, the FDA, EMA or comparable foreign regulatory authorities may require us to conduct additional clinical trials. The occurrence of any of these risks could result in our own product, if approved, being removed from the market or being less successful commercially.</w:t>
      </w:r>
    </w:p>
    <w:p>
      <w:pPr>
        <w:spacing w:after="0" w:line="183"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also may choose to evaluate OP-1250 or future product candidates in combination with one or more cancer therapies that have not yet been approved for marketing by the FDA, EMA or comparable foreign regulatory authorities. We will not be able to market and sell OP-1250, or any future product candidate we may develop, in combination with an unapproved cancer therapy for a combination indication if that unapproved therapy does not ultimately obtain marketing approval either alone or in combination with our product. In addition, unapproved cancer therapies face the same risks described with respect to OP-1250 currently in development and clinical trials, including the potential for serious adverse effects, delay in their clinical trials and lack of FDA, EMA or comparable foreign regulatory approval.</w:t>
      </w:r>
    </w:p>
    <w:p>
      <w:pPr>
        <w:spacing w:after="0" w:line="180"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If the FDA, EMA or comparable foreign regulatory authorities do not approve these other drugs or revoke their approval of, or if safety, efficacy, quality, manufacturing or supply issues arise with, the drugs we choose to evaluate in combination with OP-1250 or future product candidates we may develop, we may be unable to obtain approval of or market such combination therapy.</w:t>
      </w:r>
    </w:p>
    <w:p>
      <w:pPr>
        <w:spacing w:after="0" w:line="176"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b w:val="1"/>
          <w:bCs w:val="1"/>
          <w:i w:val="1"/>
          <w:iCs w:val="1"/>
          <w:color w:val="auto"/>
        </w:rPr>
        <w:t>Risks associated with the in-licensing or acquisition of drug candidates could cause substantial delays in the preclinical and clinical development of our drug candidates.</w:t>
      </w:r>
    </w:p>
    <w:p>
      <w:pPr>
        <w:spacing w:after="0" w:line="13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have previously in-licensed and we may acquire or in-license potential product candidates for in the future as we continue to build our pipeline. Such arrangements with third parties may impose diligence, development and commercialization obligations, milestone payments, royalty payments, indemnification and other obligations on us. Our obligations to pay milestone, royalty and other payments to our licensor may be substantial, and the amount and timing of such payments may impact our ability to progress the development and commercialization of our product candidate. Our rights to use any licensed intellectual property may be subject to the continuation of and our compliance with the terms of any such agreements.</w:t>
      </w:r>
    </w:p>
    <w:p>
      <w:pPr>
        <w:spacing w:after="0" w:line="171"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Disputes over intellectual property and other rights that we have licensed or acquired, or may license or acquire in the future, from third parties could prevent or impair our ability to maintain any such arrangements on acceptable terms, result in delays in the commencement or completion of our preclinical studies and clinical trials and impact our ability to successfully develop and commercialize the affected product candidates. If we fail to comply with our obligations under any licensing agreements, these agreements may be terminated or the scope of our rights under them may be reduced and we might be unable to develop, manufacture or market any product that is licensed under these agreements.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8"/>
          <w:szCs w:val="18"/>
          <w:b w:val="1"/>
          <w:bCs w:val="1"/>
          <w:i w:val="1"/>
          <w:iCs w:val="1"/>
          <w:color w:val="auto"/>
        </w:rPr>
        <w:t>The incidence and prevalence for target patient populations of OP-1250 are based on estimates and third-party sources. If the market opportunities for OP-1250, or any future product candidate we may develop, if and when approved, are smaller than we estimate or if any approval that we obtain is based on a narrower definition of the patient population, our revenue and ability to achieve profitability might be materially and adversely affected.</w:t>
      </w:r>
    </w:p>
    <w:p>
      <w:pPr>
        <w:spacing w:after="0" w:line="170"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Periodically, we make estimates regarding the incidence and prevalence of target patient populations for particular diseases based on various third-party sources and internally generated analysis and use such estimates in making decisions regarding our drug development strategy, including acquiring or in-licensing product candidates and determining indications on which to focus in nonclinical or clinical trials.</w:t>
      </w:r>
    </w:p>
    <w:p>
      <w:pPr>
        <w:spacing w:after="0" w:line="174"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The incidence and prevalence for target patient populations of OP-1250 are based on estimates and third-party sources. These estimates may be inaccurate or based on imprecise data. For example, the total addressable market opportunity will depend on, among other things, acceptance of our drugs by the medical community and patient access, drug pricing and reimbursement. The number of patients in the addressable markets may turn out to be lower than expected, patients may not be otherwise amenable to treatment with our drugs, or new patients may become increasingly difficult to identify or gain access to. If the market opportunities for OP-1250, or any future product candidate we may develop, if and when approved, are smaller than we estimate or if any approval that we obtain is based on a narrower definition of the patient population, our revenue and ability to achieve profitability might be materially and adversely affected.</w:t>
      </w:r>
    </w:p>
    <w:p>
      <w:pPr>
        <w:spacing w:after="0" w:line="185"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b w:val="1"/>
          <w:bCs w:val="1"/>
          <w:i w:val="1"/>
          <w:iCs w:val="1"/>
          <w:color w:val="auto"/>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59"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 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8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From time to time, we may also disclose interim data from our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has resulted and disclosure of interim data by us or by our competitors could in the future result in volatility in the price of our common stock.</w:t>
      </w:r>
    </w:p>
    <w:p>
      <w:pPr>
        <w:spacing w:after="0" w:line="18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our particular program, the approvability or commercialization of our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8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If the interim, top-line, or preliminary data that we report differ from actual results, or if others, including regulatory authorities, disagree with the conclusions reached, our ability to obtain approval for, and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commercialize, OP-1250 or any future product candidates we may develop may be harmed, which could significantly harm our business, financial condition, results of operations and prospects.</w:t>
      </w:r>
    </w:p>
    <w:p>
      <w:pPr>
        <w:spacing w:after="0" w:line="156"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and market technologies or products more rapidly than we do or that are more effective, safer or less expensive than OP-1250, or product candidates we may develop in the future, our commercial opportunities will be negatively impacted.</w:t>
      </w:r>
    </w:p>
    <w:p>
      <w:pPr>
        <w:spacing w:after="0" w:line="15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biotechnology and 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OP-1250. Any product candidate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are attempting to develop OP-1250. Products we may develop in the future are also likely to face competition from other products and therapies, some of which we may not currently be aware. In addition, OP-1250 and any product candidate that we may develop in the future may need to compete with off- label drugs used by physicians to treat the indications for which we seek approval. This may make it difficult for us to replace existing therapies with OP-1250 and any product candidate that we may develop in the future.</w:t>
      </w:r>
    </w:p>
    <w:p>
      <w:pPr>
        <w:spacing w:after="0" w:line="183"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 particular, there is intense competition in the fields of women’s cancer which we are pursuing. We have competitors both in the United States and internationally, including major multinational pharmaceutical companies, established biotechnology companies, specialty pharmaceutical companies, emerging and start-up companies, universities and other research institutions.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spacing w:after="0" w:line="18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If we are successful in developing OP-1250, it may compete against existing products and product candidates in development, to the extent any such product candidates are approved, for the treatment of estrogen receptor-positive, or ER+, breast cancer, including fulvestrant, marketed as FASLODEX® by AstraZeneca PLC and generic equivalents of FASLODEX® that are marketed or in development, giredestrant (GDC-9545) being developed by Roche Holding AG/Genentech, Inc., or Genentech, camizestrant (AZD9833) being developed by AstraZeneca PLC, imlunestrant (LY3484356) being developed by Eli Lilly and Co., elacestrant (RAD1901) being developed by Menarini Group, ARV 471 being developed by Arvinas, Inc., H3B 6545 being developed by H3 Biomedicines, a subsidiary of Eisai Co., Ltd., D-0502 being developed by InventisBio Co., Ltd., Borestrant (ZB716) being developed by EnhancedBio, Inc., AC0682 being developed by Accutar Biotechnology, Inc., SCO-120 being developed by Sun Pharma Advanced Research Company, Ltd., TTC-352 being developed by TTC Oncology, and lasofoxifene being developed by Sermonix Pharmaceuticals.</w:t>
      </w:r>
    </w:p>
    <w:p>
      <w:pPr>
        <w:spacing w:after="0" w:line="186"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7"/>
          <w:szCs w:val="17"/>
          <w:color w:val="auto"/>
        </w:rPr>
        <w:t>We have chosen to initially address well -validated biochemical targets, and therefore expect to face competition from existing products and products in development. There are a large number of companies developing or marketing treatments for cancer, including many major pharmaceutical and biotechnology companies. Many of these current and potential competitors may have significantly greater financial, manufacturing, commercial, clinical development, research and technical and human resources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 that we develop obsolete. Smaller or early-stage companies may also prove to be significant competitors, particularly through collaborative arrangements with large and established companies, as well as in acquiring technologies complementary to, or necessary for, our programs.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As a result of all of these factors, our competitors may succeed in obtaining approval from the FDA, EMA or other comparable foreign regulatory authorities or in discovering, developing and commercializing products in our field before we do.</w:t>
      </w:r>
    </w:p>
    <w:p>
      <w:pPr>
        <w:spacing w:after="0" w:line="16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side effects, are more convenient, have a broader label, are marketed more effectively, receive greater levels of reimbursement or are less expensive than products we may develop. Our competitors also may obtain marketing approval from the FDA, EMA or other comparable foreign regulatory authorities for their products more rapidly than we may obtain approval for ours, which could result in our competitors establishing a strong market position before we are able to enter the market. Even if OP-1250 or other product candidates we may develop in the future achieve marketing approval, they may be priced at a significant premium over competitive products if any have been approved by then, resulting in reduced competitiveness. Technological advances or products developed by our competitors may render our technologies or OP-1250 or product candidates we may develop in the future obsolete, less competitive or not economical. If we are unable to compete effectively, our opportunity to generate revenue from the sale of our product we may develop, if approved, would be adversely affected.</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methods of OP-1250 manufacturing or formulation may result in additional costs or delay.</w:t>
      </w:r>
    </w:p>
    <w:p>
      <w:pPr>
        <w:spacing w:after="0" w:line="210"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As OP-1250 progresses through nonclinical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OP-1250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OP-1250 and jeopardize our ability to commercialize OP-1250, if approved, and generate revenue.</w:t>
      </w:r>
    </w:p>
    <w:p>
      <w:pPr>
        <w:spacing w:after="0" w:line="185"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Any product candidate we develop may become subject to unfavorable third-party coverage and reimbursement practices, as well as pricing regulations.</w:t>
      </w:r>
    </w:p>
    <w:p>
      <w:pPr>
        <w:spacing w:after="0" w:line="13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If we obtain marketing approval of OP-1250, or any future product candidate we may develop, sales of such product will depend substantially, both in the United States and internationally, on the extent to which the costs of the product will be covered and reimbursed by third-party payors. If reimbursement is not available, or is available only at inadequate levels, we may not be able to successfully commercialize OP-1250 or any future product candidates we may develop.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80"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or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Moreover, eligibility for reimbursement does not imply that any drug will be paid for in all cases or at</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As a result, the coverage determination process is often time-consuming and costly. This process will require us to provide scientific and clinical support for the use of our product to each third-party payor separately, with no assurance that coverage and adequate reimbursement will be applied consistently or obtained in the first instance.</w:t>
      </w:r>
    </w:p>
    <w:p>
      <w:pPr>
        <w:spacing w:after="0" w:line="18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and third-party payors have attempted to control costs by limiting coverage and the amount of reimbursement for particular products and requiring substitutions of generic products and/or biosimilars. Increasingly, third-party payors are requiring that drug companies provide them with predetermined discounts from list prices and are challenging the prices charged for medical products. Further, such payors are increasingly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 approved drugs for a particular indication. We may need to conduct expensive pharmaco-economic studies to demonstrate the medical necessity and cost effectiveness of our product. Nonetheless, OP-1250 or any future product candidates we may develop may not be considered medically necessary or cost effective. We cannot be sure that coverage and reimbursement will be available for any product that we commercialize and, if reimbursement is available, what the level of reimbursement will be.</w:t>
      </w:r>
    </w:p>
    <w:p>
      <w:pPr>
        <w:spacing w:after="0" w:line="18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OP-1250 or any future product candidates we may develop.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OP-1250 or any future product candidates we may develop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OP-1250 or any future product candidates we may develop. Accordingly, in markets outside the United States, the reimbursement for any product that we commercialize may be reduced compared with the United States and may be insufficient to generate commercially reasonable revenue and profits.</w:t>
      </w:r>
    </w:p>
    <w:p>
      <w:pPr>
        <w:spacing w:after="0" w:line="188"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If we are unable to establish or sustain coverage and adequate reimbursement for any product candidates that we commercialize from third-party payors, the adoption of those products and potential sales revenue would be adversely affected, which, in turn, could adversely affect the ability to market or sell those product candidates, if approved. Coverage policies and third-party payor reimbursement rates may change at any time. Even if favorable coverage and reimbursement status is attained for a product for which we receive regulatory approval, less favorable coverage policies and reimbursement rates may be implemented in the future.</w:t>
      </w:r>
    </w:p>
    <w:p>
      <w:pPr>
        <w:spacing w:after="0" w:line="181"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b w:val="1"/>
          <w:bCs w:val="1"/>
          <w:i w:val="1"/>
          <w:iCs w:val="1"/>
          <w:color w:val="auto"/>
        </w:rPr>
        <w:t>Guidelines and recommendations published by various organizations can reduce the use of OP-1250 or any future product candidates we may develop.</w:t>
      </w:r>
    </w:p>
    <w:p>
      <w:pPr>
        <w:spacing w:after="0" w:line="139"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Government agencies promulgate regulations and guidelines directly applicable to us and to OP-1250 or any future product candidates we may develop. In addition, professional societies, such as practice management groups, private health and science foundations and organizations involved in various diseases from time to time may also publish guidelines or recommendations to the healthcare and patient communities. Recommendations of government agencies or these other groups or organizations may relate to such matters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as usage, dosage, route of administration and use of concomitant therapies. Recommendations or guidelines suggesting the reduced use of OP-1250 or any future product candidates we may develop or the use of competitive or alternative products as the standard of care to be followed by patients and healthcare providers could result in decreased use of OP-1250 or any future product candidates we may develop.</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214"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b w:val="1"/>
          <w:bCs w:val="1"/>
          <w:i w:val="1"/>
          <w:iCs w:val="1"/>
          <w:color w:val="auto"/>
        </w:rPr>
        <w:t>We may be unable to obtain U.S. or foreign regulatory approvals and, as a result, may be unable to commercialize OP-1250 or any future product candidate we may develop.</w:t>
      </w:r>
    </w:p>
    <w:p>
      <w:pPr>
        <w:spacing w:after="0" w:line="139"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OP-1250 is, and any product candidate we develop in the future will be, subject to extensive governmental regulations relating to, among other things, research, testing, development, manufacturing, safety, efficacy, approval, recordkeeping, reporting, labeling, storage, packaging, advertising and promotion, pricing, marketing and distribution of drugs. Rigorous nonclinical testing and clinical trials and an extensive regulatory approval process must be successfully completed in the United States and in many foreign jurisdictions before a new drug can be marketed. Satisfaction of these and other regulatory requirements is costly, time consuming, uncertain and subject to unanticipated delays. We cannot provide any assurance that OP-1250 or any product candidate we may develop will progress through required clinical testing and obtain the regulatory approvals necessary for us to begin selling them.</w:t>
      </w:r>
    </w:p>
    <w:p>
      <w:pPr>
        <w:spacing w:after="0" w:line="183"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We have not conducted, managed or completed large-scale or pivotal clinical trials nor managed the regulatory approval process with the FDA or any other regulatory authority. The time required to obtain approvals from the FDA and other regulatory authorities is unpredictable, and requires successful completion of extensive clinical trials which typically takes many years, depending upon the type, complexity and novelty of the product candidate. The standards that the FDA, EMA or other comparable foreign regulatory authorities use when evaluating clinical trial data can, and often does, change during drug development, which makes it difficult to predict with any certainty how they will be applied. We may also encounter unexpected delays or increased costs due to new government regulations, including future legislation or administrative action, or changes in FDA, EMA or other comparable foreign regulatory authorities’ policies during the period of drug development, clinical trials and FDA, EMA or other comparable foreign regulatory authorities’ regulatory review.</w:t>
      </w:r>
    </w:p>
    <w:p>
      <w:pPr>
        <w:spacing w:after="0" w:line="180"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Any delay or failure in seeking or obtaining required approvals would have a material and adverse effect on our ability to generate revenue from the particular product candidate for which we developing and seeking approval. Furthermore, any regulatory approval to market a drug may be subject to significant limitations on the approved uses or indications for which we may market the drug or the labeling or other restrictions. In addition, the FDA has the authority to require a REMS as part of approving a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180"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We may also become subject to numerous foreign regulatory requirements governing, among other things, the conduct of clinical trials and manufacturing of OP-1250.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8"/>
          <w:szCs w:val="18"/>
          <w:b w:val="1"/>
          <w:bCs w:val="1"/>
          <w:i w:val="1"/>
          <w:iCs w:val="1"/>
          <w:color w:val="auto"/>
        </w:rPr>
        <w:t>The withdrawal of the United Kingdom from the European Union may adversely impact our ability to obtain regulatory approvals of our product candidates in the United Kingdom, result in restrictions in the importation of our product candidates between the United Kingdom and the European Union, and may require us to incur additional expenses to commercialize our product candidates in the United Kingdom and the European Union.</w:t>
      </w:r>
    </w:p>
    <w:p>
      <w:pPr>
        <w:spacing w:after="0" w:line="17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Following the result of a referendum in 2016, the United Kingdom left the European Union on January 31, 2020, commonly referred to as Brexit. Pursuant to the formal withdrawal arrangements agreed between the United Kingdom and the European Union, the United Kingdom was subject to a transition period until December 31, 2020, or the Transition Period, during which European Union rules continued to apply. A trade and cooperation agreement, or the Trade and Cooperation Agreement, that outlines the future trading relationship between the United Kingdom and the European Union provisionally applied from January 1, 2021, and formally entered into force on May 1, 2021.</w:t>
      </w:r>
    </w:p>
    <w:p>
      <w:pPr>
        <w:spacing w:after="0" w:line="185"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Since a significant proportion of the regulatory framework in the United Kingdom applicable to our business and our product candidates is derived from European Union directives and regulations, Brexit has had, and will continue to have, a material impact upon the regulatory regime with respect to the development, manufacture, importation, approval and commercialization of our product candidates in the United Kingdom or the European Union, should any development or manufacturing of our product candidates take place in the United Kingdom.</w:t>
      </w:r>
    </w:p>
    <w:p>
      <w:pPr>
        <w:spacing w:after="0" w:line="176"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Great Britain (made up of England, Scotland, and Wales) is no longer covered by the EMA’s procedures for the grant of marketing authorizations (Northern Ireland will be covered by such procedures). A separate marketing authorization will be required to market drugs in Great Britain. Any delay in obtaining, or an inability to obtain, any marketing approvals in Great Britain, would delay or prevent us from commercializing our product candidates in Great Britain and restrict our ability to generate revenue and achieve and sustain profitability.</w:t>
      </w:r>
    </w:p>
    <w:p>
      <w:pPr>
        <w:spacing w:after="0" w:line="17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While the Trade and Cooperation Agreement provides for the tariff-free trade of medicinal products between the United Kingdom and the European Union there may be additional non-tariff costs to such trade which did not exist prior to the end of the Transition Period. Further, should the United Kingdom further diverge from the European Union from a regulatory perspective in relation to medicinal products, tariffs could be put into place in the future. We could therefore, both now and in the future, face significant additional expenses (when compared to the position prior to the end of the Transition Period)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United Kingdom.</w:t>
      </w:r>
    </w:p>
    <w:p>
      <w:pPr>
        <w:spacing w:after="0" w:line="18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Orphan designation in Great Britain following Brexit is, unlike in the European Union, not available pre-marketing authorization. Applications for orphan designation are made at the same time as an application for a marketing authorization. The criteria to be granted an orphan drug designation or essentially identical to those in the European Union but based on the prevalence of the condition in Great Britain. It is therefore possible that conditions that were or would have been designated as orphan conditions in Great Britain prior to the end of the Transition Period are or would no longer be and that conditions that were not currently designated as orphan conditions in the European Union will be designated as such in Great Britain.</w:t>
      </w:r>
    </w:p>
    <w:p>
      <w:pPr>
        <w:spacing w:after="0" w:line="187" w:lineRule="exact"/>
        <w:rPr>
          <w:sz w:val="20"/>
          <w:szCs w:val="20"/>
          <w:color w:val="auto"/>
        </w:rPr>
      </w:pPr>
    </w:p>
    <w:p>
      <w:pPr>
        <w:jc w:val="both"/>
        <w:ind w:left="60" w:right="79"/>
        <w:spacing w:after="0" w:line="256"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if we are unable to obtain sufficient insurance coverage, such inability could significantly harm our business, financial condition, results of operations and prospects.</w:t>
      </w:r>
    </w:p>
    <w:p>
      <w:pPr>
        <w:spacing w:after="0" w:line="159" w:lineRule="exact"/>
        <w:rPr>
          <w:sz w:val="20"/>
          <w:szCs w:val="20"/>
          <w:color w:val="auto"/>
        </w:rPr>
      </w:pPr>
    </w:p>
    <w:p>
      <w:pPr>
        <w:jc w:val="both"/>
        <w:ind w:left="60" w:right="79"/>
        <w:spacing w:after="0" w:line="247" w:lineRule="auto"/>
        <w:rPr>
          <w:sz w:val="20"/>
          <w:szCs w:val="20"/>
          <w:color w:val="auto"/>
        </w:rPr>
      </w:pPr>
      <w:r>
        <w:rPr>
          <w:rFonts w:ascii="Arial" w:cs="Arial" w:eastAsia="Arial" w:hAnsi="Arial"/>
          <w:sz w:val="18"/>
          <w:szCs w:val="18"/>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EMA or other regulatory authority investigation of the safety and effectiveness of our product, our manufacturing processes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and facilities or our marketing programs. FDA, EMA or other regulatory authority investigations could potentially lead to a recall of our product or more serious enforcement action, limitations on the approved indications for which it may be used or suspension or withdrawal of approvals. Regardless of the merits or eventual outcome, liability claims may also result in decreased demand for our product,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marketing OP-1250,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significantly harm our business, financial condition, results of operations and prospects.</w:t>
      </w:r>
    </w:p>
    <w:p>
      <w:pPr>
        <w:spacing w:after="0" w:line="188"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8"/>
          <w:szCs w:val="18"/>
          <w:b w:val="1"/>
          <w:bCs w:val="1"/>
          <w:i w:val="1"/>
          <w:iCs w:val="1"/>
          <w:color w:val="auto"/>
        </w:rPr>
        <w:t>OP-1250 and any future product candidates we develop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17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As is the case with pharmaceuticals generally, it is likely that there may be side effects and adverse events associated with the use of OP-1250 or any future product candidates we may develop. For example, during the Phase 1a portion of our Phase 1/2 clinical trial, three patients had grade 4 neutropenia attributed to study drug by the investigator, and two of these patients presented with fever and neutropenia. Results of our clinical trials could reveal a high and unacceptable severity and prevalence of side effects or unexpected characteristics. Undesirable side effects caused by OP-1250 or any future product candidates we may develop could cause us or regulatory authorities to interrupt, delay or halt clinical trials and could result in a more restrictive label or the delay or denial of regulatory approval by the FDA, EMA or other comparable foreign regulatory authorities. The drug-related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spacing w:after="0" w:line="186"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If OP-1250 or any future product candidates we may develop are associated with undesirable side effects or have unexpected characteristics in nonclinical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a trial, or result in potential product liability claims. Any of these occurrences may prevent us from achieving or maintaining market acceptance of the affected product candidate and may significantly harm our business, financial condition, results of operations and prospects.</w:t>
      </w:r>
    </w:p>
    <w:p>
      <w:pPr>
        <w:spacing w:after="0" w:line="18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Patients in our ongoing and planned clinical trials may in the future suffer significant adverse events or other side effects not observed in our nonclinical studies or previous clinical trials. OP-1250 or any future product candidates we may develop, may be used as chronic therapies or be used in pediatric populations, for which safety concerns may be particularly scrutinized by regulatory agencies. In addition, if OP-1250 or any future product candidates we may develop, are used in combination with other therapies, OP-1250 or any future product candidates we may develop may exacerbate adverse events associated with the therapy and it may not be possible to determine whether it was caused by our product or the one with which it was combined. Patients treated with OP-1250 or any future candidates we may develop, may also be undergoing surgical, radiation and chemotherapy treatments, which can cause side effects or adverse events that are unrelated to OP-1250 or any future product candidates we may develop,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 xml:space="preserve">If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w:t>
      </w:r>
      <w:r>
        <w:rPr>
          <w:rFonts w:ascii="Arial" w:cs="Arial" w:eastAsia="Arial" w:hAnsi="Arial"/>
          <w:sz w:val="18"/>
          <w:szCs w:val="18"/>
          <w:color w:val="231F20"/>
        </w:rPr>
        <w:t>competent authorities of EU Member States</w:t>
      </w:r>
      <w:r>
        <w:rPr>
          <w:rFonts w:ascii="Arial" w:cs="Arial" w:eastAsia="Arial" w:hAnsi="Arial"/>
          <w:sz w:val="18"/>
          <w:szCs w:val="18"/>
          <w:color w:val="000000"/>
        </w:rPr>
        <w:t>, other comparable regulatory authorities or an IRB may suspend</w:t>
      </w:r>
      <w:r>
        <w:rPr>
          <w:rFonts w:ascii="Arial" w:cs="Arial" w:eastAsia="Arial" w:hAnsi="Arial"/>
          <w:sz w:val="18"/>
          <w:szCs w:val="18"/>
          <w:color w:val="231F20"/>
        </w:rPr>
        <w:t xml:space="preserve"> </w:t>
      </w:r>
      <w:r>
        <w:rPr>
          <w:rFonts w:ascii="Arial" w:cs="Arial" w:eastAsia="Arial" w:hAnsi="Arial"/>
          <w:sz w:val="18"/>
          <w:szCs w:val="18"/>
          <w:color w:val="000000"/>
        </w:rPr>
        <w:t>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significantly harm our business, financial condition, results of operations and prospects. Further, if OP-1250 obtains marketing approval, toxicities associated with OP-1250 and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OP-1250 will cause toxicities in humans that would preclude or lead to the revocation of regulatory approval based on nonclinical studies or early-stage clinical trials.</w:t>
      </w:r>
    </w:p>
    <w:p>
      <w:pPr>
        <w:spacing w:after="0" w:line="186"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b w:val="1"/>
          <w:bCs w:val="1"/>
          <w:i w:val="1"/>
          <w:iCs w:val="1"/>
          <w:color w:val="auto"/>
        </w:rPr>
        <w:t>The FDA, EMA and other comparable foreign regulatory authorities may not accept data from trials conducted in locations outside of their jurisdiction.</w:t>
      </w:r>
    </w:p>
    <w:p>
      <w:pPr>
        <w:spacing w:after="0" w:line="13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may choose to conduct international clinical trials in the future. The acceptance of study data by the FDA, EMA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United States population and United States medical practice; (2) the trials are performed by clinical investigators of recognized competence and pursuant to current GCP requirements; and (3) the FDA is able to validate the data through an on-site inspection or other appropriate means. Additionally, the FDA’s clinical trial requirements, including the adequacy of the patient population studied and statistical powering, must be met. In addition, such foreign trials would be subject to the applicable local laws of the foreign jurisdictions where the trials are conducted. There can be no assurance that the FDA, EMA or any applicable foreign regulatory authority will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OP-1250 or any future product candidates we may develop not receiving approval for commercialization in the applicable jurisdiction.</w:t>
      </w:r>
    </w:p>
    <w:p>
      <w:pPr>
        <w:spacing w:after="0" w:line="190" w:lineRule="exact"/>
        <w:rPr>
          <w:sz w:val="20"/>
          <w:szCs w:val="20"/>
          <w:color w:val="auto"/>
        </w:rPr>
      </w:pPr>
    </w:p>
    <w:p>
      <w:pPr>
        <w:jc w:val="both"/>
        <w:ind w:left="60" w:right="79"/>
        <w:spacing w:after="0" w:line="256" w:lineRule="auto"/>
        <w:rPr>
          <w:sz w:val="20"/>
          <w:szCs w:val="20"/>
          <w:color w:val="auto"/>
        </w:rPr>
      </w:pPr>
      <w:r>
        <w:rPr>
          <w:rFonts w:ascii="Arial" w:cs="Arial" w:eastAsia="Arial" w:hAnsi="Arial"/>
          <w:sz w:val="18"/>
          <w:szCs w:val="18"/>
          <w:b w:val="1"/>
          <w:bCs w:val="1"/>
          <w:i w:val="1"/>
          <w:iCs w:val="1"/>
          <w:color w:val="auto"/>
        </w:rPr>
        <w:t>Obtaining and maintaining regulatory approval of OP-1250, or any product candidate we develop in the future, in one jurisdiction does not mean that we will be successful in obtaining regulatory approval of OP-1250, or any product candidate we develop in the future, in other jurisdictions.</w:t>
      </w:r>
    </w:p>
    <w:p>
      <w:pPr>
        <w:spacing w:after="0" w:line="15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Obtaining and maintaining regulatory approval of OP-1250, or any product candidate we develop in the future, in one jurisdiction does not guarantee that we will be able to obtain or maintain regulatory approval in any other jurisdiction. For example, even if the FDA, EMA or other foreign regulatory authority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 is also subject to approval.</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Obtaining foreign regulatory approvals and establishing and maintaining compliance with foreign regulatory requirements could result in significant delays, difficulties and costs for us and could delay or prevent the introduction of our product in certain countries. If we or any future collaborator fail to comply with the regulatory requirements in international markets or fail to receive applicable marketing approvals, our target market will be reduced and our ability to realize the full market potential of OP-1250, or any product candidate we develop in the future, will be harmed.</w:t>
      </w:r>
    </w:p>
    <w:p>
      <w:pPr>
        <w:spacing w:after="0" w:line="181"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Even if OP-1250, or any product candidate we develop in the future, receives regulatory approval, it will be subject to significant post-marketing regulatory requirements and oversight.</w:t>
      </w:r>
    </w:p>
    <w:p>
      <w:pPr>
        <w:spacing w:after="0" w:line="13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Any regulatory approvals that we may receive for OP-1250, or any product candidate we develop in the future,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REMS in order to approve OP-1250, which could entail requirements for a medication guide, physician training and communication plans or additional elements to ensure safe use, such as restricted distribution methods, patient registries and other risk minimization tools. In addition, if the FDA, EMA or applicable foreign regulatory authorities approve OP-1250 or any product candidate we develop in the future, the manufacturing processes, labeling, packaging, distribution, adverse event reporting, storage, advertising, promotion, import, export and recordkeeping for OP-1250 will be subject to extensive and ongoing regulatory requirements. These requirements include submissions of safety and other post-marketing information and reports, registration, as well as on-going compliance with cGMPs and GCP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including:</w:t>
      </w:r>
    </w:p>
    <w:p>
      <w:pPr>
        <w:spacing w:after="0" w:line="194" w:lineRule="exact"/>
        <w:rPr>
          <w:sz w:val="20"/>
          <w:szCs w:val="20"/>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231F20"/>
        </w:rPr>
        <w:t>delays in or the rejection of product approvals;</w:t>
      </w:r>
    </w:p>
    <w:p>
      <w:pPr>
        <w:spacing w:after="0" w:line="22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231F20"/>
        </w:rPr>
        <w:t>restrictions on our ability to conduct clinical trials, including full or partial clinical holds on ongoing or planned trials;</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231F20"/>
        </w:rPr>
        <w:t>restrictions on the products, manufacturers or manufacturing process;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231F20"/>
        </w:rPr>
        <w:t>warning letters;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231F20"/>
        </w:rPr>
        <w:t>civil and criminal penalties;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231F20"/>
        </w:rPr>
        <w:t>injunctions;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231F20"/>
        </w:rPr>
        <w:t>suspension or withdrawal of regulatory approvals;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231F20"/>
        </w:rPr>
        <w:t>product seizures, detentions or import bans;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231F20"/>
        </w:rPr>
        <w:t>voluntary or mandatory product recalls and publicity requirements;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231F20"/>
        </w:rPr>
        <w:t>total or partial suspension of production; and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231F20"/>
        </w:rPr>
        <w:t>imposition of restrictions on operations, including costly new manufacturing requirements.</w:t>
      </w:r>
    </w:p>
    <w:p>
      <w:pPr>
        <w:spacing w:after="0" w:line="224"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The occurrence of any event or penalty described above may inhibit our ability to commercialize OP-1250, or any product candidate we may develop in the future, and generate revenue and could require us to expend significant time and resources in response and could generate negative publicity.</w:t>
      </w:r>
    </w:p>
    <w:p>
      <w:pPr>
        <w:spacing w:after="0" w:line="169"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OP-1250 or any product candidate we may develop in the future.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78"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3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If OP-1250 or any future product candidate we may develop is approved for marketing, and we are found to have improperly promoted off-label uses of those products, we may become subject to significant liability. The FDA and other regulatory agencies strictly regulate the promotional claims that may be made about prescription products, such as OP-1250 or any future product candidates we may develop, if approved. In particular, a product may not be promoted for uses that are not approved by the FDA or such other regulatory agencies as reflected in the product’s approved labeling. If we receive marketing approval for OP-1250 or any future product candidates we may develop, physicians may nevertheless prescribe it to their patients in a manner that is inconsistent with the approved label based on the physician’s independent medical judgment.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OP-1250 or any future product candidates we may develop, if approved, we could become subject to significant liability, which would significantly harm our business, financial condition, results of operations and prospects.</w:t>
      </w:r>
    </w:p>
    <w:p>
      <w:pPr>
        <w:spacing w:after="0" w:line="190"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b w:val="1"/>
          <w:bCs w:val="1"/>
          <w:i w:val="1"/>
          <w:iCs w:val="1"/>
          <w:color w:val="auto"/>
        </w:rPr>
        <w:t>Disruptions at the FDA, EMA, applicable foreign regulatory authorities, the U.S. Securities and Exchange Commission, or the SEC,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significantly harm our business, financial condition, results of operations and prospects.</w:t>
      </w:r>
    </w:p>
    <w:p>
      <w:pPr>
        <w:spacing w:after="0" w:line="171"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ability of the FDA, EMA or any applicable foreign regulatory authority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 EMA or any applicable foreign regulatory authority’s ability to perform routine functions. Average review times at the agencies have fluctuated in recent years as a result and could be delated by the COVID-19 pandemic or other factors.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0"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Separately, in response to the COVID-19 pandemic, in March 2020, the FDA announced its intention to postpone most inspections of foreign and domestic manufacturing facilities and in July 2020 only restarted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inspections on a risk-based basis. Regulatory authorities outside the United States have adopted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Future government shutdowns or delays could impact our ability to access the public markets and obtain necessary capital in order to properly capitalize and continue our operations.</w:t>
      </w:r>
    </w:p>
    <w:p>
      <w:pPr>
        <w:spacing w:after="0" w:line="187" w:lineRule="exact"/>
        <w:rPr>
          <w:sz w:val="20"/>
          <w:szCs w:val="20"/>
          <w:color w:val="auto"/>
        </w:rPr>
      </w:pPr>
    </w:p>
    <w:p>
      <w:pPr>
        <w:jc w:val="both"/>
        <w:ind w:left="60" w:right="59"/>
        <w:spacing w:after="0" w:line="241" w:lineRule="auto"/>
        <w:rPr>
          <w:sz w:val="20"/>
          <w:szCs w:val="20"/>
          <w:color w:val="auto"/>
        </w:rPr>
      </w:pPr>
      <w:r>
        <w:rPr>
          <w:rFonts w:ascii="Arial" w:cs="Arial" w:eastAsia="Arial" w:hAnsi="Arial"/>
          <w:sz w:val="18"/>
          <w:szCs w:val="18"/>
          <w:b w:val="1"/>
          <w:bCs w:val="1"/>
          <w:i w:val="1"/>
          <w:iCs w:val="1"/>
          <w:color w:val="auto"/>
        </w:rPr>
        <w:t>We may attempt to secure approval from the FDA, EMA or comparable foreign regulatory authorities through the use of accelerated approval pathways. If we are unable to obtain such approval, we may be required to conduct additional nonclinical studies or clinical trials beyond those that we contemplate, which could increase the expense of obtaining, and delay the receipt of, necessary marketing approvals. Even if we receive accelerated approval from the FDA, EMA or comparable foreign regulatory authorities, if our confirmatory trials do not verify clinical benefit, or if we do not comply with rigorous post-marketing requirements, the FDA, EMA or comparable foreign regulatory authorities may seek to withdraw any accelerated approval.</w:t>
      </w:r>
    </w:p>
    <w:p>
      <w:pPr>
        <w:spacing w:after="0" w:line="171"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may in the future seek an accelerated approval for OP-1250 or future product candidates we may develop.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verity and describe the drug’s clinical benefit. Third-party payors may refuse to provide coverage or reimbursement for the drug until the confirmatory studies are complete. Additionally, if such post-approval studies fail to confirm the drug’s clinical benefit, the FDA may withdraw its approval of the drug.</w:t>
      </w:r>
    </w:p>
    <w:p>
      <w:pPr>
        <w:spacing w:after="0" w:line="18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Prior to seeking accelerated approval for OP-1250,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OP-1250,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OP-1250 would result in a longer time period to commercialization of such product candidate, could increase the cost of development of OP-1250 and could harm our competitive position in the marketplace.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face difficulties from changes to current regulations and future legislation.</w:t>
      </w:r>
    </w:p>
    <w:p>
      <w:pPr>
        <w:spacing w:after="0" w:line="21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OP-1250 or any future product candidates we may develop.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For example, in March 2010, the Patient Protection and Affordable Care Act of 2010, as amended by the Health Care and Education Reconciliation Act of 2010, or collectively the ACA, was passed, which substantially changed the way healthcare is financed by both the government and private insurers, and continues to significantly impact the U.S. pharmaceutical industry. There have been executive, judicial and Congressional challenges to certain aspects of the ACA. While Congress has not passed comprehensive repeal legislation, several bills affecting the implementation of certain taxes under the ACA have passed. On December 22, 2017, President Trump signed into law federal tax legislation commonly referred to as the Tax Cuts and Jobs Act, or the Tax Act, which included a provision repealing, effective January 1, 2019, the tax-based shared responsibility payment imposed by the ACA on certain individuals who fail to maintain qualifying health coverage for all or part of a year that is commonly referred to as the “individual mandate.” On June 17, 2021 the U.S. Supreme Court dismissed a challenge on procedural grounds that argued the ACA is unconstitutional in its entirety because the “individual mandate” was repealed by Congress. Further, prior to the U.S. Supreme Court ruling, on January 28, 2021, President Biden issued an executive order that initiated a special enrollment period for purposes of obtaining health insurance coverage through the ACA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In addition, on August 16, 2022, President Biden signed the Inflation Reduction Act of 2022, or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through a newly established manufacturer discount program. It is possible that the ACA will be subject to judicial or Congressional challenges in the future. It is unclear how any such challenges and the healthcare reform measures of the Biden administration will impact the ACA and our business.</w:t>
      </w:r>
    </w:p>
    <w:p>
      <w:pPr>
        <w:spacing w:after="0" w:line="19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These changes included aggregate reductions to Medicare payments to providers of 2% per fiscal year, effective April 1, 2013, which, due to subsequent legislative amendments, will stay in effect until 2031, except for a temporary suspension from May 1, 2020 through March 31, 2022 due to the COVID-19 pandemic, unless additional congressional action is taken. Under current legislation, the actual reduction in Medicare payments will vary from 1% in 2022 to up to 4% in the final fiscal year of this sequester.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Additionally,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In addition, Congress is considering additional health reform measures. These laws may result in additional reductions in Medicare and other healthcare funding, which could have a material adverse effect on potential customers for our drugs, if approved, and accordingly, our business.</w:t>
      </w:r>
    </w:p>
    <w:p>
      <w:pPr>
        <w:spacing w:after="0" w:line="188"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Moreover, there has been heightened governmental scrutiny recently over the manner in which drug manufacturers set prices for their marketed products, which has resulted in several presidential executive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w:t>
      </w:r>
    </w:p>
    <w:p>
      <w:pPr>
        <w:spacing w:after="0" w:line="17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For example, at the federal level, in July 2021, the Biden administration released an executive order that included multiple provisions aimed at prescription drugs. In response to Biden’s executive order, on September 9, 2021, HHS released a Comprehensive Plan for Addressing High Drug Prices that outlines principles for drug pricing reform. The plan sets out a variety of potential legislative policies that Congress could pursue as well as potential administrative actions HHS can take to advance these principles. In addition, the IRA, among other things, (1) directs HHS to negotiate the price of certain single-source drugs and biologics covered under Medicare and (2) imposes rebates under Medicare Part B and Medicare Part D to penalize price increases that outpace inflation. These provisions will take effect progressively starting in fiscal year 2023, although they may be subject to legal challenges. It is currently unclear how the IRA will be implemented but is likely to have a significant impact on the pharmaceutical industry.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9"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OP-1250 or any future product candidates we may develop.</w:t>
      </w:r>
    </w:p>
    <w:p>
      <w:pPr>
        <w:spacing w:after="0" w:line="179"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OP-1250 or any future product candidates we may develop, if any, may be.</w:t>
      </w:r>
    </w:p>
    <w:p>
      <w:pPr>
        <w:spacing w:after="0" w:line="178"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b w:val="1"/>
          <w:bCs w:val="1"/>
          <w:i w:val="1"/>
          <w:iCs w:val="1"/>
          <w:color w:val="auto"/>
        </w:rPr>
        <w:t>Our relationships with healthcare professionals, clinical investigators, CROs and third party payors in connection with our current and future business activities may be subject to federal and state healthcare fraud and abuse laws, false claims laws, transparency laws, government price reporting, and privacy and security laws (including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p>
    <w:p>
      <w:pPr>
        <w:spacing w:after="0" w:line="171"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Healthcare providers and third-party payors play a primary role in the recommendation and prescription of our product candidate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market, sell and distribute our product for which we obtain marketing approval. Restrictions under applicable federal and state healthcare laws and regulations include the following:</w:t>
      </w:r>
    </w:p>
    <w:p>
      <w:pPr>
        <w:spacing w:after="0" w:line="185" w:lineRule="exact"/>
        <w:rPr>
          <w:sz w:val="20"/>
          <w:szCs w:val="20"/>
          <w:color w:val="auto"/>
        </w:rPr>
      </w:pPr>
    </w:p>
    <w:p>
      <w:pPr>
        <w:jc w:val="both"/>
        <w:ind w:left="720" w:right="79" w:hanging="319"/>
        <w:spacing w:after="0" w:line="242" w:lineRule="auto"/>
        <w:tabs>
          <w:tab w:leader="none" w:pos="7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231F20"/>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w:t>
      </w:r>
    </w:p>
    <w:p>
      <w:pPr>
        <w:sectPr>
          <w:pgSz w:w="11900" w:h="16838" w:orient="portrait"/>
          <w:cols w:equalWidth="0" w:num="1">
            <w:col w:w="9019"/>
          </w:cols>
          <w:pgMar w:left="1440" w:top="513" w:right="1440"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720" w:right="79"/>
        <w:spacing w:after="0" w:line="247" w:lineRule="auto"/>
        <w:rPr>
          <w:sz w:val="20"/>
          <w:szCs w:val="20"/>
          <w:color w:val="auto"/>
        </w:rPr>
      </w:pPr>
      <w:r>
        <w:rPr>
          <w:rFonts w:ascii="Arial" w:cs="Arial" w:eastAsia="Arial" w:hAnsi="Arial"/>
          <w:sz w:val="18"/>
          <w:szCs w:val="18"/>
          <w:color w:val="231F20"/>
        </w:rPr>
        <w:t>of the federal Anti-Kickback Statute or specific intent to violate it in order to have committed a violation. In addition, the government may assert that a claim including items or services resulting from a violation of the U.S. federal Anti-Kickback Statute constitutes a false or fraudulent claim for purposes of the civil False Claims Act;</w:t>
      </w:r>
    </w:p>
    <w:p>
      <w:pPr>
        <w:spacing w:after="0" w:line="174" w:lineRule="exact"/>
        <w:rPr>
          <w:sz w:val="20"/>
          <w:szCs w:val="20"/>
          <w:color w:val="auto"/>
        </w:rPr>
      </w:pPr>
    </w:p>
    <w:p>
      <w:pPr>
        <w:jc w:val="both"/>
        <w:ind w:left="720" w:right="79" w:hanging="319"/>
        <w:spacing w:after="0" w:line="243" w:lineRule="auto"/>
        <w:tabs>
          <w:tab w:leader="none" w:pos="7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231F20"/>
        </w:rPr>
        <w:t>the federal false claims and civil monetary penalties laws, including the civil False Claims Act, which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179" w:lineRule="exact"/>
        <w:rPr>
          <w:rFonts w:ascii="Times New Roman" w:cs="Times New Roman" w:eastAsia="Times New Roman" w:hAnsi="Times New Roman"/>
          <w:sz w:val="18"/>
          <w:szCs w:val="18"/>
          <w:color w:val="auto"/>
        </w:rPr>
      </w:pPr>
    </w:p>
    <w:p>
      <w:pPr>
        <w:jc w:val="both"/>
        <w:ind w:left="720" w:right="79" w:hanging="319"/>
        <w:spacing w:after="0" w:line="243" w:lineRule="auto"/>
        <w:tabs>
          <w:tab w:leader="none" w:pos="7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231F20"/>
        </w:rPr>
        <w:t>the federal Health Insurance Portability and Accountability Act of 1996, or HIPAA, prohibits, among other things,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179" w:lineRule="exact"/>
        <w:rPr>
          <w:rFonts w:ascii="Times New Roman" w:cs="Times New Roman" w:eastAsia="Times New Roman" w:hAnsi="Times New Roman"/>
          <w:sz w:val="18"/>
          <w:szCs w:val="18"/>
          <w:color w:val="auto"/>
        </w:rPr>
      </w:pPr>
    </w:p>
    <w:p>
      <w:pPr>
        <w:jc w:val="both"/>
        <w:ind w:left="720" w:right="79"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231F20"/>
        </w:rPr>
        <w:t>HIPAA, as amended by the Health Information Technology for Economic and Clinical Health Act, or HITECH, and their implementing regulations, also imposes obligations, including mandatory contractual terms, on covered entities including certain covered healthcare providers, health plans, and healthcare clearinghouses and their respective business associates and covered subcontractors that perform services for them that involve the use, or disclosure of, individually identifiable health information with respect to safeguarding the privacy, security and transmission of individually identifiable health information;</w:t>
      </w:r>
    </w:p>
    <w:p>
      <w:pPr>
        <w:spacing w:after="0" w:line="183" w:lineRule="exact"/>
        <w:rPr>
          <w:rFonts w:ascii="Times New Roman" w:cs="Times New Roman" w:eastAsia="Times New Roman" w:hAnsi="Times New Roman"/>
          <w:sz w:val="18"/>
          <w:szCs w:val="18"/>
          <w:color w:val="auto"/>
        </w:rPr>
      </w:pPr>
    </w:p>
    <w:p>
      <w:pPr>
        <w:jc w:val="both"/>
        <w:ind w:left="720" w:right="79" w:hanging="319"/>
        <w:spacing w:after="0" w:line="239" w:lineRule="auto"/>
        <w:tabs>
          <w:tab w:leader="none" w:pos="7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231F20"/>
        </w:rPr>
        <w:t xml:space="preserve">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w:t>
      </w:r>
      <w:r>
        <w:rPr>
          <w:rFonts w:ascii="Arial" w:cs="Arial" w:eastAsia="Arial" w:hAnsi="Arial"/>
          <w:sz w:val="18"/>
          <w:szCs w:val="18"/>
          <w:color w:val="000000"/>
        </w:rPr>
        <w:t>doctors, dentists,</w:t>
      </w:r>
      <w:r>
        <w:rPr>
          <w:rFonts w:ascii="Arial" w:cs="Arial" w:eastAsia="Arial" w:hAnsi="Arial"/>
          <w:sz w:val="18"/>
          <w:szCs w:val="18"/>
          <w:color w:val="231F20"/>
        </w:rPr>
        <w:t xml:space="preserve"> </w:t>
      </w:r>
      <w:r>
        <w:rPr>
          <w:rFonts w:ascii="Arial" w:cs="Arial" w:eastAsia="Arial" w:hAnsi="Arial"/>
          <w:sz w:val="18"/>
          <w:szCs w:val="18"/>
          <w:color w:val="000000"/>
        </w:rPr>
        <w:t xml:space="preserve">optometrists, podiatrists and chiropractors) , other healthcare professionals (such as physician assistants and nurse practitioners), </w:t>
      </w:r>
      <w:r>
        <w:rPr>
          <w:rFonts w:ascii="Arial" w:cs="Arial" w:eastAsia="Arial" w:hAnsi="Arial"/>
          <w:sz w:val="18"/>
          <w:szCs w:val="18"/>
          <w:color w:val="231F20"/>
        </w:rPr>
        <w:t>and teaching hospitals, as well as information regarding ownership</w:t>
      </w:r>
      <w:r>
        <w:rPr>
          <w:rFonts w:ascii="Arial" w:cs="Arial" w:eastAsia="Arial" w:hAnsi="Arial"/>
          <w:sz w:val="18"/>
          <w:szCs w:val="18"/>
          <w:color w:val="000000"/>
        </w:rPr>
        <w:t xml:space="preserve"> </w:t>
      </w:r>
      <w:r>
        <w:rPr>
          <w:rFonts w:ascii="Arial" w:cs="Arial" w:eastAsia="Arial" w:hAnsi="Arial"/>
          <w:sz w:val="18"/>
          <w:szCs w:val="18"/>
          <w:color w:val="231F20"/>
        </w:rPr>
        <w:t>and investment interests held by physicians and their immediate family members. The information reported is publicly available on a searchable website, with disclosure required annually; and</w:t>
      </w:r>
    </w:p>
    <w:p>
      <w:pPr>
        <w:spacing w:after="0" w:line="186" w:lineRule="exact"/>
        <w:rPr>
          <w:rFonts w:ascii="Times New Roman" w:cs="Times New Roman" w:eastAsia="Times New Roman" w:hAnsi="Times New Roman"/>
          <w:sz w:val="18"/>
          <w:szCs w:val="18"/>
          <w:color w:val="auto"/>
        </w:rPr>
      </w:pPr>
    </w:p>
    <w:p>
      <w:pPr>
        <w:jc w:val="both"/>
        <w:ind w:left="720" w:right="79" w:hanging="319"/>
        <w:spacing w:after="0" w:line="252" w:lineRule="auto"/>
        <w:tabs>
          <w:tab w:leader="none" w:pos="7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231F20"/>
        </w:rPr>
        <w:t>analogous state and foreign laws and regulations, such as state anti-kickback and false claims laws, may apply to sales or marketing arrangements and claims involving healthcare items or services reimbursed by non- governmental third-party payors, including private insurers.</w:t>
      </w:r>
    </w:p>
    <w:p>
      <w:pPr>
        <w:spacing w:after="0" w:line="171"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Some state laws require biotechnology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Some state laws require biotechnology companies to report information on the pricing of certain drug products. Some state and local laws require the registration of pharmaceutical sales representatives.</w:t>
      </w:r>
    </w:p>
    <w:p>
      <w:pPr>
        <w:spacing w:after="0" w:line="179"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State and international laws also govern the privacy and security of health information in some circumstances, many of which differ from each other in significant ways and often are not preempted by HIPAA, thus complicating compliance efforts. For instance, the collection and use of health data in the European Union is governed by the General Data Protection Regulation, or the GDPR, which extends the enforcement of European Union data protection law to non-European Union entities under certain conditions, tightens existing European Union data protection principles, creates new obligations for companies and new rights for individuals. In particular, the GDPR includes obligations and restrictions concerning the consent and rights of individuals to whom the personal data relates, the transfer of personal data out of the European Economic Area, or EEA, or the United Kingdom, security breach notifications and the security and confidentiality of</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personal data. Further, the UK has implemented legislation similar to the GDPR, including the UK Data Protection Act and legislation similar to the GDPR referred to as the UK GDPR, which provides for fines of up to the greater of 17.5 million British Pounds or 4% of a company’s worldwide turnover, whichever is higher.</w:t>
      </w:r>
    </w:p>
    <w:p>
      <w:pPr>
        <w:spacing w:after="0" w:line="16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addition to introducing new data protection requirements in the EEA, the GDPR also established potential fines for noncompliant companies. Failure to comply with the GDPR may result in substantial fines up to the greater of €20 million or 4% of annual global revenue and other administrative penalties. Such fines are in addition to any civil litigation claims by data subjects. EEA data protection authorities may interpret the GDPR and national laws differently and impose additional requirements, which contributes to the complexity of processing personal data in or from the EEA or United Kingdom. Guidance on implementation and compliance practices is often updated or otherwise revised. The GDPR may increase our responsibility and liability in relation to personal data that we process and we may be required to put in place additional mechanisms ensuring compliance with the GDPR. This may be onerous and if our efforts to comply with the GDPR or other applicable European Union laws and regulations are not successful, it could adversely affect our business in the European Union.</w:t>
      </w:r>
    </w:p>
    <w:p>
      <w:pPr>
        <w:spacing w:after="0" w:line="18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European data protection laws also generally prohibit the transfer of personal data from Europe, including the EEA, United Kingdom and Switzerland, to the United States and most other countries unless the parties to the transfer have implemented specific safeguards to protect the transferred personal data. One of the primary safeguards used for transfers of personal data from the European Union to the United States, namely, the Privacy Shield framework administered by the U.S. Department of Commerce, was invalidated by a decision of the European Union’s highest court. The European Commission, however, released a set of “Standard Contractual Clauses” in June 2021 that are designed to be a valid mechanism by which entities can transfer personal data out of the EEA to jurisdictions that the European Commission has not found to provide an adequate level of protection. The Standard Contractual Clauses, however, require parties that rely upon that legal mechanism to comply with additional obligations, such as conducting transfer impact assessments to determine whether additional security measures are necessary to protect the at-issue personal data. Moreover, due to potential legal challenges, there exists some uncertainty regarding whether the Standard Contractual Clauses will remain a valid mechanism for transfers of personal data out of the EEA.</w:t>
      </w:r>
    </w:p>
    <w:p>
      <w:pPr>
        <w:spacing w:after="0" w:line="18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Further, the vote in the United Kingdom in favor of exiting the European Union, referred to as Brexit, has complicated data protection regulation in the United Kingdom. In particular, as of January 1, 2021, the GDPR has been converted into United Kingdom law and the United Kingdom is now a “third country” under the GDPR. Pursuant to the Trade and Cooperation Agreement, which went into effect on January 1, 2021, the United Kingdom and European Union agreed to a specified period during which the United Kingdom will be treated like a European Union member state in relation to transfers of personal data to the United Kingdom. On June 28, 2021, the European Commission announced a decision of “adequacy” concluding that the UK ensures an equivalent level of data protection to the GDPR, which provides some relief regarding the legality of continued personal data flows from the EEA to the UK. Some uncertainty remains, however, as this adequacy determination must be renewed after four years and may be modified or revoked in the interim. We cannot fully predict how the Data Protection Act, the UK GDPR, and other UK data protection laws or regulations may develop in the medium to longer term nor the effects of divergent laws and guidance regarding how data transfers to and from the UK will be regulated. In addition, as of January 1, 2021, the United Kingdom Information Commissioner’s Office is not able to be our ‘lead supervisory authority’ in respect of any ‘cross border processing’ for the purposes of the GDPR. In the event that we are unable to, or do not, designate a lead supervisory authority in an EEA member state, we would not be able to benefit from the GDPR’s ‘one stop shop’ mechanism. Amongst other things, this would mean that, in the event of a violation of the GDPR affecting data subjects across the United Kingdom and the EEA, we could be investigated by, and ultimately fined by the United Kingdom Information Commissioner’s Office and the supervisory authority in each and every EEA member state where data subjects have been affected by such violation.</w:t>
      </w:r>
    </w:p>
    <w:p>
      <w:pPr>
        <w:spacing w:after="0" w:line="195"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In the United States, numerous federal and state laws and regulations, including state personal information laws, state data breach notification laws, and federal and state consumer protection laws and regulations govern the collection, use, disclosure and protection of personal information. For example, the California</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Consumer Privacy Act, or CCPA, went into effect on January 1, 2020. The CCPA creates individual privacy rights for California consumers and increases the privacy and security obligations of entities handling certain personal information of consumers or households.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While there is currently an exception for protected health information that is subject to HIPAA and clinical trial regulations, as currently written, the CCPA may impact certain of our business activities and may increase our compliance costs and potential liability.</w:t>
      </w:r>
    </w:p>
    <w:p>
      <w:pPr>
        <w:spacing w:after="0" w:line="18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Additionally, California voters approved a new privacy law, the California Privacy Rights Act, or CPRA, in the November 3, 2020 election. Effective starting on January 1, 2023, the CPRA will significantly modify the CCPA, including by expanding consumers’ rights with respect to certain sensitive personal information. The CPRA also creates a new state agency that will be vested with authority to implement and enforce the CCPA and the CPRA. In addition, other states have enacted or proposed data privacy laws. For example, Virginia passed the Consumer Data Protection Act, or the VCDPA, effective January 1, 2023; Colorado recently passed the Privacy Rights Act, or the CPA, effective July 1, 2023; Connecticut passed the Data Privacy Act, or CDPA, effective July 1, 2023; and Utah recently passed the Consumer Privacy Act, or the UCPA, effective December 31, 2023. These laws demonstrate our vulnerability to the evolving regulatory environment related to personal information and make it difficult to predict the impact of such laws on our business or operations. The CPA and CDPA are similar to the CCPA and CPRA but aspects of these state privacy statutes remain unclear, resulting in further legal uncertainty and potentially requiring us to modify our data practices and policies and to incur substantial additional costs and expenses in an effort to comply.</w:t>
      </w:r>
    </w:p>
    <w:p>
      <w:pPr>
        <w:spacing w:after="0" w:line="18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 addition to the foregoing, any breach of privacy laws or data security laws, particularly resulting in a significant security incident or breach involving the misappropriation, loss or other unauthorized use or disclosure of sensitive or confidential patient or consumer information, could have a material adverse effect on our business, reputation and financial condition. As a data controller (under the GDPR) or business (under the CCPA), we will be accountable for any third-party service providers we engage to process personal data on our behalf, including our CROs. We attempt to mitigate the associated risks but there is no assurance that privacy and security-related safeguards will protect us from all risks associated with the third-party processing, storage and transmission of such information.</w:t>
      </w:r>
    </w:p>
    <w:p>
      <w:pPr>
        <w:spacing w:after="0" w:line="18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New legislation proposed or enacted in Illinois, Massachusetts, Nevada, New Jersey, New York, Rhode Island, Washington and other states, and a proposed right to privacy amendment to the Vermont Constitution, imposes, or has the potential to impose, additional obligations on companies that process confidential, sensitive and personal information, and will continue to shape the data privacy environment nationally. State laws are changing rapidly and there is discussion in Congress of a new federal data protection and privacy law to which we would become subject if it is enacted. All of these evolving compliance and operational requirements, including the requirement to comply with GDPR, CCPA, CPRA, VDCPA, CDPA, CPA, UCPA or other laws, regulations, amendments to or re-interpretations of existing laws and regulations, and contractual or other obligations relating to privacy, data protection, data transfers, data localization, or information security may impose significant costs that are likely to increase over time, may require us to modify our data processing practices and policies, divert resources from other initiatives and projects, modify our data practices and policies, restrict our business operations, and could restrict the way products and services involving data are offered, all of which could significantly harm our business, financial condition, results of operations and prospects. Further, certain state laws may be more stringent or broader in scope, or offer greater individual rights, with respect to confidential, sensitive and personal information than federal, international or other state laws, and such laws may differ from each other, which may complicate compliance efforts. Any actual or perceived failure by us to comply with these laws, regulations, or other obligations may lead to significant fines, penalties, regulatory investigations, lawsuits, significant costs for remediation, damage to our reputation, or other liabilities.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Many statutory requirements involving privacy and security, both in the United States and abroad, include obligations for companies to notify individuals of security breaches involving certain personal information, which could result from breaches experienced by us or our third-party service providers. For example, laws in all 50 U.S. states and the District of Columbia require businesses to provide notice to consumers whose personal information has been disclosed as a result of a data breach. These laws are not consistent, and compliance in the event of a widespread data breach is difficult and may be costly. Moreover, states have been frequently amending existing laws, requiring attention to changing regulatory requirements. We also may be contractually required to notify customers or other counterparties of a security breach. Although we may have contractual protections with our third-party service providers, contractors and consultants, any actual or perceived security breach could harm our reputation and brand, expose us to potential liability or require us to expend significant resources on data security and in responding to any such actual or perceived breach. Any contractual protections we may have from our third-party service providers, contractors or consultants may not be sufficient to adequately protect us from any such liabilities and losses, and we may be unable to enforce any such contractual protections.</w:t>
      </w:r>
    </w:p>
    <w:p>
      <w:pPr>
        <w:spacing w:after="0" w:line="189"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We expect that there will continue to be newly proposed health-related, privacy, and security laws and regulations, and we cannot yet determine the impact such future laws, regulations and standards may have on our business. New laws, amendments to or re-interpretations of existing laws, regulations, standards and other obligations may require us to incur additional costs and restrict our business operations, though our efforts to comply with the evolving data protection rules may be unsuccessful. If so, this could result in government-imposed fines or orders requiring that we change our practices, which could adversely affect our business. In addition, these privacy regulations may differ from country to country, and may vary based on whether testing is performed in the United States or in the local country and our operations or business practices may not comply with these regulations in each country.</w:t>
      </w:r>
    </w:p>
    <w:p>
      <w:pPr>
        <w:spacing w:after="0" w:line="183"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Complying with these various laws could cause us to incur substantial costs or require us to change our business practices and compliance procedures in a manner adverse to our business. Any inability to adequately address data privacy or security-related concerns, even if unfounded, or to comply with applicable laws, regulations, standards and other obligations relating to data privacy and security, could result in additional cost and liability to us, harm our reputation and brand, damage our relationships with customers and have a material adverse effect on our business.</w:t>
      </w:r>
    </w:p>
    <w:p>
      <w:pPr>
        <w:spacing w:after="0" w:line="18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Efforts to ensure that our current and future business arrangements with third parties will comply with applicable healthcare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15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197"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significantly harm our business, financial condition, results of operations or prospects.</w:t>
      </w:r>
    </w:p>
    <w:p>
      <w:pPr>
        <w:spacing w:after="0" w:line="15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0"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176"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76"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13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Certain laws and regulations require us to test our product candidate on animals before initiating clinical trials involving humans. Animal testing activities have been the subject of controversy and adverse publicity. Animal</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176"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8"/>
          <w:szCs w:val="18"/>
          <w:b w:val="1"/>
          <w:bCs w:val="1"/>
          <w:i w:val="1"/>
          <w:iCs w:val="1"/>
          <w:color w:val="auto"/>
        </w:rPr>
        <w:t>Our business activities may be subject to the U.S. Foreign Corrupt Practices Act, or the FCPA, and similar anti- 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spacing w:after="0" w:line="17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If we expand our operations outside of the United States, we must dedicate additional resources to comply with numerous laws and regulations in each jurisdiction in which we plan to operate. Our business activities may be subject to the FCPA and similar anti-bribery or anti-corruption laws, regulations or rules of other countries in which we operate. The FCPA generally prohibits companies and their employees and third party intermediaries from offering, promising, giving or authorizing the provision of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owned and operated by the government, and doctors and other hospital employees would be considered foreign officials under the FCPA. Recently the SEC and Department of Justice have increased their FCPA enforcement activities with respect to biotechnology and pharmaceutical companies. There is no certainty that all of our employees, agents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and prohibitions on the conduct of our business. Any such violations could include prohibitions on our ability to offer our product in one or more countries and could materially damage our reputation, our brand, our international activities, our ability to attract and retain employees and our business.</w:t>
      </w:r>
    </w:p>
    <w:p>
      <w:pPr>
        <w:spacing w:after="0" w:line="18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addition, our product and activities may be subject to U.S. and foreign export controls, trade sanctions and import laws and regulations. Governmental regulation of the import or export of our product, or our failure to obtain any required import or export authorization for our product, when applicable, could harm our international sales and adversely affect our revenue. Compliance with applicable regulatory requirements regarding the export of our product may create delays in the introduction of our product in international markets or, in some cases, prevent the export of our product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 targeted by such regulations, could result in decreased use of our product by, or in our decreased ability to export our product to existing or potential customers with international operations. Any decreased use of our product or limitation on our ability to export or sell access to our product would likely significantly harm our business, financial condition, results of operations and prospects.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employee matters, managing our growth and other risks related to our business</w:t>
      </w:r>
    </w:p>
    <w:p>
      <w:pPr>
        <w:spacing w:after="0" w:line="173"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The COVID-19 pandemic could adversely impact our business, including our nonclinical studies and clinical trials.</w:t>
      </w:r>
    </w:p>
    <w:p>
      <w:pPr>
        <w:spacing w:after="0" w:line="99"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The COVID-19 pandemic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w:t>
      </w:r>
    </w:p>
    <w:p>
      <w:pPr>
        <w:sectPr>
          <w:pgSz w:w="11900" w:h="16838" w:orient="portrait"/>
          <w:cols w:equalWidth="0" w:num="1">
            <w:col w:w="9019"/>
          </w:cols>
          <w:pgMar w:left="1440" w:top="513" w:right="1440"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has fallen. In response to the spread of COVID-19, we closed our offices with our administrative employees working outside of our offices and limited the number of staff in any given research and development laboratory. In October 2021, we re-opened our offices to administrative employees, however due to the resurgence of cases relating to the spread of the Delta and Omicron variants, we continued to limit access to our offices. In March 2022, we fully re-opened our offices to all employees and continue to comply with protocols implemented by respective health authorities, however we may close our offices again in the future. As a result of the COVID-19 pandemic, we experienced some delays in setting up our current Phase 1/2 clinical trial and in clinical site initiation, including delays in recruiting clinical site investigators and clinical site staff, which we may experience again in the future. Additionally, we may experience further disruptions that could severely impact our business, nonclinical studies and clinical trials, including:</w:t>
      </w:r>
    </w:p>
    <w:p>
      <w:pPr>
        <w:spacing w:after="0" w:line="180" w:lineRule="exact"/>
        <w:rPr>
          <w:sz w:val="20"/>
          <w:szCs w:val="20"/>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231F20"/>
        </w:rPr>
        <w:t>delays or difficulties in enrolling and retaining patients in our clinical trials;</w:t>
      </w:r>
    </w:p>
    <w:p>
      <w:pPr>
        <w:spacing w:after="0" w:line="22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231F20"/>
        </w:rPr>
        <w:t>difficulties in clinical site initiation, including difficulties in recruiting clinical site investigators and clinical site staff;</w:t>
      </w:r>
    </w:p>
    <w:p>
      <w:pPr>
        <w:spacing w:after="0" w:line="15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231F20"/>
        </w:rPr>
        <w:t>diversion of healthcare resources away from the conduct of clinical trials, including the diversion of hospitals serving as our clinical trial sites and hospital staff supporting the conduct of our clinical trials;</w:t>
      </w:r>
    </w:p>
    <w:p>
      <w:pPr>
        <w:spacing w:after="0" w:line="154" w:lineRule="exact"/>
        <w:rPr>
          <w:rFonts w:ascii="Times New Roman" w:cs="Times New Roman" w:eastAsia="Times New Roman" w:hAnsi="Times New Roman"/>
          <w:sz w:val="18"/>
          <w:szCs w:val="18"/>
          <w:color w:val="auto"/>
        </w:rPr>
      </w:pPr>
    </w:p>
    <w:p>
      <w:pPr>
        <w:jc w:val="both"/>
        <w:ind w:left="720" w:right="79" w:hanging="319"/>
        <w:spacing w:after="0" w:line="252" w:lineRule="auto"/>
        <w:tabs>
          <w:tab w:leader="none" w:pos="7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231F20"/>
        </w:rPr>
        <w:t>interruption of key clinical trial activities, such as clinical trial site data monitoring, due to the COVID-19 pandemic, employers and others or interruption of clinical trial subject visits and study procedures, which may impact the integrity of subject data and clinical study endpoints;</w:t>
      </w:r>
    </w:p>
    <w:p>
      <w:pPr>
        <w:spacing w:after="0" w:line="170"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231F20"/>
        </w:rPr>
        <w:t>interruption or delays in the operations of the FDA or other regulatory authorities, which may impact review and approval timelines;</w:t>
      </w:r>
    </w:p>
    <w:p>
      <w:pPr>
        <w:spacing w:after="0" w:line="15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231F20"/>
        </w:rPr>
        <w:t>interruption of, or delays in receiving, supplies of OP-1250 from our CMOs, due to staffing shortages, production slowdowns or stoppages and disruptions in delivery systems;</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231F20"/>
        </w:rPr>
        <w:t>interruptions in nonclinical studies due to restricted or limited operations at our laboratory facility;</w:t>
      </w:r>
    </w:p>
    <w:p>
      <w:pPr>
        <w:spacing w:after="0" w:line="224" w:lineRule="exact"/>
        <w:rPr>
          <w:rFonts w:ascii="Times New Roman" w:cs="Times New Roman" w:eastAsia="Times New Roman" w:hAnsi="Times New Roman"/>
          <w:sz w:val="18"/>
          <w:szCs w:val="18"/>
          <w:color w:val="auto"/>
        </w:rPr>
      </w:pPr>
    </w:p>
    <w:p>
      <w:pPr>
        <w:jc w:val="both"/>
        <w:ind w:left="720" w:right="79" w:hanging="319"/>
        <w:spacing w:after="0" w:line="252" w:lineRule="auto"/>
        <w:tabs>
          <w:tab w:leader="none" w:pos="7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231F20"/>
        </w:rPr>
        <w:t>limitations on employee resources that would otherwise be focused on the conduct of our nonclinical studies and clinical trials, including because of sickness of employees or their families or the desire of employees to avoid contact with large groups of people; and</w:t>
      </w:r>
    </w:p>
    <w:p>
      <w:pPr>
        <w:spacing w:after="0" w:line="17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231F20"/>
        </w:rPr>
        <w:t>interruption or delays to our sourced discovery and clinical activities.</w:t>
      </w:r>
    </w:p>
    <w:p>
      <w:pPr>
        <w:spacing w:after="0" w:line="224"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The COVID-19 pandemic continues to evolve. The extent to which the outbreak impacts our business, nonclinical studies and clinical trials will depend on future developments, which are highly uncertain and cannot be predicted with confidence, such as the ultimate geographic spread of the disease, the duration of the pandemic, travel restrictions and social distancing in the United States and other countries, business closures or business disruptions and the effectiveness of actions taken in the United States and other countries to contain and treat the disease.</w:t>
      </w:r>
    </w:p>
    <w:p>
      <w:pPr>
        <w:spacing w:after="0" w:line="181"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Unfavorable U.S. and global economic conditions could adversely affect our business, financial condition and results of operations.</w:t>
      </w:r>
    </w:p>
    <w:p>
      <w:pPr>
        <w:spacing w:after="0" w:line="139"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Our results of operations could be adversely affected by general conditions in the U.S. and global economies, the U.S. and global financial markets and adverse geopolitical and macroeconomic developments. U.S. and global market and economic conditions have been, and continue to be, disrupted and volatile due to many factors, including component shortages and related supply chain challenges, geopolitical developments such as the ongoing COVID-19 pandemic and the conflict between Ukraine and Russia and related sanctions, and increasing inflation rates and the responses by central banking authorities to control such inflation, among</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others. General business and economic conditions that could affect our business, financial condition or results of operations include fluctuations in economic growth, debt and equity capital markets, liquidity of the global financial markets, the availability and cost of credit, investor and consumer confidence, and the strength of the economies in which we, our manufacturers and our suppliers operate.</w:t>
      </w:r>
    </w:p>
    <w:p>
      <w:pPr>
        <w:spacing w:after="0" w:line="174"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A severe or prolonged global economic downturn could result in a variety of risks to our business. For example, inflation rates, particularly in the United States, have increased recently to levels not seen in years, and increased inflation may result in increases in our operating costs (including our labor costs), reduced liquidity and limits on our ability to access credit or otherwise raise capital on acceptable terms, if at all. In addition, the U.S. Federal Reserve has raised, and may again raise, interest rates in response to concerns about inflation, which, coupled with reduced government spending and volatility in financial markets may have the effect of further increasing economic uncertainty and heightening these risks. A weak or declining economy could also strain our manufacturers and other service providers in our supply chain, possibly resulting in supply disruption. Any of the foregoing could harm our business and we cannot anticipate all of the ways in which the current economic climate and financial market conditions could adversely impact our business.</w:t>
      </w:r>
    </w:p>
    <w:p>
      <w:pPr>
        <w:spacing w:after="0" w:line="182"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b w:val="1"/>
          <w:bCs w:val="1"/>
          <w:i w:val="1"/>
          <w:iCs w:val="1"/>
          <w:color w:val="auto"/>
        </w:rPr>
        <w:t>Our success is highly dependent on our ability to attract and retain highly skilled executive officers and employees.</w:t>
      </w:r>
    </w:p>
    <w:p>
      <w:pPr>
        <w:spacing w:after="0" w:line="139"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We are highly dependent on the management, research and development, clinical, financial and business development expertise of our executive officers, as well as the other members of our scientific and clinical teams.</w:t>
      </w:r>
    </w:p>
    <w:p>
      <w:pPr>
        <w:spacing w:after="0" w:line="174"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Furthermore, although we have employment offer letters with each of our executive officers, each of them may terminate their employment with us at any time. We do not maintain “key person” insurance for any of our executives or employees.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biotechnology field is intense and as a result, we may be unable to continue to attract and retain qualified personnel necessary for the future success of our business. We could in the future have difficulty attracting experienced personnel to our company and may be required to expend significant financial resources in our employee recruitment and retention efforts.</w:t>
      </w:r>
    </w:p>
    <w:p>
      <w:pPr>
        <w:spacing w:after="0" w:line="18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OP-1250 or any other product candidate will be limited and the potential for successfully growing our business will be harmed.</w:t>
      </w:r>
    </w:p>
    <w:p>
      <w:pPr>
        <w:spacing w:after="0" w:line="187" w:lineRule="exact"/>
        <w:rPr>
          <w:sz w:val="20"/>
          <w:szCs w:val="20"/>
          <w:color w:val="auto"/>
        </w:rPr>
      </w:pPr>
    </w:p>
    <w:p>
      <w:pPr>
        <w:jc w:val="both"/>
        <w:ind w:left="60" w:right="59"/>
        <w:spacing w:after="0" w:line="249" w:lineRule="auto"/>
        <w:rPr>
          <w:sz w:val="20"/>
          <w:szCs w:val="20"/>
          <w:color w:val="auto"/>
        </w:rPr>
      </w:pPr>
      <w:r>
        <w:rPr>
          <w:rFonts w:ascii="Arial" w:cs="Arial" w:eastAsia="Arial" w:hAnsi="Arial"/>
          <w:sz w:val="18"/>
          <w:szCs w:val="18"/>
          <w:b w:val="1"/>
          <w:bCs w:val="1"/>
          <w:i w:val="1"/>
          <w:iCs w:val="1"/>
          <w:color w:val="auto"/>
        </w:rPr>
        <w:t>If we are unable to establish sales or marketing capabilities or enter into agreements with third parties to sell or market OP-1250 or any product candidate we may develop in the future, we may not be able to successfully sell or market OP-1250 or any future product candidate we may develop that obtain regulatory approval.</w:t>
      </w:r>
    </w:p>
    <w:p>
      <w:pPr>
        <w:spacing w:after="0" w:line="165" w:lineRule="exact"/>
        <w:rPr>
          <w:sz w:val="20"/>
          <w:szCs w:val="20"/>
          <w:color w:val="auto"/>
        </w:rPr>
      </w:pPr>
    </w:p>
    <w:p>
      <w:pPr>
        <w:jc w:val="both"/>
        <w:ind w:left="60" w:right="79"/>
        <w:spacing w:after="0" w:line="244" w:lineRule="auto"/>
        <w:rPr>
          <w:sz w:val="20"/>
          <w:szCs w:val="20"/>
          <w:color w:val="auto"/>
        </w:rPr>
      </w:pPr>
      <w:r>
        <w:rPr>
          <w:rFonts w:ascii="Arial" w:cs="Arial" w:eastAsia="Arial" w:hAnsi="Arial"/>
          <w:sz w:val="18"/>
          <w:szCs w:val="18"/>
          <w:color w:val="auto"/>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OP-1250 or any future product candidate we may develop. We may not be successful in accomplishing these required tasks.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Establishing an internal sales or marketing team with technical expertise and supporting distribution capabilities to commercialize OP-1250 or any product candidate we may develop in the future will be expensive and time-consuming, and will require significant attention of our executive officers to manage. Any failure or delay in the development of our internal sales, marketing and distribution capabilities could adversely impact the commercialization of OP-1250 or any product candidate we may develop in the future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OP-1250 or any product candidate we may develop in the future which may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spacing w:after="0" w:line="190"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b w:val="1"/>
          <w:bCs w:val="1"/>
          <w:i w:val="1"/>
          <w:iCs w:val="1"/>
          <w:color w:val="auto"/>
        </w:rPr>
        <w:t>We have never commercialized a product candidate before and may lack the necessary expertise, personnel and resources to successfully commercialize any products on our own or together with suitable collaborators.</w:t>
      </w:r>
    </w:p>
    <w:p>
      <w:pPr>
        <w:spacing w:after="0" w:line="159"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We have never commercialized a product candidate, and we currently have no sales force, marketing or distribution capabilities. To achieve commercial success for a product candidate, which we may license to others, we will rely on the assistance and guidance of those collaborators. For any product candidates for which we retain commercialization rights, we will have to develop our own sales, marketing and supply organization or outsource these activities to a third party.</w:t>
      </w:r>
    </w:p>
    <w:p>
      <w:pPr>
        <w:spacing w:after="0" w:line="176"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Factors that may affect our ability to commercialize OP-1250, or any future product candidate we may develop, on our own include recruiting and retaining adequate numbers of effective sales and marketing personnel, obtaining access to or persuading adequate numbers of physicians to prescribe OP-1250 or any future product candidates we may develop and other unforeseen costs associated with creating an independent sales and marketing organization. Developing a sales and marketing organization will be expensive and time-consuming and could delay the launch of OP-1250 or any future product candidate we may develop. We may not be able to build an effective sales and marketing organization. If we are unable to build our own distribution and marketing capabilities or to find suitable partners for the commercialization of OP-1250 or any future product candidate we may develop, we may not generate revenues from such product candidate or be able to reach or sustain profitability.</w:t>
      </w:r>
    </w:p>
    <w:p>
      <w:pPr>
        <w:spacing w:after="0" w:line="182"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139"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As of September 30, 2022, we had 75 employees, 73 of whom were full-time, including 42 employees engaged in research and development. In order to successfully implement our development and commercialization plans and strategies, and as we transition into operating as a public company, we expect to need additional managerial, operational, sales, marketing, financial and other personnel. Future growth would impose significant added responsibilities on members of management, including:</w:t>
      </w:r>
    </w:p>
    <w:p>
      <w:pPr>
        <w:spacing w:after="0" w:line="176" w:lineRule="exact"/>
        <w:rPr>
          <w:sz w:val="20"/>
          <w:szCs w:val="20"/>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231F20"/>
        </w:rPr>
        <w:t>identifying, recruiting, integrating, maintaining and motivating additional employees;</w:t>
      </w:r>
    </w:p>
    <w:p>
      <w:pPr>
        <w:spacing w:after="0" w:line="224" w:lineRule="exact"/>
        <w:rPr>
          <w:rFonts w:ascii="Times New Roman" w:cs="Times New Roman" w:eastAsia="Times New Roman" w:hAnsi="Times New Roman"/>
          <w:sz w:val="18"/>
          <w:szCs w:val="18"/>
          <w:color w:val="auto"/>
        </w:rPr>
      </w:pPr>
    </w:p>
    <w:p>
      <w:pPr>
        <w:jc w:val="both"/>
        <w:ind w:left="720" w:right="79" w:hanging="319"/>
        <w:spacing w:after="0" w:line="246" w:lineRule="auto"/>
        <w:tabs>
          <w:tab w:leader="none" w:pos="7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231F20"/>
        </w:rPr>
        <w:t>managing our internal development efforts effectively, including the clinical, FDA, EMA and other comparable foreign regulatory agencies’ review process for OP-1250 and any other future product candidates we may develop, while complying with any contractual obligations to contractors and other third parties we may have; and</w:t>
      </w:r>
    </w:p>
    <w:p>
      <w:pPr>
        <w:spacing w:after="0" w:line="17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231F20"/>
        </w:rPr>
        <w:t>improving our operational, financial and management controls, reporting systems and procedures.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 addition, we expect to be conducting multiple clinical trials of OP-1250 for several different indications concurrently. Given the small size of our organization, we may encounter difficulties managing multiple clinical trials at the same time, which could negatively affect our ability to manage growth of our organization, particularly as we take on additional responsibility associated with being a public company. Our future financial performance and our ability to successfully develop and, if approved, commercialize, OP-1250 and any other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80"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OP-1250 and any other future product candidates we may develop or otherwise advance our business. We cannot assure you that we will be able to manage our existing third-party service providers or find other competent outside contractors and consultants on economically reasonable terms, or at all.</w:t>
      </w:r>
    </w:p>
    <w:p>
      <w:pPr>
        <w:spacing w:after="0" w:line="180"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If we are not able to effectively expand our organization by hiring new employees and/or engaging additional third-party service providers, we may not be able to successfully implement the tasks necessary to further develop and commercialize OP-1250 and any other future product candidates we may develop and, accordingly, may not achieve our research, development and commercialization goals.</w:t>
      </w:r>
    </w:p>
    <w:p>
      <w:pPr>
        <w:spacing w:after="0" w:line="176"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b w:val="1"/>
          <w:bCs w:val="1"/>
          <w:i w:val="1"/>
          <w:iCs w:val="1"/>
          <w:color w:val="auto"/>
        </w:rPr>
        <w:t>Our internal computer systems, or those of any of our CROs, manufacturers, other contractors, consultants, collaborators, potential future collaborators, or other third parties (including service providers in our supply chain)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17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Despite the implementation of preventative and detective security measures, our internal computer systems and those of our current and any future CROs and other contractors, consultants, collaborators and third-party service providers that process our sensitive information (including personal information and personally identifiable data), are vulnerable to damage or interruption from a variety of sources, including computer viruses, unauthorized access, intentional or accidental acts or omissions by those with authorized access, natural disasters, terrorism, war, telecommunication and electrical failure, and cybersecurity threats (including the deployment of harmful malware, ransomware, denial-of-service attacks, supply chain attacks, social engineering, and other means to affect service reliability and threaten the confidentiality, integrity, and availability of information).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w:t>
      </w:r>
    </w:p>
    <w:p>
      <w:pPr>
        <w:spacing w:after="0" w:line="186"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If such an event were to occur or were alleged to have occurred and cause interruptions in our operations or result in the unauthorized acquisition of or access to personally identifiable information or individually identifiable health information (violating certain privacy laws, as applicable, such as HIPAA, CCPA, HITECH and GDPR), it could result in a material disruption or termination of our drug discovery and development programs and our business operations, whether due to a loss of our trade secrets, personal information, or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other similar disruptions. Some of the federal, state and foreign government requirements include obligations of companies to notify individuals of security breaches involving particular personally identifiable information, which could result from breaches experienced by us or by our vendors, contractors, or organizations with which we have formed strategic relationships. Notifications and follow-up actions related to a security breach could impact our reputation, cause us to incur significant costs, including legal expenses and remediation costs and divert resources from other efforts. For example, in November 2021, we were alerted to falsified information circulating on social media relating to our planned poster presentation for the Phase 1 dose-escalation portion of the ongoing Phase 1/2 clinical trial of OP-1250 at the San Antonio Breast Cancer Symposium. Additionally, the loss of clinical trial data from completed or future clinical trials could result in delays or revocation of our regulatory approval efforts and significantly increase our costs to recover or reproduce the lost data. We also rely on third parties to manufacture OP-1250, and similar events relating to their computer systems could also have a material adverse effect on our business. We may have insufficient recourse against such third parties and we may have to expend significant resources to mitigate the impact of such an event, to develop and implement protections to prevent future events of this nature from occurring, and to address other related concerns or issues. To the extent that any disruption or security breach were to result in a loss of, or damage to, our data, or inappropriate disclosure of confidential or proprietary information, we could be exposed to litigation and governmental investigations, the further development and commercialization of OP-1250 could be delayed, and we could be subject to significant fines or penalties for any noncompliance with certain state, federal and/or international privacy and security laws.</w:t>
      </w:r>
    </w:p>
    <w:p>
      <w:pPr>
        <w:spacing w:after="0" w:line="180"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178"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b w:val="1"/>
          <w:bCs w:val="1"/>
          <w:i w:val="1"/>
          <w:iCs w:val="1"/>
          <w:color w:val="auto"/>
        </w:rPr>
        <w:t>EU drug marketing and reimbursement regulations may materially affect our ability to market and receive coverage for our product in the European member states.</w:t>
      </w:r>
    </w:p>
    <w:p>
      <w:pPr>
        <w:spacing w:after="0" w:line="13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intend to seek approval to market OP-1250 in both the United States and in selected foreign jurisdictions. If we obtain approval in one or more foreign jurisdictions for OP-1250, we will be subject to rules and regulations in those jurisdictions. In some foreign countries, particularly those in the European Union, the pricing of drugs is subject to governmental control and other market regulations which could put pressure on the pricing and usage of OP-1250. In these countries, pricing negotiations with governmental authorities can take considerable time after obtaining marketing approval of a product candidate. In addition, market acceptance and sales of OP-1250 will depend significantly on the availability of adequate coverage and reimbursement from third-party payors for OP-1250 and may be affected by existing and future healthcare reform measures.</w:t>
      </w:r>
    </w:p>
    <w:p>
      <w:pPr>
        <w:spacing w:after="0" w:line="180"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Much like the federal Anti-Kickback Statute prohibition in the United States, the provision of benefits or advantages to physicians to induce or encourage the prescription, recommendation, endorsement, purchase, supply, order or use of medicinal products is also prohibited in the European Union. The provision of benefits or advantages to physicians is governed by the national anti-bribery laws of EU Member States, such as the UK Bribery Act 2010. Infringement of these laws could result in substantial fines and imprisonment.</w:t>
      </w:r>
    </w:p>
    <w:p>
      <w:pPr>
        <w:spacing w:after="0" w:line="176"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79"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In addition, in most foreign countries, including a number of EU Member States, the proposed pricing for a drug must be approved before it may be lawfully marketed. The requirements governing drug pricing and reimbursement vary widely from country to country. For example, the European Union provides options for its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member states, can further reduce prices. A member state may approve a specific price for the medicinal product or it may instead adopt a system of direct or indirect controls on the profitability of the company placing the medicinal product on the market. In some countries, we may be required to conduct a clinical trial or other studies that compare the cost-effectiveness of OP-1250 to other available therapies in order to obtain or maintain reimbursement or pricing approval. There can be no assurance that any country that has price controls or reimbursement limitations for biopharmaceutical products will allow favorable reimbursement and pricing arrangements for our product. Historically, products launched in the European Union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 is unavailable or limited in scope or amount, our potential revenues from sales and the potential profitability of OP-1250 in those countries would be negatively affected.</w:t>
      </w:r>
    </w:p>
    <w:p>
      <w:pPr>
        <w:spacing w:after="0" w:line="190"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3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Our operations, and those of our suppliers, CMOs, CROs and other contractors and consultants, could be subject to earthquakes, power shortages, telecommunications failures, water shortages, floods, hurricanes, typhoons, fires, extreme weather conditions, public health pandemics or epidemics (including, for example, the outbreak of COVID-19), and other natural or man-made disasters or business interruptions, for which we are predominantly self- insured. The occurrence of any of these business disruptions could seriously harm our operations, increase our costs and expenses and significantly harm our business, financial condition, results of operations and prospects.</w:t>
      </w:r>
    </w:p>
    <w:p>
      <w:pPr>
        <w:spacing w:after="0" w:line="185"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Our ability to develop OP-1250 or any future product candidates we may develop could be disrupted if our operations or those of our suppliers are affected by man-made or natural disasters or other business interruptions. Our corporate headquarters are located in California near major earthquake faults and fire zones. The ultimate impact on us, our significant suppliers and our general infrastructure of being located near major earthquake faults and fire zones and being consolidated in certain geographical areas is unknown, but our operations and business could suffer in the event of a major earthquake, fire or other natural disaster.</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221"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Our net operating loss, or NOL, carryforwards could expire unused and be unavailable to offset future income tax liabilities because of their limited duration or because of restrictions under U.S. tax law. NOLs generated in tax years ending on or prior to December 31, 2017 are only permitted to be carried forward for 20 taxable years under applicable U.S. federal tax law. Under the Tax Act, as modified by the Coronavirus Aid, Relief, and Economic Security, or CARES Act, federal NOLs generated in tax years ending after December 31, 2017 may be carried forward indefinitely, but the deductibility of such federal NOLs may be limited to 80% of current year taxable income for tax years beginning on or after December 31, 2020. It is uncertain if and to what extent various states will conform to the Tax Act or the CARES Act.</w:t>
      </w:r>
    </w:p>
    <w:p>
      <w:pPr>
        <w:spacing w:after="0" w:line="180"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In addition, under Sections 382 and 383 of the Internal Revenue Code of 1986, as amended, if a corporation undergoes an “ownership change” (generally defined as a cumulative change in our ownership by “5 percent shareholders” that exceeds 50 percentage points over a rolling three-year period), the corporation’s ability to use its pre-change NOLs and certain other pre-change tax attributes to offset its post-change income and taxes may be limited. Similar rules may apply under state tax laws. We may have experienced such ownership changes in the past, and we may experience ownership changes in the future as a result subsequent shifts in our stock ownership, some of which are outside our control. We have not conducted any studies to determine annual limitations, if any, that could result from such changes in the ownership. Our ability to utilize those NOLs could be limited by an “ownership change” as described above and consequently, we may not be able to utilize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a material portion of our NOLs and certain other tax attributes, which could have a material adverse effect on our cash flows and results of operations.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or future changes to tax laws could materially adversely affect our company.</w:t>
      </w:r>
    </w:p>
    <w:p>
      <w:pPr>
        <w:spacing w:after="0" w:line="21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Act enacted many significant changes to the U.S. tax laws and proposals have recently been made in Congress (which have not yet been enacted) to make other tax law changes that could have a material adverse impact on us. In addition, it is uncertain if and to what extent various states will conform to the Tax Act, the CARES Act or any newly enacted federal tax legislation.</w:t>
      </w:r>
    </w:p>
    <w:p>
      <w:pPr>
        <w:spacing w:after="0" w:line="187"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b w:val="1"/>
          <w:bCs w:val="1"/>
          <w:i w:val="1"/>
          <w:iCs w:val="1"/>
          <w:color w:val="auto"/>
        </w:rPr>
        <w:t>A variety of risks associated with marketing OP-1250 or any future product candidate we may develop internationally could significantly harm our business, financial condition, results of operations and prospects.</w:t>
      </w:r>
    </w:p>
    <w:p>
      <w:pPr>
        <w:spacing w:after="0" w:line="15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plan to seek regulatory approval of OP-1250 or any future product candidates we may develop outside of the United States and, accordingly, we expect that we will be subject to additional risks related to operating in foreign countries if we obtain the necessary approvals, including:</w:t>
      </w:r>
    </w:p>
    <w:p>
      <w:pPr>
        <w:spacing w:after="0" w:line="169" w:lineRule="exact"/>
        <w:rPr>
          <w:sz w:val="20"/>
          <w:szCs w:val="20"/>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231F20"/>
        </w:rPr>
        <w:t>differing regulatory requirements and reimbursement regimes in foreign countries;</w:t>
      </w:r>
    </w:p>
    <w:p>
      <w:pPr>
        <w:spacing w:after="0" w:line="22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231F20"/>
        </w:rPr>
        <w:t>unexpected changes in tariffs, trade barriers, price and exchange controls and other regulatory requirements;</w:t>
      </w:r>
    </w:p>
    <w:p>
      <w:pPr>
        <w:spacing w:after="0" w:line="15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231F20"/>
        </w:rPr>
        <w:t>economic weakness, including inflation, or political instability in particular foreign economies and markets;</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231F20"/>
        </w:rPr>
        <w:t>compliance with tax, employment, immigration and labor laws for employees living or traveling abroad;</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231F20"/>
        </w:rPr>
        <w:t>foreign taxes, including withholding of payroll taxes;</w:t>
      </w:r>
    </w:p>
    <w:p>
      <w:pPr>
        <w:spacing w:after="0" w:line="22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231F20"/>
        </w:rPr>
        <w:t>foreign currency fluctuations, which could result in increased operating expenses and reduced revenue, and other obligations incident to doing business in another country;</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231F20"/>
        </w:rPr>
        <w:t>difficulties staffing and managing foreign operations;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231F20"/>
        </w:rPr>
        <w:t>workforce uncertainty in countries where labor unrest is more common than in the United States;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231F20"/>
        </w:rPr>
        <w:t>potential liability under the FCPA or comparable foreign regulations;</w:t>
      </w:r>
    </w:p>
    <w:p>
      <w:pPr>
        <w:spacing w:after="0" w:line="224" w:lineRule="exact"/>
        <w:rPr>
          <w:rFonts w:ascii="Times New Roman" w:cs="Times New Roman" w:eastAsia="Times New Roman" w:hAnsi="Times New Roman"/>
          <w:sz w:val="18"/>
          <w:szCs w:val="18"/>
          <w:color w:val="auto"/>
        </w:rPr>
      </w:pPr>
    </w:p>
    <w:p>
      <w:pPr>
        <w:jc w:val="both"/>
        <w:ind w:left="720" w:right="79" w:hanging="319"/>
        <w:spacing w:after="0" w:line="252" w:lineRule="auto"/>
        <w:tabs>
          <w:tab w:leader="none" w:pos="7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231F20"/>
        </w:rPr>
        <w:t>challenges enforcing our contractual and intellectual property rights, especially in those foreign countries that do not respect and protect intellectual property rights to the same extent as the United States;</w:t>
      </w:r>
    </w:p>
    <w:p>
      <w:pPr>
        <w:spacing w:after="0" w:line="170"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231F20"/>
        </w:rPr>
        <w:t>production shortages resulting from any events affecting raw material supply or manufacturing capabilities abroad; and</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231F20"/>
        </w:rPr>
        <w:t>business interruptions resulting from geo-political actions, including war and terrorism.</w:t>
      </w:r>
    </w:p>
    <w:p>
      <w:pPr>
        <w:spacing w:after="0" w:line="224"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These and other risks associated with our international operations may significantly harm our business, financial condition, results of operations and prospects.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4"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b w:val="1"/>
          <w:bCs w:val="1"/>
          <w:i w:val="1"/>
          <w:iCs w:val="1"/>
          <w:color w:val="auto"/>
        </w:rPr>
        <w:t>Our success depends on our ability to protect our intellectual property and our proprietary technologies.</w:t>
      </w:r>
    </w:p>
    <w:p>
      <w:pPr>
        <w:spacing w:after="0" w:line="13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Our commercial success depends in part on our ability to obtain and maintain proprietary or intellectual property protection in the United States and other countries for OP-1250 and any future product candidates that we may develop and technologies related to their various uses. We generally seek to protect our proprietary position by, among other things, filing patent applications in the United States and abroad related to OP-1250, our proprietary technologies, and their manufacture and uses that are important to our business, as well as inventions and improvements that are important to the development and implementation of our business. We also rely on trade secrets, know-how and continuing technological innovation to develop and maintain our proprietary and intellectual property position. We may also seek to protect our proprietary position by acquiring or in-licensing relevant issued patents or pending applications from third parties. If we or our potential licensors are unable to obtain or maintain patent protection with respect to OP-1250, proprietary technologies and their uses, our business, financial condition, results of operations and prospects could be significantly harmed.</w:t>
      </w:r>
    </w:p>
    <w:p>
      <w:pPr>
        <w:spacing w:after="0" w:line="186"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will result in additional patents being issued or that issued patents will afford sufficient protection against competitors with similar technology, nor can there be any assurance that the patents issued will not be infringed, designed around or invalidated by third parties.</w:t>
      </w:r>
    </w:p>
    <w:p>
      <w:pPr>
        <w:spacing w:after="0" w:line="179"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Moreover, in the future, some of our owned patents and patent applications, or any future licensed patents or patent applications, may be co-owned with third parties. If we are unable to obtain exclusive licenses to any such co-owners’ interest in such patents or patent applications, then such co-owners may be able to license their rights to other third parties, including our competitors, and our competitors could market competing products and technology. In addition, we may need the cooperation of any such co-owners to enforce such patents against third parties, and such cooperation may not be provided to us.</w:t>
      </w:r>
    </w:p>
    <w:p>
      <w:pPr>
        <w:spacing w:after="0" w:line="179"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Even issued patents may later be found invalid or unenforceable or may be modified or revoked in proceedings instituted by third parties before various patent offices or in courts. Thus, the degree of future protection for our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OP-1250 or any future product candidates we may develop could significantly harm our business, financial condition, results of operations and prospects.</w:t>
      </w:r>
    </w:p>
    <w:p>
      <w:pPr>
        <w:spacing w:after="0" w:line="179"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We cannot be certain that the claims in our U.S. pending patent applications, and corresponding international patent applications, will be considered patentable by the United States Patent and Trademark Office, or USPTO, courts in the United States or by the patent offices and courts in foreign countries, nor can we be certain that the claims in our issued patent(s) will not be found invalid or unenforceable if challenged.</w:t>
      </w:r>
    </w:p>
    <w:p>
      <w:pPr>
        <w:spacing w:after="0" w:line="174"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potential future collaborators will be successful in protecting OP-1250 or any future product candidates we may develop by obtaining and defending patents. These risks and uncertainties include the following:</w:t>
      </w:r>
    </w:p>
    <w:p>
      <w:pPr>
        <w:spacing w:after="0" w:line="174" w:lineRule="exact"/>
        <w:rPr>
          <w:sz w:val="20"/>
          <w:szCs w:val="20"/>
          <w:color w:val="auto"/>
        </w:rPr>
      </w:pPr>
    </w:p>
    <w:p>
      <w:pPr>
        <w:jc w:val="both"/>
        <w:ind w:left="720" w:right="79" w:hanging="319"/>
        <w:spacing w:after="0" w:line="252" w:lineRule="auto"/>
        <w:tabs>
          <w:tab w:leader="none" w:pos="7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231F20"/>
        </w:rPr>
        <w:t>patent applications must be filed in advance of certain events (</w:t>
      </w:r>
      <w:r>
        <w:rPr>
          <w:rFonts w:ascii="Arial" w:cs="Arial" w:eastAsia="Arial" w:hAnsi="Arial"/>
          <w:sz w:val="18"/>
          <w:szCs w:val="18"/>
          <w:i w:val="1"/>
          <w:iCs w:val="1"/>
          <w:color w:val="231F20"/>
        </w:rPr>
        <w:t>e.g.,</w:t>
      </w:r>
      <w:r>
        <w:rPr>
          <w:rFonts w:ascii="Arial" w:cs="Arial" w:eastAsia="Arial" w:hAnsi="Arial"/>
          <w:sz w:val="18"/>
          <w:szCs w:val="18"/>
          <w:color w:val="231F20"/>
        </w:rPr>
        <w:t xml:space="preserve"> third party filings, certain sales or offers for sale, or other activities that might be legally deemed to be public disclosures) and we might not be aware of such events or otherwise might not succeed in filing applications before they occur;</w:t>
      </w:r>
    </w:p>
    <w:p>
      <w:pPr>
        <w:spacing w:after="0" w:line="170"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231F20"/>
        </w:rPr>
        <w:t>the USPTO and various foreign governmental patent agencies require compliance with a number of procedural, documentary, fee payment and other provisions during the patent process, the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20" w:right="79"/>
        <w:spacing w:after="0" w:line="271" w:lineRule="auto"/>
        <w:rPr>
          <w:sz w:val="20"/>
          <w:szCs w:val="20"/>
          <w:color w:val="auto"/>
        </w:rPr>
      </w:pPr>
      <w:r>
        <w:rPr>
          <w:rFonts w:ascii="Arial" w:cs="Arial" w:eastAsia="Arial" w:hAnsi="Arial"/>
          <w:sz w:val="18"/>
          <w:szCs w:val="18"/>
          <w:color w:val="231F20"/>
        </w:rPr>
        <w:t>noncompliance with which can result in abandonment or lapse of a patent or patent application, and partial or complete loss of patent rights in the relevant jurisdiction;</w:t>
      </w:r>
    </w:p>
    <w:p>
      <w:pPr>
        <w:spacing w:after="0" w:line="154" w:lineRule="exact"/>
        <w:rPr>
          <w:sz w:val="20"/>
          <w:szCs w:val="20"/>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231F20"/>
        </w:rPr>
        <w:t>patent applications may not result in any patents being issued;</w:t>
      </w:r>
    </w:p>
    <w:p>
      <w:pPr>
        <w:spacing w:after="0" w:line="22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231F20"/>
        </w:rPr>
        <w:t>patents may be challenged, invalidated, modified, revoked, circumvented, found to be unenforceable or otherwise may not provide any competitive advantage;</w:t>
      </w:r>
    </w:p>
    <w:p>
      <w:pPr>
        <w:spacing w:after="0" w:line="15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231F20"/>
        </w:rPr>
        <w:t>there may be significant pressure on the U.S. government and international governmental bodies to limit the scope of patent protection both inside and outside the United States; and</w:t>
      </w:r>
    </w:p>
    <w:p>
      <w:pPr>
        <w:spacing w:after="0" w:line="154" w:lineRule="exact"/>
        <w:rPr>
          <w:rFonts w:ascii="Times New Roman" w:cs="Times New Roman" w:eastAsia="Times New Roman" w:hAnsi="Times New Roman"/>
          <w:sz w:val="18"/>
          <w:szCs w:val="18"/>
          <w:color w:val="auto"/>
        </w:rPr>
      </w:pPr>
    </w:p>
    <w:p>
      <w:pPr>
        <w:jc w:val="both"/>
        <w:ind w:left="720" w:right="79" w:hanging="319"/>
        <w:spacing w:after="0" w:line="252" w:lineRule="auto"/>
        <w:tabs>
          <w:tab w:leader="none" w:pos="7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231F20"/>
        </w:rPr>
        <w:t>countries other than the United States may have patent laws less favorable to patentees than those upheld by U.S. courts, allowing foreign competitors a better opportunity to create, develop and market competing product candidates.</w:t>
      </w:r>
    </w:p>
    <w:p>
      <w:pPr>
        <w:spacing w:after="0" w:line="171"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The patent prosecution process is also expensive, time-consuming and complex, and we may not be able to file, prosecute, maintain, enforce or license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 late to obtain patent protection, for example, if patentable aspects are publicly disclosed, by us or a third party, such as by public use, sale or offer for sale, or publication.</w:t>
      </w:r>
    </w:p>
    <w:p>
      <w:pPr>
        <w:spacing w:after="0" w:line="17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addition, although we enter into non-disclosure and confidentiality agreements with parties who have access to confidential or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 Further, although we require our employees, commercial contractors, and certain consultants and investigators to enter into invention assignment agreements that grant us ownership of any discoveries or inventions made by them while in our employ, we cannot guarantee that we have entered into such agreements with each party, we cannot provide any assurances that all such agreements have been duly executed, and any of these parties may breach such agreements and claim ownership in intellectual property that we believe is owned by us.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owned or any licensed patents or pending patent applications, or that we were the first to file for patent protection of such inventions.</w:t>
      </w:r>
    </w:p>
    <w:p>
      <w:pPr>
        <w:spacing w:after="0" w:line="188"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 Should any of the above events occur, it could significantly harm our business, financial condition, results of operations and prospects.</w:t>
      </w:r>
    </w:p>
    <w:p>
      <w:pPr>
        <w:spacing w:after="0" w:line="178"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159"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The patent positions of biopharmaceutical companies generally are highly uncertain, involve complex legal and factual questions for which important legal principles remain unsolved and have been the subject of much litigation in recent years. As a result, the issuance, scope, validity, enforceability and commercial value of our patent rights are highly uncertain. Our pending and future patent applications may not result in patents being issued which protect OP-1250 or which effectively prevent others from commercializing competitive technologies and product candidates.</w:t>
      </w:r>
    </w:p>
    <w:p>
      <w:pPr>
        <w:sectPr>
          <w:pgSz w:w="11900" w:h="16838" w:orient="portrait"/>
          <w:cols w:equalWidth="0" w:num="1">
            <w:col w:w="9019"/>
          </w:cols>
          <w:pgMar w:left="1440" w:top="513" w:right="1440"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Moreover, the coverage claimed in a patent application can be significantly reduced before a patent is issued, and its scope can be reinterpreted after issuance. Legal standards relating to valid and enforceable claim scope are unsettled in the United States and elsewhere and disputes challenging or re-defining scope are common in the biopharmaceutical industry.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OP-1250 or any future product candidates we may develop will be protectable or remain protected by valid and enforceable patents. Our competitors or other third parties may be able to circumvent our patents by developing similar or alternative technologies or products in a non-infringing manner which could significantly harm our business, financial condition, results of operations and prospects.</w:t>
      </w:r>
    </w:p>
    <w:p>
      <w:pPr>
        <w:spacing w:after="0" w:line="183"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patents may be challenged in the courts or patent offices in the United States and abroad.</w:t>
      </w:r>
    </w:p>
    <w:p>
      <w:pPr>
        <w:spacing w:after="0" w:line="154"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The process by which patent applications are examined and considered for issuance as patents involves consideration by the relevant patent office of “prior art” relative to the invented technology. Different countries have different rules about what information or events can be considered “prior art,” and different requirements regarding when a patent application must be filed relative to any particular piece of potential prior art. Moreover, legal decisions can re-interpret or change whether particular information or events are considered to be “prior art.” Still further, in the United States, patent applicants are required to notify the USPTO of any material “prior art” of which they are aware for the patent examiner to consider in addition to independent searches that the patent examiner is required to do. Also, in the United States and certain other jurisdictions, third parties are entitled to submit prior art to patent offices for consideration during examination.</w:t>
      </w:r>
    </w:p>
    <w:p>
      <w:pPr>
        <w:spacing w:after="0" w:line="183"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We may not be aware of certain relevant prior art, may fail to identify or timely cite certain prior art, or may not be able to convince a patent examiner that our patent(s) should issue in light of the art. Also, we cannot be certain that all relevant art will be identified during examination of a patent application so that, even if a patent issues, it may be susceptible to challenge that it is not valid over art that was not considered during its examination.</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may be subject to a third-party pre-issuance submission of prior art to the USPTO or other jurisdictions, or become involved in post-grant challenges such as opposition, derivation, revocation, reexamination, post-grant review, or PGR, and inter partes review, or IPR, or other similar proceedings, or in litigation, challenging our patent rights, including by challenging the validity or the claim of priority of our patents. An adverse determination in any such submission, proceeding or litigation could reduce the scope of, or invalidate or render unenforceable, our patent rights, allow third parties to commercialize OP-1250 or any future product candidates we may develop and compete directly with us, without payment to us.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OP-1250 or any future product candidates we may develop. The outcome following legal assertions of invalidity and unenforceability is unpredictable. With respect to the validity question, for example, we cannot be certain that there is no invalidating prior art, including art of which we were unaware, and art which was not raised during prosecution of any of our patent applications. If a third party were to prevail on a legal assertion of invalidity or unenforceability, we would lose at least part, and perhaps all, of the patent protection on our technology or platform, or any product candidates that we may develop. Such a loss of patent protection would significantly impact our business, financial condition, results of operations and prospects. Such proceedings also may result in substantial cost and require significant time from our scientists and management, even if the eventual outcome is favorable to us. In addition, if the breadth or strength of protection provided by our patents and patent applications is threatened, regardless of the outcome, it could dissuade companies from collaborating with us to license, develop, or commercialize current or future product candidates or could embolden competitors to launch products or take other steps that could disadvantage us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in the marketplace or draw us into additional expensive and time consuming disputes. Should any of these events occur, it could significantly harm our business, financial condition, results of operations and prospects.</w:t>
      </w:r>
    </w:p>
    <w:p>
      <w:pPr>
        <w:spacing w:after="0" w:line="156"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3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69" w:lineRule="exact"/>
        <w:rPr>
          <w:sz w:val="20"/>
          <w:szCs w:val="20"/>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231F20"/>
        </w:rPr>
        <w:t>we may not be able to detect infringement of our issued patents;</w:t>
      </w:r>
    </w:p>
    <w:p>
      <w:pPr>
        <w:spacing w:after="0" w:line="224" w:lineRule="exact"/>
        <w:rPr>
          <w:rFonts w:ascii="Times New Roman" w:cs="Times New Roman" w:eastAsia="Times New Roman" w:hAnsi="Times New Roman"/>
          <w:sz w:val="18"/>
          <w:szCs w:val="18"/>
          <w:color w:val="auto"/>
        </w:rPr>
      </w:pPr>
    </w:p>
    <w:p>
      <w:pPr>
        <w:jc w:val="both"/>
        <w:ind w:left="720" w:right="79" w:hanging="319"/>
        <w:spacing w:after="0" w:line="252" w:lineRule="auto"/>
        <w:tabs>
          <w:tab w:leader="none" w:pos="7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231F20"/>
        </w:rPr>
        <w:t>others may be able to develop products that are similar to OP-1250, or any future product candidates we may develop, but that are not covered by the claims of the patents that we may in-license in the future or own;</w:t>
      </w:r>
    </w:p>
    <w:p>
      <w:pPr>
        <w:spacing w:after="0" w:line="170"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231F20"/>
        </w:rPr>
        <w:t>our competitors may seek or may have already obtained patents that will limit, interfere with or eliminate our ability to make, use and sell OP-1250 or any future product candidates we may develop;</w:t>
      </w:r>
    </w:p>
    <w:p>
      <w:pPr>
        <w:spacing w:after="0" w:line="154" w:lineRule="exact"/>
        <w:rPr>
          <w:rFonts w:ascii="Times New Roman" w:cs="Times New Roman" w:eastAsia="Times New Roman" w:hAnsi="Times New Roman"/>
          <w:sz w:val="18"/>
          <w:szCs w:val="18"/>
          <w:color w:val="auto"/>
        </w:rPr>
      </w:pPr>
    </w:p>
    <w:p>
      <w:pPr>
        <w:jc w:val="both"/>
        <w:ind w:left="720" w:right="79" w:hanging="319"/>
        <w:spacing w:after="0" w:line="252" w:lineRule="auto"/>
        <w:tabs>
          <w:tab w:leader="none" w:pos="7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231F20"/>
        </w:rPr>
        <w:t>we, or our current or future collaborators or license partners, might not have been the first to make the inventions covered by the issued patents or patent application that we may in-license in the future or own;</w:t>
      </w:r>
    </w:p>
    <w:p>
      <w:pPr>
        <w:spacing w:after="0" w:line="170"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231F20"/>
        </w:rPr>
        <w:t>we, or our current or future collaborators or license partners, might be found not have been the first to file patent applications covering certain of our or their inventions;</w:t>
      </w:r>
    </w:p>
    <w:p>
      <w:pPr>
        <w:spacing w:after="0" w:line="15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231F20"/>
        </w:rPr>
        <w:t>others may independently develop similar or alternative technologies or duplicate any of our technologies without infringing our intellectual property rights;</w:t>
      </w:r>
    </w:p>
    <w:p>
      <w:pPr>
        <w:spacing w:after="0" w:line="15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231F20"/>
        </w:rPr>
        <w:t>it is possible that the pending patent applications we may in-license in the future or own will not lead to issued patents;</w:t>
      </w:r>
    </w:p>
    <w:p>
      <w:pPr>
        <w:spacing w:after="0" w:line="15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231F20"/>
        </w:rPr>
        <w:t>it is possible that there are prior public disclosures that could invalidate our patents, or parts of our patents, for which we are not aware;</w:t>
      </w:r>
    </w:p>
    <w:p>
      <w:pPr>
        <w:spacing w:after="0" w:line="15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231F20"/>
        </w:rPr>
        <w:t>issued patents that we hold rights to may be held invalid or unenforceable, as a result of legal challenges by our competitors;</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231F20"/>
        </w:rPr>
        <w:t>issued patents may not have sufficient term or geographic scope to provide meaningful protection;</w:t>
      </w:r>
    </w:p>
    <w:p>
      <w:pPr>
        <w:spacing w:after="0" w:line="224" w:lineRule="exact"/>
        <w:rPr>
          <w:rFonts w:ascii="Times New Roman" w:cs="Times New Roman" w:eastAsia="Times New Roman" w:hAnsi="Times New Roman"/>
          <w:sz w:val="18"/>
          <w:szCs w:val="18"/>
          <w:color w:val="auto"/>
        </w:rPr>
      </w:pPr>
    </w:p>
    <w:p>
      <w:pPr>
        <w:jc w:val="both"/>
        <w:ind w:left="720" w:right="79" w:hanging="319"/>
        <w:spacing w:after="0" w:line="252" w:lineRule="auto"/>
        <w:tabs>
          <w:tab w:leader="none" w:pos="7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231F20"/>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7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231F20"/>
        </w:rPr>
        <w:t>we may not develop additional proprietary technologies that are patentable;</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231F20"/>
        </w:rPr>
        <w:t>the patents of others may have an adverse effect on our business; and</w:t>
      </w:r>
    </w:p>
    <w:p>
      <w:pPr>
        <w:spacing w:after="0" w:line="22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231F20"/>
        </w:rPr>
        <w:t>we may choose not to file a patent in order to maintain certain trade secrets, and a third party may subsequently file a patent covering such intellectual property.</w:t>
      </w:r>
    </w:p>
    <w:p>
      <w:pPr>
        <w:spacing w:after="0" w:line="154"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Should any of these events occur, it could significantly harm our business, financial condition, results of operations and prospects.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60" w:right="59"/>
        <w:spacing w:after="0" w:line="249" w:lineRule="auto"/>
        <w:rPr>
          <w:sz w:val="20"/>
          <w:szCs w:val="20"/>
          <w:color w:val="auto"/>
        </w:rPr>
      </w:pPr>
      <w:r>
        <w:rPr>
          <w:rFonts w:ascii="Arial" w:cs="Arial" w:eastAsia="Arial" w:hAnsi="Arial"/>
          <w:sz w:val="18"/>
          <w:szCs w:val="18"/>
          <w:b w:val="1"/>
          <w:bCs w:val="1"/>
          <w:i w:val="1"/>
          <w:iCs w:val="1"/>
          <w:color w:val="auto"/>
        </w:rPr>
        <w:t>Our commercial success depends significantly on our ability to operate without infringing, misappropriating or otherwise violating the patents and other proprietary rights of third parties. Claims by third parties that we infringe, misappropriate or otherwise violate their proprietary rights may result in liability for damages or prevent or delay our developmental and commercialization efforts.</w:t>
      </w:r>
    </w:p>
    <w:p>
      <w:pPr>
        <w:spacing w:after="0" w:line="165"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Our commercial success depends in part on avoiding infringement, misappropriation or other violations of the patents and proprietary rights of third parties. However, our research, development and commercialization activities may be subject to claims that we infringe, misappropriate or otherwise violate patents or other intellectual property rights owned or controlled by third parties. A finding by a court or administrative body that we infringe the claims of issued patents owned by third parties could preclude us from commercializing OP-1250 or any future product candidates we may develop.</w:t>
      </w:r>
    </w:p>
    <w:p>
      <w:pPr>
        <w:spacing w:after="0" w:line="17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Other entities may have or obtain patents or proprietary rights that could limit our ability to make, use, sell, offer for sale or import OP-1250 or any future product candidates we may develop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and proceedings, such as oppositions, reexaminations, IPR proceedings and PGR proceedings, before the USPTO and/or corresponding foreign patent offices. In addition, many companies in intellectual property-dependent industries, including the biopharmaceutical industry, have employed intellectual property litigation as a means to gain an advantage over their competitors. Numerous third-party U.S. and foreign issued patents and pending patent applications may exist in the fields in which we are developing OP-1250 or any future product candidates we may develop. There may be third-party patents or patent applications with claims to compositions, formulations, methods of manufacture or methods for treatment related to the use or manufacture of OP-1250 or any future product candidates we may develop. For example, we are aware of certain third-party patent applications and patents in the United States and abroad that include disclosure of chemical structures sharing certain similarities with OP-1250. It is possible that one or more of such third parties could pursue patent claims or assert patent claims that allegedly encompass OP-1250.</w:t>
      </w:r>
    </w:p>
    <w:p>
      <w:pPr>
        <w:spacing w:after="0" w:line="188"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It is possible that one or more organizations will hold patent rights to which we will need a license. If those organizations refuse to grant us a license to such patent rights on reasonable terms, we may be unable to develop, manufacture, market, sell and commercialize products or services or perform research and development or other activities covered by these patents. In the event that any of these patents were to issue and be asserted against us, we believe that we would have defenses against any such assertion, including that such patents are not valid. However, if such defenses to such assertion were unsuccessful, we could be liable for damages, which could be significant and include treble damages and attorneys’ fees if we are found to willfully infringe such patents. We could also be required to obtain a license to such patents, which may not be available on commercially reasonable terms or at all. If we are unable to obtain such a license, we could be precluded from commercializing any product candidates that were ultimately held to infringe such patents.</w:t>
      </w:r>
    </w:p>
    <w:p>
      <w:pPr>
        <w:spacing w:after="0" w:line="18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As the biopharmaceutical industry expands and more patents are issued, the risk increases that OP-1250, or any future product candidates we may develop,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OP-1250, or any future product candidates we may develop, and we cannot be certain that we were the first to file a patent application related to a product candidate or technology. Moreover, because patent applications can take many years to issue, there may be currently-pending patent applications that may later result in issued patents that OP-1250 or any future product candidates we may develop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79"/>
        <w:spacing w:after="0" w:line="247" w:lineRule="auto"/>
        <w:rPr>
          <w:sz w:val="20"/>
          <w:szCs w:val="20"/>
          <w:color w:val="auto"/>
        </w:rPr>
      </w:pPr>
      <w:r>
        <w:rPr>
          <w:rFonts w:ascii="Arial" w:cs="Arial" w:eastAsia="Arial" w:hAnsi="Arial"/>
          <w:sz w:val="18"/>
          <w:szCs w:val="18"/>
          <w:color w:val="auto"/>
        </w:rPr>
        <w:t>that use of our technologies infringes upon these patents. Still further, we cannot rely on our experience that third parties have not so far alleged that we infringe their patent rights, as provisions of U.S. patent laws provide a safe harbor from patent infringement for therapeutic products under clinical development. If and when we submit an NDA that safe harbor will expire.</w:t>
      </w:r>
    </w:p>
    <w:p>
      <w:pPr>
        <w:spacing w:after="0" w:line="17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Any claims of patent infringement, misappropriation or other violations asserted by third parties would be time consuming and could:</w:t>
      </w:r>
    </w:p>
    <w:p>
      <w:pPr>
        <w:spacing w:after="0" w:line="154" w:lineRule="exact"/>
        <w:rPr>
          <w:sz w:val="20"/>
          <w:szCs w:val="20"/>
          <w:color w:val="auto"/>
        </w:rPr>
      </w:pPr>
    </w:p>
    <w:p>
      <w:pPr>
        <w:ind w:left="720" w:hanging="319"/>
        <w:spacing w:after="0"/>
        <w:tabs>
          <w:tab w:leader="none" w:pos="7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231F20"/>
        </w:rPr>
        <w:t>result in costly litigation that may cause negative publicity;</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231F20"/>
        </w:rPr>
        <w:t>cause development delays;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231F20"/>
        </w:rPr>
        <w:t>prevent us from commercializing OP-1250 or any future product candidates we may develop;</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231F20"/>
        </w:rPr>
        <w:t>require us to develop non-infringing technology, which may not be possible on a cost-effective basis;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231F20"/>
        </w:rPr>
        <w:t>subject us to significant liability to third parties; or</w:t>
      </w:r>
    </w:p>
    <w:p>
      <w:pPr>
        <w:spacing w:after="0" w:line="224" w:lineRule="exact"/>
        <w:rPr>
          <w:rFonts w:ascii="Times New Roman" w:cs="Times New Roman" w:eastAsia="Times New Roman" w:hAnsi="Times New Roman"/>
          <w:sz w:val="18"/>
          <w:szCs w:val="18"/>
          <w:color w:val="auto"/>
        </w:rPr>
      </w:pPr>
    </w:p>
    <w:p>
      <w:pPr>
        <w:jc w:val="both"/>
        <w:ind w:left="720" w:right="79" w:hanging="319"/>
        <w:spacing w:after="0" w:line="252" w:lineRule="auto"/>
        <w:tabs>
          <w:tab w:leader="none" w:pos="7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231F20"/>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171"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Any patent-related legal action against us claiming damages or seeking to enjoin commercial activities relating to our products, or processes could subject us to significant liability for damages, including treble damages if we were determined to willfully infringe, and require us to obtain a license to manufacture or market OP-1250 or any future product candidates we may develop.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a future strategic partner were able to obtain a license, the rights may be nonexclusive, which could result in our competitors gaining access to the same intellectual property. In addition, we cannot be certain that we could redesign OP-1250 or any future product candidates we may develop processes to avoid infringement, if necessary.</w:t>
      </w:r>
    </w:p>
    <w:p>
      <w:pPr>
        <w:spacing w:after="0" w:line="186"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An adverse determination in a judicial or administrative proceeding, or the failure to obtain necessary licenses, could prevent us from developing and commercializing OP-1250 or any future product candidates we may develop, which could significantly harm our business, financial condition and operating results. In addition, intellectual property litigation, regardless of its outcome, may cause negative publicity and could prohibit us from marketing or otherwise commercializing OP-1250 and future product candidates and technologies.</w:t>
      </w:r>
    </w:p>
    <w:p>
      <w:pPr>
        <w:spacing w:after="0" w:line="176"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Parties making claims against us may be able to sustain the costs of complex patent litigation more effectively than we can.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significantly harm our business, financial condition, results of operations and prospects.</w:t>
      </w:r>
    </w:p>
    <w:p>
      <w:pPr>
        <w:spacing w:after="0" w:line="181"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from third parties for that we identify as necessary for OP-1250 through acquisitions and in-licenses.</w:t>
      </w:r>
    </w:p>
    <w:p>
      <w:pPr>
        <w:spacing w:after="0" w:line="13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Because our development programs may in the future require the use of proprietary rights held by third parties, the growth of our business may depend in part on our ability to acquire, in-license, or use these third-party proprietary rights.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While we may have issued patents that cover OP-1250, it is possible that third parties may have blocking patents that prevent us from marketing, manufacturing or commercializing our own patented products and practicing our own patented technology.</w:t>
      </w:r>
    </w:p>
    <w:p>
      <w:pPr>
        <w:spacing w:after="0" w:line="16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may be unsuccessful in acquiring or in-licensing compositions, methods of use, processes, or other intellectual property rights from third parties that we identify as necessary for practicing inventions claimed by our patents, including the manufacture, sale and use of OP-1250 and any future product candidates we may develop.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significantly harm our business, financial condition, results of operations and prospects.</w:t>
      </w:r>
    </w:p>
    <w:p>
      <w:pPr>
        <w:spacing w:after="0" w:line="182"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which could be expensive, time consuming and unsuccessful. Further, our issued patents could be found invalid or unenforceable if challenged in court.</w:t>
      </w:r>
    </w:p>
    <w:p>
      <w:pPr>
        <w:spacing w:after="0" w:line="15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Competitors or other third parties may infringe, misappropriate or otherwise violate our intellectual property rights. To prevent infringement or unauthorized use, we may be required to file infringement or other intellectual property claims, which can be expensive and time-consuming. In addition, in a patent infringement proceeding, a court may decide that a patent we may in-license in the future or own is not valid, is unenforceable, and/or is not infringed, or may refuse to stop the other party from using the technology at issue on the grounds that our owned patents or future in-licensed patents do not cover the technology in question. If we or any of our potential future collaborators were to initiate legal proceedings against a third party to enforce a patent directed at OP-1250 or any future product candidates we may develop, the defendant could counterclaim that our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189"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The outcome following legal assertions of invalidity and/or unenforceability is unpredictable, and prior art could render our patent invalid. There is no assurance that all potentially relevant prior art relating to our patent and patent applications has been found. There is also no assurance that there is not prior art of which we are aware, but which we do not believe affects the validity or enforceability of a claim in our patent and patent applications, which may, nonetheless, ultimately be found to affect the validity or enforceability of a claim.</w:t>
      </w:r>
    </w:p>
    <w:p>
      <w:pPr>
        <w:spacing w:after="0" w:line="176"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If a defendant were to prevail on a legal assertion of invalidity and/or unenforceability, we may lose at least part, and perhaps all, of the patent protection on such product candidate. In addition, if the breadth or strength of protection provided by our patents and patent applications is threatened, it could dissuade companies from collaborating with us to license, develop or commercialize current or future product candidates. Such a loss of patent protection would significantly harm our business, financial condition, results of operations and prospects.</w:t>
      </w:r>
    </w:p>
    <w:p>
      <w:pPr>
        <w:spacing w:after="0" w:line="176"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69"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6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Should any of these events occur, it could significantly harm our business, financial condition, results of operations and prospects.</w:t>
      </w:r>
    </w:p>
    <w:p>
      <w:pPr>
        <w:spacing w:after="0" w:line="156"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shares to decline.</w:t>
      </w:r>
    </w:p>
    <w:p>
      <w:pPr>
        <w:spacing w:after="0" w:line="139"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significantly harm our business, financial condition, results of operations and prospects.</w:t>
      </w:r>
    </w:p>
    <w:p>
      <w:pPr>
        <w:spacing w:after="0" w:line="181"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159"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w:t>
      </w:r>
    </w:p>
    <w:p>
      <w:pPr>
        <w:spacing w:after="0" w:line="17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OP-1250 or any future product candidates to market. Should any of these events occur, it could significantly harm our business, financial condition, results of operations and prospects.</w:t>
      </w:r>
    </w:p>
    <w:p>
      <w:pPr>
        <w:spacing w:after="0" w:line="182" w:lineRule="exact"/>
        <w:rPr>
          <w:sz w:val="20"/>
          <w:szCs w:val="20"/>
          <w:color w:val="auto"/>
        </w:rPr>
      </w:pPr>
    </w:p>
    <w:p>
      <w:pPr>
        <w:jc w:val="both"/>
        <w:ind w:left="60" w:right="79"/>
        <w:spacing w:after="0" w:line="256"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or those of our licensors and the enforcement or defense of our issued patents or those of our licensors.</w:t>
      </w:r>
    </w:p>
    <w:p>
      <w:pPr>
        <w:spacing w:after="0" w:line="15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 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Since patent applications in the United States and most other countries are confidential for a period of time after filing or until issuance, we may not be certain that we or our licensors are the first to either (1) file any patent application related to OP-1250 or any future product candidate we may develop or (2) invent any of the inventions claimed in the patents or patent applications.</w:t>
      </w:r>
    </w:p>
    <w:p>
      <w:pPr>
        <w:spacing w:after="0" w:line="174"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179"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our licensors and the enforcement or defense of our issued patents or those of our licensors, all of which could significantly harm our business, financial condition, results of operations and prospects.</w:t>
      </w:r>
    </w:p>
    <w:p>
      <w:pPr>
        <w:spacing w:after="0" w:line="182"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OP-1250 or any future product candidates we may develop.</w:t>
      </w:r>
    </w:p>
    <w:p>
      <w:pPr>
        <w:spacing w:after="0" w:line="139"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our ability to protect our inventions, obtain, maintain and enforce our intellectual property rights and, more generally, could affect the value of our intellectual property. Such changes may also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180"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Further,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 Any of the foregoing could significantly harm our business, financial condition, results of operations, and prospects.</w:t>
      </w:r>
    </w:p>
    <w:p>
      <w:pPr>
        <w:spacing w:after="0" w:line="185"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39"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It is possible that we do not perfect ownership of all patents, patent applications or other intellectual property. This possibility includes the risk that we do not identify all inventors, or identify incorrect inventors, which may lead to claims disputing inventorship or ownership of our patents, patent applications or other intellectual property by former employees or other third parties. There is also a risk that we do not establish an unbroken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chain of title from inventors to us. Errors in inventorship or ownership can sometimes also impact priority claims. If we were to lose ability to claim priority for certain patent filings, intervening art or other events may preclude us from issuing patents.</w:t>
      </w:r>
    </w:p>
    <w:p>
      <w:pPr>
        <w:spacing w:after="0" w:line="169"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an outcome could significantly harm our business, financial condition, results of operations and prospects. Even if we are successful in defending against such claims, litigation could result in substantial costs and distraction to management and other employees.</w:t>
      </w:r>
    </w:p>
    <w:p>
      <w:pPr>
        <w:spacing w:after="0" w:line="178"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Patent terms may be inadequate to protect our competitive position on OP-1250 or any future product candidates we may develop for an adequate amount of time.</w:t>
      </w:r>
    </w:p>
    <w:p>
      <w:pPr>
        <w:spacing w:after="0" w:line="139"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there can be no assurance that any such extensions will be obtained, and the life of a patent, and the protection it affords, is limited. Even if patents covering OP-1250 or any future product candidates we may develop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183"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In the United States, patent term can be adjusted due to delays that occur during examination of patent applications, which may extend the term of a patent beyond 20 years. There is a risk that we may take action that detracts from any accrued patent term adjustment.</w:t>
      </w:r>
    </w:p>
    <w:p>
      <w:pPr>
        <w:spacing w:after="0" w:line="169"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It is necessary to pay certain maintenance fees, also referred to as annuities or renewal fees in some countries, throughout the lifetime of a patent at regular intervals. Failure to pay these fees can cause a granted patent to prematurely expire, without an opportunity for revival. There is a risk that we may be unable to maintain patent protection for certain patents in all markets due to finite availability of resources. Any of the foregoing could significantly harm our business, financial condition, results of operations and prospects.</w:t>
      </w:r>
    </w:p>
    <w:p>
      <w:pPr>
        <w:spacing w:after="0" w:line="178" w:lineRule="exact"/>
        <w:rPr>
          <w:sz w:val="20"/>
          <w:szCs w:val="20"/>
          <w:color w:val="auto"/>
        </w:rPr>
      </w:pPr>
    </w:p>
    <w:p>
      <w:pPr>
        <w:jc w:val="both"/>
        <w:ind w:left="60" w:right="79"/>
        <w:spacing w:after="0" w:line="256" w:lineRule="auto"/>
        <w:rPr>
          <w:sz w:val="20"/>
          <w:szCs w:val="20"/>
          <w:color w:val="auto"/>
        </w:rPr>
      </w:pPr>
      <w:r>
        <w:rPr>
          <w:rFonts w:ascii="Arial" w:cs="Arial" w:eastAsia="Arial" w:hAnsi="Arial"/>
          <w:sz w:val="18"/>
          <w:szCs w:val="18"/>
          <w:b w:val="1"/>
          <w:bCs w:val="1"/>
          <w:i w:val="1"/>
          <w:iCs w:val="1"/>
          <w:color w:val="auto"/>
        </w:rPr>
        <w:t>If we do not obtain patent term extension for OP-1250 or any future product candidates we may develop, our business, financial condition, results of operations and prospects may be significantly harmed.</w:t>
      </w:r>
    </w:p>
    <w:p>
      <w:pPr>
        <w:spacing w:after="0" w:line="15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Depending upon the timing, duration and specifics of FDA marketing approval of OP-1250 or any future product candidates we may develop, one or more of our U.S. patents or those of our licensors may be eligible for limited patent term restoration under the Drug Price Competition and Patent Term Restoration Act of 1984, or the Hatch - 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OP-1250 or any future product candidates we may develop.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business, financial condition, results of operations and prospects could be significantly harmed. Further, if this occurs, our competitors may take advantage of our investment in</w:t>
      </w:r>
    </w:p>
    <w:p>
      <w:pPr>
        <w:sectPr>
          <w:pgSz w:w="11900" w:h="16838" w:orient="portrait"/>
          <w:cols w:equalWidth="0" w:num="1">
            <w:col w:w="9019"/>
          </w:cols>
          <w:pgMar w:left="1440" w:top="513" w:right="1440"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development and trials by referencing our clinical and nonclinical data and launch their product earlier than might otherwise be the case.</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will not be able to protect our intellectual property rights throughout the world.</w:t>
      </w:r>
    </w:p>
    <w:p>
      <w:pPr>
        <w:spacing w:after="0" w:line="210"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infringing products may compete with OP-1250 or any future product candidates we may develop, without any available recourse.</w:t>
      </w:r>
    </w:p>
    <w:p>
      <w:pPr>
        <w:spacing w:after="0" w:line="18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laws of some other countries do not protect intellectual property rights to the same extent as the laws of the United States.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 In addition, the legal systems of some countries, particularly developing countries, do not favor the enforcement of patents and other intellectual property protection, especially those relating to biopharmaceuticals. As a result, many companies have encountered significant problems in protecting and defending intellectual property rights in foreign jurisdictions. Because the legal systems of many foreign countries do not favor the enforcement of patents and other intellectual property protection, particularly those relating to biopharmaceutical products, it could be difficult for us to stop the infringement, misappropriation or violation of our patents or our licensors’ patents or marketing of competing products in violation of our proprietary rights. Proceedings to enforce our intellectual property and other proprietary rights in foreign jurisdictions could result in substantial costs and divert our efforts and attention from other aspects of our business, could put our patents or the patents of our licensors at risk of being invalidated or interpreted narrowly, could put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0"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significantly harmed.</w:t>
      </w:r>
    </w:p>
    <w:p>
      <w:pPr>
        <w:spacing w:after="0" w:line="181" w:lineRule="exact"/>
        <w:rPr>
          <w:sz w:val="20"/>
          <w:szCs w:val="20"/>
          <w:color w:val="auto"/>
        </w:rPr>
      </w:pPr>
    </w:p>
    <w:p>
      <w:pPr>
        <w:jc w:val="both"/>
        <w:ind w:left="60" w:right="79"/>
        <w:spacing w:after="0" w:line="249"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165"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Periodic maintenance fees, renewal fees, annuity fees and various other governmental fees on patents and/or applications will be due to the USPTO and various foreign patent offices at various points over the lifetime of our patents and/or patent applications.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potential competitors might be able to enter the market with similar or identical products or technology, which could significantly harm our business, financial condition, results of operations and prospects.</w:t>
      </w:r>
    </w:p>
    <w:p>
      <w:pPr>
        <w:spacing w:after="0" w:line="181" w:lineRule="exact"/>
        <w:rPr>
          <w:sz w:val="20"/>
          <w:szCs w:val="20"/>
          <w:color w:val="auto"/>
        </w:rPr>
      </w:pPr>
    </w:p>
    <w:p>
      <w:pPr>
        <w:jc w:val="both"/>
        <w:ind w:left="60" w:right="79"/>
        <w:spacing w:after="0" w:line="256"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financial condition, results of operations and prospects could be significantly harmed.</w:t>
      </w:r>
    </w:p>
    <w:p>
      <w:pPr>
        <w:spacing w:after="0" w:line="15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financial condition, results of operations and prospects may be significantly harmed. Our efforts to enforce or protect our proprietary rights related to trademarks, trade secrets, domain names, copyrights or other intellectual property may be ineffective and could result in substantial costs and diversion of resources and could significantly harm our business, financial condition, results of operations and prospects.</w:t>
      </w:r>
    </w:p>
    <w:p>
      <w:pPr>
        <w:spacing w:after="0" w:line="191"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financial condition, results of operations, prospects and competitive position would be significantly harmed.</w:t>
      </w:r>
    </w:p>
    <w:p>
      <w:pPr>
        <w:spacing w:after="0" w:line="13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guarantee that we have entered into such agreements with each party that may have or have had access to our trade secrets or proprietary technology or processes. Further, we cannot provide any assurances that all such agreements have been duly executed, and any of these parties may breach the agreements and disclose our proprietary information, including our trade secrets, or claim ownership in intellectual property that we believe is owned by us. Monitoring unauthorized uses and disclosures of our intellectual property is difficult, and we do not know whether the steps we have taken to protect our intellectual property will be effective. In addition,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18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Moreover, if any of our trade secrets were to be lawfully obtained or independently developed by a competitor or other third party,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Any of the foregoing could significantly harm our business, financial condition, results of operations and prospects.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We may be subject to claims that we or our employees have wrongfully used or disclosed alleged confidential information or trade secrets.</w:t>
      </w:r>
    </w:p>
    <w:p>
      <w:pPr>
        <w:spacing w:after="0" w:line="13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Many of our employees and consultants were previously employed at, or may have previously provided or may be currently providing consulting services to, other biopharmaceutical companies, including our competitors or potential competitors. Although we try to ensure that our employees, consultants, and advisors do not use the proprietary information or know-how of others in their work for us, we may become subject to litigation where a third party asserts that we or our employees or consultants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OP-1250 or any future product candidates or technologies we may develop. Failure to defend against any such claim could subject us to significant liability for monetary damages or prevent or delay our developmental and commercialization efforts, and cause us to lose valuable intellectual property rights or personnel, which could significantly harm our business, financial condition, results of operations and prospects. Even if we are successful in defending against these claims, litigation could result in substantial costs and be a distraction to our management team and other employees.</w:t>
      </w:r>
    </w:p>
    <w:p>
      <w:pPr>
        <w:spacing w:after="0" w:line="180"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Parties making claims against us may be able to sustain the costs of complex intellectual property litigation more effectively than we can.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significantly harm our business, financial condition, results of operations and prospects.</w:t>
      </w:r>
    </w:p>
    <w:p>
      <w:pPr>
        <w:spacing w:after="0" w:line="181"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b w:val="1"/>
          <w:bCs w:val="1"/>
          <w:i w:val="1"/>
          <w:iCs w:val="1"/>
          <w:color w:val="auto"/>
        </w:rPr>
        <w:t>Our rights to develop and commercialize our technology and product candidate may be subject, in part, to the terms and conditions of licenses granted to us by others.</w:t>
      </w:r>
    </w:p>
    <w:p>
      <w:pPr>
        <w:spacing w:after="0" w:line="139"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We may enter into license agreements in the future with others to advance our research or allow commercialization of OP-1250 or any future product candidates we may develop. These and other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our licenses.</w:t>
      </w:r>
    </w:p>
    <w:p>
      <w:pPr>
        <w:spacing w:after="0" w:line="17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If we fail to comply with our obligations under any such license agreements, including obligations to make various milestone payments and royalty payments and other obligations, the licensor may have the right to terminate the license. If these agreements are terminated, we could lose intellectual property rights that are important to our business, be liable for any damages to such licensors or be prevented from developing and commercializing our product candidates, and competitors could have the freedom to seek regulatory approval of, and to market, products identical to ours. Termination of these agreements or reduction or elimination of our rights under these agreements may also result in our being required to negotiate new or reinstated agreements with less favorable terms, cause us to lose our rights under these agreements, including our rights to important intellectual property or technology, or impede, delay or prohibit the further development or commercialization of one or more product candidates that rely on such agreements. It is possible that we may be unable to obtain any additional licenses at a reasonable cost or on reasonable terms, if at all. In that event, we may be required to expend significant time and resources to redesign our product candidates or the methods for manufacturing them or to develop or license replacement technology, all of which may not be feasible on a technical or commercial basis.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including the payment of all applicable fees for patents covering our product candidates. If our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 Further, we may not be able to prevent competitors from making, using and selling competing products. In addition, even where we have the right to control the prosecution of patents and patent applications we have licensed to and from third parties, we may still be adversely affected or prejudiced by the actions or inactions of our licensees, our licensors and their counsel that took place prior to the date upon which we assumed control over patent prosecution.</w:t>
      </w:r>
    </w:p>
    <w:p>
      <w:pPr>
        <w:spacing w:after="0" w:line="180"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Our licensors may have relied on third 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 results of operations and prospects.</w:t>
      </w:r>
    </w:p>
    <w:p>
      <w:pPr>
        <w:spacing w:after="0" w:line="1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may need to obtain additional licenses from existing licensors and others to advance our research or allow commercialization of product candidates we develop. 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significantly harm our business, financial condition, results of operations and prospects significantly. We cannot provide any assurances that third 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 Should any of these events occur, it could significantly harm our business, financial condition, results of operations and prospects.</w:t>
      </w:r>
    </w:p>
    <w:p>
      <w:pPr>
        <w:spacing w:after="0" w:line="191"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5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Disputes may arise between us and our past, current or future licensors regarding intellectual property subject to a license agreement, including:</w:t>
      </w:r>
    </w:p>
    <w:p>
      <w:pPr>
        <w:spacing w:after="0" w:line="154" w:lineRule="exact"/>
        <w:rPr>
          <w:sz w:val="20"/>
          <w:szCs w:val="20"/>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231F20"/>
        </w:rPr>
        <w:t>the scope of rights granted under the license agreement and other interpretation-related issues;</w:t>
      </w:r>
    </w:p>
    <w:p>
      <w:pPr>
        <w:spacing w:after="0" w:line="22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231F20"/>
        </w:rPr>
        <w:t>whether and the extent to which our technology and processes infringe on intellectual property of the licensor that is not subject to the licensing agreement;</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231F20"/>
        </w:rPr>
        <w:t>our right to sublicense patents and other rights to third parties;</w:t>
      </w:r>
    </w:p>
    <w:p>
      <w:pPr>
        <w:spacing w:after="0" w:line="22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231F20"/>
        </w:rPr>
        <w:t>our diligence obligations under the license agreement and what activities satisfy those diligence obligations;</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231F20"/>
        </w:rPr>
        <w:t>our right to transfer or assign the license;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20" w:right="79" w:hanging="319"/>
        <w:spacing w:after="0" w:line="270" w:lineRule="auto"/>
        <w:tabs>
          <w:tab w:leader="none" w:pos="7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231F20"/>
        </w:rPr>
        <w:t>the inventorship and ownership of inventions and know-how resulting from the joint creation or use of intellectual property by our licensors and us and our partners; and</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231F20"/>
        </w:rPr>
        <w:t>the priority of invention of patented technology.</w:t>
      </w:r>
    </w:p>
    <w:p>
      <w:pPr>
        <w:spacing w:after="0" w:line="224"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significantly harm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significantly harm our business, financial condition and prospects.</w:t>
      </w:r>
    </w:p>
    <w:p>
      <w:pPr>
        <w:spacing w:after="0" w:line="183"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significantly harm our competitive position, business, financial condition and prospects.</w:t>
      </w:r>
    </w:p>
    <w:p>
      <w:pPr>
        <w:spacing w:after="0" w:line="181" w:lineRule="exact"/>
        <w:rPr>
          <w:sz w:val="20"/>
          <w:szCs w:val="20"/>
          <w:color w:val="auto"/>
        </w:rPr>
      </w:pPr>
    </w:p>
    <w:p>
      <w:pPr>
        <w:jc w:val="both"/>
        <w:ind w:left="60" w:right="59"/>
        <w:spacing w:after="0" w:line="249" w:lineRule="auto"/>
        <w:rPr>
          <w:sz w:val="20"/>
          <w:szCs w:val="20"/>
          <w:color w:val="auto"/>
        </w:rPr>
      </w:pPr>
      <w:r>
        <w:rPr>
          <w:rFonts w:ascii="Arial" w:cs="Arial" w:eastAsia="Arial" w:hAnsi="Arial"/>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16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 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Any exercise by the government of any of the foregoing rights could harm our competitive position, business, financial condition, results of operations and prospects.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14"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b w:val="1"/>
          <w:bCs w:val="1"/>
          <w:i w:val="1"/>
          <w:iCs w:val="1"/>
          <w:color w:val="auto"/>
        </w:rPr>
        <w:t>We rely, and expect to continue to rely, on third parties, including independent clinical investigators and CROs, to conduct certain aspects of our nonclinical studies and clinical trials. If these third parties do not successfully carry out their contractual duties, comply with applicable regulatory requirements or meet expected deadlines, we may not be able to obtain regulatory approval for or commercialize OP-1250 or future product candidates we may develop and our business, financial condition, results of operations and prospects could be significantly harmed.</w:t>
      </w:r>
    </w:p>
    <w:p>
      <w:pPr>
        <w:spacing w:after="0" w:line="17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have relied upon and plan to continue to rely upon third parties, including independent clinical investigators and third-party CROs, to conduct certain aspects of our nonclinical studies and clinical trials and to monitor and manage data for our ongoing nonclinical and clinical programs. We rely on these parties for execution of our nonclinical studies and clinical trials, and control only certain aspects of their activities. Nevertheless, we are responsible for ensuring that each of our studies and trials is conducted in accordance with the applicable protocol,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and comparable foreign regulatory authorities for OP-1250 in clinical development. Regulatory authorities enforce these GCPs through periodic inspections of trial sponsors, principal investigators and trial sites. If we or any of these third parties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 Moreover, our business may be adversely affected if any of these third parties violates federal or state fraud and abuse or false claims laws and regulations or healthcare privacy and security laws.</w:t>
      </w:r>
    </w:p>
    <w:p>
      <w:pPr>
        <w:spacing w:after="0" w:line="18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Further, these investigators and CROs are not our employees and we will not be able to control, other than by contract, the amount of resources, including time, which they devote to OP-1250 and clinical trials. These third parties may also have relationships with other commercial entities, including our competitors, for whom they may also be conducting clinical trials or other product development activities, which could affect their performance on our behalf. If independent investigators or CROs fail to devote sufficient resources to the development of OP-1250, or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OP-1250. As a result, our results of operations and the commercial prospects for OP-1250 would be harmed, our costs could increase and our ability to generate revenues could be delayed or precluded entirely, and our business, financial condition, results of operations and prospects could be significantly harmed.</w:t>
      </w:r>
    </w:p>
    <w:p>
      <w:pPr>
        <w:spacing w:after="0" w:line="180"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Our CROs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w:t>
      </w:r>
    </w:p>
    <w:p>
      <w:pPr>
        <w:spacing w:after="0" w:line="17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 COVID-19 pandemic and government measures taken in response have also had a significant impact on our CROs, and we expect that they will face further disruption which may affect our ability to initiate and complete our nonclinical studies and clinical trials.</w:t>
      </w:r>
    </w:p>
    <w:p>
      <w:pPr>
        <w:spacing w:after="0" w:line="16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If any of our relationships with these third-party CROs terminate, we may not be able to enter into arrangements with alternative CROs or do so on commercially reasonable terms. Switching or adding additional CROs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involves additional cost and requires management time and focus. In addition, there is a natural transition period when a new CRO commences work. As a result, delays occur, which can materially impact our ability to meet our desired clinical development timelines. Additionally, CROs may lack the capacity to absorb higher workloads or take on additional capacity to support our needs. There can be no assurance that we will not encounter challenges or delays with CROs in the future or that these delays or challenges will not significantly harm our business, financial condition, results of operations and prospects.</w:t>
      </w:r>
    </w:p>
    <w:p>
      <w:pPr>
        <w:spacing w:after="0" w:line="181"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b w:val="1"/>
          <w:bCs w:val="1"/>
          <w:i w:val="1"/>
          <w:iCs w:val="1"/>
          <w:color w:val="auto"/>
        </w:rPr>
        <w:t>We contract with third parties for the manufacture of OP-1250 for nonclinical studies and our ongoing clinical trials, and expect to continue to do so for additional clinical trials and ultimately for commercialization. This reliance on third parties increases the risk that we will not have sufficient quantities of OP-1250 or other drugs necessary for the development or commercialization of OP-1250 or such quantities at an acceptable cost, which could delay, prevent or impair our development or commercialization efforts.</w:t>
      </w:r>
    </w:p>
    <w:p>
      <w:pPr>
        <w:spacing w:after="0" w:line="172"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We do not currently have the infrastructure or internal capability to manufacture supplies of OP-1250 for use in development and commercialization. We rely, and expect to continue to rely, on third-party manufacturers for the production of OP-1250 for nonclinical studies and clinical trials under the guidance of members of our organization. We do not have long-term supply agreements for OP-1250. Furthermore, the raw materials for OP-1250 are sourced, in some cases, from a single-source supplier. If we were to experience an unexpected loss of supply of OP-1250 for any reason, whether as a result of manufacturing, supply or storage issues or otherwise, we could experience delays, disruptions, suspensions or terminations of, or be required to restart or repeat, any pending or ongoing clinical trials. For example, the extent to which the COVID-19 pandemic impacts our ability to procure sufficient supplies for the development of OP-1250 in the future will depend on the severity and duration of the spread of the virus, and the actions undertaken to contain COVID-19 or treat its effects.</w:t>
      </w:r>
    </w:p>
    <w:p>
      <w:pPr>
        <w:spacing w:after="0" w:line="180"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We expect to continue to rely on third-party manufacturers for the commercial supply of OP-1250, if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174" w:lineRule="exact"/>
        <w:rPr>
          <w:sz w:val="20"/>
          <w:szCs w:val="20"/>
          <w:color w:val="auto"/>
        </w:rPr>
      </w:pPr>
    </w:p>
    <w:p>
      <w:pPr>
        <w:jc w:val="both"/>
        <w:ind w:left="720" w:right="79" w:hanging="319"/>
        <w:spacing w:after="0" w:line="252" w:lineRule="auto"/>
        <w:tabs>
          <w:tab w:leader="none" w:pos="7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231F20"/>
        </w:rPr>
        <w:t>the failure of the third party to manufacture OP-1250 according to our schedule, or at all, including if our third-party contractors give greater priority to the supply of other products over OP-1250 or otherwise do not satisfactorily perform according to the terms of the agreements between us and them;</w:t>
      </w:r>
    </w:p>
    <w:p>
      <w:pPr>
        <w:spacing w:after="0" w:line="170"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231F20"/>
        </w:rPr>
        <w:t>disruptions resulting from the impact of public health pandemics or epidemics (including, for example, the ongoing COVID-19 pandemic;</w:t>
      </w:r>
    </w:p>
    <w:p>
      <w:pPr>
        <w:spacing w:after="0" w:line="15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231F20"/>
        </w:rPr>
        <w:t>the reduction or termination of production or deliveries by suppliers, or the raising of prices or renegotiation of terms;</w:t>
      </w:r>
    </w:p>
    <w:p>
      <w:pPr>
        <w:spacing w:after="0" w:line="15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231F20"/>
        </w:rPr>
        <w:t>the termination or nonrenewal of arrangements or agreements by our third-party contractors at a time that is costly or inconvenient for us;</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231F20"/>
        </w:rPr>
        <w:t>the breach by the third-party contractors of our agreements with them;</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231F20"/>
        </w:rPr>
        <w:t>the failure of third-party contractors to comply with applicable regulatory requirements;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231F20"/>
        </w:rPr>
        <w:t>the failure of the third party to manufacture OP-1250 according to our specifications;</w:t>
      </w:r>
    </w:p>
    <w:p>
      <w:pPr>
        <w:spacing w:after="0" w:line="22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231F20"/>
        </w:rPr>
        <w:t>the mislabeling of clinical supplies, potentially resulting in the wrong dose amounts being supplied or active drug or placebo not being properly identified;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720" w:right="79" w:hanging="319"/>
        <w:spacing w:after="0" w:line="252" w:lineRule="auto"/>
        <w:tabs>
          <w:tab w:leader="none" w:pos="7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231F20"/>
        </w:rPr>
        <w:t>clinical supplies not being delivered to clinical sites on time, leading to clinical trial interruptions, or of drug supplies not being distributed to commercial vendors in a timely manner, resulting in lost sales; and</w:t>
      </w:r>
    </w:p>
    <w:p>
      <w:pPr>
        <w:spacing w:after="0" w:line="17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231F20"/>
        </w:rPr>
        <w:t>the misappropriation of our proprietary information, including our trade secrets and know-how.</w:t>
      </w:r>
    </w:p>
    <w:p>
      <w:pPr>
        <w:spacing w:after="0" w:line="22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do not have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EMA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EMA or a comparable foreign regulatory authority does not approve these facilities for the manufacture of OP-1250, or if it withdraws any such approval in the future, we may need to find alternative manufacturing facilities, which would significantly impact our ability to develop, obtain marketing approval for or market OP-1250,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OP-1250 or other drugs necessary for the development or commercialization of OP-1250 and significantly harm our business, financial condition, results of operations and prospects.</w:t>
      </w:r>
    </w:p>
    <w:p>
      <w:pPr>
        <w:spacing w:after="0" w:line="18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Furthermore, if the third-party providers of therapies or therapies in development used in combination with OP-1250 are unable to produce sufficient quantities for clinical trials or for commercialization of OP-1250, or if the cost of combination therapies are prohibitive, our development and commercialization efforts would be impaired, which would significantly harm our business, financial condition, results of operations and prospects. For example, for our Phase 1b clinical trial of OP-1250 in combination with KISQALI® (ribociclib) or PIQRAY® (alpelisib), or the Novartis Study Drugs, in patients with metastatic ER+ breast cancer, we entered into a Clinical Collaboration and Supply Agreement with Novartis Institutes for BioMedical Research, Inc., or Novartis, or the Novartis Agreement. Under the terms of the Novartis Agreement, Novartis is providing KISQALI® (ribociclib) and PIQRAY® (alpelisib) for the clinical trial. If Novartis is unable to timely manufacture or provide KISQALI® (ribociclib) or PIQRAY® (alpelisib), or if the Novartis Agreement terminates and we are unable to obtain KISQALI® (ribociclib) or PIQRAY® (alpelisib) on the current terms, our Phase 1b clinical trial may be delayed and the cost to us to conduct this trial may significantly increase, which would significantly harm our business, financial condition, results of operations and prospects. For a description of the Novartis Agreement, see the section titled “Business - Clinical Trial Collaboration and Supply Agreement with Novartis” in our Annual Report on Form 10-K.</w:t>
      </w:r>
    </w:p>
    <w:p>
      <w:pPr>
        <w:spacing w:after="0" w:line="188"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Our current and anticipated future dependence upon others for the manufacture of OP-1250 or other drugs necessary for the development or commercialization of OP-1250 may adversely affect our future profit margins and our ability to commercialize any product candidates that receive marketing approval on a timely and competitive basis.</w:t>
      </w:r>
    </w:p>
    <w:p>
      <w:pPr>
        <w:spacing w:after="0" w:line="176" w:lineRule="exact"/>
        <w:rPr>
          <w:sz w:val="20"/>
          <w:szCs w:val="20"/>
          <w:color w:val="auto"/>
        </w:rPr>
      </w:pPr>
    </w:p>
    <w:p>
      <w:pPr>
        <w:jc w:val="both"/>
        <w:ind w:left="60" w:right="59"/>
        <w:spacing w:after="0" w:line="249" w:lineRule="auto"/>
        <w:rPr>
          <w:sz w:val="20"/>
          <w:szCs w:val="20"/>
          <w:color w:val="auto"/>
        </w:rPr>
      </w:pPr>
      <w:r>
        <w:rPr>
          <w:rFonts w:ascii="Arial" w:cs="Arial" w:eastAsia="Arial" w:hAnsi="Arial"/>
          <w:sz w:val="18"/>
          <w:szCs w:val="18"/>
          <w:b w:val="1"/>
          <w:bCs w:val="1"/>
          <w:i w:val="1"/>
          <w:iCs w:val="1"/>
          <w:color w:val="auto"/>
        </w:rPr>
        <w:t>The manufacture of drugs is complex and our third-party manufacturers may encounter difficulties in production. If any of our third-party manufacturers encounter such difficulties, our ability to provide adequate supply of OP-1250 for clinical trials or our product for patients, if approved, could be delayed or prevented.</w:t>
      </w:r>
    </w:p>
    <w:p>
      <w:pPr>
        <w:spacing w:after="0" w:line="165"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Manufacturing drugs, especially in large quantities, is complex and may require the use of innovative technologies. Each lot of an approved drug product must undergo thorough testing for identity, strength, quality, purity and potency. Manufacturing drugs requires facilities specifically designed for and validated for this purpose, and sophisticated quality assurance and quality control procedures are necessary. Slight deviations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anywhere in the manufacturing process, including filling, labeling, packaging, storage and shipping and quality control and testing, may result in lot failures, product recalls or spoilage. When changes are made to the manufacturing process, we may be required to provide nonclinical and clinical data showing the comparable identity, strength, quality, purity or potency of the products before and after such changes. If microbial, viral or other contaminations are discovered at the facilities of our manufacturer, such facilities may need to be closed for an extended period of time to investigate and remedy the contamination, which could delay clinical trials and significantly harm our business, financial condition, results of operations and prospects. The use of biologically derived ingredients can also lead to allegations of harm, including infections or allergic reactions, or closure of product facilities due to possible contamination. If our manufacturers are unable to produce sufficient quantities for clinical trials or for commercialization as a result of these challenges, or otherwise, our development and commercialization efforts would be impaired, which would significantly harm our business, financial condition, results of operations and prospects.</w:t>
      </w:r>
    </w:p>
    <w:p>
      <w:pPr>
        <w:spacing w:after="0" w:line="185" w:lineRule="exact"/>
        <w:rPr>
          <w:sz w:val="20"/>
          <w:szCs w:val="20"/>
          <w:color w:val="auto"/>
        </w:rPr>
      </w:pPr>
    </w:p>
    <w:p>
      <w:pPr>
        <w:jc w:val="both"/>
        <w:ind w:left="60" w:right="79"/>
        <w:spacing w:after="0" w:line="256" w:lineRule="auto"/>
        <w:rPr>
          <w:sz w:val="20"/>
          <w:szCs w:val="20"/>
          <w:color w:val="auto"/>
        </w:rPr>
      </w:pPr>
      <w:r>
        <w:rPr>
          <w:rFonts w:ascii="Arial" w:cs="Arial" w:eastAsia="Arial" w:hAnsi="Arial"/>
          <w:sz w:val="18"/>
          <w:szCs w:val="18"/>
          <w:b w:val="1"/>
          <w:bCs w:val="1"/>
          <w:i w:val="1"/>
          <w:iCs w:val="1"/>
          <w:color w:val="auto"/>
        </w:rPr>
        <w:t>We have engaged in and may in the future engage in additional acquisitions, strategic partnerships or in-licensing opportunities, that may increase our capital requirements, dilute our stockholders, cause us to incur debt or assume contingent liabilities, and subject us to other risks.</w:t>
      </w:r>
    </w:p>
    <w:p>
      <w:pPr>
        <w:spacing w:after="0" w:line="159" w:lineRule="exact"/>
        <w:rPr>
          <w:sz w:val="20"/>
          <w:szCs w:val="20"/>
          <w:color w:val="auto"/>
        </w:rPr>
      </w:pPr>
    </w:p>
    <w:p>
      <w:pPr>
        <w:jc w:val="both"/>
        <w:ind w:left="60" w:right="79"/>
        <w:spacing w:after="0" w:line="247" w:lineRule="auto"/>
        <w:rPr>
          <w:sz w:val="20"/>
          <w:szCs w:val="20"/>
          <w:color w:val="auto"/>
        </w:rPr>
      </w:pPr>
      <w:r>
        <w:rPr>
          <w:rFonts w:ascii="Arial" w:cs="Arial" w:eastAsia="Arial" w:hAnsi="Arial"/>
          <w:sz w:val="18"/>
          <w:szCs w:val="18"/>
          <w:color w:val="auto"/>
        </w:rPr>
        <w:t>We have engaged in the past and may in the future engage in or evaluate various acquisition opportunities, strategic partnerships and in-licensing opportunities, including licensing or acquiring complementary products, intellectual property rights, technologies or businesses. Any potential acquisition or strategic partnership may entail numerous risks, including:</w:t>
      </w:r>
    </w:p>
    <w:p>
      <w:pPr>
        <w:spacing w:after="0" w:line="174" w:lineRule="exact"/>
        <w:rPr>
          <w:sz w:val="20"/>
          <w:szCs w:val="20"/>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231F20"/>
        </w:rPr>
        <w:t>increased operating expenses and cash requirements;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231F20"/>
        </w:rPr>
        <w:t>the assumption of contingent liabilities;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231F20"/>
        </w:rPr>
        <w:t>the issuance of our equity securities;</w:t>
      </w:r>
    </w:p>
    <w:p>
      <w:pPr>
        <w:spacing w:after="0" w:line="22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231F20"/>
        </w:rPr>
        <w:t>assimilation of operations, intellectual property and products of an acquired company, including difficulties associated with integrating new personnel;</w:t>
      </w:r>
    </w:p>
    <w:p>
      <w:pPr>
        <w:spacing w:after="0" w:line="15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231F20"/>
        </w:rPr>
        <w:t>the diversion of our management’s attention from our existing programs and initiatives in pursuing such a strategic merger or acquisition;</w:t>
      </w:r>
    </w:p>
    <w:p>
      <w:pPr>
        <w:spacing w:after="0" w:line="15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231F20"/>
        </w:rPr>
        <w:t>retention of key employees, the loss of key personnel and uncertainties in our ability to maintain key business relationships;</w:t>
      </w:r>
    </w:p>
    <w:p>
      <w:pPr>
        <w:spacing w:after="0" w:line="15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risk of delay in receiving or the failure to receive anticipated benefits of any such transactions, or of facing unanticipated challenges;</w:t>
      </w:r>
    </w:p>
    <w:p>
      <w:pPr>
        <w:spacing w:after="0" w:line="15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231F20"/>
        </w:rPr>
        <w:t>risks and uncertainties associated with the other party to such a transaction, including the prospects of that party and their existing products or product candidates and marketing approvals; and</w:t>
      </w:r>
    </w:p>
    <w:p>
      <w:pPr>
        <w:spacing w:after="0" w:line="154" w:lineRule="exact"/>
        <w:rPr>
          <w:rFonts w:ascii="Times New Roman" w:cs="Times New Roman" w:eastAsia="Times New Roman" w:hAnsi="Times New Roman"/>
          <w:sz w:val="18"/>
          <w:szCs w:val="18"/>
          <w:color w:val="auto"/>
        </w:rPr>
      </w:pPr>
    </w:p>
    <w:p>
      <w:pPr>
        <w:jc w:val="both"/>
        <w:ind w:left="720" w:right="79" w:hanging="319"/>
        <w:spacing w:after="0" w:line="252" w:lineRule="auto"/>
        <w:tabs>
          <w:tab w:leader="none" w:pos="7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231F20"/>
        </w:rPr>
        <w:t>our inability to generate revenue from acquired technology and/or products sufficient to meet our objectives in undertaking the acquisition or even to offset the associated acquisition and maintenance costs.</w:t>
      </w:r>
    </w:p>
    <w:p>
      <w:pPr>
        <w:spacing w:after="0" w:line="171"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In addition, if we undertake acquisitions or pursue partnerships or in-licensing opportunities in the future, we may issue dilutive securities, assume or incur debt obligations, incur large one-time expenses and acquire intangible assets that could result in significant future amortization expense. Moreover, we may devote substantial resources and fail to realize the anticipated benefits of such efforts, or we may incorrectly judge the value of an acquired or in-licensed product candidate, technology or other asset. Any such failure to realize the anticipated benefits of any or all of our acquisitions, strategic partnerships or in-licensing opportunities in the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time frame expected, or at all, could result in additional costs or loss of revenue. Furthermore, we may not be able to locate suitable acquisition opportunities, and this inability could impair our ability to grow or obtain access to technology or products that may be important to the development of our business.</w:t>
      </w:r>
    </w:p>
    <w:p>
      <w:pPr>
        <w:spacing w:after="0" w:line="171"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b w:val="1"/>
          <w:bCs w:val="1"/>
          <w:i w:val="1"/>
          <w:iCs w:val="1"/>
          <w:color w:val="auto"/>
        </w:rPr>
        <w:t>We have entered into collaborations with third parties for the development and commercialization of OP-1250. If those collaborations are not successful, we may not be able to capitalize on the market potential of OP-1250.</w:t>
      </w:r>
    </w:p>
    <w:p>
      <w:pPr>
        <w:spacing w:after="0" w:line="15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have third-party collaborators for the development and commercialization of OP-1250. Our likely collaborators for any future collaboration arrangements include large and mid-size pharmaceutical companies, regional and national pharmaceutical companies and biotechnology companies.</w:t>
      </w:r>
    </w:p>
    <w:p>
      <w:pPr>
        <w:spacing w:after="0" w:line="169"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We have, and will likely continue to have, limited control over the amount and timing of resources that our collaborators dedicate to the development or commercialization of OP-1250. Our ability to generate revenues from these arrangements will depend on our collaborators’ abilities and efforts to successfully perform the functions assigned to them in these arrangements. Collaborations involving OP-1250 could pose numerous risks to us, including the following:</w:t>
      </w:r>
    </w:p>
    <w:p>
      <w:pPr>
        <w:spacing w:after="0" w:line="176" w:lineRule="exact"/>
        <w:rPr>
          <w:sz w:val="20"/>
          <w:szCs w:val="20"/>
          <w:color w:val="auto"/>
        </w:rPr>
      </w:pPr>
    </w:p>
    <w:p>
      <w:pPr>
        <w:ind w:left="720" w:right="79" w:hanging="319"/>
        <w:spacing w:after="0" w:line="270" w:lineRule="auto"/>
        <w:tabs>
          <w:tab w:leader="none" w:pos="7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231F20"/>
        </w:rPr>
        <w:t>collaborators have significant discretion in determining the efforts and resources that they will apply to these collaborations and may not perform their obligations as expected;</w:t>
      </w:r>
    </w:p>
    <w:p>
      <w:pPr>
        <w:spacing w:after="0" w:line="154" w:lineRule="exact"/>
        <w:rPr>
          <w:rFonts w:ascii="Times New Roman" w:cs="Times New Roman" w:eastAsia="Times New Roman" w:hAnsi="Times New Roman"/>
          <w:sz w:val="18"/>
          <w:szCs w:val="18"/>
          <w:color w:val="auto"/>
        </w:rPr>
      </w:pPr>
    </w:p>
    <w:p>
      <w:pPr>
        <w:jc w:val="both"/>
        <w:ind w:left="720" w:right="79" w:hanging="319"/>
        <w:spacing w:after="0" w:line="243" w:lineRule="auto"/>
        <w:tabs>
          <w:tab w:leader="none" w:pos="7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231F20"/>
        </w:rPr>
        <w:t>collaborators may deemphasize or not pursue development and commercialization of OP-1250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spacing w:after="0" w:line="179" w:lineRule="exact"/>
        <w:rPr>
          <w:rFonts w:ascii="Times New Roman" w:cs="Times New Roman" w:eastAsia="Times New Roman" w:hAnsi="Times New Roman"/>
          <w:sz w:val="18"/>
          <w:szCs w:val="18"/>
          <w:color w:val="auto"/>
        </w:rPr>
      </w:pPr>
    </w:p>
    <w:p>
      <w:pPr>
        <w:jc w:val="both"/>
        <w:ind w:left="720" w:right="79" w:hanging="319"/>
        <w:spacing w:after="0" w:line="252" w:lineRule="auto"/>
        <w:tabs>
          <w:tab w:leader="none" w:pos="7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231F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70" w:lineRule="exact"/>
        <w:rPr>
          <w:rFonts w:ascii="Times New Roman" w:cs="Times New Roman" w:eastAsia="Times New Roman" w:hAnsi="Times New Roman"/>
          <w:sz w:val="18"/>
          <w:szCs w:val="18"/>
          <w:color w:val="auto"/>
        </w:rPr>
      </w:pPr>
    </w:p>
    <w:p>
      <w:pPr>
        <w:jc w:val="both"/>
        <w:ind w:left="720" w:right="79" w:hanging="319"/>
        <w:spacing w:after="0" w:line="246" w:lineRule="auto"/>
        <w:tabs>
          <w:tab w:leader="none" w:pos="7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231F20"/>
        </w:rPr>
        <w:t>collaborators could independently develop, or develop with third parties, products that compete directly or indirectly with OP-1250 if the collaborators believe that competitive products are more likely to be successfully developed or can be commercialized under terms that are more economically attractive than ours;</w:t>
      </w:r>
    </w:p>
    <w:p>
      <w:pPr>
        <w:spacing w:after="0" w:line="176"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231F20"/>
        </w:rPr>
        <w:t>a collaborator with marketing and distribution rights to multiple products may not commit sufficient resources to the marketing and distribution of our product relative to other products;</w:t>
      </w:r>
    </w:p>
    <w:p>
      <w:pPr>
        <w:spacing w:after="0" w:line="154" w:lineRule="exact"/>
        <w:rPr>
          <w:rFonts w:ascii="Times New Roman" w:cs="Times New Roman" w:eastAsia="Times New Roman" w:hAnsi="Times New Roman"/>
          <w:sz w:val="18"/>
          <w:szCs w:val="18"/>
          <w:color w:val="auto"/>
        </w:rPr>
      </w:pPr>
    </w:p>
    <w:p>
      <w:pPr>
        <w:jc w:val="both"/>
        <w:ind w:left="720" w:right="79" w:hanging="319"/>
        <w:spacing w:after="0" w:line="243" w:lineRule="auto"/>
        <w:tabs>
          <w:tab w:leader="none" w:pos="7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231F20"/>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179" w:lineRule="exact"/>
        <w:rPr>
          <w:rFonts w:ascii="Times New Roman" w:cs="Times New Roman" w:eastAsia="Times New Roman" w:hAnsi="Times New Roman"/>
          <w:sz w:val="18"/>
          <w:szCs w:val="18"/>
          <w:color w:val="auto"/>
        </w:rPr>
      </w:pPr>
    </w:p>
    <w:p>
      <w:pPr>
        <w:jc w:val="both"/>
        <w:ind w:left="720" w:right="79" w:hanging="319"/>
        <w:spacing w:after="0" w:line="252" w:lineRule="auto"/>
        <w:tabs>
          <w:tab w:leader="none" w:pos="7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231F20"/>
        </w:rPr>
        <w:t>disputes may arise between the collaborators and us that result in the delay or termination of the research, development or commercialization of OP-1250 or that result in costly litigation or arbitration that diverts management attention and resources;</w:t>
      </w:r>
    </w:p>
    <w:p>
      <w:pPr>
        <w:spacing w:after="0" w:line="170"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231F20"/>
        </w:rPr>
        <w:t>collaborations may be terminated and, if terminated, may result in a need for additional capital to pursue further development or commercialization of the applicable product candidates;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20" w:right="79" w:hanging="319"/>
        <w:spacing w:after="0" w:line="270" w:lineRule="auto"/>
        <w:tabs>
          <w:tab w:leader="none" w:pos="7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231F20"/>
        </w:rPr>
        <w:t>collaboration agreements may not lead to development or commercialization of product candidates in the most efficient manner or at all; and</w:t>
      </w:r>
    </w:p>
    <w:p>
      <w:pPr>
        <w:spacing w:after="0" w:line="154" w:lineRule="exact"/>
        <w:rPr>
          <w:rFonts w:ascii="Times New Roman" w:cs="Times New Roman" w:eastAsia="Times New Roman" w:hAnsi="Times New Roman"/>
          <w:sz w:val="18"/>
          <w:szCs w:val="18"/>
          <w:color w:val="auto"/>
        </w:rPr>
      </w:pPr>
    </w:p>
    <w:p>
      <w:pPr>
        <w:jc w:val="both"/>
        <w:ind w:left="720" w:right="79" w:hanging="319"/>
        <w:spacing w:after="0" w:line="252" w:lineRule="auto"/>
        <w:tabs>
          <w:tab w:leader="none" w:pos="7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231F20"/>
        </w:rPr>
        <w:t>if a collaborator of ours were to be involved in a business combination, the continued pursuit and emphasis on our drug development or commercialization program could be delayed, diminished or terminated.</w:t>
      </w:r>
    </w:p>
    <w:p>
      <w:pPr>
        <w:spacing w:after="0" w:line="173"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If we decide to establish collaborations in the future, but are not able to establish those collaborations on commercially reasonable terms, we may have to alter our development and commercialization plans.</w:t>
      </w:r>
    </w:p>
    <w:p>
      <w:pPr>
        <w:spacing w:after="0" w:line="139"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Our drug development programs and the potential commercialization of OP-1250 or any future product candidates we may develop will require substantial additional cash to fund expenses. We may continue to seek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spacing w:after="0" w:line="17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If we seek collaborations in the future, we will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OP-1250 or any future product candidates we may develop. Further, we may not be successful in our efforts to establish a collaboration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spacing w:after="0" w:line="188"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174"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If and when we seek to enter into additional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OP-1250 or any future product candidates we may develop or bring them to market and generate product revenue.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21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Our common stock is currently listed on The Nasdaq Global Select Market under the symbol “OLMA.” However, we cannot assure you that an active trading market for our common stock will be sustained. Accordingly, we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cannot assure you of the liquidity of any trading market, your ability to sell your shares of our common stock when desired, or the prices that you may obtain for your shares. Further, an inactive market may also impair our ability to raise capital by selling our common stock and may impair our ability to enter into strategic partnerships or acquire businesses, products, or technologies using our common stock as consideration.</w:t>
      </w:r>
    </w:p>
    <w:p>
      <w:pPr>
        <w:spacing w:after="0" w:line="176" w:lineRule="exact"/>
        <w:rPr>
          <w:sz w:val="20"/>
          <w:szCs w:val="20"/>
          <w:color w:val="auto"/>
        </w:rPr>
      </w:pPr>
    </w:p>
    <w:p>
      <w:pPr>
        <w:ind w:left="60" w:right="279"/>
        <w:spacing w:after="0" w:line="278" w:lineRule="auto"/>
        <w:rPr>
          <w:sz w:val="20"/>
          <w:szCs w:val="20"/>
          <w:color w:val="auto"/>
        </w:rPr>
      </w:pPr>
      <w:r>
        <w:rPr>
          <w:rFonts w:ascii="Arial" w:cs="Arial" w:eastAsia="Arial" w:hAnsi="Arial"/>
          <w:sz w:val="18"/>
          <w:szCs w:val="18"/>
          <w:b w:val="1"/>
          <w:bCs w:val="1"/>
          <w:i w:val="1"/>
          <w:iCs w:val="1"/>
          <w:color w:val="auto"/>
        </w:rPr>
        <w:t>The price of our stock has been and may continue to be volatile, and you could lose all or part of your investment.</w:t>
      </w:r>
    </w:p>
    <w:p>
      <w:pPr>
        <w:spacing w:after="0" w:line="139"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The trading price of our common stock has been and may continue to be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w:t>
      </w:r>
    </w:p>
    <w:p>
      <w:pPr>
        <w:spacing w:after="0" w:line="17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Broad market and industry factors may negatively affect the market price of our common stock, regardless of our actual operating performance. In addition to the factors discussed in this “Risk Factors” section and elsewhere in this Quarterly Report, these factors include:</w:t>
      </w:r>
    </w:p>
    <w:p>
      <w:pPr>
        <w:spacing w:after="0" w:line="169" w:lineRule="exact"/>
        <w:rPr>
          <w:sz w:val="20"/>
          <w:szCs w:val="20"/>
          <w:color w:val="auto"/>
        </w:rPr>
      </w:pPr>
    </w:p>
    <w:p>
      <w:pPr>
        <w:ind w:left="720" w:right="79" w:hanging="319"/>
        <w:spacing w:after="0" w:line="270" w:lineRule="auto"/>
        <w:tabs>
          <w:tab w:leader="none" w:pos="7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231F20"/>
        </w:rPr>
        <w:t>the timing and results of nonclinical studies and clinical trials of OP-1250 or any future product candidates we may develop or those of our competitors;</w:t>
      </w:r>
    </w:p>
    <w:p>
      <w:pPr>
        <w:spacing w:after="0" w:line="15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231F20"/>
        </w:rPr>
        <w:t>the success of competitive products or announcements by potential competitors of their product development efforts;</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231F20"/>
        </w:rPr>
        <w:t>regulatory actions with respect to our product candidate or our competitors’ products;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231F20"/>
        </w:rPr>
        <w:t>actual or anticipated changes in our growth rate relative to our competitors;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231F20"/>
        </w:rPr>
        <w:t>regulatory or legal developments in the United States and other countries;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231F20"/>
        </w:rPr>
        <w:t>developments or disputes concerning patent applications, issued patents or other proprietary rights;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231F20"/>
        </w:rPr>
        <w:t>the recruitment or departure of key personnel;</w:t>
      </w:r>
    </w:p>
    <w:p>
      <w:pPr>
        <w:spacing w:after="0" w:line="22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231F20"/>
        </w:rPr>
        <w:t>announcements by us or our competitors of significant acquisitions, strategic collaborations, joint ventures, collaborations or capital commitments;</w:t>
      </w:r>
    </w:p>
    <w:p>
      <w:pPr>
        <w:spacing w:after="0" w:line="15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231F20"/>
        </w:rPr>
        <w:t>actual or anticipated changes in estimates as to financial results, development timelines or recommendations by securities analysts;</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231F20"/>
        </w:rPr>
        <w:t>fluctuations in the valuation of companies perceived by investors to be comparable to us;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231F20"/>
        </w:rPr>
        <w:t>market conditions in the pharmaceutical and biotechnology sector;</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231F20"/>
        </w:rPr>
        <w:t>changes in the structure of healthcare payment systems;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231F20"/>
        </w:rPr>
        <w:t>share price and volume fluctuations attributable to inconsistent trading volume levels of our shares;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231F20"/>
        </w:rPr>
        <w:t>announcement or expectation of additional financing efforts;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231F20"/>
        </w:rPr>
        <w:t>sales of our common stock by us, our insiders or our other stockholders; and</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231F20"/>
        </w:rPr>
        <w:t>general geopolitical, macroeconomic, industry and market conditions.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In addition, the trading prices for common stock of other biopharmaceutical companies have been highly volatile as a result of factors unrelated to the specific company or its technology, as well as due to the COVID-19 pandemic. The COVID-19 pandemic continues to evolve and the extent to which it may impact our business, nonclinical studies and clinical trials will depend on future developments, which are highly uncertain and cannot be predicted with confidence.</w:t>
      </w:r>
    </w:p>
    <w:p>
      <w:pPr>
        <w:spacing w:after="0" w:line="176"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The realization of any of the above risks or any of a broad range of other risks, including those described in this “Risk Factors” section, could have a dramatic and adverse impact on the market price of our common stock.</w:t>
      </w:r>
    </w:p>
    <w:p>
      <w:pPr>
        <w:spacing w:after="0" w:line="156"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15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trading market for our common stock is influenced by the research and reports that securities or industry analysts publish about us, our business or our market.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87"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13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154" w:lineRule="exact"/>
        <w:rPr>
          <w:sz w:val="20"/>
          <w:szCs w:val="20"/>
          <w:color w:val="auto"/>
        </w:rPr>
      </w:pPr>
    </w:p>
    <w:p>
      <w:pPr>
        <w:ind w:left="720" w:right="79" w:hanging="319"/>
        <w:spacing w:after="0" w:line="270" w:lineRule="auto"/>
        <w:tabs>
          <w:tab w:leader="none" w:pos="720" w:val="left"/>
        </w:tabs>
        <w:numPr>
          <w:ilvl w:val="0"/>
          <w:numId w:val="47"/>
        </w:numPr>
        <w:rPr>
          <w:rFonts w:ascii="Times New Roman" w:cs="Times New Roman" w:eastAsia="Times New Roman" w:hAnsi="Times New Roman"/>
          <w:sz w:val="18"/>
          <w:szCs w:val="18"/>
          <w:color w:val="231F20"/>
        </w:rPr>
      </w:pPr>
      <w:r>
        <w:rPr>
          <w:rFonts w:ascii="Arial" w:cs="Arial" w:eastAsia="Arial" w:hAnsi="Arial"/>
          <w:sz w:val="18"/>
          <w:szCs w:val="18"/>
          <w:color w:val="231F20"/>
        </w:rPr>
        <w:t>timing and variations in the level of expense related to the ongoing development of OP-1250 or future development programs;</w:t>
      </w:r>
    </w:p>
    <w:p>
      <w:pPr>
        <w:spacing w:after="0" w:line="154"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231F20"/>
        </w:rPr>
        <w:t>timing and status of enrollment for our clinical trials;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231F20"/>
        </w:rPr>
        <w:t>impacts from the COVID-19 pandemic on us or third parties with which we engage;</w:t>
      </w:r>
    </w:p>
    <w:p>
      <w:pPr>
        <w:spacing w:after="0" w:line="22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231F20"/>
        </w:rPr>
        <w:t>results of clinical trials, or the addition or termination of clinical trials or funding support by us or potential future partners;</w:t>
      </w:r>
    </w:p>
    <w:p>
      <w:pPr>
        <w:spacing w:after="0" w:line="154" w:lineRule="exact"/>
        <w:rPr>
          <w:rFonts w:ascii="Times New Roman" w:cs="Times New Roman" w:eastAsia="Times New Roman" w:hAnsi="Times New Roman"/>
          <w:sz w:val="18"/>
          <w:szCs w:val="18"/>
          <w:color w:val="auto"/>
        </w:rPr>
      </w:pPr>
    </w:p>
    <w:p>
      <w:pPr>
        <w:jc w:val="both"/>
        <w:ind w:left="720" w:right="79" w:hanging="319"/>
        <w:spacing w:after="0" w:line="252" w:lineRule="auto"/>
        <w:tabs>
          <w:tab w:leader="none" w:pos="7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231F20"/>
        </w:rPr>
        <w:t>our execution of any collaboration, licensing or similar arrangements, and the timing of payments we may make or receive under potential future arrangements or the termination or modification of any such potential future arrangements;</w:t>
      </w:r>
    </w:p>
    <w:p>
      <w:pPr>
        <w:spacing w:after="0" w:line="170"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231F20"/>
        </w:rPr>
        <w:t>any intellectual property infringement, misappropriation or violation lawsuit or opposition, interference or cancellation proceeding in which we may become involved;</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231F20"/>
        </w:rPr>
        <w:t>additions and departures of key personnel;</w:t>
      </w:r>
    </w:p>
    <w:p>
      <w:pPr>
        <w:spacing w:after="0" w:line="22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231F20"/>
        </w:rPr>
        <w:t>strategic decisions by us or our competitors, such as acquisitions, divestitures, spin-offs, joint ventures, strategic investments or changes in business strategy;</w:t>
      </w:r>
    </w:p>
    <w:p>
      <w:pPr>
        <w:spacing w:after="0" w:line="15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231F20"/>
        </w:rPr>
        <w:t>if OP-1250 or any future product candidate we may develop receive regulatory approval, the timing and terms of such approval and market acceptance and demand for such product candidates;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720" w:right="79" w:hanging="319"/>
        <w:spacing w:after="0" w:line="252" w:lineRule="auto"/>
        <w:tabs>
          <w:tab w:leader="none" w:pos="7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231F20"/>
        </w:rPr>
        <w:t>the timing and cost to establish a sales, marketing and distribution infrastructure to commercialize any products for which we may obtain marketing approval and intend to commercialize on our own or jointly with current or future collaborators;</w:t>
      </w:r>
    </w:p>
    <w:p>
      <w:pPr>
        <w:spacing w:after="0" w:line="170"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231F20"/>
        </w:rPr>
        <w:t>regulatory developments affecting OP-1250 or any future product candidate we may develop or those of our competitors; and</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231F20"/>
        </w:rPr>
        <w:t>changes in general market and economic conditions.</w:t>
      </w:r>
    </w:p>
    <w:p>
      <w:pPr>
        <w:spacing w:after="0" w:line="224"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78"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39"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Our executive officers, directors, significant stockholders and their respective affiliates beneficially own a significant percentage of our common stock. Therefore, these stockholders are able to significantly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82"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3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Our common stock price could decline as a result of sales of a large number of shares of common stock or the perception that these sales could occur. These sales, or the possibility that these sales may occur, might also make it more difficult for us to sell equity securities in the future at a time and price that we deem appropriate.</w:t>
      </w:r>
    </w:p>
    <w:p>
      <w:pPr>
        <w:spacing w:after="0" w:line="169" w:lineRule="exact"/>
        <w:rPr>
          <w:sz w:val="20"/>
          <w:szCs w:val="20"/>
          <w:color w:val="auto"/>
        </w:rPr>
      </w:pPr>
    </w:p>
    <w:p>
      <w:pPr>
        <w:jc w:val="both"/>
        <w:ind w:left="60" w:right="79"/>
        <w:spacing w:after="0" w:line="247" w:lineRule="auto"/>
        <w:rPr>
          <w:sz w:val="20"/>
          <w:szCs w:val="20"/>
          <w:color w:val="auto"/>
        </w:rPr>
      </w:pPr>
      <w:r>
        <w:rPr>
          <w:rFonts w:ascii="Arial" w:cs="Arial" w:eastAsia="Arial" w:hAnsi="Arial"/>
          <w:sz w:val="18"/>
          <w:szCs w:val="18"/>
          <w:color w:val="auto"/>
        </w:rPr>
        <w:t>As of September 30, 2022, we had 40,455,427 shares of common stock outstanding. Shares issued upon the exercise of stock options and warrants outstanding under our equity incentive plans or pursuant to future awards granted under those plans will become available for sale in the public market to the extent permitted by the provisions of applicable vesting schedules, and Rules 144 and 701 under the Securities Act.</w:t>
      </w:r>
    </w:p>
    <w:p>
      <w:pPr>
        <w:spacing w:after="0" w:line="17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Moreover, certain holders of shares of our common stock, have rights, subject to certain conditions, to require us to file registration statements covering the sale of their shares or to include their shares in registration statements that we may file for ourselves or our other stockholders. We also register the offer and sale of all shares of common stock that we may issue under our equity compensation plans. Once we register the offer and sale of shares for the holders of registration rights and shares that may be issued under our equity incentive plans, these shares will be able to be sold in the public market upon issuance, subject to applicable securities laws.</w:t>
      </w:r>
    </w:p>
    <w:p>
      <w:pPr>
        <w:spacing w:after="0" w:line="185"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In addition, in the future, we may issue additional shares of common stock, or other equity or debt securities convertible into common stock, in connection with a financing, acquisition, employee arrangement or otherwise. Any such issuance could result in substantial dilution to our existing stockholders and could cause the price of our common stock to decline.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OP-1250 or future product candidates we may develop on unfavorable terms to us.</w:t>
      </w:r>
    </w:p>
    <w:p>
      <w:pPr>
        <w:spacing w:after="0" w:line="15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may seek additional capital through a variety of means, including through public or private equity, debt financings or other sources, including up-front payments and milestone payments from strategic collaborations. To the extent that we raise additional capital through the sale of equity or convertible debt or equity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OP-1250 or future product candidates we may develop,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188" w:lineRule="exact"/>
        <w:rPr>
          <w:sz w:val="20"/>
          <w:szCs w:val="20"/>
          <w:color w:val="auto"/>
        </w:rPr>
      </w:pPr>
    </w:p>
    <w:p>
      <w:pPr>
        <w:jc w:val="both"/>
        <w:ind w:left="60" w:right="79"/>
        <w:spacing w:after="0" w:line="256" w:lineRule="auto"/>
        <w:rPr>
          <w:sz w:val="20"/>
          <w:szCs w:val="20"/>
          <w:color w:val="auto"/>
        </w:rPr>
      </w:pPr>
      <w:r>
        <w:rPr>
          <w:rFonts w:ascii="Arial" w:cs="Arial" w:eastAsia="Arial" w:hAnsi="Arial"/>
          <w:sz w:val="18"/>
          <w:szCs w:val="18"/>
          <w:b w:val="1"/>
          <w:bCs w:val="1"/>
          <w:i w:val="1"/>
          <w:iCs w:val="1"/>
          <w:color w:val="auto"/>
        </w:rPr>
        <w:t>Effective December 31, 2021, we are no longer an “emerging growth company,” and the reduced reporting requirements applicable to “emerging growth companies” no longer apply, which increases our costs as a result of being a public company and places additional demands on management.</w:t>
      </w:r>
    </w:p>
    <w:p>
      <w:pPr>
        <w:spacing w:after="0" w:line="15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Effective December 31, 2021, we are no longer classified as an “emerging growth company” as defined in the Jumpstart Our Business Startups Act, or the JOBS Act. As such, we will incur significant additional expenses that we did not previously incur in complying with the Sarbanes-Oxley Act and rules implemented by the SEC. If we or our independent registered public accounting firm identifies deficiencies in our internal control over financial reporting that are deemed to be material weaknesses, we could be subject to sanctions or investigations by the SEC or other regulatory authorities, which would require additional financial and management resources.</w:t>
      </w:r>
    </w:p>
    <w:p>
      <w:pPr>
        <w:spacing w:after="0" w:line="77"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Furthermore, investor perceptions of our company may suffer if, in the future, material weaknesses are found, and this could cause a decline in the market price of our stock. Any failure of our internal control over financial reporting could have a material effect on our stated operating results. If we are unable to implement these changes effectively or efficiently, it could harm our operations, financial reporting or financial results and could result in an adverse opinion on internal control from our independent registered public accounting firm.</w:t>
      </w:r>
    </w:p>
    <w:p>
      <w:pPr>
        <w:spacing w:after="0" w:line="68"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In addition, we have previously taken advantage of the JOBS Act’s reduced disclosure requirements applicable to “emerging growth companies” regarding executive compensation and exemptions from the requirements of holding advisory say-on-pay votes on executive compensation. Since we are no longer classified as an “emerging growth company,” we are no longer eligible for such reduced disclosure requirements and exemptions, though we will be eligible to take advantage of some reduced disclosure requirements applicable to “smaller reporting companies”. As a result, we expect that because we are no longer classified as an “emerging growth company”, we will require additional attention from management with respect to our disclosures and will incur increased costs, which could include higher legal fees, accounting fees, consultant fees and fees associated with investor relations activities, among others.</w:t>
      </w:r>
    </w:p>
    <w:p>
      <w:pPr>
        <w:spacing w:after="0" w:line="185" w:lineRule="exact"/>
        <w:rPr>
          <w:sz w:val="20"/>
          <w:szCs w:val="20"/>
          <w:color w:val="auto"/>
        </w:rPr>
      </w:pPr>
    </w:p>
    <w:p>
      <w:pPr>
        <w:jc w:val="both"/>
        <w:ind w:left="60" w:right="59"/>
        <w:spacing w:after="0" w:line="249" w:lineRule="auto"/>
        <w:rPr>
          <w:sz w:val="20"/>
          <w:szCs w:val="20"/>
          <w:color w:val="auto"/>
        </w:rPr>
      </w:pPr>
      <w:r>
        <w:rPr>
          <w:rFonts w:ascii="Arial" w:cs="Arial" w:eastAsia="Arial" w:hAnsi="Arial"/>
          <w:sz w:val="18"/>
          <w:szCs w:val="18"/>
          <w:b w:val="1"/>
          <w:bCs w:val="1"/>
          <w:i w:val="1"/>
          <w:iCs w:val="1"/>
          <w:color w:val="auto"/>
        </w:rPr>
        <w:t>We qualify as a “smaller reporting company” within the meaning of the Exchange Act and may take advantage of certain exemptions from disclosure requirements available to smaller reporting companies, which could make our securities less attractive to investors and may make it more difficult to compare our performance to the performance of other public companies.</w:t>
      </w:r>
    </w:p>
    <w:p>
      <w:pPr>
        <w:spacing w:after="0" w:line="233"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Because our annual revenue was less than $100.0 million during the most recently completed fiscal year and the market value of our voting and non-voting common stock held by non-affiliates was less than $560.0 million measured on the last business day of our second fiscal quarter for the year ending December 31, 2022, we qualify again as a “smaller reporting company” as defined in the Exchange Act. We may take advantage of certain of the scaled disclosures available to smaller reporting companies including, among other things, not being required to comply with the auditor attestation requirements of Section 404 of the Sarbanes-Oxley Act</w:t>
      </w:r>
    </w:p>
    <w:p>
      <w:pPr>
        <w:sectPr>
          <w:pgSz w:w="11900" w:h="16838" w:orient="portrait"/>
          <w:cols w:equalWidth="0" w:num="1">
            <w:col w:w="9019"/>
          </w:cols>
          <w:pgMar w:left="1440" w:top="513" w:right="1440"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(“Section 404”), presenting only the two most recent fiscal years of audited financial statements in our Annual Report on Form 10-K and presenting reduced disclosure obligations regarding executive compensation in our periodic reports and proxy statements.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87" w:lineRule="exact"/>
        <w:rPr>
          <w:sz w:val="20"/>
          <w:szCs w:val="20"/>
          <w:color w:val="auto"/>
        </w:rPr>
      </w:pPr>
    </w:p>
    <w:p>
      <w:pPr>
        <w:ind w:left="60" w:right="479"/>
        <w:spacing w:after="0" w:line="278"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result in more litigation and divert management’s attention.</w:t>
      </w:r>
    </w:p>
    <w:p>
      <w:pPr>
        <w:spacing w:after="0" w:line="13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as amended, or the Exchange Act, the Sarbanes-Oxley Act, the Dodd-Frank Wall Street Reform and Consumer Protection Act, the listing requirements of The Nasdaq Stock Market LLC and other applicable securities rules and regulations. Complying with these rules and regulations has increased and will continue to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significantly harm our business, financial condition, results of operations and prospects. We may also need to hire additional employees or engage outside consultants to comply with these requirements, which will increase our costs and expenses.</w:t>
      </w:r>
    </w:p>
    <w:p>
      <w:pPr>
        <w:spacing w:after="0" w:line="18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financial condition, results of operations and prospects may be significantly harmed.</w:t>
      </w:r>
    </w:p>
    <w:p>
      <w:pPr>
        <w:spacing w:after="0" w:line="183"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These rules and regulations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76"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In addition, as a result of our disclosure obligations as a public company, our business and financial condition has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 financial condition, results of operations and prospects.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60" w:right="59"/>
        <w:spacing w:after="0" w:line="249"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6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For example, during August 2020, in connection with the preparation of our financial statements as of and for the years ended December 31, 2019 and 2018, we identified material weaknesses in our control over financial reporting. While we have remediated these material weaknesses and have implemented processes and controls over financial reporting to address the historical internal control deficiencies, there remains risk that future deficiencies may arise. Overall, we will continue with the implementation of additional measures around internal controls and these will require validation and testing of the design and operating effectiveness of internal controls over a sustained period of financial reporting cycles. If we are unable to avoid future material weaknesses, our operations, financial reporting, or financial results could be harmed. Inferior internal controls could also cause investors to lose confidence in our reported financial information, which could have a negative effect on the trading price of our stock.</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210"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The market price of our common stock has been and may continue to be volatile and, in the past, companies that have experienced volatility in the market price of their stock have been subject to securities class action litigation and shareholder derivative actions. We may be the target of these types of litigation and claims in the future. These claims and litigation against us could result in substantial costs and divert our management’s attention from other business concerns, which could seriously harm our business, financial condition, results of operations and prospects.</w:t>
      </w:r>
    </w:p>
    <w:p>
      <w:pPr>
        <w:spacing w:after="0" w:line="181"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of the value of our common stock.</w:t>
      </w:r>
    </w:p>
    <w:p>
      <w:pPr>
        <w:spacing w:after="0" w:line="139"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We have never declared or paid any cash dividends on our equity securities.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our common stock, which is not certain.</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210"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spacing w:after="0" w:line="179"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amended and restated bylaws and Delaware law could make an acquisition of us, which may be beneficial to our stockholders, more difficult and may prevent attempts by our stockholders to replace or remove our current management.</w:t>
      </w:r>
    </w:p>
    <w:p>
      <w:pPr>
        <w:spacing w:after="0" w:line="15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Our amended and restated certificate of incorporation and amended and restated bylaws may discourage, delay or prevent a merger, acquisition or other change in control of us that stockholders may consider favorable, including transactions in which holders of our common stock might otherwise receive a premium.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80" w:lineRule="exact"/>
        <w:rPr>
          <w:sz w:val="20"/>
          <w:szCs w:val="20"/>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231F20"/>
        </w:rPr>
        <w:t>establish a classified board of directors such that not all members of the board are elected at one time;</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231F20"/>
        </w:rPr>
        <w:t>allow the authorized number of our directors to be changed only by resolution of our board of directors;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231F20"/>
        </w:rPr>
        <w:t>limit the manner in which stockholders can remove directors from the board;</w:t>
      </w:r>
    </w:p>
    <w:p>
      <w:pPr>
        <w:spacing w:after="0" w:line="22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231F20"/>
        </w:rPr>
        <w:t>establish advance notice requirements for stockholder proposals that can be acted on at stockholder meetings and nominations to our board of directors;</w:t>
      </w:r>
    </w:p>
    <w:p>
      <w:pPr>
        <w:spacing w:after="0" w:line="15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231F20"/>
        </w:rPr>
        <w:t>require that stockholder actions must be effected at a duly called stockholder meeting and prohibit actions by our stockholders by written consent;</w:t>
      </w:r>
    </w:p>
    <w:p>
      <w:pPr>
        <w:spacing w:after="0" w:line="15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231F20"/>
        </w:rPr>
        <w:t>prohibit our stockholders from calling a special meeting of our stockholders;</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231F20"/>
        </w:rPr>
        <w:t>prohibit cumulative voting;</w:t>
      </w:r>
    </w:p>
    <w:p>
      <w:pPr>
        <w:spacing w:after="0" w:line="224" w:lineRule="exact"/>
        <w:rPr>
          <w:rFonts w:ascii="Times New Roman" w:cs="Times New Roman" w:eastAsia="Times New Roman" w:hAnsi="Times New Roman"/>
          <w:sz w:val="18"/>
          <w:szCs w:val="18"/>
          <w:color w:val="auto"/>
        </w:rPr>
      </w:pPr>
    </w:p>
    <w:p>
      <w:pPr>
        <w:jc w:val="both"/>
        <w:ind w:left="720" w:right="79" w:hanging="319"/>
        <w:spacing w:after="0" w:line="246" w:lineRule="auto"/>
        <w:tabs>
          <w:tab w:leader="none" w:pos="7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231F20"/>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spacing w:after="0" w:line="174" w:lineRule="exact"/>
        <w:rPr>
          <w:rFonts w:ascii="Times New Roman" w:cs="Times New Roman" w:eastAsia="Times New Roman" w:hAnsi="Times New Roman"/>
          <w:sz w:val="18"/>
          <w:szCs w:val="18"/>
          <w:color w:val="auto"/>
        </w:rPr>
      </w:pPr>
    </w:p>
    <w:p>
      <w:pPr>
        <w:jc w:val="both"/>
        <w:ind w:left="720" w:right="79"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231F20"/>
        </w:rPr>
        <w:t>require the approval of the holders of at least 66</w:t>
      </w:r>
      <w:r>
        <w:rPr>
          <w:rFonts w:ascii="Arial" w:cs="Arial" w:eastAsia="Arial" w:hAnsi="Arial"/>
          <w:sz w:val="20"/>
          <w:szCs w:val="20"/>
          <w:color w:val="231F20"/>
          <w:vertAlign w:val="superscript"/>
        </w:rPr>
        <w:t>2⁄3</w:t>
      </w:r>
      <w:r>
        <w:rPr>
          <w:rFonts w:ascii="Arial" w:cs="Arial" w:eastAsia="Arial" w:hAnsi="Arial"/>
          <w:sz w:val="18"/>
          <w:szCs w:val="18"/>
          <w:color w:val="231F20"/>
        </w:rPr>
        <w:t>% of the votes that all our stockholders would be entitled to cast to amend or repeal certain provisions of our amended and restated certificate of incorporations or amended and restated bylaws.</w:t>
      </w:r>
    </w:p>
    <w:p>
      <w:pPr>
        <w:spacing w:after="0" w:line="181"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or DGCL,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60" w:right="59"/>
        <w:spacing w:after="0" w:line="249"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16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169" w:lineRule="exact"/>
        <w:rPr>
          <w:sz w:val="20"/>
          <w:szCs w:val="20"/>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231F20"/>
        </w:rPr>
        <w:t>any derivative action or proceeding brought on our behalf;</w:t>
      </w:r>
    </w:p>
    <w:p>
      <w:pPr>
        <w:spacing w:after="0" w:line="22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231F20"/>
        </w:rPr>
        <w:t>any action asserting a claim of breach of fiduciary duty;</w:t>
      </w:r>
    </w:p>
    <w:p>
      <w:pPr>
        <w:spacing w:after="0" w:line="22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231F20"/>
        </w:rPr>
        <w:t>any action asserting a claim against us arising under the DGCL, our amended and restated certificate of incorporation or our amended and restated bylaws; and</w:t>
      </w:r>
    </w:p>
    <w:p>
      <w:pPr>
        <w:spacing w:after="0" w:line="154"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231F20"/>
        </w:rPr>
        <w:t>any action asserting a claim against us that is governed by the internal-affairs doctrine or otherwise related to our internal affairs.</w:t>
      </w:r>
    </w:p>
    <w:p>
      <w:pPr>
        <w:spacing w:after="0" w:line="15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8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This exclusive-forum provision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 financial condition, results of operations and prospects.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Proceeds from our Initial Public Offering of Common Stock</w:t>
      </w:r>
    </w:p>
    <w:p>
      <w:pPr>
        <w:spacing w:after="0" w:line="212"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In November 2020, our Registration Statement on Form S-1 (No. 333-249748) was declared effective by the SEC and we issued and sold an aggregate of 12,650,000 shares of common stock (inclusive of 1,650,000 shares of common stock pursuant to the underwriters’ exercise of their option to purchase additional shares) at a public offering price of $19.00 per share for aggregate net cash proceeds of approximately $220.6 million, after deducting underwriting discounts, commissions and offering costs. No payments for such expenses were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made directly or indirectly to (i) any of our officers or directors or their associates, (ii) any persons owning 10% or more of any class of our equity securities or (iii) any of our affiliates.</w:t>
      </w:r>
    </w:p>
    <w:p>
      <w:pPr>
        <w:spacing w:after="0" w:line="15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The sale and issuance of 12,650,000 shares in the IPO closed on November 23, 2020, J.P. Morgan Securities LLC, Jefferies LLC and Cowen and Company, LLC acted as joint book-running managers for the offering.</w:t>
      </w:r>
    </w:p>
    <w:p>
      <w:pPr>
        <w:spacing w:after="0" w:line="15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There has been no material change in the planned use of proceeds from the IPO from that described in the prospectus filed with the SEC pursuant to Rule 424(b)(4) under the Securities Act on November 19, 2020.</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Repurchase of Shares of Company Equity Securities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12"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In November 2021, we were alerted to falsified information circulating on social media relating to our planned poster presentation for the Phase 1 dose-escalation portion of the ongoing Phase 1/2 clinical trial of OP-1250 at the San Antonio Breast Cancer Symposium. The falsified poster image was not released or authorized by us. In December 2021, a Special Committee of our Board of Directors, with assistance of outside counsel, initiated an investigation into the circumstances regarding these matters. The Special Committee’s outside counsel contacted the SEC to inform of the Special Committee’s investigation.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60" w:type="dxa"/>
        <w:tblCellMar>
          <w:top w:w="0" w:type="dxa"/>
          <w:left w:w="0" w:type="dxa"/>
          <w:bottom w:w="0" w:type="dxa"/>
          <w:right w:w="0" w:type="dxa"/>
        </w:tblCellMar>
      </w:tblPr>
      <w:tr>
        <w:trPr>
          <w:trHeight w:val="247"/>
        </w:trPr>
        <w:tc>
          <w:tcPr>
            <w:tcW w:w="5280" w:type="dxa"/>
            <w:vAlign w:val="bottom"/>
            <w:gridSpan w:val="14"/>
          </w:tcPr>
          <w:p>
            <w:pPr>
              <w:spacing w:after="0"/>
              <w:rPr>
                <w:sz w:val="20"/>
                <w:szCs w:val="20"/>
                <w:color w:val="auto"/>
              </w:rPr>
            </w:pPr>
            <w:r>
              <w:rPr>
                <w:rFonts w:ascii="Arial" w:cs="Arial" w:eastAsia="Arial" w:hAnsi="Arial"/>
                <w:sz w:val="18"/>
                <w:szCs w:val="18"/>
                <w:b w:val="1"/>
                <w:bCs w:val="1"/>
                <w:color w:val="auto"/>
              </w:rPr>
              <w:t>Item 6. Exhibits.</w:t>
            </w:r>
          </w:p>
        </w:tc>
        <w:tc>
          <w:tcPr>
            <w:tcW w:w="6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52"/>
        </w:trPr>
        <w:tc>
          <w:tcPr>
            <w:tcW w:w="20" w:type="dxa"/>
            <w:vAlign w:val="bottom"/>
          </w:tcPr>
          <w:p>
            <w:pPr>
              <w:spacing w:after="0"/>
              <w:rPr>
                <w:sz w:val="24"/>
                <w:szCs w:val="24"/>
                <w:color w:val="auto"/>
              </w:rPr>
            </w:pPr>
          </w:p>
        </w:tc>
        <w:tc>
          <w:tcPr>
            <w:tcW w:w="8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Exhibit</w:t>
            </w:r>
          </w:p>
        </w:tc>
        <w:tc>
          <w:tcPr>
            <w:tcW w:w="1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2"/>
          </w:tcPr>
          <w:p>
            <w:pPr>
              <w:jc w:val="center"/>
              <w:ind w:right="1090"/>
              <w:spacing w:after="0" w:line="191" w:lineRule="exact"/>
              <w:rPr>
                <w:sz w:val="20"/>
                <w:szCs w:val="20"/>
                <w:color w:val="auto"/>
              </w:rPr>
            </w:pPr>
            <w:r>
              <w:rPr>
                <w:rFonts w:ascii="Arial" w:cs="Arial" w:eastAsia="Arial" w:hAnsi="Arial"/>
                <w:sz w:val="18"/>
                <w:szCs w:val="18"/>
                <w:b w:val="1"/>
                <w:bCs w:val="1"/>
                <w:color w:val="auto"/>
                <w:w w:val="99"/>
              </w:rPr>
              <w:t>Schedule</w:t>
            </w:r>
          </w:p>
        </w:tc>
        <w:tc>
          <w:tcPr>
            <w:tcW w:w="700" w:type="dxa"/>
            <w:vAlign w:val="bottom"/>
          </w:tcPr>
          <w:p>
            <w:pPr>
              <w:spacing w:after="0"/>
              <w:rPr>
                <w:sz w:val="16"/>
                <w:szCs w:val="16"/>
                <w:color w:val="auto"/>
              </w:rPr>
            </w:pPr>
          </w:p>
        </w:tc>
        <w:tc>
          <w:tcPr>
            <w:tcW w:w="9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Filing</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Number</w:t>
            </w:r>
          </w:p>
        </w:tc>
        <w:tc>
          <w:tcPr>
            <w:tcW w:w="146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11"/>
          </w:tcPr>
          <w:p>
            <w:pPr>
              <w:ind w:left="240"/>
              <w:spacing w:after="0"/>
              <w:rPr>
                <w:sz w:val="20"/>
                <w:szCs w:val="20"/>
                <w:color w:val="auto"/>
              </w:rPr>
            </w:pPr>
            <w:r>
              <w:rPr>
                <w:rFonts w:ascii="Arial" w:cs="Arial" w:eastAsia="Arial" w:hAnsi="Arial"/>
                <w:sz w:val="18"/>
                <w:szCs w:val="18"/>
                <w:b w:val="1"/>
                <w:bCs w:val="1"/>
                <w:color w:val="auto"/>
              </w:rPr>
              <w:t>Description</w:t>
            </w:r>
          </w:p>
        </w:tc>
        <w:tc>
          <w:tcPr>
            <w:tcW w:w="64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rPr>
              <w:t>Form</w:t>
            </w:r>
          </w:p>
        </w:tc>
        <w:tc>
          <w:tcPr>
            <w:tcW w:w="134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9"/>
              </w:rPr>
              <w:t>File Number</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Exhibit</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line="182" w:lineRule="exact"/>
              <w:rPr>
                <w:sz w:val="20"/>
                <w:szCs w:val="20"/>
                <w:color w:val="auto"/>
              </w:rPr>
            </w:pPr>
            <w:r>
              <w:rPr>
                <w:rFonts w:ascii="Arial" w:cs="Arial" w:eastAsia="Arial" w:hAnsi="Arial"/>
                <w:sz w:val="18"/>
                <w:szCs w:val="18"/>
                <w:color w:val="auto"/>
              </w:rPr>
              <w:t>3.1</w:t>
            </w:r>
          </w:p>
        </w:tc>
        <w:tc>
          <w:tcPr>
            <w:tcW w:w="4420" w:type="dxa"/>
            <w:vAlign w:val="bottom"/>
            <w:gridSpan w:val="12"/>
          </w:tcPr>
          <w:p>
            <w:pPr>
              <w:spacing w:after="0" w:line="182" w:lineRule="exact"/>
              <w:rPr>
                <w:rFonts w:ascii="Arial" w:cs="Arial" w:eastAsia="Arial" w:hAnsi="Arial"/>
                <w:sz w:val="18"/>
                <w:szCs w:val="18"/>
                <w:color w:val="0000EE"/>
              </w:rPr>
            </w:pPr>
            <w:hyperlink r:id="rId149">
              <w:r>
                <w:rPr>
                  <w:rFonts w:ascii="Arial" w:cs="Arial" w:eastAsia="Arial" w:hAnsi="Arial"/>
                  <w:sz w:val="18"/>
                  <w:szCs w:val="18"/>
                  <w:color w:val="0000EE"/>
                </w:rPr>
                <w:t>Amended and Restated Certificate of Incorporation</w:t>
              </w:r>
            </w:hyperlink>
          </w:p>
        </w:tc>
        <w:tc>
          <w:tcPr>
            <w:tcW w:w="640" w:type="dxa"/>
            <w:vAlign w:val="bottom"/>
          </w:tcPr>
          <w:p>
            <w:pPr>
              <w:jc w:val="center"/>
              <w:ind w:left="70"/>
              <w:spacing w:after="0" w:line="182" w:lineRule="exact"/>
              <w:rPr>
                <w:sz w:val="20"/>
                <w:szCs w:val="20"/>
                <w:color w:val="auto"/>
              </w:rPr>
            </w:pPr>
            <w:r>
              <w:rPr>
                <w:rFonts w:ascii="Arial" w:cs="Arial" w:eastAsia="Arial" w:hAnsi="Arial"/>
                <w:sz w:val="18"/>
                <w:szCs w:val="18"/>
                <w:color w:val="auto"/>
                <w:w w:val="99"/>
              </w:rPr>
              <w:t>8-K</w:t>
            </w:r>
          </w:p>
        </w:tc>
        <w:tc>
          <w:tcPr>
            <w:tcW w:w="1340" w:type="dxa"/>
            <w:vAlign w:val="bottom"/>
          </w:tcPr>
          <w:p>
            <w:pPr>
              <w:jc w:val="center"/>
              <w:ind w:left="110"/>
              <w:spacing w:after="0" w:line="182" w:lineRule="exact"/>
              <w:rPr>
                <w:sz w:val="20"/>
                <w:szCs w:val="20"/>
                <w:color w:val="auto"/>
              </w:rPr>
            </w:pPr>
            <w:r>
              <w:rPr>
                <w:rFonts w:ascii="Arial" w:cs="Arial" w:eastAsia="Arial" w:hAnsi="Arial"/>
                <w:sz w:val="18"/>
                <w:szCs w:val="18"/>
                <w:color w:val="auto"/>
                <w:w w:val="99"/>
              </w:rPr>
              <w:t>001-39712</w:t>
            </w:r>
          </w:p>
        </w:tc>
        <w:tc>
          <w:tcPr>
            <w:tcW w:w="700" w:type="dxa"/>
            <w:vAlign w:val="bottom"/>
          </w:tcPr>
          <w:p>
            <w:pPr>
              <w:jc w:val="center"/>
              <w:spacing w:after="0" w:line="182" w:lineRule="exact"/>
              <w:rPr>
                <w:sz w:val="20"/>
                <w:szCs w:val="20"/>
                <w:color w:val="auto"/>
              </w:rPr>
            </w:pPr>
            <w:r>
              <w:rPr>
                <w:rFonts w:ascii="Arial" w:cs="Arial" w:eastAsia="Arial" w:hAnsi="Arial"/>
                <w:sz w:val="18"/>
                <w:szCs w:val="18"/>
                <w:color w:val="auto"/>
                <w:w w:val="95"/>
              </w:rPr>
              <w:t>3.1</w:t>
            </w:r>
          </w:p>
        </w:tc>
        <w:tc>
          <w:tcPr>
            <w:tcW w:w="940" w:type="dxa"/>
            <w:vAlign w:val="bottom"/>
          </w:tcPr>
          <w:p>
            <w:pPr>
              <w:jc w:val="center"/>
              <w:spacing w:after="0" w:line="182" w:lineRule="exact"/>
              <w:rPr>
                <w:sz w:val="20"/>
                <w:szCs w:val="20"/>
                <w:color w:val="auto"/>
              </w:rPr>
            </w:pPr>
            <w:r>
              <w:rPr>
                <w:rFonts w:ascii="Arial" w:cs="Arial" w:eastAsia="Arial" w:hAnsi="Arial"/>
                <w:sz w:val="18"/>
                <w:szCs w:val="18"/>
                <w:color w:val="auto"/>
                <w:w w:val="99"/>
              </w:rPr>
              <w:t>11/23/2020</w:t>
            </w:r>
          </w:p>
        </w:tc>
        <w:tc>
          <w:tcPr>
            <w:tcW w:w="0" w:type="dxa"/>
            <w:vAlign w:val="bottom"/>
          </w:tcPr>
          <w:p>
            <w:pPr>
              <w:spacing w:after="0"/>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3.2</w:t>
            </w:r>
          </w:p>
        </w:tc>
        <w:tc>
          <w:tcPr>
            <w:tcW w:w="40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Amended and Restated Bylaws</w:t>
              </w:r>
            </w:hyperlink>
          </w:p>
        </w:tc>
        <w:tc>
          <w:tcPr>
            <w:tcW w:w="380" w:type="dxa"/>
            <w:vAlign w:val="bottom"/>
            <w:gridSpan w:val="4"/>
          </w:tcPr>
          <w:p>
            <w:pPr>
              <w:spacing w:after="0"/>
              <w:rPr>
                <w:sz w:val="17"/>
                <w:szCs w:val="17"/>
                <w:color w:val="auto"/>
              </w:rPr>
            </w:pPr>
          </w:p>
        </w:tc>
        <w:tc>
          <w:tcPr>
            <w:tcW w:w="640" w:type="dxa"/>
            <w:vAlign w:val="bottom"/>
          </w:tcPr>
          <w:p>
            <w:pPr>
              <w:jc w:val="center"/>
              <w:ind w:left="70"/>
              <w:spacing w:after="0" w:line="196" w:lineRule="exact"/>
              <w:rPr>
                <w:sz w:val="20"/>
                <w:szCs w:val="20"/>
                <w:color w:val="auto"/>
              </w:rPr>
            </w:pPr>
            <w:r>
              <w:rPr>
                <w:rFonts w:ascii="Arial" w:cs="Arial" w:eastAsia="Arial" w:hAnsi="Arial"/>
                <w:sz w:val="18"/>
                <w:szCs w:val="18"/>
                <w:color w:val="auto"/>
                <w:w w:val="99"/>
              </w:rPr>
              <w:t>8-K</w:t>
            </w:r>
          </w:p>
        </w:tc>
        <w:tc>
          <w:tcPr>
            <w:tcW w:w="1340" w:type="dxa"/>
            <w:vAlign w:val="bottom"/>
          </w:tcPr>
          <w:p>
            <w:pPr>
              <w:jc w:val="center"/>
              <w:ind w:left="110"/>
              <w:spacing w:after="0" w:line="196" w:lineRule="exact"/>
              <w:rPr>
                <w:sz w:val="20"/>
                <w:szCs w:val="20"/>
                <w:color w:val="auto"/>
              </w:rPr>
            </w:pPr>
            <w:r>
              <w:rPr>
                <w:rFonts w:ascii="Arial" w:cs="Arial" w:eastAsia="Arial" w:hAnsi="Arial"/>
                <w:sz w:val="18"/>
                <w:szCs w:val="18"/>
                <w:color w:val="auto"/>
                <w:w w:val="99"/>
              </w:rPr>
              <w:t>001-39712</w:t>
            </w: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95"/>
              </w:rPr>
              <w:t>3.2</w:t>
            </w: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9"/>
              </w:rPr>
              <w:t>11/23/2020</w:t>
            </w:r>
          </w:p>
        </w:tc>
        <w:tc>
          <w:tcPr>
            <w:tcW w:w="0" w:type="dxa"/>
            <w:vAlign w:val="bottom"/>
          </w:tcPr>
          <w:p>
            <w:pPr>
              <w:spacing w:after="0"/>
              <w:rPr>
                <w:sz w:val="1"/>
                <w:szCs w:val="1"/>
                <w:color w:val="auto"/>
              </w:rPr>
            </w:pPr>
          </w:p>
        </w:tc>
      </w:tr>
      <w:tr>
        <w:trPr>
          <w:trHeight w:val="20"/>
        </w:trPr>
        <w:tc>
          <w:tcPr>
            <w:tcW w:w="860" w:type="dxa"/>
            <w:vAlign w:val="bottom"/>
            <w:gridSpan w:val="2"/>
            <w:vMerge w:val="restart"/>
          </w:tcPr>
          <w:p>
            <w:pPr>
              <w:spacing w:after="0"/>
              <w:rPr>
                <w:sz w:val="20"/>
                <w:szCs w:val="20"/>
                <w:color w:val="auto"/>
              </w:rPr>
            </w:pPr>
            <w:r>
              <w:rPr>
                <w:rFonts w:ascii="Arial" w:cs="Arial" w:eastAsia="Arial" w:hAnsi="Arial"/>
                <w:sz w:val="18"/>
                <w:szCs w:val="18"/>
                <w:color w:val="auto"/>
              </w:rPr>
              <w:t>31.1*</w:t>
            </w:r>
          </w:p>
        </w:tc>
        <w:tc>
          <w:tcPr>
            <w:tcW w:w="14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2"/>
            <w:vMerge w:val="continue"/>
          </w:tcPr>
          <w:p>
            <w:pPr>
              <w:spacing w:after="0"/>
              <w:rPr>
                <w:sz w:val="17"/>
                <w:szCs w:val="17"/>
                <w:color w:val="auto"/>
              </w:rPr>
            </w:pPr>
          </w:p>
        </w:tc>
        <w:tc>
          <w:tcPr>
            <w:tcW w:w="4420" w:type="dxa"/>
            <w:vAlign w:val="bottom"/>
            <w:gridSpan w:val="12"/>
          </w:tcPr>
          <w:p>
            <w:pPr>
              <w:spacing w:after="0" w:line="196" w:lineRule="exact"/>
              <w:rPr>
                <w:sz w:val="20"/>
                <w:szCs w:val="20"/>
                <w:color w:val="auto"/>
              </w:rPr>
            </w:pPr>
            <w:r>
              <w:rPr>
                <w:rFonts w:ascii="Arial" w:cs="Arial" w:eastAsia="Arial" w:hAnsi="Arial"/>
                <w:sz w:val="18"/>
                <w:szCs w:val="18"/>
                <w:color w:val="0000EE"/>
              </w:rPr>
              <w:t>Certification of Chief Executive Officer Pursuant to</w:t>
            </w:r>
          </w:p>
        </w:tc>
        <w:tc>
          <w:tcPr>
            <w:tcW w:w="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980" w:type="dxa"/>
            <w:vAlign w:val="bottom"/>
            <w:tcBorders>
              <w:top w:val="single" w:sz="8" w:color="0000EE"/>
              <w:bottom w:val="single" w:sz="8" w:color="0000EE"/>
            </w:tcBorders>
            <w:gridSpan w:val="7"/>
          </w:tcPr>
          <w:p>
            <w:pPr>
              <w:spacing w:after="0" w:line="182" w:lineRule="exact"/>
              <w:rPr>
                <w:sz w:val="20"/>
                <w:szCs w:val="20"/>
                <w:color w:val="auto"/>
              </w:rPr>
            </w:pPr>
            <w:r>
              <w:rPr>
                <w:rFonts w:ascii="Arial" w:cs="Arial" w:eastAsia="Arial" w:hAnsi="Arial"/>
                <w:sz w:val="18"/>
                <w:szCs w:val="18"/>
                <w:color w:val="0000EE"/>
                <w:w w:val="96"/>
              </w:rPr>
              <w:t>Rules 13a-14(a) and 15d-14(a) under the Securities</w:t>
            </w:r>
          </w:p>
        </w:tc>
        <w:tc>
          <w:tcPr>
            <w:tcW w:w="140" w:type="dxa"/>
            <w:vAlign w:val="bottom"/>
            <w:tcBorders>
              <w:bottom w:val="single" w:sz="8" w:color="0000EE"/>
            </w:tcBorders>
            <w:gridSpan w:val="2"/>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120" w:type="dxa"/>
            <w:vAlign w:val="bottom"/>
            <w:gridSpan w:val="9"/>
          </w:tcPr>
          <w:p>
            <w:pPr>
              <w:spacing w:after="0" w:line="182" w:lineRule="exact"/>
              <w:rPr>
                <w:sz w:val="20"/>
                <w:szCs w:val="20"/>
                <w:color w:val="auto"/>
              </w:rPr>
            </w:pPr>
            <w:r>
              <w:rPr>
                <w:rFonts w:ascii="Arial" w:cs="Arial" w:eastAsia="Arial" w:hAnsi="Arial"/>
                <w:sz w:val="18"/>
                <w:szCs w:val="18"/>
                <w:color w:val="0000EE"/>
              </w:rPr>
              <w:t>Exchange Act of 1934, as Adopted Pursuant to</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gridSpan w:val="2"/>
            <w:vMerge w:val="restart"/>
          </w:tcPr>
          <w:p>
            <w:pPr>
              <w:spacing w:after="0"/>
              <w:rPr>
                <w:sz w:val="20"/>
                <w:szCs w:val="20"/>
                <w:color w:val="auto"/>
              </w:rPr>
            </w:pPr>
            <w:r>
              <w:rPr>
                <w:rFonts w:ascii="Arial" w:cs="Arial" w:eastAsia="Arial" w:hAnsi="Arial"/>
                <w:sz w:val="18"/>
                <w:szCs w:val="18"/>
                <w:color w:val="auto"/>
              </w:rPr>
              <w:t>31.2*</w:t>
            </w:r>
          </w:p>
        </w:tc>
        <w:tc>
          <w:tcPr>
            <w:tcW w:w="3740" w:type="dxa"/>
            <w:vAlign w:val="bottom"/>
            <w:tcBorders>
              <w:top w:val="single" w:sz="8" w:color="0000EE"/>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7"/>
              </w:rPr>
              <w:t>Section 302 of the Sarbanes-Oxley Act of 2002.</w:t>
            </w:r>
          </w:p>
        </w:tc>
        <w:tc>
          <w:tcPr>
            <w:tcW w:w="60" w:type="dxa"/>
            <w:vAlign w:val="bottom"/>
            <w:tcBorders>
              <w:bottom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gridSpan w:val="2"/>
            <w:vMerge w:val="continue"/>
          </w:tcPr>
          <w:p>
            <w:pPr>
              <w:spacing w:after="0"/>
              <w:rPr>
                <w:sz w:val="17"/>
                <w:szCs w:val="17"/>
                <w:color w:val="auto"/>
              </w:rPr>
            </w:pPr>
          </w:p>
        </w:tc>
        <w:tc>
          <w:tcPr>
            <w:tcW w:w="4420" w:type="dxa"/>
            <w:vAlign w:val="bottom"/>
            <w:gridSpan w:val="12"/>
          </w:tcPr>
          <w:p>
            <w:pPr>
              <w:spacing w:after="0" w:line="196" w:lineRule="exact"/>
              <w:rPr>
                <w:sz w:val="20"/>
                <w:szCs w:val="20"/>
                <w:color w:val="auto"/>
              </w:rPr>
            </w:pPr>
            <w:r>
              <w:rPr>
                <w:rFonts w:ascii="Arial" w:cs="Arial" w:eastAsia="Arial" w:hAnsi="Arial"/>
                <w:sz w:val="18"/>
                <w:szCs w:val="18"/>
                <w:color w:val="0000EE"/>
              </w:rPr>
              <w:t>Certification of Chief Financial Officer Pursuant to</w:t>
            </w:r>
          </w:p>
        </w:tc>
        <w:tc>
          <w:tcPr>
            <w:tcW w:w="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920" w:type="dxa"/>
            <w:vAlign w:val="bottom"/>
            <w:tcBorders>
              <w:top w:val="single" w:sz="8" w:color="0000EE"/>
            </w:tcBorders>
            <w:gridSpan w:val="6"/>
          </w:tcPr>
          <w:p>
            <w:pPr>
              <w:spacing w:after="0" w:line="182" w:lineRule="exact"/>
              <w:rPr>
                <w:sz w:val="20"/>
                <w:szCs w:val="20"/>
                <w:color w:val="auto"/>
              </w:rPr>
            </w:pPr>
            <w:r>
              <w:rPr>
                <w:rFonts w:ascii="Arial" w:cs="Arial" w:eastAsia="Arial" w:hAnsi="Arial"/>
                <w:sz w:val="18"/>
                <w:szCs w:val="18"/>
                <w:color w:val="0000EE"/>
                <w:w w:val="94"/>
              </w:rPr>
              <w:t>Rules 13a-14(a) and 15d-14(a) under the Securities</w:t>
            </w:r>
          </w:p>
        </w:tc>
        <w:tc>
          <w:tcPr>
            <w:tcW w:w="32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120" w:type="dxa"/>
            <w:vAlign w:val="bottom"/>
            <w:tcBorders>
              <w:top w:val="single" w:sz="8" w:color="0000EE"/>
            </w:tcBorders>
            <w:gridSpan w:val="9"/>
          </w:tcPr>
          <w:p>
            <w:pPr>
              <w:spacing w:after="0" w:line="182" w:lineRule="exact"/>
              <w:rPr>
                <w:sz w:val="20"/>
                <w:szCs w:val="20"/>
                <w:color w:val="auto"/>
              </w:rPr>
            </w:pPr>
            <w:r>
              <w:rPr>
                <w:rFonts w:ascii="Arial" w:cs="Arial" w:eastAsia="Arial" w:hAnsi="Arial"/>
                <w:sz w:val="18"/>
                <w:szCs w:val="18"/>
                <w:color w:val="0000EE"/>
              </w:rPr>
              <w:t>Exchange Act of 1934, as Adopted Pursuant to</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gridSpan w:val="2"/>
            <w:vMerge w:val="restart"/>
          </w:tcPr>
          <w:p>
            <w:pPr>
              <w:spacing w:after="0"/>
              <w:rPr>
                <w:sz w:val="20"/>
                <w:szCs w:val="20"/>
                <w:color w:val="auto"/>
              </w:rPr>
            </w:pPr>
            <w:r>
              <w:rPr>
                <w:rFonts w:ascii="Arial" w:cs="Arial" w:eastAsia="Arial" w:hAnsi="Arial"/>
                <w:sz w:val="18"/>
                <w:szCs w:val="18"/>
                <w:color w:val="auto"/>
              </w:rPr>
              <w:t>32.1*#</w:t>
            </w:r>
          </w:p>
        </w:tc>
        <w:tc>
          <w:tcPr>
            <w:tcW w:w="3740" w:type="dxa"/>
            <w:vAlign w:val="bottom"/>
            <w:tcBorders>
              <w:top w:val="single" w:sz="8" w:color="0000EE"/>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7"/>
              </w:rPr>
              <w:t>Section 302 of the Sarbanes-Oxley Act of 2002.</w:t>
            </w:r>
          </w:p>
        </w:tc>
        <w:tc>
          <w:tcPr>
            <w:tcW w:w="60" w:type="dxa"/>
            <w:vAlign w:val="bottom"/>
            <w:tcBorders>
              <w:bottom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gridSpan w:val="2"/>
            <w:vMerge w:val="continue"/>
          </w:tcPr>
          <w:p>
            <w:pPr>
              <w:spacing w:after="0"/>
              <w:rPr>
                <w:sz w:val="17"/>
                <w:szCs w:val="17"/>
                <w:color w:val="auto"/>
              </w:rPr>
            </w:pPr>
          </w:p>
        </w:tc>
        <w:tc>
          <w:tcPr>
            <w:tcW w:w="4420" w:type="dxa"/>
            <w:vAlign w:val="bottom"/>
            <w:gridSpan w:val="12"/>
          </w:tcPr>
          <w:p>
            <w:pPr>
              <w:spacing w:after="0" w:line="196" w:lineRule="exact"/>
              <w:rPr>
                <w:sz w:val="20"/>
                <w:szCs w:val="20"/>
                <w:color w:val="auto"/>
              </w:rPr>
            </w:pPr>
            <w:r>
              <w:rPr>
                <w:rFonts w:ascii="Arial" w:cs="Arial" w:eastAsia="Arial" w:hAnsi="Arial"/>
                <w:sz w:val="18"/>
                <w:szCs w:val="18"/>
                <w:color w:val="0000EE"/>
              </w:rPr>
              <w:t>Certification of Chief Executive Officer and Chief</w:t>
            </w:r>
          </w:p>
        </w:tc>
        <w:tc>
          <w:tcPr>
            <w:tcW w:w="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4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EE"/>
              </w:rPr>
              <w:t>Financial Officer Pursuant to 18 U.S.C. Section</w:t>
            </w:r>
          </w:p>
        </w:tc>
        <w:tc>
          <w:tcPr>
            <w:tcW w:w="420" w:type="dxa"/>
            <w:vAlign w:val="bottom"/>
            <w:gridSpan w:val="6"/>
          </w:tcPr>
          <w:p>
            <w:pPr>
              <w:jc w:val="right"/>
              <w:ind w:right="20"/>
              <w:spacing w:after="0" w:line="182" w:lineRule="exact"/>
              <w:rPr>
                <w:sz w:val="20"/>
                <w:szCs w:val="20"/>
                <w:color w:val="auto"/>
              </w:rPr>
            </w:pPr>
            <w:r>
              <w:rPr>
                <w:rFonts w:ascii="Arial" w:cs="Arial" w:eastAsia="Arial" w:hAnsi="Arial"/>
                <w:sz w:val="18"/>
                <w:szCs w:val="18"/>
                <w:color w:val="0000EE"/>
                <w:w w:val="84"/>
              </w:rPr>
              <w:t>1350,</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40" w:type="dxa"/>
            <w:vAlign w:val="bottom"/>
            <w:tcBorders>
              <w:top w:val="single" w:sz="8" w:color="0000EE"/>
              <w:bottom w:val="single" w:sz="8" w:color="0000EE"/>
            </w:tcBorders>
            <w:gridSpan w:val="10"/>
          </w:tcPr>
          <w:p>
            <w:pPr>
              <w:spacing w:after="0" w:line="182" w:lineRule="exact"/>
              <w:rPr>
                <w:sz w:val="20"/>
                <w:szCs w:val="20"/>
                <w:color w:val="auto"/>
              </w:rPr>
            </w:pPr>
            <w:r>
              <w:rPr>
                <w:rFonts w:ascii="Arial" w:cs="Arial" w:eastAsia="Arial" w:hAnsi="Arial"/>
                <w:sz w:val="18"/>
                <w:szCs w:val="18"/>
                <w:color w:val="0000EE"/>
                <w:w w:val="98"/>
              </w:rPr>
              <w:t>as Adopted Pursuant to Section 906 of the Sarbanes-</w:t>
            </w:r>
          </w:p>
        </w:tc>
        <w:tc>
          <w:tcPr>
            <w:tcW w:w="20" w:type="dxa"/>
            <w:vAlign w:val="bottom"/>
            <w:tcBorders>
              <w:bottom w:val="single" w:sz="8" w:color="0000EE"/>
            </w:tcBorders>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gridSpan w:val="2"/>
            <w:vMerge w:val="restart"/>
          </w:tcPr>
          <w:p>
            <w:pPr>
              <w:spacing w:after="0"/>
              <w:rPr>
                <w:sz w:val="20"/>
                <w:szCs w:val="20"/>
                <w:color w:val="auto"/>
              </w:rPr>
            </w:pPr>
            <w:r>
              <w:rPr>
                <w:rFonts w:ascii="Arial" w:cs="Arial" w:eastAsia="Arial" w:hAnsi="Arial"/>
                <w:sz w:val="18"/>
                <w:szCs w:val="18"/>
                <w:color w:val="auto"/>
              </w:rPr>
              <w:t>101.INS*</w:t>
            </w:r>
          </w:p>
        </w:tc>
        <w:tc>
          <w:tcPr>
            <w:tcW w:w="4260" w:type="dxa"/>
            <w:vAlign w:val="bottom"/>
            <w:gridSpan w:val="11"/>
          </w:tcPr>
          <w:p>
            <w:pPr>
              <w:spacing w:after="0" w:line="182" w:lineRule="exact"/>
              <w:rPr>
                <w:sz w:val="20"/>
                <w:szCs w:val="20"/>
                <w:color w:val="auto"/>
              </w:rPr>
            </w:pPr>
            <w:r>
              <w:rPr>
                <w:rFonts w:ascii="Arial" w:cs="Arial" w:eastAsia="Arial" w:hAnsi="Arial"/>
                <w:sz w:val="18"/>
                <w:szCs w:val="18"/>
                <w:color w:val="0000EE"/>
              </w:rPr>
              <w:t>Oxley Act of 2002.</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gridSpan w:val="2"/>
            <w:vMerge w:val="continu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960" w:type="dxa"/>
            <w:vAlign w:val="bottom"/>
            <w:gridSpan w:val="11"/>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60" w:type="dxa"/>
            <w:vAlign w:val="bottom"/>
            <w:gridSpan w:val="2"/>
            <w:vMerge w:val="continue"/>
          </w:tcPr>
          <w:p>
            <w:pPr>
              <w:spacing w:after="0"/>
              <w:rPr>
                <w:sz w:val="17"/>
                <w:szCs w:val="17"/>
                <w:color w:val="auto"/>
              </w:rPr>
            </w:pPr>
          </w:p>
        </w:tc>
        <w:tc>
          <w:tcPr>
            <w:tcW w:w="4420" w:type="dxa"/>
            <w:vAlign w:val="bottom"/>
            <w:gridSpan w:val="12"/>
          </w:tcPr>
          <w:p>
            <w:pPr>
              <w:spacing w:after="0" w:line="204" w:lineRule="exact"/>
              <w:rPr>
                <w:sz w:val="20"/>
                <w:szCs w:val="20"/>
                <w:color w:val="auto"/>
              </w:rPr>
            </w:pPr>
            <w:r>
              <w:rPr>
                <w:rFonts w:ascii="Arial" w:cs="Arial" w:eastAsia="Arial" w:hAnsi="Arial"/>
                <w:sz w:val="18"/>
                <w:szCs w:val="18"/>
                <w:color w:val="auto"/>
              </w:rPr>
              <w:t>XBRL Instance Document – the instance document</w:t>
            </w:r>
          </w:p>
        </w:tc>
        <w:tc>
          <w:tcPr>
            <w:tcW w:w="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20" w:type="dxa"/>
            <w:vAlign w:val="bottom"/>
            <w:gridSpan w:val="12"/>
          </w:tcPr>
          <w:p>
            <w:pPr>
              <w:spacing w:after="0" w:line="202" w:lineRule="exact"/>
              <w:rPr>
                <w:sz w:val="20"/>
                <w:szCs w:val="20"/>
                <w:color w:val="auto"/>
              </w:rPr>
            </w:pPr>
            <w:r>
              <w:rPr>
                <w:rFonts w:ascii="Arial" w:cs="Arial" w:eastAsia="Arial" w:hAnsi="Arial"/>
                <w:sz w:val="18"/>
                <w:szCs w:val="18"/>
                <w:color w:val="auto"/>
                <w:w w:val="99"/>
              </w:rPr>
              <w:t>does not appear in the Interactive Data File because its</w:t>
            </w:r>
          </w:p>
        </w:tc>
        <w:tc>
          <w:tcPr>
            <w:tcW w:w="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20" w:type="dxa"/>
            <w:vAlign w:val="bottom"/>
            <w:gridSpan w:val="12"/>
          </w:tcPr>
          <w:p>
            <w:pPr>
              <w:spacing w:after="0" w:line="202" w:lineRule="exact"/>
              <w:rPr>
                <w:sz w:val="20"/>
                <w:szCs w:val="20"/>
                <w:color w:val="auto"/>
              </w:rPr>
            </w:pPr>
            <w:r>
              <w:rPr>
                <w:rFonts w:ascii="Arial" w:cs="Arial" w:eastAsia="Arial" w:hAnsi="Arial"/>
                <w:sz w:val="18"/>
                <w:szCs w:val="18"/>
                <w:color w:val="auto"/>
              </w:rPr>
              <w:t>XBRL tags are embedded within the Inline XBRL</w:t>
            </w:r>
          </w:p>
        </w:tc>
        <w:tc>
          <w:tcPr>
            <w:tcW w:w="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2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8"/>
          <w:szCs w:val="18"/>
          <w:color w:val="auto"/>
        </w:rPr>
        <w:t>101.SCH* XBRL Taxonomy Extension Schema Document</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101.CAL* XBRL Taxonomy Extension Calculation Linkbase</w:t>
      </w:r>
    </w:p>
    <w:p>
      <w:pPr>
        <w:ind w:left="920"/>
        <w:spacing w:after="0"/>
        <w:rPr>
          <w:sz w:val="20"/>
          <w:szCs w:val="20"/>
          <w:color w:val="auto"/>
        </w:rPr>
      </w:pPr>
      <w:r>
        <w:rPr>
          <w:rFonts w:ascii="Arial" w:cs="Arial" w:eastAsia="Arial" w:hAnsi="Arial"/>
          <w:sz w:val="18"/>
          <w:szCs w:val="18"/>
          <w:color w:val="auto"/>
        </w:rPr>
        <w:t>Document</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101.DEF* XBRL Taxonomy Extension Definition Linkbase</w:t>
      </w:r>
    </w:p>
    <w:p>
      <w:pPr>
        <w:ind w:left="920"/>
        <w:spacing w:after="0"/>
        <w:rPr>
          <w:sz w:val="20"/>
          <w:szCs w:val="20"/>
          <w:color w:val="auto"/>
        </w:rPr>
      </w:pPr>
      <w:r>
        <w:rPr>
          <w:rFonts w:ascii="Arial" w:cs="Arial" w:eastAsia="Arial" w:hAnsi="Arial"/>
          <w:sz w:val="18"/>
          <w:szCs w:val="18"/>
          <w:color w:val="auto"/>
        </w:rPr>
        <w:t>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101.LAB* XBRL Taxonomy Extension Label Linkbase Document</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101.PRE* XBRL Taxonomy Extension Presentation Linkbase</w:t>
      </w:r>
    </w:p>
    <w:p>
      <w:pPr>
        <w:ind w:left="920"/>
        <w:spacing w:after="0"/>
        <w:rPr>
          <w:sz w:val="20"/>
          <w:szCs w:val="20"/>
          <w:color w:val="auto"/>
        </w:rPr>
      </w:pPr>
      <w:r>
        <w:rPr>
          <w:rFonts w:ascii="Arial" w:cs="Arial" w:eastAsia="Arial" w:hAnsi="Arial"/>
          <w:sz w:val="18"/>
          <w:szCs w:val="18"/>
          <w:color w:val="auto"/>
        </w:rPr>
        <w:t>Document</w:t>
      </w:r>
    </w:p>
    <w:p>
      <w:pPr>
        <w:spacing w:after="0" w:line="9" w:lineRule="exact"/>
        <w:rPr>
          <w:sz w:val="20"/>
          <w:szCs w:val="20"/>
          <w:color w:val="auto"/>
        </w:rPr>
      </w:pPr>
    </w:p>
    <w:p>
      <w:pPr>
        <w:ind w:left="920" w:right="3799" w:hanging="860"/>
        <w:spacing w:after="0"/>
        <w:tabs>
          <w:tab w:leader="none" w:pos="9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369"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14" w:lineRule="exact"/>
        <w:rPr>
          <w:sz w:val="20"/>
          <w:szCs w:val="20"/>
          <w:color w:val="auto"/>
        </w:rPr>
      </w:pPr>
    </w:p>
    <w:p>
      <w:pPr>
        <w:jc w:val="both"/>
        <w:ind w:left="440" w:right="79" w:hanging="390"/>
        <w:spacing w:after="0" w:line="239" w:lineRule="auto"/>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Quarterly Report on Form 10-Q pursuant to 18 U.S.C. Section 1350, as adopted pursuant to Section 906 of the Sarbanes-Oxley Act of 2002, and shall not be deemed “filed” by the Registrant for purposes of Section 18 of the Exchange Act, and are not to be incorporated by reference into any of the Registrant’s filings under the Securities Act, irrespective of any general incorporation language contained in any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200" w:type="dxa"/>
            <w:vAlign w:val="bottom"/>
          </w:tcPr>
          <w:p>
            <w:pPr>
              <w:spacing w:after="0"/>
              <w:rPr>
                <w:sz w:val="17"/>
                <w:szCs w:val="17"/>
                <w:color w:val="auto"/>
              </w:rPr>
            </w:pPr>
          </w:p>
        </w:tc>
        <w:tc>
          <w:tcPr>
            <w:tcW w:w="5700" w:type="dxa"/>
            <w:vAlign w:val="bottom"/>
            <w:gridSpan w:val="2"/>
          </w:tcPr>
          <w:p>
            <w:pPr>
              <w:ind w:left="1240"/>
              <w:spacing w:after="0"/>
              <w:rPr>
                <w:sz w:val="20"/>
                <w:szCs w:val="20"/>
                <w:color w:val="auto"/>
              </w:rPr>
            </w:pPr>
            <w:r>
              <w:rPr>
                <w:rFonts w:ascii="Arial" w:cs="Arial" w:eastAsia="Arial" w:hAnsi="Arial"/>
                <w:sz w:val="18"/>
                <w:szCs w:val="18"/>
                <w:color w:val="auto"/>
              </w:rPr>
              <w:t>Olema Pharmaceuticals, Inc.</w:t>
            </w:r>
          </w:p>
        </w:tc>
      </w:tr>
      <w:tr>
        <w:trPr>
          <w:trHeight w:val="221"/>
        </w:trPr>
        <w:tc>
          <w:tcPr>
            <w:tcW w:w="3200" w:type="dxa"/>
            <w:vAlign w:val="bottom"/>
          </w:tcPr>
          <w:p>
            <w:pPr>
              <w:spacing w:after="0"/>
              <w:rPr>
                <w:sz w:val="20"/>
                <w:szCs w:val="20"/>
                <w:color w:val="auto"/>
              </w:rPr>
            </w:pPr>
            <w:r>
              <w:rPr>
                <w:rFonts w:ascii="Arial" w:cs="Arial" w:eastAsia="Arial" w:hAnsi="Arial"/>
                <w:sz w:val="18"/>
                <w:szCs w:val="18"/>
                <w:color w:val="auto"/>
              </w:rPr>
              <w:t>Date: November 8, 2022</w:t>
            </w:r>
          </w:p>
        </w:tc>
        <w:tc>
          <w:tcPr>
            <w:tcW w:w="1520" w:type="dxa"/>
            <w:vAlign w:val="bottom"/>
          </w:tcPr>
          <w:p>
            <w:pPr>
              <w:ind w:left="1240"/>
              <w:spacing w:after="0"/>
              <w:rPr>
                <w:sz w:val="20"/>
                <w:szCs w:val="20"/>
                <w:color w:val="auto"/>
              </w:rPr>
            </w:pPr>
            <w:r>
              <w:rPr>
                <w:rFonts w:ascii="Arial" w:cs="Arial" w:eastAsia="Arial" w:hAnsi="Arial"/>
                <w:sz w:val="18"/>
                <w:szCs w:val="18"/>
                <w:color w:val="auto"/>
                <w:w w:val="99"/>
              </w:rPr>
              <w:t>By:</w:t>
            </w:r>
          </w:p>
        </w:tc>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Sean Bohen, M.D., Ph.D.</w:t>
            </w:r>
          </w:p>
        </w:tc>
      </w:tr>
      <w:tr>
        <w:trPr>
          <w:trHeight w:val="204"/>
        </w:trPr>
        <w:tc>
          <w:tcPr>
            <w:tcW w:w="3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180" w:type="dxa"/>
            <w:vAlign w:val="bottom"/>
          </w:tcPr>
          <w:p>
            <w:pPr>
              <w:jc w:val="center"/>
              <w:spacing w:after="0" w:line="204" w:lineRule="exact"/>
              <w:rPr>
                <w:sz w:val="20"/>
                <w:szCs w:val="20"/>
                <w:color w:val="auto"/>
              </w:rPr>
            </w:pPr>
            <w:r>
              <w:rPr>
                <w:rFonts w:ascii="Arial" w:cs="Arial" w:eastAsia="Arial" w:hAnsi="Arial"/>
                <w:sz w:val="18"/>
                <w:szCs w:val="18"/>
                <w:color w:val="auto"/>
                <w:w w:val="99"/>
              </w:rPr>
              <w:t>Sean Bohen, M.D., Ph.D.</w:t>
            </w:r>
          </w:p>
        </w:tc>
      </w:tr>
      <w:tr>
        <w:trPr>
          <w:trHeight w:val="203"/>
        </w:trPr>
        <w:tc>
          <w:tcPr>
            <w:tcW w:w="3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1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President and Chief Executive Officer</w:t>
            </w:r>
          </w:p>
        </w:tc>
      </w:tr>
      <w:tr>
        <w:trPr>
          <w:trHeight w:val="203"/>
        </w:trPr>
        <w:tc>
          <w:tcPr>
            <w:tcW w:w="3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18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r>
              <w:rPr>
                <w:rFonts w:ascii="Arial" w:cs="Arial" w:eastAsia="Arial" w:hAnsi="Arial"/>
                <w:sz w:val="18"/>
                <w:szCs w:val="18"/>
                <w:i w:val="1"/>
                <w:iCs w:val="1"/>
                <w:color w:val="auto"/>
                <w:w w:val="99"/>
              </w:rPr>
              <w:t>Principal Executive Officer</w:t>
            </w:r>
            <w:r>
              <w:rPr>
                <w:rFonts w:ascii="Arial" w:cs="Arial" w:eastAsia="Arial" w:hAnsi="Arial"/>
                <w:sz w:val="18"/>
                <w:szCs w:val="18"/>
                <w:color w:val="auto"/>
                <w:w w:val="99"/>
              </w:rPr>
              <w:t>)</w:t>
            </w:r>
          </w:p>
        </w:tc>
      </w:tr>
      <w:tr>
        <w:trPr>
          <w:trHeight w:val="203"/>
        </w:trPr>
        <w:tc>
          <w:tcPr>
            <w:tcW w:w="3200" w:type="dxa"/>
            <w:vAlign w:val="bottom"/>
          </w:tcPr>
          <w:p>
            <w:pPr>
              <w:spacing w:after="0"/>
              <w:rPr>
                <w:sz w:val="17"/>
                <w:szCs w:val="17"/>
                <w:color w:val="auto"/>
              </w:rPr>
            </w:pPr>
          </w:p>
        </w:tc>
        <w:tc>
          <w:tcPr>
            <w:tcW w:w="5700" w:type="dxa"/>
            <w:vAlign w:val="bottom"/>
            <w:gridSpan w:val="2"/>
          </w:tcPr>
          <w:p>
            <w:pPr>
              <w:ind w:left="1240"/>
              <w:spacing w:after="0" w:line="202" w:lineRule="exact"/>
              <w:rPr>
                <w:sz w:val="20"/>
                <w:szCs w:val="20"/>
                <w:color w:val="auto"/>
              </w:rPr>
            </w:pPr>
            <w:r>
              <w:rPr>
                <w:rFonts w:ascii="Arial" w:cs="Arial" w:eastAsia="Arial" w:hAnsi="Arial"/>
                <w:sz w:val="18"/>
                <w:szCs w:val="18"/>
                <w:color w:val="auto"/>
              </w:rPr>
              <w:t>Olema Pharmaceuticals, Inc.</w:t>
            </w:r>
          </w:p>
        </w:tc>
      </w:tr>
      <w:tr>
        <w:trPr>
          <w:trHeight w:val="239"/>
        </w:trPr>
        <w:tc>
          <w:tcPr>
            <w:tcW w:w="3200" w:type="dxa"/>
            <w:vAlign w:val="bottom"/>
          </w:tcPr>
          <w:p>
            <w:pPr>
              <w:spacing w:after="0"/>
              <w:rPr>
                <w:sz w:val="20"/>
                <w:szCs w:val="20"/>
                <w:color w:val="auto"/>
              </w:rPr>
            </w:pPr>
            <w:r>
              <w:rPr>
                <w:rFonts w:ascii="Arial" w:cs="Arial" w:eastAsia="Arial" w:hAnsi="Arial"/>
                <w:sz w:val="18"/>
                <w:szCs w:val="18"/>
                <w:color w:val="auto"/>
              </w:rPr>
              <w:t>Date: November 8, 2022</w:t>
            </w:r>
          </w:p>
        </w:tc>
        <w:tc>
          <w:tcPr>
            <w:tcW w:w="1520" w:type="dxa"/>
            <w:vAlign w:val="bottom"/>
          </w:tcPr>
          <w:p>
            <w:pPr>
              <w:ind w:left="1240"/>
              <w:spacing w:after="0"/>
              <w:rPr>
                <w:sz w:val="20"/>
                <w:szCs w:val="20"/>
                <w:color w:val="auto"/>
              </w:rPr>
            </w:pPr>
            <w:r>
              <w:rPr>
                <w:rFonts w:ascii="Arial" w:cs="Arial" w:eastAsia="Arial" w:hAnsi="Arial"/>
                <w:sz w:val="18"/>
                <w:szCs w:val="18"/>
                <w:color w:val="auto"/>
                <w:w w:val="99"/>
              </w:rPr>
              <w:t>By:</w:t>
            </w:r>
          </w:p>
        </w:tc>
        <w:tc>
          <w:tcPr>
            <w:tcW w:w="4180" w:type="dxa"/>
            <w:vAlign w:val="bottom"/>
          </w:tcPr>
          <w:p>
            <w:pPr>
              <w:jc w:val="center"/>
              <w:spacing w:after="0"/>
              <w:rPr>
                <w:sz w:val="20"/>
                <w:szCs w:val="20"/>
                <w:color w:val="auto"/>
              </w:rPr>
            </w:pPr>
            <w:r>
              <w:rPr>
                <w:rFonts w:ascii="Arial" w:cs="Arial" w:eastAsia="Arial" w:hAnsi="Arial"/>
                <w:sz w:val="18"/>
                <w:szCs w:val="18"/>
                <w:color w:val="auto"/>
                <w:w w:val="99"/>
              </w:rPr>
              <w:t>/s/ Shane Kovacs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-10795</wp:posOffset>
            </wp:positionV>
            <wp:extent cx="265747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jc w:val="center"/>
        <w:ind w:left="4700"/>
        <w:spacing w:after="0"/>
        <w:rPr>
          <w:sz w:val="20"/>
          <w:szCs w:val="20"/>
          <w:color w:val="auto"/>
        </w:rPr>
      </w:pPr>
      <w:r>
        <w:rPr>
          <w:rFonts w:ascii="Arial" w:cs="Arial" w:eastAsia="Arial" w:hAnsi="Arial"/>
          <w:sz w:val="18"/>
          <w:szCs w:val="18"/>
          <w:color w:val="auto"/>
        </w:rPr>
        <w:t>Shane Kovacs</w:t>
      </w:r>
    </w:p>
    <w:p>
      <w:pPr>
        <w:spacing w:after="0" w:line="9" w:lineRule="exact"/>
        <w:rPr>
          <w:sz w:val="20"/>
          <w:szCs w:val="20"/>
          <w:color w:val="auto"/>
        </w:rPr>
      </w:pPr>
    </w:p>
    <w:p>
      <w:pPr>
        <w:jc w:val="center"/>
        <w:ind w:left="4700"/>
        <w:spacing w:after="0"/>
        <w:rPr>
          <w:sz w:val="20"/>
          <w:szCs w:val="20"/>
          <w:color w:val="auto"/>
        </w:rPr>
      </w:pPr>
      <w:r>
        <w:rPr>
          <w:rFonts w:ascii="Arial" w:cs="Arial" w:eastAsia="Arial" w:hAnsi="Arial"/>
          <w:sz w:val="18"/>
          <w:szCs w:val="18"/>
          <w:b w:val="1"/>
          <w:bCs w:val="1"/>
          <w:color w:val="auto"/>
        </w:rPr>
        <w:t>Chief Operating and Financial Officer</w:t>
      </w:r>
    </w:p>
    <w:p>
      <w:pPr>
        <w:jc w:val="center"/>
        <w:ind w:left="4700"/>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 and Principal Accounting</w:t>
      </w:r>
    </w:p>
    <w:p>
      <w:pPr>
        <w:spacing w:after="0" w:line="1" w:lineRule="exact"/>
        <w:rPr>
          <w:sz w:val="20"/>
          <w:szCs w:val="20"/>
          <w:color w:val="auto"/>
        </w:rPr>
      </w:pPr>
    </w:p>
    <w:p>
      <w:pPr>
        <w:jc w:val="center"/>
        <w:ind w:left="4700"/>
        <w:spacing w:after="0"/>
        <w:rPr>
          <w:sz w:val="20"/>
          <w:szCs w:val="20"/>
          <w:color w:val="auto"/>
        </w:rPr>
      </w:pPr>
      <w:r>
        <w:rPr>
          <w:rFonts w:ascii="Arial" w:cs="Arial" w:eastAsia="Arial" w:hAnsi="Arial"/>
          <w:sz w:val="18"/>
          <w:szCs w:val="18"/>
          <w:i w:val="1"/>
          <w:iCs w:val="1"/>
          <w:color w:val="auto"/>
        </w:rPr>
        <w:t>Officer</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Bohen, certify that:</w:t>
      </w:r>
    </w:p>
    <w:p>
      <w:pPr>
        <w:spacing w:after="0" w:line="225" w:lineRule="exact"/>
        <w:rPr>
          <w:sz w:val="20"/>
          <w:szCs w:val="20"/>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Olema Pharmaceuticals, Inc.;</w:t>
      </w:r>
    </w:p>
    <w:p>
      <w:pPr>
        <w:spacing w:after="0" w:line="225"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100" w:hanging="332"/>
        <w:spacing w:after="0" w:line="266"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right="340" w:hanging="328"/>
        <w:spacing w:after="0" w:line="266" w:lineRule="auto"/>
        <w:tabs>
          <w:tab w:leader="none" w:pos="6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20" w:hanging="332"/>
        <w:spacing w:after="0" w:line="266"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2022</w:t>
            </w:r>
          </w:p>
        </w:tc>
        <w:tc>
          <w:tcPr>
            <w:tcW w:w="65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By:/s/ Sean Bohen</w:t>
            </w:r>
          </w:p>
        </w:tc>
      </w:tr>
      <w:tr>
        <w:trPr>
          <w:trHeight w:val="191"/>
        </w:trPr>
        <w:tc>
          <w:tcPr>
            <w:tcW w:w="33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7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Sean Bohen</w:t>
            </w:r>
          </w:p>
        </w:tc>
      </w:tr>
      <w:tr>
        <w:trPr>
          <w:trHeight w:val="214"/>
        </w:trPr>
        <w:tc>
          <w:tcPr>
            <w:tcW w:w="3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6"/>
        </w:trPr>
        <w:tc>
          <w:tcPr>
            <w:tcW w:w="3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776"/>
        </w:trPr>
        <w:tc>
          <w:tcPr>
            <w:tcW w:w="3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Shane Kovacs, certify that:</w:t>
      </w:r>
    </w:p>
    <w:p>
      <w:pPr>
        <w:spacing w:after="0" w:line="225" w:lineRule="exact"/>
        <w:rPr>
          <w:sz w:val="20"/>
          <w:szCs w:val="20"/>
          <w:color w:val="auto"/>
        </w:rPr>
      </w:pPr>
    </w:p>
    <w:p>
      <w:pPr>
        <w:ind w:left="340" w:hanging="332"/>
        <w:spacing w:after="0"/>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Olema Pharmaceuticals, Inc.;</w:t>
      </w:r>
    </w:p>
    <w:p>
      <w:pPr>
        <w:spacing w:after="0" w:line="225"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100" w:hanging="332"/>
        <w:spacing w:after="0" w:line="266"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right="340" w:hanging="328"/>
        <w:spacing w:after="0" w:line="266" w:lineRule="auto"/>
        <w:tabs>
          <w:tab w:leader="none" w:pos="6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20" w:hanging="332"/>
        <w:spacing w:after="0" w:line="266"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abilitsy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2022</w:t>
            </w:r>
          </w:p>
        </w:tc>
        <w:tc>
          <w:tcPr>
            <w:tcW w:w="65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By:/s/ Shane Kovacs</w:t>
            </w:r>
          </w:p>
        </w:tc>
      </w:tr>
      <w:tr>
        <w:trPr>
          <w:trHeight w:val="191"/>
        </w:trPr>
        <w:tc>
          <w:tcPr>
            <w:tcW w:w="33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7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Shane Kovacs</w:t>
            </w:r>
          </w:p>
        </w:tc>
      </w:tr>
      <w:tr>
        <w:trPr>
          <w:trHeight w:val="214"/>
        </w:trPr>
        <w:tc>
          <w:tcPr>
            <w:tcW w:w="3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and Financial Officer</w:t>
            </w:r>
          </w:p>
        </w:tc>
      </w:tr>
      <w:tr>
        <w:trPr>
          <w:trHeight w:val="236"/>
        </w:trPr>
        <w:tc>
          <w:tcPr>
            <w:tcW w:w="3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r>
        <w:trPr>
          <w:trHeight w:val="776"/>
        </w:trPr>
        <w:tc>
          <w:tcPr>
            <w:tcW w:w="3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07" w:name="page108"/>
    <w:bookmarkEnd w:id="107"/>
    <w:p>
      <w:pPr>
        <w:ind w:left="900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ind w:left="1000" w:right="6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 PURSUANT TO 18 U.S.C. SECTION 1350, AS ADOPTED PURSUANT TO SECTION 906 OF THE SARBANES-OXLEY ACT OF 2002</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Sean Bohen, M.D. Ph.D., Chief Executive Officer of Olema Pharmaceuticals, Inc. (the “Company”), and Shane Kovacs, Chief Financial Officer of the Company, each hereby certifies that, to the best of his knowledge:</w:t>
      </w:r>
    </w:p>
    <w:p>
      <w:pPr>
        <w:spacing w:after="0" w:line="180" w:lineRule="exact"/>
        <w:rPr>
          <w:sz w:val="20"/>
          <w:szCs w:val="20"/>
          <w:color w:val="auto"/>
        </w:rPr>
      </w:pPr>
    </w:p>
    <w:p>
      <w:pPr>
        <w:ind w:left="660" w:hanging="328"/>
        <w:spacing w:after="0" w:line="266"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September 30, 2022, to which this Certification is attached as Exhibit 32.1 (the “Periodic Report”), fully complies with the requirements of Section 13(a) or Section 15(d) of the Exchange Act; and</w:t>
      </w:r>
    </w:p>
    <w:p>
      <w:pPr>
        <w:spacing w:after="0" w:line="175"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2022</w:t>
            </w:r>
          </w:p>
        </w:tc>
        <w:tc>
          <w:tcPr>
            <w:tcW w:w="65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By:/s/ Sean Bohen</w:t>
            </w:r>
          </w:p>
        </w:tc>
      </w:tr>
      <w:tr>
        <w:trPr>
          <w:trHeight w:val="191"/>
        </w:trPr>
        <w:tc>
          <w:tcPr>
            <w:tcW w:w="33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7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Sean Bohen</w:t>
            </w:r>
          </w:p>
        </w:tc>
      </w:tr>
      <w:tr>
        <w:trPr>
          <w:trHeight w:val="234"/>
        </w:trPr>
        <w:tc>
          <w:tcPr>
            <w:tcW w:w="3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648"/>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2022</w:t>
            </w:r>
          </w:p>
        </w:tc>
        <w:tc>
          <w:tcPr>
            <w:tcW w:w="65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By:/s/ Shane Kovacs</w:t>
            </w:r>
          </w:p>
        </w:tc>
      </w:tr>
      <w:tr>
        <w:trPr>
          <w:trHeight w:val="191"/>
        </w:trPr>
        <w:tc>
          <w:tcPr>
            <w:tcW w:w="33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7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Shane Kovacs</w:t>
            </w:r>
          </w:p>
        </w:tc>
      </w:tr>
      <w:tr>
        <w:trPr>
          <w:trHeight w:val="234"/>
        </w:trPr>
        <w:tc>
          <w:tcPr>
            <w:tcW w:w="3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and Financial Officer</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Olema Pharmaceuticals,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331470</wp:posOffset>
            </wp:positionV>
            <wp:extent cx="629221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1."/>
      <w:numFmt w:val="decimal"/>
      <w:start w:val="2"/>
    </w:lvl>
  </w:abstractNum>
  <w:abstractNum w:abstractNumId="3">
    <w:nsid w:val="3A95F874"/>
    <w:multiLevelType w:val="hybridMultilevel"/>
    <w:lvl w:ilvl="0">
      <w:lvlJc w:val="left"/>
      <w:lvlText w:val="(%1)"/>
      <w:numFmt w:val="lowerRoman"/>
      <w:start w:val="3"/>
    </w:lvl>
  </w:abstractNum>
  <w:abstractNum w:abstractNumId="4">
    <w:nsid w:val="8138641"/>
    <w:multiLevelType w:val="hybridMultilevel"/>
    <w:lvl w:ilvl="0">
      <w:lvlJc w:val="left"/>
      <w:lvlText w:val="%1."/>
      <w:numFmt w:val="decimal"/>
      <w:start w:val="3"/>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1."/>
      <w:numFmt w:val="decimal"/>
      <w:start w:val="7"/>
    </w:lvl>
  </w:abstractNum>
  <w:abstractNum w:abstractNumId="7">
    <w:nsid w:val="737B8DDC"/>
    <w:multiLevelType w:val="hybridMultilevel"/>
    <w:lvl w:ilvl="0">
      <w:lvlJc w:val="left"/>
      <w:lvlText w:val="(%1)"/>
      <w:numFmt w:val="lowerRoman"/>
      <w:start w:val="1"/>
    </w:lvl>
  </w:abstractNum>
  <w:abstractNum w:abstractNumId="8">
    <w:nsid w:val="6CEAF087"/>
    <w:multiLevelType w:val="hybridMultilevel"/>
    <w:lvl w:ilvl="0">
      <w:lvlJc w:val="left"/>
      <w:lvlText w:val="(%1)"/>
      <w:numFmt w:val="decimal"/>
      <w:start w:val="1"/>
    </w:lvl>
  </w:abstractNum>
  <w:abstractNum w:abstractNumId="9">
    <w:nsid w:val="22221A70"/>
    <w:multiLevelType w:val="hybridMultilevel"/>
    <w:lvl w:ilvl="0">
      <w:lvlJc w:val="left"/>
      <w:lvlText w:val="%1."/>
      <w:numFmt w:val="decimal"/>
      <w:start w:val="9"/>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
      <w:numFmt w:val="bullet"/>
      <w:start w:val="1"/>
    </w:lvl>
    <w:lvl w:ilvl="1">
      <w:lvlJc w:val="left"/>
      <w:lvlText w:val="%2"/>
      <w:numFmt w:val="decimal"/>
      <w:start w:val="104"/>
    </w:lvl>
  </w:abstractNum>
  <w:abstractNum w:abstractNumId="51">
    <w:nsid w:val="520EEDD1"/>
    <w:multiLevelType w:val="hybridMultilevel"/>
    <w:lvl w:ilvl="0">
      <w:lvlJc w:val="left"/>
      <w:lvlText w:val="#"/>
      <w:numFmt w:val="bullet"/>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lvl w:ilvl="1">
      <w:lvlJc w:val="left"/>
      <w:lvlText w:val="(%2)"/>
      <w:numFmt w:val="lowerLetter"/>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49" Type="http://schemas.openxmlformats.org/officeDocument/2006/relationships/hyperlink" Target="https://www.sec.gov/Archives/edgar/data/1750284/000110465920128482/tm2027048d18_ex3-1.htm" TargetMode="External"/><Relationship Id="rId150" Type="http://schemas.openxmlformats.org/officeDocument/2006/relationships/hyperlink" Target="https://www.sec.gov/Archives/edgar/data/1750284/000110465920128482/tm2027048d18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2022-11-08T17:13:57Z</dcterms:created>
  <dcterms:modified xsi:type="dcterms:W3CDTF">2022-11-08T17:13:57Z</dcterms:modified>
</cp:coreProperties>
</file>