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5"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0"/>
        </w:trPr>
        <w:tc>
          <w:tcPr>
            <w:tcW w:w="4040" w:type="dxa"/>
            <w:vAlign w:val="bottom"/>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30" w:lineRule="exact"/>
              <w:rPr>
                <w:sz w:val="20"/>
                <w:szCs w:val="20"/>
                <w:color w:val="auto"/>
              </w:rPr>
            </w:pPr>
            <w:r>
              <w:rPr>
                <w:rFonts w:ascii="Arial" w:cs="Arial" w:eastAsia="Arial" w:hAnsi="Arial"/>
                <w:sz w:val="13"/>
                <w:szCs w:val="13"/>
                <w:b w:val="1"/>
                <w:bCs w:val="1"/>
                <w:color w:val="auto"/>
                <w:w w:val="96"/>
              </w:rPr>
              <w:t>Identification No.)</w:t>
            </w:r>
          </w:p>
        </w:tc>
      </w:tr>
      <w:tr>
        <w:trPr>
          <w:trHeight w:val="207"/>
        </w:trPr>
        <w:tc>
          <w:tcPr>
            <w:tcW w:w="4040" w:type="dxa"/>
            <w:vAlign w:val="bottom"/>
          </w:tcPr>
          <w:p>
            <w:pPr>
              <w:jc w:val="center"/>
              <w:ind w:right="1645"/>
              <w:spacing w:after="0" w:line="207" w:lineRule="exact"/>
              <w:rPr>
                <w:sz w:val="20"/>
                <w:szCs w:val="20"/>
                <w:color w:val="auto"/>
              </w:rPr>
            </w:pPr>
            <w:r>
              <w:rPr>
                <w:rFonts w:ascii="Arial" w:cs="Arial" w:eastAsia="Arial" w:hAnsi="Arial"/>
                <w:sz w:val="16"/>
                <w:szCs w:val="16"/>
                <w:b w:val="1"/>
                <w:bCs w:val="1"/>
                <w:color w:val="auto"/>
              </w:rPr>
              <w:t>512 2</w:t>
            </w:r>
            <w:r>
              <w:rPr>
                <w:rFonts w:ascii="Arial" w:cs="Arial" w:eastAsia="Arial" w:hAnsi="Arial"/>
                <w:sz w:val="23"/>
                <w:szCs w:val="23"/>
                <w:b w:val="1"/>
                <w:bCs w:val="1"/>
                <w:color w:val="auto"/>
                <w:vertAlign w:val="superscript"/>
              </w:rPr>
              <w:t>nd</w:t>
            </w:r>
            <w:r>
              <w:rPr>
                <w:rFonts w:ascii="Arial" w:cs="Arial" w:eastAsia="Arial" w:hAnsi="Arial"/>
                <w:sz w:val="16"/>
                <w:szCs w:val="16"/>
                <w:b w:val="1"/>
                <w:bCs w:val="1"/>
                <w:color w:val="auto"/>
              </w:rPr>
              <w:t xml:space="preserve"> Street, 4</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tc>
        <w:tc>
          <w:tcPr>
            <w:tcW w:w="2760" w:type="dxa"/>
            <w:vAlign w:val="bottom"/>
          </w:tcPr>
          <w:p>
            <w:pPr>
              <w:spacing w:after="0"/>
              <w:rPr>
                <w:sz w:val="17"/>
                <w:szCs w:val="17"/>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68"/>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9"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5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04" w:lineRule="exact"/>
        <w:rPr>
          <w:sz w:val="24"/>
          <w:szCs w:val="24"/>
          <w:color w:val="auto"/>
        </w:rPr>
      </w:pPr>
    </w:p>
    <w:p>
      <w:pPr>
        <w:jc w:val="both"/>
        <w:ind w:left="1"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1"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left="1"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92" w:lineRule="exact"/>
        <w:rPr>
          <w:sz w:val="24"/>
          <w:szCs w:val="24"/>
          <w:color w:val="auto"/>
        </w:rPr>
      </w:pPr>
    </w:p>
    <w:p>
      <w:pPr>
        <w:ind w:left="1"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1" w:right="120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7, 2021, the registrant had 40,169,738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466725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9"/>
              </w:rPr>
              <w:t>PART I-FINANCIAL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2900" w:type="dxa"/>
            <w:vAlign w:val="bottom"/>
            <w:gridSpan w:val="8"/>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5360" w:type="dxa"/>
            <w:vAlign w:val="bottom"/>
            <w:gridSpan w:val="11"/>
            <w:vMerge w:val="restart"/>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8"/>
            <w:vMerge w:val="continue"/>
          </w:tcPr>
          <w:p>
            <w:pPr>
              <w:spacing w:after="0"/>
              <w:rPr>
                <w:sz w:val="14"/>
                <w:szCs w:val="14"/>
                <w:color w:val="auto"/>
              </w:rPr>
            </w:pPr>
          </w:p>
        </w:tc>
        <w:tc>
          <w:tcPr>
            <w:tcW w:w="5360" w:type="dxa"/>
            <w:vAlign w:val="bottom"/>
            <w:gridSpan w:val="11"/>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5020" w:type="dxa"/>
            <w:vAlign w:val="bottom"/>
            <w:gridSpan w:val="9"/>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Loss</w:t>
              </w:r>
            </w:hyperlink>
          </w:p>
        </w:tc>
        <w:tc>
          <w:tcPr>
            <w:tcW w:w="2060" w:type="dxa"/>
            <w:vAlign w:val="bottom"/>
            <w:gridSpan w:val="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Convertible Preferred Stock and Stockholders’ Equity</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(Deficit)</w:t>
              </w:r>
            </w:hyperlink>
          </w:p>
        </w:tc>
        <w:tc>
          <w:tcPr>
            <w:tcW w:w="7380" w:type="dxa"/>
            <w:vAlign w:val="bottom"/>
            <w:tcBorders>
              <w:top w:val="single" w:sz="8" w:color="0000EE"/>
            </w:tcBorders>
            <w:gridSpan w:val="17"/>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Unaudited Condensed Consolidated Financial Statements</w:t>
              </w:r>
            </w:hyperlink>
          </w:p>
        </w:tc>
        <w:tc>
          <w:tcPr>
            <w:tcW w:w="2920" w:type="dxa"/>
            <w:vAlign w:val="bottom"/>
            <w:gridSpan w:val="5"/>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76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Item 2. Management’s Discussion and Analysis of Financial Condition and Results of Operations</w:t>
              </w:r>
            </w:hyperlink>
          </w:p>
        </w:tc>
        <w:tc>
          <w:tcPr>
            <w:tcW w:w="580" w:type="dxa"/>
            <w:vAlign w:val="bottom"/>
            <w:gridSpan w:val="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53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2960" w:type="dxa"/>
            <w:vAlign w:val="bottom"/>
            <w:gridSpan w:val="6"/>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4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PART II. OTHER INFORMATION</w:t>
              </w:r>
            </w:hyperlink>
          </w:p>
        </w:tc>
        <w:tc>
          <w:tcPr>
            <w:tcW w:w="5620" w:type="dxa"/>
            <w:vAlign w:val="bottom"/>
            <w:gridSpan w:val="12"/>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6180" w:type="dxa"/>
            <w:vAlign w:val="bottom"/>
            <w:gridSpan w:val="1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Item 2. Unregistered Sales of Equity Securities and Use of Proceeds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4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Item 3. Defaults Upon Senior Securities</w:t>
              </w:r>
            </w:hyperlink>
          </w:p>
        </w:tc>
        <w:tc>
          <w:tcPr>
            <w:tcW w:w="2820" w:type="dxa"/>
            <w:vAlign w:val="bottom"/>
            <w:gridSpan w:val="4"/>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Item 4. Mine Safety Disclosures</w:t>
              </w:r>
            </w:hyperlink>
          </w:p>
        </w:tc>
        <w:tc>
          <w:tcPr>
            <w:tcW w:w="5120" w:type="dxa"/>
            <w:vAlign w:val="bottom"/>
            <w:gridSpan w:val="10"/>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99">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2"/>
          </w:tcPr>
          <w:p>
            <w:pPr>
              <w:spacing w:after="0"/>
              <w:rPr>
                <w:sz w:val="15"/>
                <w:szCs w:val="15"/>
                <w:color w:val="auto"/>
              </w:rPr>
            </w:pPr>
          </w:p>
        </w:tc>
        <w:tc>
          <w:tcPr>
            <w:tcW w:w="5680" w:type="dxa"/>
            <w:vAlign w:val="bottom"/>
            <w:gridSpan w:val="13"/>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8260" w:type="dxa"/>
            <w:vAlign w:val="bottom"/>
            <w:gridSpan w:val="19"/>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Item 6. Exhibits</w:t>
              </w:r>
            </w:hyperlink>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74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231F20"/>
              </w:rPr>
              <w:t>March 31,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68"/>
        </w:trPr>
        <w:tc>
          <w:tcPr>
            <w:tcW w:w="6740" w:type="dxa"/>
            <w:vAlign w:val="bottom"/>
          </w:tcPr>
          <w:p>
            <w:pPr>
              <w:spacing w:after="0"/>
              <w:rPr>
                <w:sz w:val="14"/>
                <w:szCs w:val="14"/>
                <w:color w:val="auto"/>
              </w:rPr>
            </w:pPr>
          </w:p>
        </w:tc>
        <w:tc>
          <w:tcPr>
            <w:tcW w:w="9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231F20"/>
        </w:rPr>
        <w:t>Current liabilities:</w:t>
      </w:r>
    </w:p>
    <w:p>
      <w:pPr>
        <w:ind w:left="160"/>
        <w:spacing w:after="0" w:line="234"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liabilities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Commitments and contingencies (Note 11)</w:t>
      </w:r>
    </w:p>
    <w:p>
      <w:pPr>
        <w:ind w:left="60"/>
        <w:spacing w:after="0"/>
        <w:rPr>
          <w:sz w:val="20"/>
          <w:szCs w:val="20"/>
          <w:color w:val="auto"/>
        </w:rPr>
      </w:pPr>
      <w:r>
        <w:rPr>
          <w:rFonts w:ascii="Arial" w:cs="Arial" w:eastAsia="Arial" w:hAnsi="Arial"/>
          <w:sz w:val="18"/>
          <w:szCs w:val="18"/>
          <w:color w:val="231F20"/>
        </w:rPr>
        <w:t>Stockholders’ equity:</w:t>
      </w:r>
    </w:p>
    <w:p>
      <w:pPr>
        <w:spacing w:after="0" w:line="9" w:lineRule="exact"/>
        <w:rPr>
          <w:sz w:val="20"/>
          <w:szCs w:val="20"/>
          <w:color w:val="auto"/>
        </w:rPr>
      </w:pPr>
    </w:p>
    <w:p>
      <w:pPr>
        <w:jc w:val="both"/>
        <w:ind w:left="60"/>
        <w:spacing w:after="0" w:line="234" w:lineRule="auto"/>
        <w:rPr>
          <w:sz w:val="20"/>
          <w:szCs w:val="20"/>
          <w:color w:val="auto"/>
        </w:rPr>
      </w:pPr>
      <w:r>
        <w:rPr>
          <w:rFonts w:ascii="Arial" w:cs="Arial" w:eastAsia="Arial" w:hAnsi="Arial"/>
          <w:sz w:val="18"/>
          <w:szCs w:val="18"/>
          <w:color w:val="231F20"/>
        </w:rPr>
        <w:t>Preferred stock, $0.0001 par value; 10,000,000 shares authorized as of March 31, 2021 and December 31, 2020; no shares issued and outstanding as of March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-383540</wp:posOffset>
            </wp:positionV>
            <wp:extent cx="564896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386080"/>
                    </a:xfrm>
                    <a:prstGeom prst="rect">
                      <a:avLst/>
                    </a:prstGeom>
                    <a:noFill/>
                  </pic:spPr>
                </pic:pic>
              </a:graphicData>
            </a:graphic>
          </wp:anchor>
        </w:drawing>
      </w:r>
    </w:p>
    <w:p>
      <w:pPr>
        <w:ind w:left="60" w:right="40"/>
        <w:spacing w:after="0" w:line="234" w:lineRule="auto"/>
        <w:rPr>
          <w:sz w:val="20"/>
          <w:szCs w:val="20"/>
          <w:color w:val="auto"/>
        </w:rPr>
      </w:pPr>
      <w:r>
        <w:rPr>
          <w:rFonts w:ascii="Arial" w:cs="Arial" w:eastAsia="Arial" w:hAnsi="Arial"/>
          <w:sz w:val="18"/>
          <w:szCs w:val="18"/>
          <w:color w:val="231F20"/>
        </w:rPr>
        <w:t>Common stock, $0.0001 par value; 490,000,000 shares authorized as of March 31, 2021 and December 31, 2020; 40,169,738 shares issued as of March 31, 2021 and December 31, 2020; 39,342,129 and 39,308,238 shares outstanding as of March 31, 2021 and December 31, 2020,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-125095</wp:posOffset>
            </wp:positionV>
            <wp:extent cx="5648960"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28270"/>
                    </a:xfrm>
                    <a:prstGeom prst="rect">
                      <a:avLst/>
                    </a:prstGeom>
                    <a:noFill/>
                  </pic:spPr>
                </pic:pic>
              </a:graphicData>
            </a:graphic>
          </wp:anchor>
        </w:drawing>
      </w:r>
    </w:p>
    <w:p>
      <w:pPr>
        <w:ind w:left="160"/>
        <w:spacing w:after="0" w:line="238" w:lineRule="auto"/>
        <w:rPr>
          <w:sz w:val="20"/>
          <w:szCs w:val="20"/>
          <w:color w:val="auto"/>
        </w:rPr>
      </w:pPr>
      <w:r>
        <w:rPr>
          <w:rFonts w:ascii="Arial" w:cs="Arial" w:eastAsia="Arial" w:hAnsi="Arial"/>
          <w:sz w:val="18"/>
          <w:szCs w:val="18"/>
          <w:color w:val="231F20"/>
        </w:rPr>
        <w:t>Accumulated other comprehensive loss</w:t>
      </w:r>
    </w:p>
    <w:p>
      <w:pPr>
        <w:ind w:left="160"/>
        <w:spacing w:after="0" w:line="235" w:lineRule="auto"/>
        <w:rPr>
          <w:sz w:val="20"/>
          <w:szCs w:val="20"/>
          <w:color w:val="auto"/>
        </w:rPr>
      </w:pPr>
      <w:r>
        <w:rPr>
          <w:rFonts w:ascii="Arial" w:cs="Arial" w:eastAsia="Arial" w:hAnsi="Arial"/>
          <w:sz w:val="18"/>
          <w:szCs w:val="18"/>
          <w:color w:val="231F20"/>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260" w:hanging="260"/>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47,881   $   338,549</w:t>
      </w:r>
    </w:p>
    <w:p>
      <w:pPr>
        <w:ind w:left="160"/>
        <w:spacing w:after="0" w:line="234" w:lineRule="auto"/>
        <w:rPr>
          <w:rFonts w:ascii="Arial" w:cs="Arial" w:eastAsia="Arial" w:hAnsi="Arial"/>
          <w:sz w:val="18"/>
          <w:szCs w:val="18"/>
          <w:color w:val="auto"/>
        </w:rPr>
      </w:pPr>
      <w:r>
        <w:rPr>
          <w:rFonts w:ascii="Arial" w:cs="Arial" w:eastAsia="Arial" w:hAnsi="Arial"/>
          <w:sz w:val="18"/>
          <w:szCs w:val="18"/>
          <w:color w:val="auto"/>
        </w:rPr>
        <w:t>279,087—</w:t>
      </w:r>
    </w:p>
    <w:p>
      <w:pPr>
        <w:ind w:left="360"/>
        <w:spacing w:after="0" w:line="235" w:lineRule="auto"/>
        <w:rPr>
          <w:rFonts w:ascii="Arial" w:cs="Arial" w:eastAsia="Arial" w:hAnsi="Arial"/>
          <w:sz w:val="18"/>
          <w:szCs w:val="18"/>
          <w:color w:val="auto"/>
        </w:rPr>
      </w:pPr>
      <w:r>
        <w:rPr>
          <w:rFonts w:ascii="Arial" w:cs="Arial" w:eastAsia="Arial" w:hAnsi="Arial"/>
          <w:sz w:val="18"/>
          <w:szCs w:val="18"/>
          <w:color w:val="auto"/>
        </w:rPr>
        <w:t>3,2973,588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jc w:val="right"/>
              <w:ind w:right="50"/>
              <w:spacing w:after="0" w:line="195" w:lineRule="exact"/>
              <w:rPr>
                <w:sz w:val="20"/>
                <w:szCs w:val="20"/>
                <w:color w:val="auto"/>
              </w:rPr>
            </w:pPr>
            <w:r>
              <w:rPr>
                <w:rFonts w:ascii="Arial" w:cs="Arial" w:eastAsia="Arial" w:hAnsi="Arial"/>
                <w:sz w:val="18"/>
                <w:szCs w:val="18"/>
                <w:color w:val="auto"/>
              </w:rPr>
              <w:t>330,265</w:t>
            </w:r>
          </w:p>
        </w:tc>
        <w:tc>
          <w:tcPr>
            <w:tcW w:w="36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jc w:val="right"/>
              <w:spacing w:after="0" w:line="195" w:lineRule="exact"/>
              <w:rPr>
                <w:sz w:val="20"/>
                <w:szCs w:val="20"/>
                <w:color w:val="auto"/>
              </w:rPr>
            </w:pPr>
            <w:r>
              <w:rPr>
                <w:rFonts w:ascii="Arial" w:cs="Arial" w:eastAsia="Arial" w:hAnsi="Arial"/>
                <w:sz w:val="18"/>
                <w:szCs w:val="18"/>
                <w:color w:val="auto"/>
              </w:rPr>
              <w:t>342,137</w:t>
            </w:r>
          </w:p>
        </w:tc>
      </w:tr>
      <w:tr>
        <w:trPr>
          <w:trHeight w:val="203"/>
        </w:trPr>
        <w:tc>
          <w:tcPr>
            <w:tcW w:w="12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526</w:t>
            </w: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1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50"/>
              <w:spacing w:after="0" w:line="203" w:lineRule="exact"/>
              <w:rPr>
                <w:sz w:val="20"/>
                <w:szCs w:val="20"/>
                <w:color w:val="auto"/>
              </w:rPr>
            </w:pPr>
            <w:r>
              <w:rPr>
                <w:rFonts w:ascii="Arial" w:cs="Arial" w:eastAsia="Arial" w:hAnsi="Arial"/>
                <w:sz w:val="18"/>
                <w:szCs w:val="18"/>
                <w:color w:val="auto"/>
              </w:rPr>
              <w:t>510</w:t>
            </w:r>
          </w:p>
        </w:tc>
        <w:tc>
          <w:tcPr>
            <w:tcW w:w="36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line="203" w:lineRule="exact"/>
              <w:rPr>
                <w:sz w:val="20"/>
                <w:szCs w:val="20"/>
                <w:color w:val="auto"/>
              </w:rPr>
            </w:pPr>
            <w:r>
              <w:rPr>
                <w:rFonts w:ascii="Arial" w:cs="Arial" w:eastAsia="Arial" w:hAnsi="Arial"/>
                <w:sz w:val="18"/>
                <w:szCs w:val="18"/>
                <w:color w:val="auto"/>
              </w:rPr>
              <w:t>510</w:t>
            </w:r>
          </w:p>
        </w:tc>
      </w:tr>
      <w:tr>
        <w:trPr>
          <w:trHeight w:val="196"/>
        </w:trPr>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331,301</w:t>
            </w:r>
          </w:p>
        </w:tc>
        <w:tc>
          <w:tcPr>
            <w:tcW w:w="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342,722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0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419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03"/>
        </w:trPr>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4,858</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3,866</w:t>
            </w:r>
          </w:p>
        </w:tc>
      </w:tr>
      <w:tr>
        <w:trPr>
          <w:trHeight w:val="196"/>
        </w:trPr>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5,277</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4,585</w:t>
            </w:r>
          </w:p>
        </w:tc>
      </w:tr>
      <w:tr>
        <w:trPr>
          <w:trHeight w:val="196"/>
        </w:trPr>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5,277</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4,585</w:t>
            </w:r>
          </w:p>
        </w:tc>
      </w:tr>
      <w:tr>
        <w:trPr>
          <w:trHeight w:val="1033"/>
        </w:trPr>
        <w:tc>
          <w:tcPr>
            <w:tcW w:w="1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96"/>
        </w:trPr>
        <w:tc>
          <w:tcPr>
            <w:tcW w:w="1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120" w:type="dxa"/>
            <w:vAlign w:val="bottom"/>
          </w:tcPr>
          <w:p>
            <w:pPr>
              <w:spacing w:after="0"/>
              <w:rPr>
                <w:sz w:val="17"/>
                <w:szCs w:val="17"/>
                <w:color w:val="auto"/>
              </w:rPr>
            </w:pPr>
          </w:p>
        </w:tc>
        <w:tc>
          <w:tcPr>
            <w:tcW w:w="8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374,467</w:t>
            </w: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371,228</w:t>
            </w:r>
          </w:p>
        </w:tc>
      </w:tr>
    </w:tbl>
    <w:p>
      <w:pPr>
        <w:ind w:left="1920" w:hanging="1384"/>
        <w:spacing w:after="0" w:line="234" w:lineRule="auto"/>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ind w:left="180"/>
        <w:spacing w:after="0" w:line="234" w:lineRule="auto"/>
        <w:rPr>
          <w:rFonts w:ascii="Arial" w:cs="Arial" w:eastAsia="Arial" w:hAnsi="Arial"/>
          <w:sz w:val="18"/>
          <w:szCs w:val="18"/>
          <w:color w:val="auto"/>
        </w:rPr>
      </w:pPr>
      <w:r>
        <w:rPr>
          <w:rFonts w:ascii="Arial" w:cs="Arial" w:eastAsia="Arial" w:hAnsi="Arial"/>
          <w:sz w:val="18"/>
          <w:szCs w:val="18"/>
          <w:color w:val="auto"/>
        </w:rPr>
        <w:t>(48,433)(33,094)</w:t>
      </w:r>
    </w:p>
    <w:p>
      <w:pPr>
        <w:spacing w:after="0" w:line="1" w:lineRule="exact"/>
        <w:rPr>
          <w:sz w:val="20"/>
          <w:szCs w:val="20"/>
          <w:color w:val="auto"/>
        </w:rPr>
      </w:pPr>
    </w:p>
    <w:p>
      <w:pPr>
        <w:sectPr>
          <w:pgSz w:w="11900" w:h="16838" w:orient="portrait"/>
          <w:cols w:equalWidth="0" w:num="2">
            <w:col w:w="6580" w:space="220"/>
            <w:col w:w="221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97"/>
        </w:trPr>
        <w:tc>
          <w:tcPr>
            <w:tcW w:w="6740" w:type="dxa"/>
            <w:vAlign w:val="bottom"/>
            <w:tcBorders>
              <w:bottom w:val="single" w:sz="8" w:color="CCEEFF"/>
            </w:tcBorders>
          </w:tcPr>
          <w:p>
            <w:pPr>
              <w:ind w:left="220"/>
              <w:spacing w:after="0" w:line="197" w:lineRule="exact"/>
              <w:rPr>
                <w:sz w:val="20"/>
                <w:szCs w:val="20"/>
                <w:color w:val="auto"/>
              </w:rPr>
            </w:pPr>
            <w:r>
              <w:rPr>
                <w:rFonts w:ascii="Arial" w:cs="Arial" w:eastAsia="Arial" w:hAnsi="Arial"/>
                <w:sz w:val="18"/>
                <w:szCs w:val="18"/>
                <w:color w:val="231F20"/>
              </w:rPr>
              <w:t>Total stockholders’ equity</w:t>
            </w:r>
          </w:p>
        </w:tc>
        <w:tc>
          <w:tcPr>
            <w:tcW w:w="940" w:type="dxa"/>
            <w:vAlign w:val="bottom"/>
            <w:tcBorders>
              <w:top w:val="single" w:sz="8" w:color="auto"/>
              <w:bottom w:val="single" w:sz="8" w:color="auto"/>
            </w:tcBorders>
          </w:tcPr>
          <w:p>
            <w:pPr>
              <w:jc w:val="right"/>
              <w:ind w:right="50"/>
              <w:spacing w:after="0" w:line="197" w:lineRule="exact"/>
              <w:rPr>
                <w:sz w:val="20"/>
                <w:szCs w:val="20"/>
                <w:color w:val="auto"/>
              </w:rPr>
            </w:pPr>
            <w:r>
              <w:rPr>
                <w:rFonts w:ascii="Arial" w:cs="Arial" w:eastAsia="Arial" w:hAnsi="Arial"/>
                <w:sz w:val="18"/>
                <w:szCs w:val="18"/>
                <w:color w:val="231F20"/>
              </w:rPr>
              <w:t>326,024</w:t>
            </w: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7" w:lineRule="exact"/>
              <w:rPr>
                <w:sz w:val="20"/>
                <w:szCs w:val="20"/>
                <w:color w:val="auto"/>
              </w:rPr>
            </w:pPr>
            <w:r>
              <w:rPr>
                <w:rFonts w:ascii="Arial" w:cs="Arial" w:eastAsia="Arial" w:hAnsi="Arial"/>
                <w:sz w:val="18"/>
                <w:szCs w:val="18"/>
                <w:color w:val="231F20"/>
              </w:rPr>
              <w:t>338,137</w:t>
            </w:r>
          </w:p>
        </w:tc>
      </w:tr>
      <w:tr>
        <w:trPr>
          <w:trHeight w:val="196"/>
        </w:trPr>
        <w:tc>
          <w:tcPr>
            <w:tcW w:w="6740" w:type="dxa"/>
            <w:vAlign w:val="bottom"/>
            <w:tcBorders>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9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231F20"/>
                <w:w w:val="97"/>
              </w:rPr>
              <w:t>331,301</w:t>
            </w:r>
          </w:p>
        </w:tc>
        <w:tc>
          <w:tcPr>
            <w:tcW w:w="3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342,722</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69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2"/>
        </w:trPr>
        <w:tc>
          <w:tcPr>
            <w:tcW w:w="6940" w:type="dxa"/>
            <w:vAlign w:val="bottom"/>
            <w:gridSpan w:val="2"/>
          </w:tcPr>
          <w:p>
            <w:pPr>
              <w:ind w:left="10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10,692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795</w:t>
            </w:r>
          </w:p>
        </w:tc>
      </w:tr>
      <w:tr>
        <w:trPr>
          <w:trHeight w:val="162"/>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4,758</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56"/>
        </w:trPr>
        <w:tc>
          <w:tcPr>
            <w:tcW w:w="694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15,450</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1,043</w:t>
            </w:r>
          </w:p>
        </w:tc>
      </w:tr>
      <w:tr>
        <w:trPr>
          <w:trHeight w:val="156"/>
        </w:trPr>
        <w:tc>
          <w:tcPr>
            <w:tcW w:w="694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(15,450)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(1,043)</w:t>
            </w:r>
          </w:p>
        </w:tc>
      </w:tr>
      <w:tr>
        <w:trPr>
          <w:trHeight w:val="162"/>
        </w:trPr>
        <w:tc>
          <w:tcPr>
            <w:tcW w:w="694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69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6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r>
      <w:tr>
        <w:trPr>
          <w:trHeight w:val="155"/>
        </w:trPr>
        <w:tc>
          <w:tcPr>
            <w:tcW w:w="6940" w:type="dxa"/>
            <w:vAlign w:val="bottom"/>
            <w:gridSpan w:val="2"/>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other income (expense), net</w:t>
            </w: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111</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(650)</w:t>
            </w:r>
          </w:p>
        </w:tc>
      </w:tr>
      <w:tr>
        <w:trPr>
          <w:trHeight w:val="196"/>
        </w:trPr>
        <w:tc>
          <w:tcPr>
            <w:tcW w:w="694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(15,339)</w:t>
            </w:r>
          </w:p>
        </w:tc>
        <w:tc>
          <w:tcPr>
            <w:tcW w:w="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(1,693)</w:t>
            </w:r>
          </w:p>
        </w:tc>
      </w:tr>
      <w:tr>
        <w:trPr>
          <w:trHeight w:val="143"/>
        </w:trPr>
        <w:tc>
          <w:tcPr>
            <w:tcW w:w="6940" w:type="dxa"/>
            <w:vAlign w:val="bottom"/>
            <w:tcBorders>
              <w:bottom w:val="single" w:sz="8" w:color="CCEEFF"/>
            </w:tcBorders>
            <w:gridSpan w:val="2"/>
            <w:shd w:val="clear" w:color="auto" w:fill="CCEEFF"/>
          </w:tcPr>
          <w:p>
            <w:pPr>
              <w:spacing w:after="0" w:line="143" w:lineRule="exact"/>
              <w:rPr>
                <w:sz w:val="20"/>
                <w:szCs w:val="20"/>
                <w:color w:val="auto"/>
              </w:rPr>
            </w:pPr>
            <w:r>
              <w:rPr>
                <w:rFonts w:ascii="Arial" w:cs="Arial" w:eastAsia="Arial" w:hAnsi="Arial"/>
                <w:sz w:val="14"/>
                <w:szCs w:val="14"/>
                <w:color w:val="231F20"/>
              </w:rPr>
              <w:t>Net loss per share, basic and diluted</w:t>
            </w:r>
          </w:p>
        </w:tc>
        <w:tc>
          <w:tcPr>
            <w:tcW w:w="1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line="143" w:lineRule="exact"/>
              <w:rPr>
                <w:sz w:val="20"/>
                <w:szCs w:val="20"/>
                <w:color w:val="auto"/>
              </w:rPr>
            </w:pPr>
            <w:r>
              <w:rPr>
                <w:rFonts w:ascii="Arial" w:cs="Arial" w:eastAsia="Arial" w:hAnsi="Arial"/>
                <w:sz w:val="14"/>
                <w:szCs w:val="14"/>
                <w:color w:val="231F20"/>
              </w:rPr>
              <w:t>(0.39)</w:t>
            </w:r>
          </w:p>
        </w:tc>
        <w:tc>
          <w:tcPr>
            <w:tcW w:w="2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(0.65)</w:t>
            </w: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6940" w:type="dxa"/>
            <w:vAlign w:val="bottom"/>
            <w:gridSpan w:val="2"/>
          </w:tcPr>
          <w:p>
            <w:pPr>
              <w:spacing w:after="0" w:line="143" w:lineRule="exact"/>
              <w:rPr>
                <w:sz w:val="20"/>
                <w:szCs w:val="20"/>
                <w:color w:val="auto"/>
              </w:rPr>
            </w:pPr>
            <w:r>
              <w:rPr>
                <w:rFonts w:ascii="Arial" w:cs="Arial" w:eastAsia="Arial" w:hAnsi="Arial"/>
                <w:sz w:val="14"/>
                <w:szCs w:val="14"/>
                <w:color w:val="231F20"/>
              </w:rPr>
              <w:t>Weighted average shares used to compute net loss per share, basic and diluted</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39,325,793</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2,593,316</w:t>
            </w: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r>
      <w:tr>
        <w:trPr>
          <w:trHeight w:val="155"/>
        </w:trPr>
        <w:tc>
          <w:tcPr>
            <w:tcW w:w="6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69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231F20"/>
              </w:rPr>
              <w:t>Net loss</w:t>
            </w:r>
          </w:p>
        </w:tc>
        <w:tc>
          <w:tcPr>
            <w:tcW w:w="1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(15,339)</w:t>
            </w:r>
          </w:p>
        </w:tc>
        <w:tc>
          <w:tcPr>
            <w:tcW w:w="3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(1,693)</w:t>
            </w:r>
          </w:p>
        </w:tc>
      </w:tr>
      <w:tr>
        <w:trPr>
          <w:trHeight w:val="162"/>
        </w:trPr>
        <w:tc>
          <w:tcPr>
            <w:tcW w:w="6940" w:type="dxa"/>
            <w:vAlign w:val="bottom"/>
          </w:tcPr>
          <w:p>
            <w:pPr>
              <w:ind w:left="20"/>
              <w:spacing w:after="0"/>
              <w:rPr>
                <w:sz w:val="20"/>
                <w:szCs w:val="20"/>
                <w:color w:val="auto"/>
              </w:rPr>
            </w:pPr>
            <w:r>
              <w:rPr>
                <w:rFonts w:ascii="Arial" w:cs="Arial" w:eastAsia="Arial" w:hAnsi="Arial"/>
                <w:sz w:val="14"/>
                <w:szCs w:val="14"/>
                <w:color w:val="231F20"/>
              </w:rPr>
              <w:t>Other comprehensive loss: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6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loss on marketable securities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3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69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1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(15,352)</w:t>
            </w:r>
          </w:p>
        </w:tc>
        <w:tc>
          <w:tcPr>
            <w:tcW w:w="3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(1,693)</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 (Deficit)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20"/>
        <w:spacing w:after="0"/>
        <w:rPr>
          <w:sz w:val="20"/>
          <w:szCs w:val="20"/>
          <w:color w:val="auto"/>
        </w:rPr>
      </w:pPr>
      <w:r>
        <w:rPr>
          <w:rFonts w:ascii="Arial" w:cs="Arial" w:eastAsia="Arial" w:hAnsi="Arial"/>
          <w:sz w:val="11"/>
          <w:szCs w:val="11"/>
          <w:color w:val="231F20"/>
        </w:rPr>
        <w:t xml:space="preserve">Balances at December 31, 2020 </w:t>
      </w:r>
      <w:r>
        <w:rPr>
          <w:rFonts w:ascii="Arial" w:cs="Arial" w:eastAsia="Arial" w:hAnsi="Arial"/>
          <w:sz w:val="11"/>
          <w:szCs w:val="11"/>
          <w:color w:val="000000"/>
        </w:rPr>
        <w:t xml:space="preserve">Vesting of early exercised stock options Vesting of restricted stock awards Stock-based compensation expense </w:t>
      </w:r>
      <w:r>
        <w:rPr>
          <w:rFonts w:ascii="Arial" w:cs="Arial" w:eastAsia="Arial" w:hAnsi="Arial"/>
          <w:sz w:val="11"/>
          <w:szCs w:val="11"/>
          <w:color w:val="231F20"/>
        </w:rPr>
        <w:t>Employee stock purchase plan expense Net unrealized loss on marketable securities Net loss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March 31, 2021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5"/>
        </w:trPr>
        <w:tc>
          <w:tcPr>
            <w:tcW w:w="1060" w:type="dxa"/>
            <w:vAlign w:val="bottom"/>
            <w:gridSpan w:val="2"/>
          </w:tcPr>
          <w:p>
            <w:pPr>
              <w:ind w:left="320"/>
              <w:spacing w:after="0"/>
              <w:rPr>
                <w:sz w:val="20"/>
                <w:szCs w:val="20"/>
                <w:color w:val="auto"/>
              </w:rPr>
            </w:pPr>
            <w:r>
              <w:rPr>
                <w:rFonts w:ascii="Arial" w:cs="Arial" w:eastAsia="Arial" w:hAnsi="Arial"/>
                <w:sz w:val="11"/>
                <w:szCs w:val="11"/>
                <w:b w:val="1"/>
                <w:bCs w:val="1"/>
                <w:color w:val="auto"/>
              </w:rPr>
              <w:t>Convertible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Total</w:t>
            </w:r>
          </w:p>
        </w:tc>
      </w:tr>
      <w:tr>
        <w:trPr>
          <w:trHeight w:val="130"/>
        </w:trPr>
        <w:tc>
          <w:tcPr>
            <w:tcW w:w="1060" w:type="dxa"/>
            <w:vAlign w:val="bottom"/>
            <w:tcBorders>
              <w:bottom w:val="single" w:sz="8" w:color="auto"/>
            </w:tcBorders>
            <w:gridSpan w:val="2"/>
          </w:tcPr>
          <w:p>
            <w:pPr>
              <w:ind w:left="220"/>
              <w:spacing w:after="0" w:line="122" w:lineRule="exact"/>
              <w:rPr>
                <w:sz w:val="20"/>
                <w:szCs w:val="20"/>
                <w:color w:val="auto"/>
              </w:rPr>
            </w:pPr>
            <w:r>
              <w:rPr>
                <w:rFonts w:ascii="Arial" w:cs="Arial" w:eastAsia="Arial" w:hAnsi="Arial"/>
                <w:sz w:val="11"/>
                <w:szCs w:val="11"/>
                <w:b w:val="1"/>
                <w:bCs w:val="1"/>
                <w:color w:val="auto"/>
              </w:rPr>
              <w:t>Preferred Stock</w:t>
            </w: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72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1"/>
                <w:szCs w:val="11"/>
                <w:color w:val="auto"/>
              </w:rPr>
            </w:pPr>
          </w:p>
        </w:tc>
        <w:tc>
          <w:tcPr>
            <w:tcW w:w="1640" w:type="dxa"/>
            <w:vAlign w:val="bottom"/>
            <w:gridSpan w:val="3"/>
          </w:tcPr>
          <w:p>
            <w:pPr>
              <w:jc w:val="right"/>
              <w:ind w:right="26"/>
              <w:spacing w:after="0" w:line="122" w:lineRule="exact"/>
              <w:rPr>
                <w:sz w:val="20"/>
                <w:szCs w:val="20"/>
                <w:color w:val="auto"/>
              </w:rPr>
            </w:pPr>
            <w:r>
              <w:rPr>
                <w:rFonts w:ascii="Arial" w:cs="Arial" w:eastAsia="Arial" w:hAnsi="Arial"/>
                <w:sz w:val="11"/>
                <w:szCs w:val="11"/>
                <w:b w:val="1"/>
                <w:bCs w:val="1"/>
                <w:color w:val="auto"/>
                <w:w w:val="99"/>
              </w:rPr>
              <w:t>Comprehensive Accumulated</w:t>
            </w:r>
          </w:p>
        </w:tc>
        <w:tc>
          <w:tcPr>
            <w:tcW w:w="8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Stockholders'</w:t>
            </w:r>
          </w:p>
        </w:tc>
      </w:tr>
      <w:tr>
        <w:trPr>
          <w:trHeight w:val="121"/>
        </w:trPr>
        <w:tc>
          <w:tcPr>
            <w:tcW w:w="660" w:type="dxa"/>
            <w:vAlign w:val="bottom"/>
            <w:tcBorders>
              <w:bottom w:val="single" w:sz="8" w:color="auto"/>
            </w:tcBorders>
          </w:tcPr>
          <w:p>
            <w:pPr>
              <w:ind w:left="120"/>
              <w:spacing w:after="0" w:line="122" w:lineRule="exact"/>
              <w:rPr>
                <w:sz w:val="20"/>
                <w:szCs w:val="20"/>
                <w:color w:val="auto"/>
              </w:rPr>
            </w:pPr>
            <w:r>
              <w:rPr>
                <w:rFonts w:ascii="Arial" w:cs="Arial" w:eastAsia="Arial" w:hAnsi="Arial"/>
                <w:sz w:val="11"/>
                <w:szCs w:val="11"/>
                <w:b w:val="1"/>
                <w:bCs w:val="1"/>
                <w:color w:val="231F20"/>
              </w:rPr>
              <w:t>Shares</w:t>
            </w:r>
          </w:p>
        </w:tc>
        <w:tc>
          <w:tcPr>
            <w:tcW w:w="580" w:type="dxa"/>
            <w:vAlign w:val="bottom"/>
            <w:tcBorders>
              <w:bottom w:val="single" w:sz="8" w:color="auto"/>
            </w:tcBorders>
            <w:gridSpan w:val="2"/>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ind w:right="126"/>
              <w:spacing w:after="0" w:line="122" w:lineRule="exact"/>
              <w:rPr>
                <w:sz w:val="20"/>
                <w:szCs w:val="20"/>
                <w:color w:val="auto"/>
              </w:rPr>
            </w:pPr>
            <w:r>
              <w:rPr>
                <w:rFonts w:ascii="Arial" w:cs="Arial" w:eastAsia="Arial" w:hAnsi="Arial"/>
                <w:sz w:val="11"/>
                <w:szCs w:val="11"/>
                <w:b w:val="1"/>
                <w:bCs w:val="1"/>
                <w:color w:val="231F20"/>
              </w:rPr>
              <w:t>Shares</w:t>
            </w:r>
          </w:p>
        </w:tc>
        <w:tc>
          <w:tcPr>
            <w:tcW w:w="58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b w:val="1"/>
                <w:bCs w:val="1"/>
                <w:color w:val="231F20"/>
              </w:rPr>
              <w:t>Amount</w:t>
            </w:r>
          </w:p>
        </w:tc>
        <w:tc>
          <w:tcPr>
            <w:tcW w:w="72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rPr>
              <w:t>Capital</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rPr>
              <w:t>Loss</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b w:val="1"/>
                <w:bCs w:val="1"/>
                <w:color w:val="231F20"/>
              </w:rPr>
              <w:t>Deficit</w:t>
            </w: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2"/>
        </w:trPr>
        <w:tc>
          <w:tcPr>
            <w:tcW w:w="660" w:type="dxa"/>
            <w:vAlign w:val="bottom"/>
          </w:tcPr>
          <w:p>
            <w:pPr>
              <w:ind w:left="460"/>
              <w:spacing w:after="0" w:line="112" w:lineRule="exact"/>
              <w:rPr>
                <w:sz w:val="20"/>
                <w:szCs w:val="20"/>
                <w:color w:val="auto"/>
              </w:rPr>
            </w:pPr>
            <w:r>
              <w:rPr>
                <w:rFonts w:ascii="Arial" w:cs="Arial" w:eastAsia="Arial" w:hAnsi="Arial"/>
                <w:sz w:val="11"/>
                <w:szCs w:val="11"/>
                <w:color w:val="231F20"/>
              </w:rPr>
              <w:t>—</w:t>
            </w:r>
          </w:p>
        </w:tc>
        <w:tc>
          <w:tcPr>
            <w:tcW w:w="400" w:type="dxa"/>
            <w:vAlign w:val="bottom"/>
          </w:tcPr>
          <w:p>
            <w:pPr>
              <w:jc w:val="right"/>
              <w:ind w:right="206"/>
              <w:spacing w:after="0" w:line="112" w:lineRule="exact"/>
              <w:rPr>
                <w:sz w:val="20"/>
                <w:szCs w:val="20"/>
                <w:color w:val="auto"/>
              </w:rPr>
            </w:pPr>
            <w:r>
              <w:rPr>
                <w:rFonts w:ascii="Arial" w:cs="Arial" w:eastAsia="Arial" w:hAnsi="Arial"/>
                <w:sz w:val="11"/>
                <w:szCs w:val="11"/>
                <w:color w:val="231F20"/>
              </w:rPr>
              <w:t>$</w:t>
            </w:r>
          </w:p>
        </w:tc>
        <w:tc>
          <w:tcPr>
            <w:tcW w:w="18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9"/>
                <w:szCs w:val="9"/>
                <w:color w:val="auto"/>
              </w:rPr>
            </w:pPr>
          </w:p>
        </w:tc>
        <w:tc>
          <w:tcPr>
            <w:tcW w:w="66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39,308,238</w:t>
            </w:r>
          </w:p>
        </w:tc>
        <w:tc>
          <w:tcPr>
            <w:tcW w:w="400" w:type="dxa"/>
            <w:vAlign w:val="bottom"/>
          </w:tcPr>
          <w:p>
            <w:pPr>
              <w:jc w:val="right"/>
              <w:ind w:right="206"/>
              <w:spacing w:after="0" w:line="112" w:lineRule="exact"/>
              <w:rPr>
                <w:sz w:val="20"/>
                <w:szCs w:val="20"/>
                <w:color w:val="auto"/>
              </w:rPr>
            </w:pPr>
            <w:r>
              <w:rPr>
                <w:rFonts w:ascii="Arial" w:cs="Arial" w:eastAsia="Arial" w:hAnsi="Arial"/>
                <w:sz w:val="11"/>
                <w:szCs w:val="11"/>
                <w:color w:val="231F20"/>
              </w:rPr>
              <w:t>$</w:t>
            </w:r>
          </w:p>
        </w:tc>
        <w:tc>
          <w:tcPr>
            <w:tcW w:w="18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720" w:type="dxa"/>
            <w:vAlign w:val="bottom"/>
          </w:tcPr>
          <w:p>
            <w:pPr>
              <w:jc w:val="right"/>
              <w:ind w:right="66"/>
              <w:spacing w:after="0" w:line="112" w:lineRule="exact"/>
              <w:rPr>
                <w:sz w:val="20"/>
                <w:szCs w:val="20"/>
                <w:color w:val="auto"/>
              </w:rPr>
            </w:pPr>
            <w:r>
              <w:rPr>
                <w:rFonts w:ascii="Arial" w:cs="Arial" w:eastAsia="Arial" w:hAnsi="Arial"/>
                <w:sz w:val="11"/>
                <w:szCs w:val="11"/>
                <w:color w:val="231F20"/>
              </w:rPr>
              <w:t>$ 371,228</w:t>
            </w:r>
          </w:p>
        </w:tc>
        <w:tc>
          <w:tcPr>
            <w:tcW w:w="12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60" w:type="dxa"/>
            <w:vAlign w:val="bottom"/>
          </w:tcPr>
          <w:p>
            <w:pPr>
              <w:jc w:val="right"/>
              <w:ind w:right="6"/>
              <w:spacing w:after="0" w:line="112" w:lineRule="exact"/>
              <w:rPr>
                <w:sz w:val="20"/>
                <w:szCs w:val="20"/>
                <w:color w:val="auto"/>
              </w:rPr>
            </w:pPr>
            <w:r>
              <w:rPr>
                <w:rFonts w:ascii="Arial" w:cs="Arial" w:eastAsia="Arial" w:hAnsi="Arial"/>
                <w:sz w:val="11"/>
                <w:szCs w:val="11"/>
                <w:color w:val="231F20"/>
              </w:rPr>
              <w:t>—</w:t>
            </w:r>
          </w:p>
        </w:tc>
        <w:tc>
          <w:tcPr>
            <w:tcW w:w="14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640" w:type="dxa"/>
            <w:vAlign w:val="bottom"/>
          </w:tcPr>
          <w:p>
            <w:pPr>
              <w:jc w:val="right"/>
              <w:ind w:right="26"/>
              <w:spacing w:after="0" w:line="112" w:lineRule="exact"/>
              <w:rPr>
                <w:sz w:val="20"/>
                <w:szCs w:val="20"/>
                <w:color w:val="auto"/>
              </w:rPr>
            </w:pPr>
            <w:r>
              <w:rPr>
                <w:rFonts w:ascii="Arial" w:cs="Arial" w:eastAsia="Arial" w:hAnsi="Arial"/>
                <w:sz w:val="11"/>
                <w:szCs w:val="11"/>
                <w:color w:val="231F20"/>
              </w:rPr>
              <w:t>(33,094)</w:t>
            </w:r>
          </w:p>
        </w:tc>
        <w:tc>
          <w:tcPr>
            <w:tcW w:w="220" w:type="dxa"/>
            <w:vAlign w:val="bottom"/>
          </w:tcPr>
          <w:p>
            <w:pPr>
              <w:ind w:left="100"/>
              <w:spacing w:after="0" w:line="112" w:lineRule="exact"/>
              <w:rPr>
                <w:sz w:val="20"/>
                <w:szCs w:val="20"/>
                <w:color w:val="auto"/>
              </w:rPr>
            </w:pPr>
            <w:r>
              <w:rPr>
                <w:rFonts w:ascii="Arial" w:cs="Arial" w:eastAsia="Arial" w:hAnsi="Arial"/>
                <w:sz w:val="11"/>
                <w:szCs w:val="11"/>
                <w:color w:val="231F20"/>
              </w:rPr>
              <w:t>$</w:t>
            </w:r>
          </w:p>
        </w:tc>
        <w:tc>
          <w:tcPr>
            <w:tcW w:w="640" w:type="dxa"/>
            <w:vAlign w:val="bottom"/>
          </w:tcPr>
          <w:p>
            <w:pPr>
              <w:jc w:val="right"/>
              <w:spacing w:after="0" w:line="112" w:lineRule="exact"/>
              <w:rPr>
                <w:sz w:val="20"/>
                <w:szCs w:val="20"/>
                <w:color w:val="auto"/>
              </w:rPr>
            </w:pPr>
            <w:r>
              <w:rPr>
                <w:rFonts w:ascii="Arial" w:cs="Arial" w:eastAsia="Arial" w:hAnsi="Arial"/>
                <w:sz w:val="11"/>
                <w:szCs w:val="11"/>
                <w:color w:val="231F20"/>
              </w:rPr>
              <w:t>338,137</w:t>
            </w:r>
          </w:p>
        </w:tc>
      </w:tr>
      <w:tr>
        <w:trPr>
          <w:trHeight w:val="122"/>
        </w:trPr>
        <w:tc>
          <w:tcPr>
            <w:tcW w:w="660" w:type="dxa"/>
            <w:vAlign w:val="bottom"/>
          </w:tcPr>
          <w:p>
            <w:pPr>
              <w:ind w:left="460"/>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6,990</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31</w:t>
            </w:r>
          </w:p>
        </w:tc>
        <w:tc>
          <w:tcPr>
            <w:tcW w:w="1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231F20"/>
              </w:rPr>
              <w:t>31</w:t>
            </w:r>
          </w:p>
        </w:tc>
      </w:tr>
      <w:tr>
        <w:trPr>
          <w:trHeight w:val="122"/>
        </w:trPr>
        <w:tc>
          <w:tcPr>
            <w:tcW w:w="660" w:type="dxa"/>
            <w:vAlign w:val="bottom"/>
          </w:tcPr>
          <w:p>
            <w:pPr>
              <w:ind w:left="460"/>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26,901</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660" w:type="dxa"/>
            <w:vAlign w:val="bottom"/>
          </w:tcPr>
          <w:p>
            <w:pPr>
              <w:ind w:left="460"/>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3,144</w:t>
            </w:r>
          </w:p>
        </w:tc>
        <w:tc>
          <w:tcPr>
            <w:tcW w:w="1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231F20"/>
              </w:rPr>
              <w:t>3,144</w:t>
            </w:r>
          </w:p>
        </w:tc>
      </w:tr>
      <w:tr>
        <w:trPr>
          <w:trHeight w:val="121"/>
        </w:trPr>
        <w:tc>
          <w:tcPr>
            <w:tcW w:w="660" w:type="dxa"/>
            <w:vAlign w:val="bottom"/>
          </w:tcPr>
          <w:p>
            <w:pPr>
              <w:ind w:left="460"/>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64</w:t>
            </w:r>
          </w:p>
        </w:tc>
        <w:tc>
          <w:tcPr>
            <w:tcW w:w="120" w:type="dxa"/>
            <w:vAlign w:val="bottom"/>
          </w:tcPr>
          <w:p>
            <w:pPr>
              <w:spacing w:after="0"/>
              <w:rPr>
                <w:sz w:val="10"/>
                <w:szCs w:val="10"/>
                <w:color w:val="auto"/>
              </w:rPr>
            </w:pPr>
          </w:p>
        </w:tc>
        <w:tc>
          <w:tcPr>
            <w:tcW w:w="860" w:type="dxa"/>
            <w:vAlign w:val="bottom"/>
          </w:tcPr>
          <w:p>
            <w:pPr>
              <w:jc w:val="right"/>
              <w:ind w:right="6"/>
              <w:spacing w:after="0" w:line="122" w:lineRule="exact"/>
              <w:rPr>
                <w:sz w:val="20"/>
                <w:szCs w:val="20"/>
                <w:color w:val="auto"/>
              </w:rPr>
            </w:pPr>
            <w:r>
              <w:rPr>
                <w:rFonts w:ascii="Arial" w:cs="Arial" w:eastAsia="Arial" w:hAnsi="Arial"/>
                <w:sz w:val="11"/>
                <w:szCs w:val="11"/>
                <w:color w:val="231F20"/>
              </w:rPr>
              <w:t>—</w:t>
            </w:r>
          </w:p>
        </w:tc>
        <w:tc>
          <w:tcPr>
            <w:tcW w:w="14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231F20"/>
              </w:rPr>
              <w:t>64</w:t>
            </w:r>
          </w:p>
        </w:tc>
      </w:tr>
      <w:tr>
        <w:trPr>
          <w:trHeight w:val="122"/>
        </w:trPr>
        <w:tc>
          <w:tcPr>
            <w:tcW w:w="660" w:type="dxa"/>
            <w:vAlign w:val="bottom"/>
          </w:tcPr>
          <w:p>
            <w:pPr>
              <w:ind w:left="460"/>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3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231F20"/>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231F20"/>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72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1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(13)</w:t>
            </w:r>
          </w:p>
        </w:tc>
        <w:tc>
          <w:tcPr>
            <w:tcW w:w="14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231F20"/>
              </w:rPr>
              <w:t>(13)</w:t>
            </w:r>
          </w:p>
        </w:tc>
      </w:tr>
      <w:tr>
        <w:trPr>
          <w:trHeight w:val="125"/>
        </w:trPr>
        <w:tc>
          <w:tcPr>
            <w:tcW w:w="660" w:type="dxa"/>
            <w:vAlign w:val="bottom"/>
            <w:tcBorders>
              <w:bottom w:val="single" w:sz="8" w:color="auto"/>
            </w:tcBorders>
          </w:tcPr>
          <w:p>
            <w:pPr>
              <w:ind w:left="460"/>
              <w:spacing w:after="0" w:line="125" w:lineRule="exact"/>
              <w:rPr>
                <w:sz w:val="20"/>
                <w:szCs w:val="20"/>
                <w:color w:val="auto"/>
              </w:rPr>
            </w:pPr>
            <w:r>
              <w:rPr>
                <w:rFonts w:ascii="Arial" w:cs="Arial" w:eastAsia="Arial" w:hAnsi="Arial"/>
                <w:sz w:val="11"/>
                <w:szCs w:val="11"/>
                <w:color w:val="231F20"/>
              </w:rPr>
              <w:t>—</w:t>
            </w: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ind w:right="160"/>
              <w:spacing w:after="0" w:line="125" w:lineRule="exact"/>
              <w:rPr>
                <w:sz w:val="20"/>
                <w:szCs w:val="20"/>
                <w:color w:val="auto"/>
              </w:rPr>
            </w:pPr>
            <w:r>
              <w:rPr>
                <w:rFonts w:ascii="Arial" w:cs="Arial" w:eastAsia="Arial" w:hAnsi="Arial"/>
                <w:sz w:val="11"/>
                <w:szCs w:val="11"/>
                <w:color w:val="231F20"/>
              </w:rPr>
              <w:t>—</w:t>
            </w:r>
          </w:p>
        </w:tc>
        <w:tc>
          <w:tcPr>
            <w:tcW w:w="66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720" w:type="dxa"/>
            <w:vAlign w:val="bottom"/>
            <w:tcBorders>
              <w:bottom w:val="single" w:sz="8" w:color="auto"/>
            </w:tcBorders>
          </w:tcPr>
          <w:p>
            <w:pPr>
              <w:jc w:val="right"/>
              <w:ind w:right="66"/>
              <w:spacing w:after="0" w:line="125" w:lineRule="exact"/>
              <w:rPr>
                <w:sz w:val="20"/>
                <w:szCs w:val="20"/>
                <w:color w:val="auto"/>
              </w:rPr>
            </w:pPr>
            <w:r>
              <w:rPr>
                <w:rFonts w:ascii="Arial" w:cs="Arial" w:eastAsia="Arial" w:hAnsi="Arial"/>
                <w:sz w:val="11"/>
                <w:szCs w:val="11"/>
                <w:color w:val="231F20"/>
              </w:rPr>
              <w:t>—</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231F20"/>
              </w:rPr>
              <w:t>—</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
              <w:spacing w:after="0" w:line="125" w:lineRule="exact"/>
              <w:rPr>
                <w:sz w:val="20"/>
                <w:szCs w:val="20"/>
                <w:color w:val="auto"/>
              </w:rPr>
            </w:pPr>
            <w:r>
              <w:rPr>
                <w:rFonts w:ascii="Arial" w:cs="Arial" w:eastAsia="Arial" w:hAnsi="Arial"/>
                <w:sz w:val="11"/>
                <w:szCs w:val="11"/>
                <w:color w:val="231F20"/>
              </w:rPr>
              <w:t>(15,339)</w:t>
            </w: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(15,339)</w:t>
            </w:r>
          </w:p>
        </w:tc>
      </w:tr>
      <w:tr>
        <w:trPr>
          <w:trHeight w:val="115"/>
        </w:trPr>
        <w:tc>
          <w:tcPr>
            <w:tcW w:w="660" w:type="dxa"/>
            <w:vAlign w:val="bottom"/>
            <w:tcBorders>
              <w:bottom w:val="single" w:sz="8" w:color="auto"/>
            </w:tcBorders>
          </w:tcPr>
          <w:p>
            <w:pPr>
              <w:ind w:left="460"/>
              <w:spacing w:after="0" w:line="115" w:lineRule="exact"/>
              <w:rPr>
                <w:sz w:val="20"/>
                <w:szCs w:val="20"/>
                <w:color w:val="auto"/>
              </w:rPr>
            </w:pPr>
            <w:r>
              <w:rPr>
                <w:rFonts w:ascii="Arial" w:cs="Arial" w:eastAsia="Arial" w:hAnsi="Arial"/>
                <w:sz w:val="11"/>
                <w:szCs w:val="11"/>
                <w:color w:val="231F20"/>
              </w:rPr>
              <w:t>—</w:t>
            </w:r>
          </w:p>
        </w:tc>
        <w:tc>
          <w:tcPr>
            <w:tcW w:w="4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color w:val="231F20"/>
              </w:rPr>
              <w:t>$</w:t>
            </w:r>
          </w:p>
        </w:tc>
        <w:tc>
          <w:tcPr>
            <w:tcW w:w="300" w:type="dxa"/>
            <w:vAlign w:val="bottom"/>
            <w:tcBorders>
              <w:bottom w:val="single" w:sz="8" w:color="auto"/>
            </w:tcBorders>
            <w:gridSpan w:val="2"/>
          </w:tcPr>
          <w:p>
            <w:pPr>
              <w:jc w:val="right"/>
              <w:ind w:right="160"/>
              <w:spacing w:after="0" w:line="115" w:lineRule="exact"/>
              <w:rPr>
                <w:sz w:val="20"/>
                <w:szCs w:val="20"/>
                <w:color w:val="auto"/>
              </w:rPr>
            </w:pPr>
            <w:r>
              <w:rPr>
                <w:rFonts w:ascii="Arial" w:cs="Arial" w:eastAsia="Arial" w:hAnsi="Arial"/>
                <w:sz w:val="11"/>
                <w:szCs w:val="11"/>
                <w:color w:val="231F20"/>
              </w:rPr>
              <w:t>—</w:t>
            </w:r>
          </w:p>
        </w:tc>
        <w:tc>
          <w:tcPr>
            <w:tcW w:w="66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39,342,129</w:t>
            </w:r>
          </w:p>
        </w:tc>
        <w:tc>
          <w:tcPr>
            <w:tcW w:w="4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color w:val="231F20"/>
              </w:rPr>
              <w:t>$</w:t>
            </w:r>
          </w:p>
        </w:tc>
        <w:tc>
          <w:tcPr>
            <w:tcW w:w="1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72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color w:val="231F20"/>
              </w:rPr>
              <w:t>$ 374,467</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(13)</w:t>
            </w:r>
          </w:p>
        </w:tc>
        <w:tc>
          <w:tcPr>
            <w:tcW w:w="1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231F20"/>
              </w:rPr>
              <w:t>(48,433)</w:t>
            </w:r>
          </w:p>
        </w:tc>
        <w:tc>
          <w:tcPr>
            <w:tcW w:w="220" w:type="dxa"/>
            <w:vAlign w:val="bottom"/>
            <w:tcBorders>
              <w:bottom w:val="single" w:sz="8" w:color="auto"/>
            </w:tcBorders>
          </w:tcPr>
          <w:p>
            <w:pPr>
              <w:ind w:left="100"/>
              <w:spacing w:after="0" w:line="115" w:lineRule="exact"/>
              <w:rPr>
                <w:sz w:val="20"/>
                <w:szCs w:val="20"/>
                <w:color w:val="auto"/>
              </w:rPr>
            </w:pPr>
            <w:r>
              <w:rPr>
                <w:rFonts w:ascii="Arial" w:cs="Arial" w:eastAsia="Arial" w:hAnsi="Arial"/>
                <w:sz w:val="11"/>
                <w:szCs w:val="11"/>
                <w:color w:val="231F20"/>
              </w:rPr>
              <w:t>$</w:t>
            </w:r>
          </w:p>
        </w:tc>
        <w:tc>
          <w:tcPr>
            <w:tcW w:w="6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326,024</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-659765</wp:posOffset>
            </wp:positionV>
            <wp:extent cx="564896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-496570</wp:posOffset>
            </wp:positionV>
            <wp:extent cx="5648960" cy="7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-342265</wp:posOffset>
            </wp:positionV>
            <wp:extent cx="5648960" cy="7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-187960</wp:posOffset>
            </wp:positionV>
            <wp:extent cx="5648960" cy="77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5999"/>
          </w:cols>
          <w:pgMar w:left="1440" w:top="517" w:right="1440" w:bottom="1440" w:gutter="0" w:footer="0" w:header="0"/>
          <w:type w:val="continuous"/>
        </w:sectPr>
      </w:pP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9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121"/>
        </w:trPr>
        <w:tc>
          <w:tcPr>
            <w:tcW w:w="2960" w:type="dxa"/>
            <w:vAlign w:val="bottom"/>
            <w:shd w:val="clear" w:color="auto" w:fill="CCEEFF"/>
          </w:tcPr>
          <w:p>
            <w:pPr>
              <w:spacing w:after="0"/>
              <w:rPr>
                <w:sz w:val="10"/>
                <w:szCs w:val="10"/>
                <w:color w:val="auto"/>
              </w:rPr>
            </w:pPr>
          </w:p>
        </w:tc>
        <w:tc>
          <w:tcPr>
            <w:tcW w:w="1360" w:type="dxa"/>
            <w:vAlign w:val="bottom"/>
            <w:gridSpan w:val="4"/>
            <w:shd w:val="clear" w:color="auto" w:fill="CCEEFF"/>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b w:val="1"/>
                <w:bCs w:val="1"/>
                <w:color w:val="auto"/>
              </w:rPr>
              <w:t>Other</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b w:val="1"/>
                <w:bCs w:val="1"/>
                <w:color w:val="auto"/>
              </w:rPr>
              <w:t>Total</w:t>
            </w:r>
          </w:p>
        </w:tc>
      </w:tr>
      <w:tr>
        <w:trPr>
          <w:trHeight w:val="115"/>
        </w:trPr>
        <w:tc>
          <w:tcPr>
            <w:tcW w:w="2960" w:type="dxa"/>
            <w:vAlign w:val="bottom"/>
          </w:tcPr>
          <w:p>
            <w:pPr>
              <w:spacing w:after="0"/>
              <w:rPr>
                <w:sz w:val="10"/>
                <w:szCs w:val="10"/>
                <w:color w:val="auto"/>
              </w:rPr>
            </w:pPr>
          </w:p>
        </w:tc>
        <w:tc>
          <w:tcPr>
            <w:tcW w:w="1360" w:type="dxa"/>
            <w:vAlign w:val="bottom"/>
            <w:gridSpan w:val="4"/>
          </w:tcPr>
          <w:p>
            <w:pPr>
              <w:jc w:val="center"/>
              <w:ind w:right="120"/>
              <w:spacing w:after="0" w:line="106" w:lineRule="exact"/>
              <w:rPr>
                <w:sz w:val="20"/>
                <w:szCs w:val="20"/>
                <w:color w:val="auto"/>
              </w:rPr>
            </w:pPr>
            <w:r>
              <w:rPr>
                <w:rFonts w:ascii="Arial" w:cs="Arial" w:eastAsia="Arial" w:hAnsi="Arial"/>
                <w:sz w:val="11"/>
                <w:szCs w:val="11"/>
                <w:b w:val="1"/>
                <w:bCs w:val="1"/>
                <w:color w:val="auto"/>
                <w:w w:val="97"/>
              </w:rPr>
              <w:t>Preferred Stock</w:t>
            </w:r>
          </w:p>
        </w:tc>
        <w:tc>
          <w:tcPr>
            <w:tcW w:w="1060" w:type="dxa"/>
            <w:vAlign w:val="bottom"/>
            <w:gridSpan w:val="2"/>
          </w:tcPr>
          <w:p>
            <w:pPr>
              <w:jc w:val="right"/>
              <w:spacing w:after="0" w:line="106" w:lineRule="exact"/>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ind w:right="106"/>
              <w:spacing w:after="0" w:line="106"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1640" w:type="dxa"/>
            <w:vAlign w:val="bottom"/>
            <w:gridSpan w:val="3"/>
          </w:tcPr>
          <w:p>
            <w:pPr>
              <w:jc w:val="right"/>
              <w:ind w:right="26"/>
              <w:spacing w:after="0" w:line="106" w:lineRule="exact"/>
              <w:rPr>
                <w:sz w:val="20"/>
                <w:szCs w:val="20"/>
                <w:color w:val="auto"/>
              </w:rPr>
            </w:pPr>
            <w:r>
              <w:rPr>
                <w:rFonts w:ascii="Arial" w:cs="Arial" w:eastAsia="Arial" w:hAnsi="Arial"/>
                <w:sz w:val="11"/>
                <w:szCs w:val="11"/>
                <w:b w:val="1"/>
                <w:bCs w:val="1"/>
                <w:color w:val="auto"/>
                <w:w w:val="99"/>
              </w:rPr>
              <w:t>Comprehensive Accumulated</w:t>
            </w:r>
          </w:p>
        </w:tc>
        <w:tc>
          <w:tcPr>
            <w:tcW w:w="860" w:type="dxa"/>
            <w:vAlign w:val="bottom"/>
            <w:gridSpan w:val="2"/>
          </w:tcPr>
          <w:p>
            <w:pPr>
              <w:ind w:left="100"/>
              <w:spacing w:after="0" w:line="106" w:lineRule="exact"/>
              <w:rPr>
                <w:sz w:val="20"/>
                <w:szCs w:val="20"/>
                <w:color w:val="auto"/>
              </w:rPr>
            </w:pPr>
            <w:r>
              <w:rPr>
                <w:rFonts w:ascii="Arial" w:cs="Arial" w:eastAsia="Arial" w:hAnsi="Arial"/>
                <w:sz w:val="11"/>
                <w:szCs w:val="11"/>
                <w:b w:val="1"/>
                <w:bCs w:val="1"/>
                <w:color w:val="auto"/>
              </w:rPr>
              <w:t>Stockholders'</w:t>
            </w:r>
          </w:p>
        </w:tc>
      </w:tr>
      <w:tr>
        <w:trPr>
          <w:trHeight w:val="122"/>
        </w:trPr>
        <w:tc>
          <w:tcPr>
            <w:tcW w:w="296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6"/>
              <w:spacing w:after="0" w:line="122" w:lineRule="exact"/>
              <w:rPr>
                <w:sz w:val="20"/>
                <w:szCs w:val="20"/>
                <w:color w:val="auto"/>
              </w:rPr>
            </w:pPr>
            <w:r>
              <w:rPr>
                <w:rFonts w:ascii="Arial" w:cs="Arial" w:eastAsia="Arial" w:hAnsi="Arial"/>
                <w:sz w:val="11"/>
                <w:szCs w:val="11"/>
                <w:b w:val="1"/>
                <w:bCs w:val="1"/>
                <w:color w:val="231F20"/>
              </w:rPr>
              <w:t>Shares</w:t>
            </w:r>
          </w:p>
        </w:tc>
        <w:tc>
          <w:tcPr>
            <w:tcW w:w="580" w:type="dxa"/>
            <w:vAlign w:val="bottom"/>
            <w:tcBorders>
              <w:top w:val="single" w:sz="8" w:color="auto"/>
              <w:bottom w:val="single" w:sz="8" w:color="auto"/>
            </w:tcBorders>
            <w:gridSpan w:val="2"/>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12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6"/>
              <w:spacing w:after="0" w:line="122" w:lineRule="exact"/>
              <w:rPr>
                <w:sz w:val="20"/>
                <w:szCs w:val="20"/>
                <w:color w:val="auto"/>
              </w:rPr>
            </w:pPr>
            <w:r>
              <w:rPr>
                <w:rFonts w:ascii="Arial" w:cs="Arial" w:eastAsia="Arial" w:hAnsi="Arial"/>
                <w:sz w:val="11"/>
                <w:szCs w:val="11"/>
                <w:b w:val="1"/>
                <w:bCs w:val="1"/>
                <w:color w:val="231F20"/>
              </w:rPr>
              <w:t>Shares</w:t>
            </w:r>
          </w:p>
        </w:tc>
        <w:tc>
          <w:tcPr>
            <w:tcW w:w="580" w:type="dxa"/>
            <w:vAlign w:val="bottom"/>
            <w:tcBorders>
              <w:top w:val="single" w:sz="8" w:color="auto"/>
              <w:bottom w:val="single" w:sz="8" w:color="auto"/>
            </w:tcBorders>
            <w:gridSpan w:val="2"/>
          </w:tcPr>
          <w:p>
            <w:pPr>
              <w:jc w:val="right"/>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6"/>
              <w:spacing w:after="0" w:line="122" w:lineRule="exact"/>
              <w:rPr>
                <w:sz w:val="20"/>
                <w:szCs w:val="20"/>
                <w:color w:val="auto"/>
              </w:rPr>
            </w:pPr>
            <w:r>
              <w:rPr>
                <w:rFonts w:ascii="Arial" w:cs="Arial" w:eastAsia="Arial" w:hAnsi="Arial"/>
                <w:sz w:val="11"/>
                <w:szCs w:val="11"/>
                <w:b w:val="1"/>
                <w:bCs w:val="1"/>
                <w:color w:val="231F20"/>
                <w:w w:val="92"/>
              </w:rPr>
              <w:t>Capital</w:t>
            </w: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b w:val="1"/>
                <w:bCs w:val="1"/>
                <w:color w:val="231F20"/>
              </w:rPr>
              <w:t>Loss</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6"/>
              <w:spacing w:after="0" w:line="122" w:lineRule="exact"/>
              <w:rPr>
                <w:sz w:val="20"/>
                <w:szCs w:val="20"/>
                <w:color w:val="auto"/>
              </w:rPr>
            </w:pPr>
            <w:r>
              <w:rPr>
                <w:rFonts w:ascii="Arial" w:cs="Arial" w:eastAsia="Arial" w:hAnsi="Arial"/>
                <w:sz w:val="11"/>
                <w:szCs w:val="11"/>
                <w:b w:val="1"/>
                <w:bCs w:val="1"/>
                <w:color w:val="231F20"/>
              </w:rPr>
              <w:t>Deficit</w:t>
            </w:r>
          </w:p>
        </w:tc>
        <w:tc>
          <w:tcPr>
            <w:tcW w:w="86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1"/>
                <w:szCs w:val="11"/>
                <w:b w:val="1"/>
                <w:bCs w:val="1"/>
                <w:color w:val="231F20"/>
              </w:rPr>
              <w:t>Equity (Deficit)</w:t>
            </w:r>
          </w:p>
        </w:tc>
      </w:tr>
      <w:tr>
        <w:trPr>
          <w:trHeight w:val="115"/>
        </w:trPr>
        <w:tc>
          <w:tcPr>
            <w:tcW w:w="2960" w:type="dxa"/>
            <w:vAlign w:val="bottom"/>
            <w:shd w:val="clear" w:color="auto" w:fill="CCEEFF"/>
          </w:tcPr>
          <w:p>
            <w:pPr>
              <w:spacing w:after="0" w:line="115" w:lineRule="exact"/>
              <w:rPr>
                <w:sz w:val="20"/>
                <w:szCs w:val="20"/>
                <w:color w:val="auto"/>
              </w:rPr>
            </w:pPr>
            <w:r>
              <w:rPr>
                <w:rFonts w:ascii="Arial" w:cs="Arial" w:eastAsia="Arial" w:hAnsi="Arial"/>
                <w:sz w:val="11"/>
                <w:szCs w:val="11"/>
                <w:color w:val="231F20"/>
              </w:rPr>
              <w:t>Balances at December 31, 2019</w:t>
            </w:r>
          </w:p>
        </w:tc>
        <w:tc>
          <w:tcPr>
            <w:tcW w:w="66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4,628,215</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4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9,348</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2,593,316</w:t>
            </w:r>
          </w:p>
        </w:tc>
        <w:tc>
          <w:tcPr>
            <w:tcW w:w="400" w:type="dxa"/>
            <w:vAlign w:val="bottom"/>
            <w:shd w:val="clear" w:color="auto" w:fill="CCEEFF"/>
          </w:tcPr>
          <w:p>
            <w:pPr>
              <w:jc w:val="right"/>
              <w:ind w:right="206"/>
              <w:spacing w:after="0" w:line="115" w:lineRule="exact"/>
              <w:rPr>
                <w:sz w:val="20"/>
                <w:szCs w:val="20"/>
                <w:color w:val="auto"/>
              </w:rPr>
            </w:pPr>
            <w:r>
              <w:rPr>
                <w:rFonts w:ascii="Arial" w:cs="Arial" w:eastAsia="Arial" w:hAnsi="Arial"/>
                <w:sz w:val="11"/>
                <w:szCs w:val="11"/>
                <w:color w:val="231F20"/>
              </w:rPr>
              <w:t>$</w:t>
            </w: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231F20"/>
                <w:w w:val="97"/>
              </w:rPr>
              <w:t>$</w:t>
            </w:r>
          </w:p>
        </w:tc>
        <w:tc>
          <w:tcPr>
            <w:tcW w:w="520" w:type="dxa"/>
            <w:vAlign w:val="bottom"/>
            <w:shd w:val="clear" w:color="auto" w:fill="CCEEFF"/>
          </w:tcPr>
          <w:p>
            <w:pPr>
              <w:jc w:val="right"/>
              <w:ind w:right="66"/>
              <w:spacing w:after="0" w:line="115" w:lineRule="exact"/>
              <w:rPr>
                <w:sz w:val="20"/>
                <w:szCs w:val="20"/>
                <w:color w:val="auto"/>
              </w:rPr>
            </w:pPr>
            <w:r>
              <w:rPr>
                <w:rFonts w:ascii="Arial" w:cs="Arial" w:eastAsia="Arial" w:hAnsi="Arial"/>
                <w:sz w:val="11"/>
                <w:szCs w:val="11"/>
                <w:color w:val="231F20"/>
              </w:rPr>
              <w:t>168</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840" w:type="dxa"/>
            <w:vAlign w:val="bottom"/>
            <w:shd w:val="clear" w:color="auto" w:fill="CCEEFF"/>
          </w:tcPr>
          <w:p>
            <w:pPr>
              <w:ind w:left="680"/>
              <w:spacing w:after="0" w:line="11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w:t>
            </w:r>
          </w:p>
        </w:tc>
        <w:tc>
          <w:tcPr>
            <w:tcW w:w="640" w:type="dxa"/>
            <w:vAlign w:val="bottom"/>
            <w:shd w:val="clear" w:color="auto" w:fill="CCEEFF"/>
          </w:tcPr>
          <w:p>
            <w:pPr>
              <w:jc w:val="right"/>
              <w:ind w:right="26"/>
              <w:spacing w:after="0" w:line="115" w:lineRule="exact"/>
              <w:rPr>
                <w:sz w:val="20"/>
                <w:szCs w:val="20"/>
                <w:color w:val="auto"/>
              </w:rPr>
            </w:pPr>
            <w:r>
              <w:rPr>
                <w:rFonts w:ascii="Arial" w:cs="Arial" w:eastAsia="Arial" w:hAnsi="Arial"/>
                <w:sz w:val="11"/>
                <w:szCs w:val="11"/>
                <w:color w:val="231F20"/>
              </w:rPr>
              <w:t>(10,762)</w:t>
            </w:r>
          </w:p>
        </w:tc>
        <w:tc>
          <w:tcPr>
            <w:tcW w:w="240" w:type="dxa"/>
            <w:vAlign w:val="bottom"/>
            <w:shd w:val="clear" w:color="auto" w:fill="CCEEFF"/>
          </w:tcPr>
          <w:p>
            <w:pPr>
              <w:ind w:left="100"/>
              <w:spacing w:after="0" w:line="115" w:lineRule="exact"/>
              <w:rPr>
                <w:sz w:val="20"/>
                <w:szCs w:val="20"/>
                <w:color w:val="auto"/>
              </w:rPr>
            </w:pPr>
            <w:r>
              <w:rPr>
                <w:rFonts w:ascii="Arial" w:cs="Arial" w:eastAsia="Arial" w:hAnsi="Arial"/>
                <w:sz w:val="11"/>
                <w:szCs w:val="11"/>
                <w:color w:val="231F20"/>
              </w:rPr>
              <w:t>$</w:t>
            </w: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231F20"/>
              </w:rPr>
              <w:t>(10,594)</w:t>
            </w:r>
          </w:p>
        </w:tc>
      </w:tr>
      <w:tr>
        <w:trPr>
          <w:trHeight w:val="118"/>
        </w:trPr>
        <w:tc>
          <w:tcPr>
            <w:tcW w:w="2960" w:type="dxa"/>
            <w:vAlign w:val="bottom"/>
          </w:tcPr>
          <w:p>
            <w:pPr>
              <w:spacing w:after="0" w:line="119" w:lineRule="exact"/>
              <w:rPr>
                <w:sz w:val="20"/>
                <w:szCs w:val="20"/>
                <w:color w:val="auto"/>
              </w:rPr>
            </w:pPr>
            <w:r>
              <w:rPr>
                <w:rFonts w:ascii="Arial" w:cs="Arial" w:eastAsia="Arial" w:hAnsi="Arial"/>
                <w:sz w:val="11"/>
                <w:szCs w:val="11"/>
                <w:color w:val="auto"/>
              </w:rPr>
              <w:t>Beneficial conversion option recognized upon issuance of</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5"/>
        </w:trPr>
        <w:tc>
          <w:tcPr>
            <w:tcW w:w="2960" w:type="dxa"/>
            <w:vAlign w:val="bottom"/>
          </w:tcPr>
          <w:p>
            <w:pPr>
              <w:spacing w:after="0" w:line="125" w:lineRule="exact"/>
              <w:rPr>
                <w:sz w:val="20"/>
                <w:szCs w:val="20"/>
                <w:color w:val="auto"/>
              </w:rPr>
            </w:pPr>
            <w:r>
              <w:rPr>
                <w:rFonts w:ascii="Arial" w:cs="Arial" w:eastAsia="Arial" w:hAnsi="Arial"/>
                <w:sz w:val="11"/>
                <w:szCs w:val="11"/>
                <w:color w:val="auto"/>
              </w:rPr>
              <w:t>2020 convertible notes</w:t>
            </w:r>
          </w:p>
        </w:tc>
        <w:tc>
          <w:tcPr>
            <w:tcW w:w="66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2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20" w:type="dxa"/>
            <w:vAlign w:val="bottom"/>
          </w:tcPr>
          <w:p>
            <w:pPr>
              <w:jc w:val="right"/>
              <w:ind w:right="66"/>
              <w:spacing w:after="0" w:line="125" w:lineRule="exact"/>
              <w:rPr>
                <w:sz w:val="20"/>
                <w:szCs w:val="20"/>
                <w:color w:val="auto"/>
              </w:rPr>
            </w:pPr>
            <w:r>
              <w:rPr>
                <w:rFonts w:ascii="Arial" w:cs="Arial" w:eastAsia="Arial" w:hAnsi="Arial"/>
                <w:sz w:val="11"/>
                <w:szCs w:val="11"/>
                <w:color w:val="auto"/>
              </w:rPr>
              <w:t>1,054</w:t>
            </w:r>
          </w:p>
        </w:tc>
        <w:tc>
          <w:tcPr>
            <w:tcW w:w="120" w:type="dxa"/>
            <w:vAlign w:val="bottom"/>
          </w:tcPr>
          <w:p>
            <w:pPr>
              <w:spacing w:after="0"/>
              <w:rPr>
                <w:sz w:val="10"/>
                <w:szCs w:val="10"/>
                <w:color w:val="auto"/>
              </w:rPr>
            </w:pPr>
          </w:p>
        </w:tc>
        <w:tc>
          <w:tcPr>
            <w:tcW w:w="840" w:type="dxa"/>
            <w:vAlign w:val="bottom"/>
          </w:tcPr>
          <w:p>
            <w:pPr>
              <w:ind w:left="68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231F20"/>
              </w:rPr>
              <w:t>1,054</w:t>
            </w:r>
          </w:p>
        </w:tc>
      </w:tr>
      <w:tr>
        <w:trPr>
          <w:trHeight w:val="118"/>
        </w:trPr>
        <w:tc>
          <w:tcPr>
            <w:tcW w:w="29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Beneficial conversion option recognized upon repurchase</w:t>
            </w: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5"/>
        </w:trPr>
        <w:tc>
          <w:tcPr>
            <w:tcW w:w="296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rPr>
              <w:t>of 2020 convertible notes on settlement date</w:t>
            </w:r>
          </w:p>
        </w:tc>
        <w:tc>
          <w:tcPr>
            <w:tcW w:w="66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(2,568)</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line="12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(2,568)</w:t>
            </w:r>
          </w:p>
        </w:tc>
      </w:tr>
      <w:tr>
        <w:trPr>
          <w:trHeight w:val="122"/>
        </w:trPr>
        <w:tc>
          <w:tcPr>
            <w:tcW w:w="2960" w:type="dxa"/>
            <w:vAlign w:val="bottom"/>
          </w:tcPr>
          <w:p>
            <w:pPr>
              <w:spacing w:after="0" w:line="122" w:lineRule="exact"/>
              <w:rPr>
                <w:sz w:val="20"/>
                <w:szCs w:val="20"/>
                <w:color w:val="auto"/>
              </w:rPr>
            </w:pPr>
            <w:r>
              <w:rPr>
                <w:rFonts w:ascii="Arial" w:cs="Arial" w:eastAsia="Arial" w:hAnsi="Arial"/>
                <w:sz w:val="11"/>
                <w:szCs w:val="11"/>
                <w:color w:val="auto"/>
              </w:rPr>
              <w:t>Extinguishment of 2020 convertible notes</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2,148</w:t>
            </w:r>
          </w:p>
        </w:tc>
        <w:tc>
          <w:tcPr>
            <w:tcW w:w="120" w:type="dxa"/>
            <w:vAlign w:val="bottom"/>
          </w:tcPr>
          <w:p>
            <w:pPr>
              <w:spacing w:after="0"/>
              <w:rPr>
                <w:sz w:val="10"/>
                <w:szCs w:val="10"/>
                <w:color w:val="auto"/>
              </w:rPr>
            </w:pPr>
          </w:p>
        </w:tc>
        <w:tc>
          <w:tcPr>
            <w:tcW w:w="840" w:type="dxa"/>
            <w:vAlign w:val="bottom"/>
          </w:tcPr>
          <w:p>
            <w:pPr>
              <w:ind w:left="6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231F20"/>
              </w:rPr>
              <w:t>2,148</w:t>
            </w:r>
          </w:p>
        </w:tc>
      </w:tr>
      <w:tr>
        <w:trPr>
          <w:trHeight w:val="118"/>
        </w:trPr>
        <w:tc>
          <w:tcPr>
            <w:tcW w:w="29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Issuance of Series B convertible stock, net of issuance</w:t>
            </w: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5"/>
        </w:trPr>
        <w:tc>
          <w:tcPr>
            <w:tcW w:w="296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rPr>
              <w:t>costs of $113</w:t>
            </w:r>
          </w:p>
        </w:tc>
        <w:tc>
          <w:tcPr>
            <w:tcW w:w="66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5,728,827</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26,880</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ind w:left="680"/>
              <w:spacing w:after="0" w:line="12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18"/>
        </w:trPr>
        <w:tc>
          <w:tcPr>
            <w:tcW w:w="2960" w:type="dxa"/>
            <w:vAlign w:val="bottom"/>
          </w:tcPr>
          <w:p>
            <w:pPr>
              <w:spacing w:after="0" w:line="119" w:lineRule="exact"/>
              <w:rPr>
                <w:sz w:val="20"/>
                <w:szCs w:val="20"/>
                <w:color w:val="auto"/>
              </w:rPr>
            </w:pPr>
            <w:r>
              <w:rPr>
                <w:rFonts w:ascii="Arial" w:cs="Arial" w:eastAsia="Arial" w:hAnsi="Arial"/>
                <w:sz w:val="11"/>
                <w:szCs w:val="11"/>
                <w:color w:val="auto"/>
              </w:rPr>
              <w:t>Issuance of Series B convertible preferred stock in</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5"/>
        </w:trPr>
        <w:tc>
          <w:tcPr>
            <w:tcW w:w="2960" w:type="dxa"/>
            <w:vAlign w:val="bottom"/>
          </w:tcPr>
          <w:p>
            <w:pPr>
              <w:spacing w:after="0" w:line="125" w:lineRule="exact"/>
              <w:rPr>
                <w:sz w:val="20"/>
                <w:szCs w:val="20"/>
                <w:color w:val="auto"/>
              </w:rPr>
            </w:pPr>
            <w:r>
              <w:rPr>
                <w:rFonts w:ascii="Arial" w:cs="Arial" w:eastAsia="Arial" w:hAnsi="Arial"/>
                <w:sz w:val="11"/>
                <w:szCs w:val="11"/>
                <w:color w:val="auto"/>
              </w:rPr>
              <w:t>connection with the conversion of convertible notes</w:t>
            </w:r>
          </w:p>
        </w:tc>
        <w:tc>
          <w:tcPr>
            <w:tcW w:w="660" w:type="dxa"/>
            <w:vAlign w:val="bottom"/>
          </w:tcPr>
          <w:p>
            <w:pPr>
              <w:jc w:val="right"/>
              <w:ind w:right="26"/>
              <w:spacing w:after="0" w:line="125" w:lineRule="exact"/>
              <w:rPr>
                <w:sz w:val="20"/>
                <w:szCs w:val="20"/>
                <w:color w:val="auto"/>
              </w:rPr>
            </w:pPr>
            <w:r>
              <w:rPr>
                <w:rFonts w:ascii="Arial" w:cs="Arial" w:eastAsia="Arial" w:hAnsi="Arial"/>
                <w:sz w:val="11"/>
                <w:szCs w:val="11"/>
                <w:color w:val="auto"/>
              </w:rPr>
              <w:t>638,270</w:t>
            </w:r>
          </w:p>
        </w:tc>
        <w:tc>
          <w:tcPr>
            <w:tcW w:w="1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auto"/>
              </w:rPr>
              <w:t>3,007</w:t>
            </w:r>
          </w:p>
        </w:tc>
        <w:tc>
          <w:tcPr>
            <w:tcW w:w="120" w:type="dxa"/>
            <w:vAlign w:val="bottom"/>
          </w:tcPr>
          <w:p>
            <w:pPr>
              <w:spacing w:after="0"/>
              <w:rPr>
                <w:sz w:val="10"/>
                <w:szCs w:val="10"/>
                <w:color w:val="auto"/>
              </w:rPr>
            </w:pPr>
          </w:p>
        </w:tc>
        <w:tc>
          <w:tcPr>
            <w:tcW w:w="66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1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52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40" w:type="dxa"/>
            <w:vAlign w:val="bottom"/>
          </w:tcPr>
          <w:p>
            <w:pPr>
              <w:ind w:left="680"/>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tcPr>
          <w:p>
            <w:pPr>
              <w:jc w:val="right"/>
              <w:ind w:right="66"/>
              <w:spacing w:after="0" w:line="12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r>
      <w:tr>
        <w:trPr>
          <w:trHeight w:val="122"/>
        </w:trPr>
        <w:tc>
          <w:tcPr>
            <w:tcW w:w="2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66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ind w:left="680"/>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(1,693)</w:t>
            </w:r>
          </w:p>
        </w:tc>
        <w:tc>
          <w:tcPr>
            <w:tcW w:w="24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231F20"/>
              </w:rPr>
              <w:t>(1,693)</w:t>
            </w:r>
          </w:p>
        </w:tc>
      </w:tr>
      <w:tr>
        <w:trPr>
          <w:trHeight w:val="115"/>
        </w:trPr>
        <w:tc>
          <w:tcPr>
            <w:tcW w:w="2960" w:type="dxa"/>
            <w:vAlign w:val="bottom"/>
          </w:tcPr>
          <w:p>
            <w:pPr>
              <w:spacing w:after="0" w:line="115" w:lineRule="exact"/>
              <w:rPr>
                <w:sz w:val="20"/>
                <w:szCs w:val="20"/>
                <w:color w:val="auto"/>
              </w:rPr>
            </w:pPr>
            <w:r>
              <w:rPr>
                <w:rFonts w:ascii="Arial" w:cs="Arial" w:eastAsia="Arial" w:hAnsi="Arial"/>
                <w:sz w:val="11"/>
                <w:szCs w:val="11"/>
                <w:color w:val="231F20"/>
              </w:rPr>
              <w:t>Balances at March 31, 2020</w:t>
            </w:r>
          </w:p>
        </w:tc>
        <w:tc>
          <w:tcPr>
            <w:tcW w:w="66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10,995,312</w:t>
            </w:r>
          </w:p>
        </w:tc>
        <w:tc>
          <w:tcPr>
            <w:tcW w:w="1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39,235</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2,593,316</w:t>
            </w:r>
          </w:p>
        </w:tc>
        <w:tc>
          <w:tcPr>
            <w:tcW w:w="4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ind w:left="120"/>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color w:val="auto"/>
              </w:rPr>
              <w:t>802</w:t>
            </w: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ind w:left="68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26"/>
              <w:spacing w:after="0" w:line="115" w:lineRule="exact"/>
              <w:rPr>
                <w:sz w:val="20"/>
                <w:szCs w:val="20"/>
                <w:color w:val="auto"/>
              </w:rPr>
            </w:pPr>
            <w:r>
              <w:rPr>
                <w:rFonts w:ascii="Arial" w:cs="Arial" w:eastAsia="Arial" w:hAnsi="Arial"/>
                <w:sz w:val="11"/>
                <w:szCs w:val="11"/>
                <w:color w:val="auto"/>
              </w:rPr>
              <w:t>(12,455)</w:t>
            </w:r>
          </w:p>
        </w:tc>
        <w:tc>
          <w:tcPr>
            <w:tcW w:w="240" w:type="dxa"/>
            <w:vAlign w:val="bottom"/>
            <w:tcBorders>
              <w:bottom w:val="single" w:sz="8" w:color="auto"/>
            </w:tcBorders>
          </w:tcPr>
          <w:p>
            <w:pPr>
              <w:ind w:left="100"/>
              <w:spacing w:after="0" w:line="115" w:lineRule="exact"/>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(11,653)</w:t>
            </w:r>
          </w:p>
        </w:tc>
      </w:tr>
      <w:tr>
        <w:trPr>
          <w:trHeight w:val="20"/>
        </w:trPr>
        <w:tc>
          <w:tcPr>
            <w:tcW w:w="2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2020</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9"/>
        </w:trPr>
        <w:tc>
          <w:tcPr>
            <w:tcW w:w="678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(15,339)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(1,693)</w:t>
            </w:r>
          </w:p>
        </w:tc>
      </w:tr>
      <w:tr>
        <w:trPr>
          <w:trHeight w:val="189"/>
        </w:trPr>
        <w:tc>
          <w:tcPr>
            <w:tcW w:w="6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interest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3,208</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other current assets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291</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189"/>
        </w:trPr>
        <w:tc>
          <w:tcPr>
            <w:tcW w:w="678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189"/>
        </w:trPr>
        <w:tc>
          <w:tcPr>
            <w:tcW w:w="6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1,010</w:t>
            </w: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183"/>
        </w:trPr>
        <w:tc>
          <w:tcPr>
            <w:tcW w:w="678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(11,084)</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(2,136)</w:t>
            </w:r>
          </w:p>
        </w:tc>
      </w:tr>
      <w:tr>
        <w:trPr>
          <w:trHeight w:val="183"/>
        </w:trPr>
        <w:tc>
          <w:tcPr>
            <w:tcW w:w="67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Purchase of equipment</w:t>
            </w:r>
          </w:p>
        </w:tc>
        <w:tc>
          <w:tcPr>
            <w:tcW w:w="1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(280,164)</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78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(279,584)</w:t>
            </w: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convertible notes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189"/>
        </w:trPr>
        <w:tc>
          <w:tcPr>
            <w:tcW w:w="6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issuance of Series B convertible preferred stock, net of issuance costs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26,986</w:t>
            </w:r>
          </w:p>
        </w:tc>
      </w:tr>
      <w:tr>
        <w:trPr>
          <w:trHeight w:val="183"/>
        </w:trPr>
        <w:tc>
          <w:tcPr>
            <w:tcW w:w="678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29,986</w:t>
            </w: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180" w:type="dxa"/>
            <w:vAlign w:val="bottom"/>
          </w:tcPr>
          <w:p>
            <w:pPr>
              <w:spacing w:after="0"/>
              <w:rPr>
                <w:sz w:val="15"/>
                <w:szCs w:val="15"/>
                <w:color w:val="auto"/>
              </w:rPr>
            </w:pPr>
          </w:p>
        </w:tc>
        <w:tc>
          <w:tcPr>
            <w:tcW w:w="9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(290,668)</w:t>
            </w:r>
          </w:p>
        </w:tc>
        <w:tc>
          <w:tcPr>
            <w:tcW w:w="34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27,841</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338,549</w:t>
            </w: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678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47,881</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27,909</w:t>
            </w:r>
          </w:p>
        </w:tc>
      </w:tr>
      <w:tr>
        <w:trPr>
          <w:trHeight w:val="170"/>
        </w:trPr>
        <w:tc>
          <w:tcPr>
            <w:tcW w:w="6780" w:type="dxa"/>
            <w:vAlign w:val="bottom"/>
            <w:shd w:val="clear" w:color="auto" w:fill="CCEEFF"/>
          </w:tcPr>
          <w:p>
            <w:pPr>
              <w:spacing w:after="0" w:line="170" w:lineRule="exact"/>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Purchases of property and equipment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231F20"/>
              </w:rPr>
              <w:t>Conversion of convertible notes into Series B convertible 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231F20"/>
              </w:rPr>
              <w:t>Offering costs included in other current liabilities - Series B</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30"/>
        </w:trPr>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231F20"/>
              </w:rPr>
              <w:t>Vesting of early exercised stock options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 owned, lead product candidate, OP-1250, is a novel oral therapy with combined activity as both a complete estrogen receptor (“ER”) antagonist (“CERAN”) and a selective ER degrader (“SERD”). The Company is currently evaluating OP-1250 in a Phase 1/2 dose escalation and expansion trial for the treatment of recurrent, locally advanced or metastatic estrogen receptor-positive (“ER+”), human epidermal growth factor receptor 2-negative (“HER2-“) breast cancer.</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COVID-19,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Initial Public Offering</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November 2020, the Company completed the initial public offering of its common stock (“IPO”). In connection with its IPO, the Company issued and sold 12,650,000 shares of its common stock, at a price to the public of $19.00 per share. As a result of the IPO, the Company received $220.6 million in net proceeds, after deducting underwriting discounts and commissions and offering costs of $19.8 million.</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Upon the closing of the IPO, 23,765,075 shares of outstanding convertible preferred stock were automatically converted into 23,765,075 shares of common stock with the related carrying value of $148.3 million reclassified to common stock and additional paid-in capital. In connection with the IPO, the Company amended and restated its amended and restated certificate of incorporation to change the authorized capital stock to 490,000,000 shares designated as common stock and 10,000,000 shares designated as preferred stock, all with a par value of $0.0001 per share.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$327.0 million of cash, cash equivalents and marketable securities at March 31, 2021, which management believes is sufficient to fund its operating expenses and capital expenditure requirements for at least the next 12 months from the issuance date these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extent of the impact of the COVID-19 pandemic on the Company’s business, operations and development timelines and plans remains uncertain, and will depend on certain developments, including the duration of the outbreak and its impact on the Company’s development activities, planned clinical trial enrollment, future trial sites, CROs, third-party manufacturers, and other third parties with whom the Company does business, as well as its impact on regulatory authorities and the Company’s key scientific and management personnel. During 2020, although the Company modified its operations and practices due to the COVID-19 pandemic and to comply with federal, state and local requirements, its business, operations and development timelines were not material adversely affected. However, the extent to which the COVID-19 pandemic may affect the Company’s business, operations and development timelines and plans in the future, including the resulting impact on its expenditures and capital needs, remains uncertain.</w:t>
      </w:r>
    </w:p>
    <w:p>
      <w:pPr>
        <w:spacing w:after="0" w:line="206"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Stated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incorporated on January 6, 2021. All intercompany balances and transactions have been eliminated upon consolidation.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interim condensed consolidated balance sheet as of March 31, 2021, and the statements of operations, comprehensive loss, and cash flows for the three months ended March 31, 2021 and 2020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periods are also unaudited. The results of operations for the three months ended March 31, 2021 are not necessarily indicative of the results to be expected for the year ending December 31, 2021 or for any other future annual or interim period. The condensed consolidated balance sheet as of December 31, 2020 included herein was derived from the audited financial statements as of that date. These interim condensed consolidated financial statements should be read in conjunction with the Company’s audited financial statements included in the Company’s Form 10-K as filed with the SEC on March 17,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share-based compensation assumptions, and fair value of common stock and convertible preferred stock prior to the IPO. On an ongoing basis, the Company evaluates its estimates and judgments, which are based on historical and anticipated results and trends and on various other assumptions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that management believes to be reasonable under the circumstances. Actual results could differ from those estimates.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and as of March 31, 2021 and December 31, 2020, cash and cash equivalents consisted of cash on deposit with U.S. banks denominated in U.S. dollars and investments in interest bearing money market funds.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earnings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clinical research organizations (“CROs”) and contract manufacturing organizations (“CMOs”), in connection with nonclinical studies and clinical trials, and other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Such amounts are recognized as an expense as the goods are delivered or the related services are performed.</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Costs incurred in obtaining technology licenses are charged immediately to research and development expense if the technology licensed has not reached technological feasibility and has no alternative future uses.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unvested restricted stock awards, contingently issuable common stock related to the ESPP, and convertible preferred stock are considered potential dilutive common shares. Since the Company was in a loss position for both periods presented, basic net loss per share is the same as diluted net loss per share for both periods as the inclusion of all potential common shares outstanding would have been anti-dilutive.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securities. In periods in which the Company reported a net loss, diluted net loss per common share is the same as basic net loss per common share, since dilutive common shares are not assumed to have been issued if their effect is anti-dilutive. The Company reported a net loss for the three-month periods ended March 31, 2021 and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w:t>
      </w:r>
    </w:p>
    <w:p>
      <w:pPr>
        <w:spacing w:after="0" w:line="197"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amended (the “JOBS Act”). Under the JOBS Act, companies have extended transition periods available for complying with new or revised accounting standards. The Company has elected to use this exemption to delay adopting new or revised accounting standards until such time as those standards apply to private companies. Where allowable, the Company has early adopted certain standards as described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2018, the FASB issued ASU 2018-18, Collaborative Arrangements (Topic 808): Clarifying the Interaction between Topic 808 and Topic 606. This standard provides guidance on the interaction between Revenue Recognition (Topic 606) and Collaborative Arrangements (Topic 808) by aligning the unit of account guidance between the two topics and clarifying whether certain transactions between collaborative participants should be accounted for as revenue under Topic 606. ASU 2018-18 is effective for fiscal years beginning after December 15, 2019, and interim periods within those fiscal years. Early adoption is permitted. The Company early adopted this guidance effective on January 1, 2021. The adoption did not have a material impact on the Company’s condensed consolidated financial statements and related disclosures.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February 2016, the FASB issued ASU 2016-02, Leases (Topic 842)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In July 2018, the FASB issued ASU No. 2018-11, Leases: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For non-public entities, ASU 2016-02 is effective for annual reporting periods beginning after December 15, 2021, including interim periods within those fiscal years, and early adoption is permitted. Based on the Company’s current filer status, the Company expects to adopt this new guidance under ASU 2016-02 effective January 1, 2022 and is in the process of completing its review of its existing lease agreements under Topic 842. The Company anticipates recording a right-of-use asset and lease liability to account for its facility leases and will record a cumulative-effect adjustment in the period of adoption.</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This standard requires financial assets measured at amortized cost basis to be presented at the net amount expected to be collected. This standard is effective for public companies who are SEC filers for fiscal years beginning after December 15, 2019, including interim periods within those years. In November 2019, the FASB issued ASU 2019-11, Codification Improvements to Topic 326, Financial Instruments - Credit Losses, which extends the effective date of the standard for smaller reporting companies to interim and annual periods beginning after December 15, 2022. ASU 2019-11 also expands the scope of the practical expedient that allows entities to exclude the accrued interest component of amortized cost from various disclosures required by ASC 326 to also include certain disclosures required by ASC 320. Entities that elect to apply the practical expedient must disclose the total amount of accrued interest that they exclude from their disclosures of amortized cost. The amendments have the same effective dates as ASU 2016-13 for entities that have not yet adopted that standard. These standards require using a modified retrospective approach with the cumulative effect recognized as an adjustment to retained earnings. A prospective transition approach is required for debt securities that have recognized an other-than-temporary impairment prior to the effective date. The Company is currently evaluating the effect of these standards and does not expect the adoption of these standards will have on the Company’s financial position or results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assesses the fair value of financial instruments based on the provisions of ASC 820,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380" w:right="79" w:hanging="330"/>
        <w:spacing w:after="0" w:line="277"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29"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rFonts w:ascii="Arial" w:cs="Arial" w:eastAsia="Arial" w:hAnsi="Arial"/>
          <w:sz w:val="18"/>
          <w:szCs w:val="18"/>
          <w:color w:val="231F20"/>
        </w:rPr>
      </w:pPr>
    </w:p>
    <w:p>
      <w:pPr>
        <w:jc w:val="both"/>
        <w:ind w:left="380" w:right="79"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5648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83"/>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7,028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center"/>
              <w:ind w:left="2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7,028</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2,856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2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2,856</w:t>
            </w:r>
          </w:p>
        </w:tc>
      </w:tr>
      <w:tr>
        <w:trPr>
          <w:trHeight w:val="203"/>
        </w:trPr>
        <w:tc>
          <w:tcPr>
            <w:tcW w:w="4900" w:type="dxa"/>
            <w:vAlign w:val="bottom"/>
          </w:tcPr>
          <w:p>
            <w:pPr>
              <w:ind w:left="100"/>
              <w:spacing w:after="0" w:line="202" w:lineRule="exact"/>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6,298</w:t>
            </w:r>
          </w:p>
        </w:tc>
        <w:tc>
          <w:tcPr>
            <w:tcW w:w="240" w:type="dxa"/>
            <w:vAlign w:val="bottom"/>
          </w:tcPr>
          <w:p>
            <w:pPr>
              <w:spacing w:after="0"/>
              <w:rPr>
                <w:sz w:val="17"/>
                <w:szCs w:val="17"/>
                <w:color w:val="auto"/>
              </w:rPr>
            </w:pPr>
          </w:p>
        </w:tc>
        <w:tc>
          <w:tcPr>
            <w:tcW w:w="820" w:type="dxa"/>
            <w:vAlign w:val="bottom"/>
          </w:tcPr>
          <w:p>
            <w:pPr>
              <w:jc w:val="center"/>
              <w:ind w:left="2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6,298</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225,625</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2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225,625</w:t>
            </w:r>
          </w:p>
        </w:tc>
      </w:tr>
      <w:tr>
        <w:trPr>
          <w:trHeight w:val="203"/>
        </w:trPr>
        <w:tc>
          <w:tcPr>
            <w:tcW w:w="49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85,161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274"/>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85,161</w:t>
            </w:r>
          </w:p>
        </w:tc>
      </w:tr>
      <w:tr>
        <w:trPr>
          <w:trHeight w:val="210"/>
        </w:trPr>
        <w:tc>
          <w:tcPr>
            <w:tcW w:w="49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9,884</w:t>
            </w:r>
          </w:p>
        </w:tc>
        <w:tc>
          <w:tcPr>
            <w:tcW w:w="100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$ 317,084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326,968</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4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8"/>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7"/>
                <w:szCs w:val="17"/>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Estimated</w:t>
            </w:r>
          </w:p>
        </w:tc>
      </w:tr>
      <w:tr>
        <w:trPr>
          <w:trHeight w:val="187"/>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9"/>
              </w:rPr>
              <w:t>Losses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47,881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47,880</w:t>
            </w:r>
          </w:p>
        </w:tc>
      </w:tr>
      <w:tr>
        <w:trPr>
          <w:trHeight w:val="202"/>
        </w:trPr>
        <w:tc>
          <w:tcPr>
            <w:tcW w:w="4900" w:type="dxa"/>
            <w:vAlign w:val="bottom"/>
          </w:tcPr>
          <w:p>
            <w:pPr>
              <w:ind w:left="100"/>
              <w:spacing w:after="0" w:line="201" w:lineRule="exact"/>
              <w:rPr>
                <w:sz w:val="20"/>
                <w:szCs w:val="20"/>
                <w:color w:val="auto"/>
              </w:rPr>
            </w:pPr>
            <w:r>
              <w:rPr>
                <w:rFonts w:ascii="Arial" w:cs="Arial" w:eastAsia="Arial" w:hAnsi="Arial"/>
                <w:sz w:val="18"/>
                <w:szCs w:val="18"/>
                <w:color w:val="auto"/>
              </w:rPr>
              <w:t>Short-term marketable securities (&lt;12 months to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900" w:type="dxa"/>
            <w:vAlign w:val="bottom"/>
          </w:tcPr>
          <w:p>
            <w:pPr>
              <w:ind w:left="100"/>
              <w:spacing w:after="0" w:line="203" w:lineRule="exact"/>
              <w:rPr>
                <w:sz w:val="20"/>
                <w:szCs w:val="20"/>
                <w:color w:val="auto"/>
              </w:rPr>
            </w:pPr>
            <w:r>
              <w:rPr>
                <w:rFonts w:ascii="Arial" w:cs="Arial" w:eastAsia="Arial" w:hAnsi="Arial"/>
                <w:sz w:val="18"/>
                <w:szCs w:val="18"/>
                <w:color w:val="auto"/>
              </w:rPr>
              <w:t>maturity)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53"/>
              <w:spacing w:after="0" w:line="203" w:lineRule="exact"/>
              <w:rPr>
                <w:sz w:val="20"/>
                <w:szCs w:val="20"/>
                <w:color w:val="auto"/>
              </w:rPr>
            </w:pPr>
            <w:r>
              <w:rPr>
                <w:rFonts w:ascii="Arial" w:cs="Arial" w:eastAsia="Arial" w:hAnsi="Arial"/>
                <w:sz w:val="18"/>
                <w:szCs w:val="18"/>
                <w:color w:val="auto"/>
                <w:w w:val="98"/>
              </w:rPr>
              <w:t>226,135</w:t>
            </w:r>
          </w:p>
        </w:tc>
        <w:tc>
          <w:tcPr>
            <w:tcW w:w="220" w:type="dxa"/>
            <w:vAlign w:val="bottom"/>
          </w:tcPr>
          <w:p>
            <w:pPr>
              <w:spacing w:after="0"/>
              <w:rPr>
                <w:sz w:val="17"/>
                <w:szCs w:val="17"/>
                <w:color w:val="auto"/>
              </w:rPr>
            </w:pPr>
          </w:p>
        </w:tc>
        <w:tc>
          <w:tcPr>
            <w:tcW w:w="780" w:type="dxa"/>
            <w:vAlign w:val="bottom"/>
          </w:tcPr>
          <w:p>
            <w:pPr>
              <w:jc w:val="right"/>
              <w:ind w:right="36"/>
              <w:spacing w:after="0" w:line="203"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820" w:type="dxa"/>
            <w:vAlign w:val="bottom"/>
          </w:tcPr>
          <w:p>
            <w:pPr>
              <w:jc w:val="center"/>
              <w:ind w:left="254"/>
              <w:spacing w:after="0" w:line="203" w:lineRule="exact"/>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226,130</w:t>
            </w:r>
          </w:p>
        </w:tc>
      </w:tr>
      <w:tr>
        <w:trPr>
          <w:trHeight w:val="203"/>
        </w:trPr>
        <w:tc>
          <w:tcPr>
            <w:tcW w:w="4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52,965</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254"/>
              <w:spacing w:after="0" w:line="202" w:lineRule="exact"/>
              <w:rPr>
                <w:sz w:val="20"/>
                <w:szCs w:val="20"/>
                <w:color w:val="auto"/>
              </w:rPr>
            </w:pPr>
            <w:r>
              <w:rPr>
                <w:rFonts w:ascii="Arial" w:cs="Arial" w:eastAsia="Arial" w:hAnsi="Arial"/>
                <w:sz w:val="18"/>
                <w:szCs w:val="18"/>
                <w:color w:val="auto"/>
                <w:w w:val="99"/>
              </w:rPr>
              <w:t>(13)</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52,957</w:t>
            </w:r>
          </w:p>
        </w:tc>
      </w:tr>
      <w:tr>
        <w:trPr>
          <w:trHeight w:val="196"/>
        </w:trPr>
        <w:tc>
          <w:tcPr>
            <w:tcW w:w="49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3"/>
          </w:tcPr>
          <w:p>
            <w:pPr>
              <w:jc w:val="right"/>
              <w:ind w:right="53"/>
              <w:spacing w:after="0" w:line="196" w:lineRule="exact"/>
              <w:rPr>
                <w:sz w:val="20"/>
                <w:szCs w:val="20"/>
                <w:color w:val="auto"/>
              </w:rPr>
            </w:pPr>
            <w:r>
              <w:rPr>
                <w:rFonts w:ascii="Arial" w:cs="Arial" w:eastAsia="Arial" w:hAnsi="Arial"/>
                <w:sz w:val="18"/>
                <w:szCs w:val="18"/>
                <w:color w:val="auto"/>
                <w:w w:val="97"/>
              </w:rPr>
              <w:t>$ 326,981</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ind w:left="254"/>
              <w:spacing w:after="0" w:line="196" w:lineRule="exact"/>
              <w:rPr>
                <w:sz w:val="20"/>
                <w:szCs w:val="20"/>
                <w:color w:val="auto"/>
              </w:rPr>
            </w:pPr>
            <w:r>
              <w:rPr>
                <w:rFonts w:ascii="Arial" w:cs="Arial" w:eastAsia="Arial" w:hAnsi="Arial"/>
                <w:sz w:val="18"/>
                <w:szCs w:val="18"/>
                <w:color w:val="auto"/>
                <w:w w:val="99"/>
              </w:rPr>
              <w:t>(29)</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326,967</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of December 31, 2020, all of the Company’s cash and cash equivalents consisted of cash on deposit with U.S. banks denominated in U. S. dollars.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52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5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231F20"/>
              </w:rPr>
              <w:t>2021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220" w:type="dxa"/>
            <w:vAlign w:val="bottom"/>
            <w:gridSpan w:val="3"/>
            <w:shd w:val="clear" w:color="auto" w:fill="CCEEFF"/>
          </w:tcPr>
          <w:p>
            <w:pPr>
              <w:jc w:val="right"/>
              <w:ind w:right="1"/>
              <w:spacing w:after="0" w:line="196" w:lineRule="exact"/>
              <w:rPr>
                <w:sz w:val="20"/>
                <w:szCs w:val="20"/>
                <w:color w:val="auto"/>
              </w:rPr>
            </w:pPr>
            <w:r>
              <w:rPr>
                <w:rFonts w:ascii="Arial" w:cs="Arial" w:eastAsia="Arial" w:hAnsi="Arial"/>
                <w:sz w:val="18"/>
                <w:szCs w:val="18"/>
                <w:color w:val="231F20"/>
              </w:rPr>
              <w:t>$</w:t>
            </w:r>
          </w:p>
        </w:tc>
        <w:tc>
          <w:tcPr>
            <w:tcW w:w="8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537</w:t>
            </w:r>
          </w:p>
        </w:tc>
        <w:tc>
          <w:tcPr>
            <w:tcW w:w="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231F20"/>
              </w:rPr>
              <w:t>59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231F20"/>
              </w:rPr>
              <w:t>Property and equipment, gross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596</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CEEFF"/>
            </w:tcBorders>
            <w:gridSpan w:val="3"/>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2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231F20"/>
              </w:rPr>
              <w:t>(70)</w:t>
            </w:r>
          </w:p>
        </w:tc>
        <w:tc>
          <w:tcPr>
            <w:tcW w:w="3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6740" w:type="dxa"/>
            <w:vAlign w:val="bottom"/>
            <w:tcBorders>
              <w:bottom w:val="single" w:sz="8" w:color="auto"/>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gridSpan w:val="3"/>
            <w:shd w:val="clear" w:color="auto" w:fill="CCEEFF"/>
          </w:tcPr>
          <w:p>
            <w:pPr>
              <w:jc w:val="right"/>
              <w:ind w:right="1"/>
              <w:spacing w:after="0" w:line="196" w:lineRule="exact"/>
              <w:rPr>
                <w:sz w:val="20"/>
                <w:szCs w:val="20"/>
                <w:color w:val="auto"/>
              </w:rPr>
            </w:pPr>
            <w:r>
              <w:rPr>
                <w:rFonts w:ascii="Arial" w:cs="Arial" w:eastAsia="Arial" w:hAnsi="Arial"/>
                <w:sz w:val="18"/>
                <w:szCs w:val="18"/>
                <w:color w:val="231F20"/>
              </w:rPr>
              <w:t>$</w:t>
            </w:r>
          </w:p>
        </w:tc>
        <w:tc>
          <w:tcPr>
            <w:tcW w:w="8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231F20"/>
              </w:rPr>
              <w:t>526</w:t>
            </w:r>
          </w:p>
        </w:tc>
        <w:tc>
          <w:tcPr>
            <w:tcW w:w="3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5.  Prepaid Expenses and Other Current Assets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60" w:type="dxa"/>
            <w:vAlign w:val="bottom"/>
            <w:gridSpan w:val="3"/>
          </w:tcPr>
          <w:p>
            <w:pPr>
              <w:ind w:left="20"/>
              <w:spacing w:after="0"/>
              <w:rPr>
                <w:sz w:val="20"/>
                <w:szCs w:val="20"/>
                <w:color w:val="auto"/>
              </w:rPr>
            </w:pPr>
            <w:r>
              <w:rPr>
                <w:rFonts w:ascii="Arial" w:cs="Arial" w:eastAsia="Arial" w:hAnsi="Arial"/>
                <w:sz w:val="18"/>
                <w:szCs w:val="18"/>
                <w:color w:val="auto"/>
                <w:w w:val="99"/>
              </w:rPr>
              <w:t>Prepaid expenses and other current assets consisted of the following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bottom w:val="single" w:sz="8" w:color="auto"/>
            </w:tcBorders>
            <w:gridSpan w:val="2"/>
          </w:tcPr>
          <w:p>
            <w:pPr>
              <w:jc w:val="center"/>
              <w:ind w:right="72"/>
              <w:spacing w:after="0" w:line="155" w:lineRule="exact"/>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40" w:type="dxa"/>
            <w:vAlign w:val="bottom"/>
            <w:gridSpan w:val="2"/>
            <w:vMerge w:val="restart"/>
          </w:tcPr>
          <w:p>
            <w:pPr>
              <w:spacing w:after="0"/>
              <w:rPr>
                <w:sz w:val="20"/>
                <w:szCs w:val="20"/>
                <w:color w:val="auto"/>
              </w:rPr>
            </w:pPr>
            <w:r>
              <w:rPr>
                <w:rFonts w:ascii="Arial" w:cs="Arial" w:eastAsia="Arial" w:hAnsi="Arial"/>
                <w:sz w:val="18"/>
                <w:szCs w:val="18"/>
                <w:color w:val="231F20"/>
              </w:rPr>
              <w:t>Prepaid insurance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231F20"/>
              </w:rPr>
              <w:t>2021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
              <w:spacing w:after="0" w:line="196" w:lineRule="exact"/>
              <w:rPr>
                <w:sz w:val="20"/>
                <w:szCs w:val="20"/>
                <w:color w:val="auto"/>
              </w:rPr>
            </w:pPr>
            <w:r>
              <w:rPr>
                <w:rFonts w:ascii="Arial" w:cs="Arial" w:eastAsia="Arial" w:hAnsi="Arial"/>
                <w:sz w:val="18"/>
                <w:szCs w:val="18"/>
                <w:color w:val="231F20"/>
                <w:w w:val="79"/>
              </w:rPr>
              <w:t>$</w:t>
            </w:r>
          </w:p>
        </w:tc>
        <w:tc>
          <w:tcPr>
            <w:tcW w:w="840" w:type="dxa"/>
            <w:vAlign w:val="bottom"/>
          </w:tcPr>
          <w:p>
            <w:pPr>
              <w:jc w:val="right"/>
              <w:ind w:right="92"/>
              <w:spacing w:after="0" w:line="196" w:lineRule="exact"/>
              <w:rPr>
                <w:sz w:val="20"/>
                <w:szCs w:val="20"/>
                <w:color w:val="auto"/>
              </w:rPr>
            </w:pPr>
            <w:r>
              <w:rPr>
                <w:rFonts w:ascii="Arial" w:cs="Arial" w:eastAsia="Arial" w:hAnsi="Arial"/>
                <w:sz w:val="18"/>
                <w:szCs w:val="18"/>
                <w:color w:val="231F20"/>
              </w:rPr>
              <w:t>1,201</w:t>
            </w:r>
          </w:p>
        </w:tc>
        <w:tc>
          <w:tcPr>
            <w:tcW w:w="320" w:type="dxa"/>
            <w:vAlign w:val="bottom"/>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231F20"/>
              </w:rPr>
              <w:t>1,663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Prepaid clinical trial costs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943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1,148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231F20"/>
              </w:rPr>
              <w:t>Prepaid subscriptions and licenses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231F20"/>
              </w:rPr>
              <w:t>322</w:t>
            </w: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Prepaid research contracts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278</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432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tcPr>
          <w:p>
            <w:pPr>
              <w:spacing w:after="0" w:line="202" w:lineRule="exact"/>
              <w:rPr>
                <w:sz w:val="20"/>
                <w:szCs w:val="20"/>
                <w:color w:val="auto"/>
              </w:rPr>
            </w:pPr>
            <w:r>
              <w:rPr>
                <w:rFonts w:ascii="Arial" w:cs="Arial" w:eastAsia="Arial" w:hAnsi="Arial"/>
                <w:sz w:val="18"/>
                <w:szCs w:val="18"/>
                <w:color w:val="231F20"/>
              </w:rPr>
              <w:t>Prepaid rent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231F20"/>
              </w:rPr>
              <w:t>72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Other</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231F20"/>
            </w:tcBorders>
            <w:shd w:val="clear" w:color="auto" w:fill="CCEEFF"/>
          </w:tcPr>
          <w:p>
            <w:pPr>
              <w:spacing w:after="0"/>
              <w:rPr>
                <w:sz w:val="17"/>
                <w:szCs w:val="17"/>
                <w:color w:val="auto"/>
              </w:rPr>
            </w:pPr>
          </w:p>
        </w:tc>
        <w:tc>
          <w:tcPr>
            <w:tcW w:w="840" w:type="dxa"/>
            <w:vAlign w:val="bottom"/>
            <w:tcBorders>
              <w:bottom w:val="single" w:sz="8" w:color="231F20"/>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481</w:t>
            </w:r>
          </w:p>
        </w:tc>
        <w:tc>
          <w:tcPr>
            <w:tcW w:w="320" w:type="dxa"/>
            <w:vAlign w:val="bottom"/>
            <w:tcBorders>
              <w:bottom w:val="single" w:sz="8" w:color="231F20"/>
            </w:tcBorders>
            <w:shd w:val="clear" w:color="auto" w:fill="CCEEFF"/>
          </w:tcPr>
          <w:p>
            <w:pPr>
              <w:spacing w:after="0"/>
              <w:rPr>
                <w:sz w:val="17"/>
                <w:szCs w:val="17"/>
                <w:color w:val="auto"/>
              </w:rPr>
            </w:pPr>
          </w:p>
        </w:tc>
        <w:tc>
          <w:tcPr>
            <w:tcW w:w="76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149</w:t>
            </w:r>
          </w:p>
        </w:tc>
        <w:tc>
          <w:tcPr>
            <w:tcW w:w="20" w:type="dxa"/>
            <w:vAlign w:val="bottom"/>
            <w:tcBorders>
              <w:bottom w:val="single" w:sz="8" w:color="231F20"/>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231F20"/>
                <w:w w:val="79"/>
              </w:rPr>
              <w:t>$</w:t>
            </w:r>
          </w:p>
        </w:tc>
        <w:tc>
          <w:tcPr>
            <w:tcW w:w="84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231F20"/>
              </w:rPr>
              <w:t>3,297</w:t>
            </w:r>
          </w:p>
        </w:tc>
        <w:tc>
          <w:tcPr>
            <w:tcW w:w="3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3,588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6.</w:t>
            </w:r>
          </w:p>
        </w:tc>
        <w:tc>
          <w:tcPr>
            <w:tcW w:w="652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center"/>
              <w:ind w:right="92"/>
              <w:spacing w:after="0" w:line="155" w:lineRule="exact"/>
              <w:rPr>
                <w:sz w:val="20"/>
                <w:szCs w:val="20"/>
                <w:color w:val="auto"/>
              </w:rPr>
            </w:pPr>
            <w:r>
              <w:rPr>
                <w:rFonts w:ascii="Arial" w:cs="Arial" w:eastAsia="Arial" w:hAnsi="Arial"/>
                <w:sz w:val="14"/>
                <w:szCs w:val="14"/>
                <w:b w:val="1"/>
                <w:bCs w:val="1"/>
                <w:color w:val="auto"/>
              </w:rPr>
              <w:t>March 31,</w:t>
            </w:r>
          </w:p>
        </w:tc>
        <w:tc>
          <w:tcPr>
            <w:tcW w:w="108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gridSpan w:val="3"/>
          </w:tcPr>
          <w:p>
            <w:pPr>
              <w:ind w:left="2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2"/>
              <w:spacing w:after="0" w:line="155" w:lineRule="exact"/>
              <w:rPr>
                <w:sz w:val="20"/>
                <w:szCs w:val="20"/>
                <w:color w:val="auto"/>
              </w:rPr>
            </w:pPr>
            <w:r>
              <w:rPr>
                <w:rFonts w:ascii="Arial" w:cs="Arial" w:eastAsia="Arial" w:hAnsi="Arial"/>
                <w:sz w:val="14"/>
                <w:szCs w:val="14"/>
                <w:b w:val="1"/>
                <w:bCs w:val="1"/>
                <w:color w:val="231F20"/>
              </w:rPr>
              <w:t>2021</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7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R&amp;D related costs</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
              <w:spacing w:after="0" w:line="196" w:lineRule="exact"/>
              <w:rPr>
                <w:sz w:val="20"/>
                <w:szCs w:val="20"/>
                <w:color w:val="auto"/>
              </w:rPr>
            </w:pPr>
            <w:r>
              <w:rPr>
                <w:rFonts w:ascii="Arial" w:cs="Arial" w:eastAsia="Arial" w:hAnsi="Arial"/>
                <w:sz w:val="18"/>
                <w:szCs w:val="18"/>
                <w:color w:val="231F20"/>
                <w:w w:val="99"/>
              </w:rPr>
              <w:t>$</w:t>
            </w:r>
          </w:p>
        </w:tc>
        <w:tc>
          <w:tcPr>
            <w:tcW w:w="84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231F20"/>
              </w:rPr>
              <w:t>2,273</w:t>
            </w:r>
          </w:p>
        </w:tc>
        <w:tc>
          <w:tcPr>
            <w:tcW w:w="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609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231F20"/>
              </w:rPr>
              <w:t>760</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574</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231F20"/>
              </w:rPr>
              <w:t>552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547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231F20"/>
              </w:rPr>
              <w:t>71</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Other</w:t>
            </w:r>
          </w:p>
        </w:tc>
        <w:tc>
          <w:tcPr>
            <w:tcW w:w="20" w:type="dxa"/>
            <w:vAlign w:val="bottom"/>
            <w:shd w:val="clear" w:color="auto" w:fill="CCEEFF"/>
          </w:tcPr>
          <w:p>
            <w:pPr>
              <w:spacing w:after="0"/>
              <w:rPr>
                <w:sz w:val="17"/>
                <w:szCs w:val="17"/>
                <w:color w:val="auto"/>
              </w:rPr>
            </w:pPr>
          </w:p>
        </w:tc>
        <w:tc>
          <w:tcPr>
            <w:tcW w:w="20" w:type="dxa"/>
            <w:vAlign w:val="bottom"/>
            <w:tcBorders>
              <w:bottom w:val="single" w:sz="8" w:color="231F20"/>
            </w:tcBorders>
            <w:shd w:val="clear" w:color="auto" w:fill="CCEEFF"/>
          </w:tcPr>
          <w:p>
            <w:pPr>
              <w:spacing w:after="0"/>
              <w:rPr>
                <w:sz w:val="17"/>
                <w:szCs w:val="17"/>
                <w:color w:val="auto"/>
              </w:rPr>
            </w:pPr>
          </w:p>
        </w:tc>
        <w:tc>
          <w:tcPr>
            <w:tcW w:w="180" w:type="dxa"/>
            <w:vAlign w:val="bottom"/>
            <w:tcBorders>
              <w:bottom w:val="single" w:sz="8" w:color="231F20"/>
            </w:tcBorders>
            <w:shd w:val="clear" w:color="auto" w:fill="CCEEFF"/>
          </w:tcPr>
          <w:p>
            <w:pPr>
              <w:spacing w:after="0"/>
              <w:rPr>
                <w:sz w:val="17"/>
                <w:szCs w:val="17"/>
                <w:color w:val="auto"/>
              </w:rPr>
            </w:pPr>
          </w:p>
        </w:tc>
        <w:tc>
          <w:tcPr>
            <w:tcW w:w="840" w:type="dxa"/>
            <w:vAlign w:val="bottom"/>
            <w:tcBorders>
              <w:bottom w:val="single" w:sz="8" w:color="231F20"/>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231F20"/>
              </w:rPr>
              <w:t>81</w:t>
            </w:r>
          </w:p>
        </w:tc>
        <w:tc>
          <w:tcPr>
            <w:tcW w:w="320" w:type="dxa"/>
            <w:vAlign w:val="bottom"/>
            <w:tcBorders>
              <w:bottom w:val="single" w:sz="8" w:color="231F20"/>
            </w:tcBorders>
            <w:shd w:val="clear" w:color="auto" w:fill="CCEEFF"/>
          </w:tcPr>
          <w:p>
            <w:pPr>
              <w:spacing w:after="0"/>
              <w:rPr>
                <w:sz w:val="17"/>
                <w:szCs w:val="17"/>
                <w:color w:val="auto"/>
              </w:rPr>
            </w:pPr>
          </w:p>
        </w:tc>
        <w:tc>
          <w:tcPr>
            <w:tcW w:w="760" w:type="dxa"/>
            <w:vAlign w:val="bottom"/>
            <w:tcBorders>
              <w:bottom w:val="single" w:sz="8" w:color="231F20"/>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1"/>
              <w:spacing w:after="0" w:line="196" w:lineRule="exact"/>
              <w:rPr>
                <w:sz w:val="20"/>
                <w:szCs w:val="20"/>
                <w:color w:val="auto"/>
              </w:rPr>
            </w:pPr>
            <w:r>
              <w:rPr>
                <w:rFonts w:ascii="Arial" w:cs="Arial" w:eastAsia="Arial" w:hAnsi="Arial"/>
                <w:sz w:val="18"/>
                <w:szCs w:val="18"/>
                <w:color w:val="231F20"/>
                <w:w w:val="99"/>
              </w:rPr>
              <w:t>$</w:t>
            </w:r>
          </w:p>
        </w:tc>
        <w:tc>
          <w:tcPr>
            <w:tcW w:w="84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231F20"/>
              </w:rPr>
              <w:t>4,858</w:t>
            </w:r>
          </w:p>
        </w:tc>
        <w:tc>
          <w:tcPr>
            <w:tcW w:w="3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3,866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gridSpan w:val="2"/>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0" w:type="dxa"/>
            <w:vAlign w:val="bottom"/>
            <w:gridSpan w:val="2"/>
          </w:tcPr>
          <w:p>
            <w:pPr>
              <w:ind w:left="20"/>
              <w:spacing w:after="0"/>
              <w:rPr>
                <w:sz w:val="20"/>
                <w:szCs w:val="20"/>
                <w:color w:val="auto"/>
              </w:rPr>
            </w:pPr>
            <w:r>
              <w:rPr>
                <w:rFonts w:ascii="Arial" w:cs="Arial" w:eastAsia="Arial" w:hAnsi="Arial"/>
                <w:sz w:val="18"/>
                <w:szCs w:val="18"/>
                <w:color w:val="auto"/>
              </w:rPr>
              <w:t>7.</w:t>
            </w:r>
          </w:p>
        </w:tc>
        <w:tc>
          <w:tcPr>
            <w:tcW w:w="6520" w:type="dxa"/>
            <w:vAlign w:val="bottom"/>
          </w:tcPr>
          <w:p>
            <w:pPr>
              <w:ind w:left="100"/>
              <w:spacing w:after="0"/>
              <w:rPr>
                <w:sz w:val="20"/>
                <w:szCs w:val="20"/>
                <w:color w:val="auto"/>
              </w:rPr>
            </w:pPr>
            <w:r>
              <w:rPr>
                <w:rFonts w:ascii="Arial" w:cs="Arial" w:eastAsia="Arial" w:hAnsi="Arial"/>
                <w:sz w:val="18"/>
                <w:szCs w:val="18"/>
                <w:color w:val="auto"/>
              </w:rPr>
              <w:t>Convertible Notes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Convertible Notes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January 3, 2020 (“issuance date”), the Company issued convertible promissory notes (the “2020 Notes”) in the aggregate principal amount of $3.0 million. The 2020 Notes bore interest at a rate of 1.21% per annum, were unsecured and were due and payable, including accrued interest, on May 2, 2020 (“maturity date”). The Company was not permitted to prepay the outstanding principal and interest without the consent of the note holders. In the event of a default, all unpaid principal and accrued interest would become immediately due.</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the issuance date the Company determined that the conversion option associated with the 2020 Notes met the definition of a beneficial conversion feature (“BCF”) as the fair value of the underlying instrument at the time of issuance exceeded the contractual conversion price. The BCF was recognized at its aggregate intrinsic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of $1.1 million as a debt discount with a corresponding credit to additional paid-in capital in the Company’s balance sheet. The debt discount was amortized over the term of the 2020 Notes through the recognition of interest expense via the effective interest method.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17, 2020 (the “settlement date”), the Company issued and sold 2,545,277 shares of Series B convertible preferred stock at $ 4.712 per share for gross proceeds of approximately $12.0 million (see Note 8, “Convertible Preferred Stock”). On the settlement date, the principal and accrued interest then outstanding under the 2020 Notes of $3.0 million were converted into 638,270 shares of Series B convertible preferred stock (“March 2020 conversion”).</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the settlement date, the unamortized debt discount on the 2020 Notes was $0.4 million and the intrinsic value of the BCF was $ 2.6 million representing an increase of $ 1.5 million from the issuance date of the 2020 Notes. The March 2020 conversion was accounted for as a debt extinguishment. However, as the note holders were previous investors of the Company, the increase in the intrinsic value of the BCF was deemed to be a capital contribution and therefore not income attributable to common stockholders, and accordingly, the Company recorded the $1.5 million gain on extinguishment of the debt within additional paid-in capital.</w:t>
      </w:r>
    </w:p>
    <w:p>
      <w:pPr>
        <w:spacing w:after="0" w:line="205"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Convertible Preferred Stock</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March 31, 2020, there were 10,995,312 shares of convertible preferred stock outstanding. Upon the closing of the Company’s IPO, each then outstanding share of convertible preferred stock was converted into one share of common stock.</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2021 and December 31, 2020, there was no convertible preferred stock outstanding.</w:t>
      </w:r>
    </w:p>
    <w:p>
      <w:pPr>
        <w:spacing w:after="0" w:line="21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Refer to Note 6 “Convertible Preferred Stock” included in the Annual Report on Form 10-K for the year ended December 31, 2020 filed on March 17, 2021 with the SEC.</w:t>
      </w:r>
    </w:p>
    <w:p>
      <w:pPr>
        <w:spacing w:after="0" w:line="372"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2014, the Company’s Board of Directors and stockholders approved and adopted the 2014 Stock Plan (the “2014 Plan”). The 2014 Plan was intended to advance the interests of the Company and its stockholders by providing an incentive to attract, retain and reward persons performing services for the Company and by motivating such persons to contribute to the growth and profitability of the Company. The 2014 Plan permitted the grant of options and restricted stock awards (including restricted stock purchase rights and restricted stock bonus awards). The maximum aggregate number of shares that may be subject to awards and sold under the 2014 Plan as of December 31, 2019 was 717,360</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shares, which was subsequently increased to 4,842,180 in September 2020.The 2014 Plan was terminated on the date the 2020 Equity Incentive Plan (the “2020 Plan”), which is described below, became effective, and no additional awards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2020, the Company’s Board of Directors and stockholders approved and adopted the 2020 Plan. The 2020 Plan is intended to advance the interests of the Company and its stockholders by providing an incentive to attract, retain and reward persons performing services for the Company and by motivating such persons to contribute to the growth and profitability of the Company.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 The maximum number of shares of the common stock that may be issued on the exercise of incentive stock options under the 2020 Plan is 19,483,530 shares. The 2020 Plan permits the grant of options restricted stock awards, stock appreciation rights, restricted stock unit awards, performance awards, and other awards.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exercise price for each option and stock appreciation right shall be established in the discretion of the Board, provided that the exercise price of a stock option generally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7"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were as follows, presented as a weighted average: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50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231F20"/>
              </w:rPr>
              <w:t>March 31,</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231F20"/>
              </w:rPr>
              <w:t>March 31,</w:t>
            </w:r>
          </w:p>
        </w:tc>
      </w:tr>
      <w:tr>
        <w:trPr>
          <w:trHeight w:val="155"/>
        </w:trPr>
        <w:tc>
          <w:tcPr>
            <w:tcW w:w="65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231F20"/>
              </w:rPr>
              <w:t>2021</w:t>
            </w:r>
          </w:p>
        </w:tc>
        <w:tc>
          <w:tcPr>
            <w:tcW w:w="96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44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231F20"/>
              </w:rPr>
              <w:t>0.43%</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440" w:type="dxa"/>
            <w:vAlign w:val="bottom"/>
          </w:tcPr>
          <w:p>
            <w:pPr>
              <w:jc w:val="right"/>
              <w:ind w:right="96"/>
              <w:spacing w:after="0" w:line="202" w:lineRule="exact"/>
              <w:rPr>
                <w:sz w:val="20"/>
                <w:szCs w:val="20"/>
                <w:color w:val="auto"/>
              </w:rPr>
            </w:pPr>
            <w:r>
              <w:rPr>
                <w:rFonts w:ascii="Arial" w:cs="Arial" w:eastAsia="Arial" w:hAnsi="Arial"/>
                <w:sz w:val="18"/>
                <w:szCs w:val="18"/>
                <w:color w:val="231F20"/>
              </w:rPr>
              <w:t>5.93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4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231F20"/>
              </w:rPr>
              <w:t>77.34%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50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44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231F20"/>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were no stock options granted during the period.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and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57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7"/>
                <w:szCs w:val="17"/>
                <w:color w:val="auto"/>
              </w:rPr>
            </w:pPr>
          </w:p>
        </w:tc>
        <w:tc>
          <w:tcPr>
            <w:tcW w:w="980" w:type="dxa"/>
            <w:vAlign w:val="bottom"/>
          </w:tcPr>
          <w:p>
            <w:pPr>
              <w:jc w:val="center"/>
              <w:ind w:right="9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4760" w:type="dxa"/>
            <w:vAlign w:val="bottom"/>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8"/>
              </w:rPr>
              <w:t>(in years)</w:t>
            </w:r>
          </w:p>
        </w:tc>
        <w:tc>
          <w:tcPr>
            <w:tcW w:w="1260" w:type="dxa"/>
            <w:vAlign w:val="bottom"/>
            <w:gridSpan w:val="2"/>
          </w:tcPr>
          <w:p>
            <w:pPr>
              <w:jc w:val="center"/>
              <w:ind w:left="13"/>
              <w:spacing w:after="0" w:line="196" w:lineRule="exact"/>
              <w:rPr>
                <w:sz w:val="20"/>
                <w:szCs w:val="20"/>
                <w:color w:val="auto"/>
              </w:rPr>
            </w:pPr>
            <w:r>
              <w:rPr>
                <w:rFonts w:ascii="Arial" w:cs="Arial" w:eastAsia="Arial" w:hAnsi="Arial"/>
                <w:sz w:val="18"/>
                <w:szCs w:val="18"/>
                <w:color w:val="auto"/>
              </w:rPr>
              <w:t>(in thousands)</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2020</w:t>
            </w:r>
          </w:p>
        </w:tc>
        <w:tc>
          <w:tcPr>
            <w:tcW w:w="10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4,776,908</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10.83</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177,962</w:t>
            </w:r>
          </w:p>
        </w:tc>
      </w:tr>
      <w:tr>
        <w:trPr>
          <w:trHeight w:val="203"/>
        </w:trPr>
        <w:tc>
          <w:tcPr>
            <w:tcW w:w="476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468,800</w:t>
            </w:r>
          </w:p>
        </w:tc>
        <w:tc>
          <w:tcPr>
            <w:tcW w:w="24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45.79</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9.88</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2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(6,990)</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4.41</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March 31, 2021(2)</w:t>
            </w:r>
          </w:p>
        </w:tc>
        <w:tc>
          <w:tcPr>
            <w:tcW w:w="102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5,238,718</w:t>
            </w:r>
          </w:p>
        </w:tc>
        <w:tc>
          <w:tcPr>
            <w:tcW w:w="2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13.96</w:t>
            </w:r>
          </w:p>
        </w:tc>
        <w:tc>
          <w:tcPr>
            <w:tcW w:w="102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9.47</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106,585</w:t>
            </w:r>
          </w:p>
        </w:tc>
      </w:tr>
      <w:tr>
        <w:trPr>
          <w:trHeight w:val="20"/>
        </w:trPr>
        <w:tc>
          <w:tcPr>
            <w:tcW w:w="4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vested and exercisable as of March 31, 2021</w:t>
            </w:r>
          </w:p>
        </w:tc>
        <w:tc>
          <w:tcPr>
            <w:tcW w:w="102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612,187</w:t>
            </w:r>
          </w:p>
        </w:tc>
        <w:tc>
          <w:tcPr>
            <w:tcW w:w="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5.94</w:t>
            </w:r>
          </w:p>
        </w:tc>
        <w:tc>
          <w:tcPr>
            <w:tcW w:w="102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8.73</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16,675</w:t>
            </w:r>
          </w:p>
        </w:tc>
      </w:tr>
      <w:tr>
        <w:trPr>
          <w:trHeight w:val="203"/>
        </w:trPr>
        <w:tc>
          <w:tcPr>
            <w:tcW w:w="47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March 31, 2021</w:t>
            </w:r>
          </w:p>
        </w:tc>
        <w:tc>
          <w:tcPr>
            <w:tcW w:w="102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4,626,531</w:t>
            </w:r>
          </w:p>
        </w:tc>
        <w:tc>
          <w:tcPr>
            <w:tcW w:w="2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15.02</w:t>
            </w:r>
          </w:p>
        </w:tc>
        <w:tc>
          <w:tcPr>
            <w:tcW w:w="102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9.57</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89,909</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4"/>
          <w:szCs w:val="14"/>
          <w:color w:val="231F20"/>
        </w:rPr>
      </w:pPr>
      <w:r>
        <w:rPr>
          <w:rFonts w:ascii="Arial" w:cs="Arial" w:eastAsia="Arial" w:hAnsi="Arial"/>
          <w:sz w:val="14"/>
          <w:szCs w:val="14"/>
          <w:color w:val="231F20"/>
        </w:rPr>
        <w:t>Exercised amount represents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11"/>
        </w:numPr>
        <w:rPr>
          <w:rFonts w:ascii="Arial" w:cs="Arial" w:eastAsia="Arial" w:hAnsi="Arial"/>
          <w:sz w:val="14"/>
          <w:szCs w:val="14"/>
          <w:color w:val="231F20"/>
        </w:rPr>
      </w:pPr>
      <w:r>
        <w:rPr>
          <w:rFonts w:ascii="Arial" w:cs="Arial" w:eastAsia="Arial" w:hAnsi="Arial"/>
          <w:sz w:val="14"/>
          <w:szCs w:val="14"/>
          <w:color w:val="231F20"/>
        </w:rPr>
        <w:t>Balance as of March 31, 2021 includes 119,216 unvested early exercised stock options.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September 2020, one employee and one non-employee paid $0.6 million to early exercise 135,525 options with exercise prices ranging from $4.406 per share to $4.824 per share. As of March 31, 2021, 16,309 of such shares had vested with the remaining shares vesting over their respective terms. 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$0.5 million in other current liabilities as of March 31,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June 2020, the Company granted to certain employees 789,095 shares of restricted common stock (the “RSAs”) under the 2014 Plan as consideration for services with a deemed value of $2.40 per share, or $1.9 million. The following table summarizes the restricted stock activity under the Plan during the three months ended March 31,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40" w:type="dxa"/>
            <w:vAlign w:val="bottom"/>
            <w:tcBorders>
              <w:top w:val="single" w:sz="8" w:color="auto"/>
              <w:bottom w:val="single" w:sz="8" w:color="CCEEFF"/>
            </w:tcBorders>
          </w:tcPr>
          <w:p>
            <w:pPr>
              <w:spacing w:after="0"/>
              <w:rPr>
                <w:sz w:val="15"/>
                <w:szCs w:val="15"/>
                <w:color w:val="auto"/>
              </w:rPr>
            </w:pPr>
          </w:p>
        </w:tc>
        <w:tc>
          <w:tcPr>
            <w:tcW w:w="174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231F20"/>
              </w:rPr>
              <w:t>Number of Shares</w:t>
            </w:r>
          </w:p>
        </w:tc>
        <w:tc>
          <w:tcPr>
            <w:tcW w:w="158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4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December 31, 2020</w:t>
            </w:r>
          </w:p>
        </w:tc>
        <w:tc>
          <w:tcPr>
            <w:tcW w:w="17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231F20"/>
              </w:rPr>
              <w:t>735,294</w:t>
            </w:r>
          </w:p>
        </w:tc>
        <w:tc>
          <w:tcPr>
            <w:tcW w:w="7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c>
          <w:tcPr>
            <w:tcW w:w="20" w:type="dxa"/>
            <w:vAlign w:val="bottom"/>
            <w:shd w:val="clear" w:color="auto" w:fill="CCEEFF"/>
          </w:tcPr>
          <w:p>
            <w:pPr>
              <w:spacing w:after="0"/>
              <w:rPr>
                <w:sz w:val="17"/>
                <w:szCs w:val="17"/>
                <w:color w:val="auto"/>
              </w:rPr>
            </w:pPr>
          </w:p>
        </w:tc>
      </w:tr>
      <w:tr>
        <w:trPr>
          <w:trHeight w:val="203"/>
        </w:trPr>
        <w:tc>
          <w:tcPr>
            <w:tcW w:w="4240" w:type="dxa"/>
            <w:vAlign w:val="bottom"/>
          </w:tcPr>
          <w:p>
            <w:pPr>
              <w:ind w:left="120"/>
              <w:spacing w:after="0" w:line="202" w:lineRule="exact"/>
              <w:rPr>
                <w:sz w:val="20"/>
                <w:szCs w:val="20"/>
                <w:color w:val="auto"/>
              </w:rPr>
            </w:pPr>
            <w:r>
              <w:rPr>
                <w:rFonts w:ascii="Arial" w:cs="Arial" w:eastAsia="Arial" w:hAnsi="Arial"/>
                <w:sz w:val="18"/>
                <w:szCs w:val="18"/>
                <w:color w:val="231F20"/>
              </w:rPr>
              <w:t>Granted</w:t>
            </w:r>
          </w:p>
        </w:tc>
        <w:tc>
          <w:tcPr>
            <w:tcW w:w="1740" w:type="dxa"/>
            <w:vAlign w:val="bottom"/>
          </w:tcPr>
          <w:p>
            <w:pPr>
              <w:spacing w:after="0"/>
              <w:rPr>
                <w:sz w:val="17"/>
                <w:szCs w:val="17"/>
                <w:color w:val="auto"/>
              </w:rPr>
            </w:pPr>
          </w:p>
        </w:tc>
        <w:tc>
          <w:tcPr>
            <w:tcW w:w="1380" w:type="dxa"/>
            <w:vAlign w:val="bottom"/>
          </w:tcPr>
          <w:p>
            <w:pPr>
              <w:jc w:val="right"/>
              <w:ind w:right="74"/>
              <w:spacing w:after="0" w:line="202" w:lineRule="exact"/>
              <w:rPr>
                <w:sz w:val="20"/>
                <w:szCs w:val="20"/>
                <w:color w:val="auto"/>
              </w:rPr>
            </w:pPr>
            <w:r>
              <w:rPr>
                <w:rFonts w:ascii="Arial" w:cs="Arial" w:eastAsia="Arial" w:hAnsi="Arial"/>
                <w:sz w:val="18"/>
                <w:szCs w:val="18"/>
                <w:color w:val="231F20"/>
              </w:rPr>
              <w:t>—</w:t>
            </w:r>
          </w:p>
        </w:tc>
        <w:tc>
          <w:tcPr>
            <w:tcW w:w="7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231F20"/>
              </w:rPr>
              <w:t>—</w:t>
            </w:r>
          </w:p>
        </w:tc>
      </w:tr>
      <w:tr>
        <w:trPr>
          <w:trHeight w:val="202"/>
        </w:trPr>
        <w:tc>
          <w:tcPr>
            <w:tcW w:w="4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231F20"/>
              </w:rPr>
              <w:t>Vested</w:t>
            </w:r>
          </w:p>
        </w:tc>
        <w:tc>
          <w:tcPr>
            <w:tcW w:w="3120" w:type="dxa"/>
            <w:vAlign w:val="bottom"/>
            <w:gridSpan w:val="2"/>
            <w:shd w:val="clear" w:color="auto" w:fill="CCEEFF"/>
          </w:tcPr>
          <w:p>
            <w:pPr>
              <w:jc w:val="right"/>
              <w:ind w:right="34"/>
              <w:spacing w:after="0" w:line="202" w:lineRule="exact"/>
              <w:rPr>
                <w:sz w:val="20"/>
                <w:szCs w:val="20"/>
                <w:color w:val="auto"/>
              </w:rPr>
            </w:pPr>
            <w:r>
              <w:rPr>
                <w:rFonts w:ascii="Arial" w:cs="Arial" w:eastAsia="Arial" w:hAnsi="Arial"/>
                <w:sz w:val="18"/>
                <w:szCs w:val="18"/>
                <w:color w:val="231F20"/>
              </w:rPr>
              <w:t>(26,901)</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c>
          <w:tcPr>
            <w:tcW w:w="20" w:type="dxa"/>
            <w:vAlign w:val="bottom"/>
            <w:shd w:val="clear" w:color="auto" w:fill="CCEEFF"/>
          </w:tcPr>
          <w:p>
            <w:pPr>
              <w:spacing w:after="0"/>
              <w:rPr>
                <w:sz w:val="17"/>
                <w:szCs w:val="17"/>
                <w:color w:val="auto"/>
              </w:rPr>
            </w:pPr>
          </w:p>
        </w:tc>
      </w:tr>
      <w:tr>
        <w:trPr>
          <w:trHeight w:val="203"/>
        </w:trPr>
        <w:tc>
          <w:tcPr>
            <w:tcW w:w="4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231F20"/>
              </w:rPr>
              <w:t>Forfeited</w:t>
            </w:r>
          </w:p>
        </w:tc>
        <w:tc>
          <w:tcPr>
            <w:tcW w:w="1740" w:type="dxa"/>
            <w:vAlign w:val="bottom"/>
            <w:tcBorders>
              <w:bottom w:val="single" w:sz="8" w:color="CCEEFF"/>
            </w:tcBorders>
          </w:tcPr>
          <w:p>
            <w:pPr>
              <w:spacing w:after="0"/>
              <w:rPr>
                <w:sz w:val="17"/>
                <w:szCs w:val="17"/>
                <w:color w:val="auto"/>
              </w:rPr>
            </w:pPr>
          </w:p>
        </w:tc>
        <w:tc>
          <w:tcPr>
            <w:tcW w:w="1380" w:type="dxa"/>
            <w:vAlign w:val="bottom"/>
            <w:tcBorders>
              <w:bottom w:val="single" w:sz="8" w:color="231F20"/>
            </w:tcBorders>
          </w:tcPr>
          <w:p>
            <w:pPr>
              <w:jc w:val="right"/>
              <w:ind w:right="74"/>
              <w:spacing w:after="0" w:line="202" w:lineRule="exact"/>
              <w:rPr>
                <w:sz w:val="20"/>
                <w:szCs w:val="20"/>
                <w:color w:val="auto"/>
              </w:rPr>
            </w:pPr>
            <w:r>
              <w:rPr>
                <w:rFonts w:ascii="Arial" w:cs="Arial" w:eastAsia="Arial" w:hAnsi="Arial"/>
                <w:sz w:val="18"/>
                <w:szCs w:val="18"/>
                <w:color w:val="231F20"/>
              </w:rPr>
              <w:t>—</w:t>
            </w:r>
          </w:p>
        </w:tc>
        <w:tc>
          <w:tcPr>
            <w:tcW w:w="7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gridSpan w:val="2"/>
          </w:tcPr>
          <w:p>
            <w:pPr>
              <w:jc w:val="right"/>
              <w:ind w:right="40"/>
              <w:spacing w:after="0" w:line="202" w:lineRule="exact"/>
              <w:rPr>
                <w:sz w:val="20"/>
                <w:szCs w:val="20"/>
                <w:color w:val="auto"/>
              </w:rPr>
            </w:pPr>
            <w:r>
              <w:rPr>
                <w:rFonts w:ascii="Arial" w:cs="Arial" w:eastAsia="Arial" w:hAnsi="Arial"/>
                <w:sz w:val="18"/>
                <w:szCs w:val="18"/>
                <w:color w:val="231F20"/>
              </w:rPr>
              <w:t>—</w:t>
            </w:r>
          </w:p>
        </w:tc>
      </w:tr>
      <w:tr>
        <w:trPr>
          <w:trHeight w:val="196"/>
        </w:trPr>
        <w:tc>
          <w:tcPr>
            <w:tcW w:w="424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stock as of March 31, 2021</w:t>
            </w:r>
          </w:p>
        </w:tc>
        <w:tc>
          <w:tcPr>
            <w:tcW w:w="17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231F20"/>
              </w:rPr>
              <w:t>708,393</w:t>
            </w:r>
          </w:p>
        </w:tc>
        <w:tc>
          <w:tcPr>
            <w:tcW w:w="70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31"/>
        </w:trPr>
        <w:tc>
          <w:tcPr>
            <w:tcW w:w="4240" w:type="dxa"/>
            <w:vAlign w:val="bottom"/>
          </w:tcPr>
          <w:p>
            <w:pPr>
              <w:spacing w:after="0"/>
              <w:rPr>
                <w:sz w:val="24"/>
                <w:szCs w:val="24"/>
                <w:color w:val="auto"/>
              </w:rPr>
            </w:pPr>
          </w:p>
        </w:tc>
        <w:tc>
          <w:tcPr>
            <w:tcW w:w="1740" w:type="dxa"/>
            <w:vAlign w:val="bottom"/>
          </w:tcPr>
          <w:p>
            <w:pPr>
              <w:jc w:val="right"/>
              <w:ind w:right="1330"/>
              <w:spacing w:after="0"/>
              <w:rPr>
                <w:sz w:val="20"/>
                <w:szCs w:val="20"/>
                <w:color w:val="auto"/>
              </w:rPr>
            </w:pPr>
            <w:r>
              <w:rPr>
                <w:rFonts w:ascii="Arial" w:cs="Arial" w:eastAsia="Arial" w:hAnsi="Arial"/>
                <w:sz w:val="18"/>
                <w:szCs w:val="18"/>
                <w:color w:val="auto"/>
              </w:rPr>
              <w:t>16</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the 2020 Plan and the 2020 ESPP Plan was classified in the statements of operations and comprehensive loss as follows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r>
      <w:tr>
        <w:trPr>
          <w:trHeight w:val="155"/>
        </w:trPr>
        <w:tc>
          <w:tcPr>
            <w:tcW w:w="67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231F20"/>
              </w:rPr>
              <w:t>2021</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231F20"/>
              </w:rPr>
              <w:t>2020</w:t>
            </w: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231F20"/>
                <w:w w:val="99"/>
              </w:rPr>
              <w:t>$</w:t>
            </w:r>
          </w:p>
        </w:tc>
        <w:tc>
          <w:tcPr>
            <w:tcW w:w="800" w:type="dxa"/>
            <w:vAlign w:val="bottom"/>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1,734</w:t>
            </w:r>
          </w:p>
        </w:tc>
        <w:tc>
          <w:tcPr>
            <w:tcW w:w="4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7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231F20"/>
              </w:rPr>
              <w:t>—</w:t>
            </w:r>
          </w:p>
        </w:tc>
      </w:tr>
      <w:tr>
        <w:trPr>
          <w:trHeight w:val="203"/>
        </w:trPr>
        <w:tc>
          <w:tcPr>
            <w:tcW w:w="6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2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59"/>
              <w:spacing w:after="0" w:line="202" w:lineRule="exact"/>
              <w:rPr>
                <w:sz w:val="20"/>
                <w:szCs w:val="20"/>
                <w:color w:val="auto"/>
              </w:rPr>
            </w:pPr>
            <w:r>
              <w:rPr>
                <w:rFonts w:ascii="Arial" w:cs="Arial" w:eastAsia="Arial" w:hAnsi="Arial"/>
                <w:sz w:val="18"/>
                <w:szCs w:val="18"/>
                <w:color w:val="231F20"/>
              </w:rPr>
              <w:t>1,474</w:t>
            </w:r>
          </w:p>
        </w:tc>
        <w:tc>
          <w:tcPr>
            <w:tcW w:w="4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ind w:left="440"/>
              <w:spacing w:after="0" w:line="202" w:lineRule="exact"/>
              <w:rPr>
                <w:sz w:val="20"/>
                <w:szCs w:val="20"/>
                <w:color w:val="auto"/>
              </w:rPr>
            </w:pPr>
            <w:r>
              <w:rPr>
                <w:rFonts w:ascii="Arial" w:cs="Arial" w:eastAsia="Arial" w:hAnsi="Arial"/>
                <w:sz w:val="18"/>
                <w:szCs w:val="18"/>
                <w:color w:val="231F20"/>
              </w:rPr>
              <w:t>—</w:t>
            </w:r>
          </w:p>
        </w:tc>
      </w:tr>
      <w:tr>
        <w:trPr>
          <w:trHeight w:val="196"/>
        </w:trPr>
        <w:tc>
          <w:tcPr>
            <w:tcW w:w="67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231F20"/>
                <w:w w:val="99"/>
              </w:rPr>
              <w:t>$</w:t>
            </w:r>
          </w:p>
        </w:tc>
        <w:tc>
          <w:tcPr>
            <w:tcW w:w="800" w:type="dxa"/>
            <w:vAlign w:val="bottom"/>
            <w:tcBorders>
              <w:bottom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231F20"/>
              </w:rPr>
              <w:t>3,208</w:t>
            </w:r>
          </w:p>
        </w:tc>
        <w:tc>
          <w:tcPr>
            <w:tcW w:w="4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231F20"/>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231F20"/>
              </w:rPr>
              <w:t>—</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3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2020, the Company’s board of directors and stockholders approved and adopted the 2020 Employee Stock Purchase Plan (the “ESPP”). The ESPP became effective immediately prior to the date of the underwriting agreement related to the IPO.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 month purchase periods (each a “Purchase Period”) during which payroll deductions of the participants are accumulated under the ESPP. The last business day of each Purchase Period is referred to as the “Purchase Date.” The first Purchase Period commenced on November 18, 2020 with a purchase date of May 15, 2021. The second Purchase Period will commence on May 16, 2021 and have a purchase date of November 15, 2021. A total of 430,416 shares of common stock were initially reserved for issuance pursuant to the ESPP.</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$64 thousand for the three months ended March 31,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Net Loss Per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00" w:type="dxa"/>
            <w:vAlign w:val="bottom"/>
            <w:tcBorders>
              <w:top w:val="single" w:sz="8" w:color="auto"/>
            </w:tcBorders>
          </w:tcPr>
          <w:p>
            <w:pPr>
              <w:spacing w:after="0"/>
              <w:rPr>
                <w:sz w:val="15"/>
                <w:szCs w:val="15"/>
                <w:color w:val="auto"/>
              </w:rPr>
            </w:pPr>
          </w:p>
        </w:tc>
        <w:tc>
          <w:tcPr>
            <w:tcW w:w="2300" w:type="dxa"/>
            <w:vAlign w:val="bottom"/>
            <w:tcBorders>
              <w:top w:val="single" w:sz="8" w:color="auto"/>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231F20"/>
              </w:rPr>
              <w:t>Three Months Ended March 31,</w:t>
            </w:r>
          </w:p>
        </w:tc>
      </w:tr>
      <w:tr>
        <w:trPr>
          <w:trHeight w:val="156"/>
        </w:trPr>
        <w:tc>
          <w:tcPr>
            <w:tcW w:w="20" w:type="dxa"/>
            <w:vAlign w:val="bottom"/>
          </w:tcPr>
          <w:p>
            <w:pPr>
              <w:spacing w:after="0"/>
              <w:rPr>
                <w:sz w:val="13"/>
                <w:szCs w:val="13"/>
                <w:color w:val="auto"/>
              </w:rPr>
            </w:pPr>
          </w:p>
        </w:tc>
        <w:tc>
          <w:tcPr>
            <w:tcW w:w="6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231F20"/>
              </w:rPr>
              <w:t>2021</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231F20"/>
              </w:rPr>
              <w:t>2020</w:t>
            </w:r>
          </w:p>
        </w:tc>
        <w:tc>
          <w:tcPr>
            <w:tcW w:w="2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spacing w:after="0" w:line="202" w:lineRule="exact"/>
              <w:rPr>
                <w:sz w:val="20"/>
                <w:szCs w:val="20"/>
                <w:color w:val="auto"/>
              </w:rPr>
            </w:pPr>
            <w:r>
              <w:rPr>
                <w:rFonts w:ascii="Arial" w:cs="Arial" w:eastAsia="Arial" w:hAnsi="Arial"/>
                <w:sz w:val="18"/>
                <w:szCs w:val="18"/>
                <w:color w:val="231F20"/>
              </w:rPr>
              <w:t>Net loss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(15,339)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(1,693)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00" w:type="dxa"/>
            <w:vAlign w:val="bottom"/>
          </w:tcPr>
          <w:p>
            <w:pPr>
              <w:ind w:left="100"/>
              <w:spacing w:after="0" w:line="201" w:lineRule="exact"/>
              <w:rPr>
                <w:sz w:val="20"/>
                <w:szCs w:val="20"/>
                <w:color w:val="auto"/>
              </w:rPr>
            </w:pPr>
            <w:r>
              <w:rPr>
                <w:rFonts w:ascii="Arial" w:cs="Arial" w:eastAsia="Arial" w:hAnsi="Arial"/>
                <w:sz w:val="18"/>
                <w:szCs w:val="18"/>
                <w:color w:val="231F20"/>
              </w:rPr>
              <w:t>Weighted average shares used to compute net loss per share, basic and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231F20"/>
              </w:rPr>
              <w:t>diluted</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6"/>
              <w:spacing w:after="0" w:line="203" w:lineRule="exact"/>
              <w:rPr>
                <w:sz w:val="20"/>
                <w:szCs w:val="20"/>
                <w:color w:val="auto"/>
              </w:rPr>
            </w:pPr>
            <w:r>
              <w:rPr>
                <w:rFonts w:ascii="Arial" w:cs="Arial" w:eastAsia="Arial" w:hAnsi="Arial"/>
                <w:sz w:val="18"/>
                <w:szCs w:val="18"/>
                <w:color w:val="231F20"/>
              </w:rPr>
              <w:t>39,325,793</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w w:val="99"/>
              </w:rPr>
              <w:t>2,593,316</w:t>
            </w:r>
          </w:p>
        </w:tc>
        <w:tc>
          <w:tcPr>
            <w:tcW w:w="20" w:type="dxa"/>
            <w:vAlign w:val="bottom"/>
            <w:tcBorders>
              <w:bottom w:val="single" w:sz="8" w:color="auto"/>
            </w:tcBorders>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231F20"/>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231F20"/>
              </w:rPr>
              <w:t>(0.65)</w:t>
            </w: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spacing w:after="0"/>
              <w:rPr>
                <w:sz w:val="17"/>
                <w:szCs w:val="17"/>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6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3"/>
          </w:tcPr>
          <w:p>
            <w:pPr>
              <w:jc w:val="right"/>
              <w:ind w:right="275"/>
              <w:spacing w:after="0" w:line="143" w:lineRule="exact"/>
              <w:rPr>
                <w:sz w:val="20"/>
                <w:szCs w:val="20"/>
                <w:color w:val="auto"/>
              </w:rPr>
            </w:pPr>
            <w:r>
              <w:rPr>
                <w:rFonts w:ascii="Arial" w:cs="Arial" w:eastAsia="Arial" w:hAnsi="Arial"/>
                <w:sz w:val="14"/>
                <w:szCs w:val="14"/>
                <w:b w:val="1"/>
                <w:bCs w:val="1"/>
                <w:color w:val="231F20"/>
              </w:rPr>
              <w:t>Three Months Ended</w:t>
            </w: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231F20"/>
              </w:rPr>
              <w:t>March 31,</w:t>
            </w:r>
          </w:p>
        </w:tc>
      </w:tr>
      <w:tr>
        <w:trPr>
          <w:trHeight w:val="183"/>
        </w:trPr>
        <w:tc>
          <w:tcPr>
            <w:tcW w:w="20" w:type="dxa"/>
            <w:vAlign w:val="bottom"/>
            <w:tcBorders>
              <w:bottom w:val="single" w:sz="8" w:color="CCEEFF"/>
            </w:tcBorders>
          </w:tcPr>
          <w:p>
            <w:pPr>
              <w:spacing w:after="0"/>
              <w:rPr>
                <w:sz w:val="15"/>
                <w:szCs w:val="15"/>
                <w:color w:val="auto"/>
              </w:rPr>
            </w:pPr>
          </w:p>
        </w:tc>
        <w:tc>
          <w:tcPr>
            <w:tcW w:w="66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231F20"/>
              </w:rPr>
              <w:t>2021</w:t>
            </w: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231F20"/>
              </w:rPr>
              <w:t>2020</w:t>
            </w:r>
          </w:p>
        </w:tc>
        <w:tc>
          <w:tcPr>
            <w:tcW w:w="20" w:type="dxa"/>
            <w:vAlign w:val="bottom"/>
          </w:tcPr>
          <w:p>
            <w:pPr>
              <w:spacing w:after="0"/>
              <w:rPr>
                <w:sz w:val="15"/>
                <w:szCs w:val="15"/>
                <w:color w:val="auto"/>
              </w:rPr>
            </w:pPr>
          </w:p>
        </w:tc>
      </w:tr>
      <w:tr>
        <w:trPr>
          <w:trHeight w:val="196"/>
        </w:trPr>
        <w:tc>
          <w:tcPr>
            <w:tcW w:w="66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231F20"/>
              </w:rPr>
              <w:t>708,393</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20" w:type="dxa"/>
            <w:vAlign w:val="bottom"/>
          </w:tcPr>
          <w:p>
            <w:pPr>
              <w:spacing w:after="0"/>
              <w:rPr>
                <w:sz w:val="17"/>
                <w:szCs w:val="17"/>
                <w:color w:val="auto"/>
              </w:rPr>
            </w:pPr>
          </w:p>
        </w:tc>
      </w:tr>
      <w:tr>
        <w:trPr>
          <w:trHeight w:val="203"/>
        </w:trPr>
        <w:tc>
          <w:tcPr>
            <w:tcW w:w="6620" w:type="dxa"/>
            <w:vAlign w:val="bottom"/>
            <w:gridSpan w:val="2"/>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20" w:type="dxa"/>
            <w:vAlign w:val="bottom"/>
          </w:tcPr>
          <w:p>
            <w:pPr>
              <w:spacing w:after="0"/>
              <w:rPr>
                <w:sz w:val="17"/>
                <w:szCs w:val="17"/>
                <w:color w:val="auto"/>
              </w:rPr>
            </w:pPr>
          </w:p>
        </w:tc>
        <w:tc>
          <w:tcPr>
            <w:tcW w:w="1080" w:type="dxa"/>
            <w:vAlign w:val="bottom"/>
          </w:tcPr>
          <w:p>
            <w:pPr>
              <w:jc w:val="right"/>
              <w:ind w:right="116"/>
              <w:spacing w:after="0" w:line="202" w:lineRule="exact"/>
              <w:rPr>
                <w:sz w:val="20"/>
                <w:szCs w:val="20"/>
                <w:color w:val="auto"/>
              </w:rPr>
            </w:pPr>
            <w:r>
              <w:rPr>
                <w:rFonts w:ascii="Arial" w:cs="Arial" w:eastAsia="Arial" w:hAnsi="Arial"/>
                <w:sz w:val="18"/>
                <w:szCs w:val="18"/>
                <w:color w:val="231F20"/>
              </w:rPr>
              <w:t>5,238,718</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231F20"/>
              </w:rPr>
              <w:t>322,811</w:t>
            </w:r>
          </w:p>
        </w:tc>
        <w:tc>
          <w:tcPr>
            <w:tcW w:w="20" w:type="dxa"/>
            <w:vAlign w:val="bottom"/>
          </w:tcPr>
          <w:p>
            <w:pPr>
              <w:spacing w:after="0"/>
              <w:rPr>
                <w:sz w:val="17"/>
                <w:szCs w:val="17"/>
                <w:color w:val="auto"/>
              </w:rPr>
            </w:pPr>
          </w:p>
        </w:tc>
      </w:tr>
      <w:tr>
        <w:trPr>
          <w:trHeight w:val="203"/>
        </w:trPr>
        <w:tc>
          <w:tcPr>
            <w:tcW w:w="66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17,784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66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231F20"/>
              </w:rPr>
              <w:t>Convertible preferred stock (as converted to common shares)</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231F20"/>
              </w:rPr>
              <w:t>10,995,312</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auto"/>
            </w:tcBorders>
            <w:shd w:val="clear" w:color="auto" w:fill="CCEEFF"/>
          </w:tcPr>
          <w:p>
            <w:pPr>
              <w:spacing w:after="0"/>
              <w:rPr>
                <w:sz w:val="17"/>
                <w:szCs w:val="17"/>
                <w:color w:val="auto"/>
              </w:rPr>
            </w:pPr>
          </w:p>
        </w:tc>
        <w:tc>
          <w:tcPr>
            <w:tcW w:w="6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231F20"/>
              </w:rPr>
              <w:t>5,964,895</w:t>
            </w:r>
          </w:p>
        </w:tc>
        <w:tc>
          <w:tcPr>
            <w:tcW w:w="10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231F20"/>
              </w:rPr>
              <w:t>11,318,123</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Included in the potentially dilutive options to purchase common stock noted above are 211,621 shares issued upon exercise of options under non-recourse notes receivable during 2015 (see Note 9, “Stock-Based Compensation”). The Company determined the purchase of the stock to be non-substantive, and as such, the shares subject to the promissory notes will not be deemed outstanding until such time as the promissory notes have been repaid. Accordingly, the Company has excluded these shares from the calculation of basic and diluted net loss per share for the three months ended March 31, 2020. As of December 31, 2020, all outstanding principal and accrued interest relating to the Non-Recourse Notes were settled in full by the two noteholders, and as a result, the Company issued 211,621 shares of common stock to the noteholders and included these shares in the basic and diluted net loss per share for three months ended March 31, 2021. Also included in the potentially dilutive options to purchase common stock are 119,216 unvested stock options that were early exercised by an employee and a non-employee in September 2020 (see Note 9, “Stock-Based Compensation”). The Company determined the early exercises to be non-substantive as the shares were subject to repurchase rights. Accordingly, the Company has excluded these shares from the calculation of basic and diluted net loss per share for the three months ended March 31, 2021.</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 Commitments and Contingencies</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lease approximately 5,762 square feet of space for the use laboratory benches, lab equipment, office space, and administrative and facilities services at a monthly fee of $6,500. The Company subsequently entered into several amendments to extend the lease term to November 2020. On November 3, 2020, the Company entered into the sixth amendment to the Mandalmed Services Agreement to extend the term to December 31, 2021 with a monthly fee of $5,600. As part of the sixth amendment, the Company leased additional space of approximately 2,130 square feet (the “Additional Space”) for a three year period commencing on December 1, 2020 and ending on November 30, 2023. Rent for the Additional Space is $9,000 for the first year and $ 18,000 for the first and second years. The Company recorded rent expense of $0.1 million and $20 thousand during the three months ended March 31, 2021 and 2020, respectively.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According to the terms of the Office Space Lease Agreement, the Company paid a $0.1 million security deposit and is required to pay monthly rent and common area charges. Monthly rent is $23,330 and $24,030 for the first and second years of the lease term, respectively. The Company recorded rent expense under the Office Space Lease Agreement of $0.1 million during the three months ended March 31, 2021.</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February 1, 2021 and ending January 31, 2026. According to the terms of the Office Space Lease Agreement, the Company paid a $0.4 million security deposit and is required to pay monthly rent and common area charges. Monthly rent is $61,056 for the first year of the lease terms and increases to $68,676 by the fifth year of the lease term. The Company recorded $0.1 million rent expense for under the Laboratory Lease Agreement during the three months ended March 31, 2021.</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The Company included certain contracts that have significant cancellation penalties and are material, which make the continuation of these arrangements reasonable as of March 31, 2021.</w:t>
      </w:r>
    </w:p>
    <w:p>
      <w:pPr>
        <w:spacing w:after="0" w:line="203"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contractual obligations and commitments as of March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 Ending December 31,</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7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2021 (from April, 2021)</w:t>
            </w:r>
          </w:p>
        </w:tc>
        <w:tc>
          <w:tcPr>
            <w:tcW w:w="36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203"/>
        </w:trPr>
        <w:tc>
          <w:tcPr>
            <w:tcW w:w="7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r>
      <w:tr>
        <w:trPr>
          <w:trHeight w:val="196"/>
        </w:trPr>
        <w:tc>
          <w:tcPr>
            <w:tcW w:w="78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6,849</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(the “Novartis Agreement”). The collaboration is focused on the evaluation of the safety, tolerability and efficacy of OP-1250 in combination with Novartis’ proprietary CDK4/6 inhibitor KISQALI® (ribociclib) and/or Novartis’ proprietary phosphatidylinositol 3-kinase inhibitor PIQRAY® (alpelisib) (collectively the “Novartis Study Drugs”) as part of the Company’s planned Phase 1b clinical trial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the three months ended March 31, 2021, costs incurred reimbursable by Novartis were not material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2021 and December 31, 2020, the Company had not incurred any material costs as a result of such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2020 filed with the U.S. Securities and Exchange Commission, or the SEC, on March 17, 2021, or our Annual Report on Form 10-K.</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next-generation targeted therapies for women’s cancers. Our team has spent the past decade characterizing the structure and function of the ER, a key driver of breast cancer in approximately 75% of patients, in order to develop more potent, oral therapies that completely inactivate this signaling pathway. Our wholly owned lead product candidate, OP-1250, is a novel oral therapy with combined activity as both a CERAN and a SERD, which we believe will drive deeper, more durable responses than existing therapies. OP-1250, both as a monotherapy and in combination with inhibitors of CDK4/6 demonstrated robust tumor shrinkage in several xenograft models, including a breast cancer brain metastasis model. In August 2020, we initiated an ongoing Phase 1/2 dose escalation and expansion trial evaluating OP-1250 for the treatment of recurrent, locally advanced or metastatic ER+, HER2- breast cancer, and expect to report initial data from the dose-escalation portion of trial in the second half of 2021. We own worldwide development and commercialization rights to OP-1250. As summarized in the figure below, our plan is to develop OP-1250 in a number of ER+ breast cancer indications, both as a monotherapy and in combination with approved targeted therapies that have shown improved outcomes with other endocrine therapies.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of March 31, 2021, we had cash, cash equivalents, and marketable securities of $327.0 million. Based on our current operating plan, we believe that our existing cash and cash equivalents will be sufficient to fund our planned operating expenses and capital expenditure requirements through the end of 2023.</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$15.3 million and $1.7 million for the three months ended March 31, 2021 and 2020, respectively, and we expect to incur significant and increasing losses for the foreseeable future as we continue to advance our product candidate, and as we transition to operating as a public company. Our net losses may fluctuate significantly from period to period, depending on the timing of expenditures on our research and development activities. As of March 31, 2021, we had an accumulated deficit of $48.4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COVID-19 pandemic continues to rapidly evolve. As a result of the COVID-19 pandemic, we experienced some delays in setting up our current Phase 1/2 clinical trial and in clinical site initiation, including delays in recruiting clinical site investigators and clinical site staff, which we may experience again in the future. The extent of the impact of the COVID-19 pandemic on our business, operations and development timelines and plans remains uncertain, and will depend on certain developments, including the duration of the outbreak and its impact on our development activities, planned clinical trial enrollment, future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with many of our employees working remotely. We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Through March 31, 2021, although we modified our operations and practices due to the COVID-19 pandemic and to comply with federal, state and local requirements, our business, operations and development timelines were not material adversely affected. However, the extent to which the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pandemic may affect our business, operations and development timelines and plans in the future, including the resulting impact on our expenditures and capital needs, remains uncertain.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significant changes in our critical accounting policies and estimates disclosed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 evaluation of the progress to completion of specific tasks using information and data provided to us by our vendors and collaborators.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$10.7 million and $0.8 million for the three months ended March 31, 2021 and 2020, respectively.</w:t>
      </w:r>
    </w:p>
    <w:p>
      <w:pPr>
        <w:spacing w:after="0" w:line="203"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maintaining a continued acceptable safety profiles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substantially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ongoing financial statement audit and interim-period quarterly reviews, internal control over financial reporting compliance and audit,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1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Total other income (expense), net consists of interest income, interest expense, and other income and expense</w:t>
      </w:r>
      <w:r>
        <w:rPr>
          <w:rFonts w:ascii="Arial" w:cs="Arial" w:eastAsia="Arial" w:hAnsi="Arial"/>
          <w:sz w:val="18"/>
          <w:szCs w:val="18"/>
          <w:i w:val="1"/>
          <w:iCs w:val="1"/>
          <w:color w:val="auto"/>
        </w:rPr>
        <w:t>.</w:t>
      </w:r>
      <w:r>
        <w:rPr>
          <w:rFonts w:ascii="Arial" w:cs="Arial" w:eastAsia="Arial" w:hAnsi="Arial"/>
          <w:sz w:val="18"/>
          <w:szCs w:val="18"/>
          <w:color w:val="auto"/>
        </w:rPr>
        <w:t xml:space="preserve"> Interest income primarily consists of interest income on our cash, cash equivalents, and marketable securities. Interest expense primarily consists of interest on our convertible promissory notes, and in the three months ended March 31, 2020, a non-cash interest charge related to a beneficial conversion feature on a convertible note issued in January 2020. Other income and expense consists of miscellaneous income and expenses not related to operating activities.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2021 and 2020</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10,692</w:t>
            </w:r>
          </w:p>
        </w:tc>
        <w:tc>
          <w:tcPr>
            <w:tcW w:w="3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795</w:t>
            </w:r>
          </w:p>
        </w:tc>
        <w:tc>
          <w:tcPr>
            <w:tcW w:w="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  9,897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4,758</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15,450</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1,043</w:t>
            </w: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14,407</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(15,450)</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(1,043)</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(14,407)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(653)</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111</w:t>
            </w: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(650)</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(15,339)</w:t>
            </w:r>
          </w:p>
        </w:tc>
        <w:tc>
          <w:tcPr>
            <w:tcW w:w="38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(1,693)</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(13,646)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Research and development expenses for the three months ended March 31, 2021 were $10.7 million, compared to $0.8 million for the three months ended March 31, 2020. The increase of $ 9.9 million was primarily due to increased spending in (i) advancing our lead product candidate OP-1250 clinical study and the associated contract manufacturing costs, (ii) other nonclinical research and discovery program costs, and</w:t>
      </w:r>
    </w:p>
    <w:p>
      <w:pPr>
        <w:spacing w:after="0" w:line="3" w:lineRule="exact"/>
        <w:rPr>
          <w:sz w:val="20"/>
          <w:szCs w:val="20"/>
          <w:color w:val="auto"/>
        </w:rPr>
      </w:pPr>
    </w:p>
    <w:p>
      <w:pPr>
        <w:ind w:left="60" w:right="79" w:hanging="10"/>
        <w:spacing w:after="0" w:line="246" w:lineRule="auto"/>
        <w:tabs>
          <w:tab w:leader="none" w:pos="4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personnel-related costs due to increased headcount, and an increase in the non-cash stock-based compensation of $1.7 million recognized during the three months ended March 31,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for the three months ended March 31, 2021 were $ 4.8 million compared to $0.2 million for the three months ended March 31, 2020. The increase of $4.6 million was primarily due to increased (i) personnel-related costs due to increased headcount, including expanded executive team (ii) expenses associated with external consultants for accounting and regulatory compliance as a result of operating as a public company, and (iii) the non-cash stock-based compensation of $1.5 million recognized during the three months ended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Other income (expense), net for the three months ended March 31, 2021 was $0.1 million, which primarily consisted of interest income from our marketable securities.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$15.3 million and $1.7 million for the three months ended March 31, 2021 and 2020, respectively. Through March 31, 2021, we had received aggregate gross proceeds of $391.3 million from sales of our common stock from the initial public offering in November 2020, convertible preferred stock and issuance of convertible promissory notes since inception. As of March 31, 2021, we had $327.0 million in cash, cash equivalents and marketable securities.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As of March 31, 2021, we had accumulated deficit of $48.4 million. We had no debt outstanding as of March 31, 2021.</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nonclinical and clinical development of OP-1250.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through the end of 2023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5"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20" w:type="dxa"/>
            <w:vAlign w:val="bottom"/>
            <w:tcBorders>
              <w:top w:val="single" w:sz="8" w:color="auto"/>
            </w:tcBorders>
          </w:tcPr>
          <w:p>
            <w:pPr>
              <w:spacing w:after="0"/>
              <w:rPr>
                <w:sz w:val="15"/>
                <w:szCs w:val="15"/>
                <w:color w:val="auto"/>
              </w:rPr>
            </w:pPr>
          </w:p>
        </w:tc>
        <w:tc>
          <w:tcPr>
            <w:tcW w:w="2480" w:type="dxa"/>
            <w:vAlign w:val="bottom"/>
            <w:tcBorders>
              <w:top w:val="single" w:sz="8" w:color="auto"/>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4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(11,084)</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(2,136)</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7"/>
                <w:szCs w:val="17"/>
                <w:color w:val="auto"/>
              </w:rPr>
            </w:pPr>
          </w:p>
        </w:tc>
        <w:tc>
          <w:tcPr>
            <w:tcW w:w="10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(279,584)</w:t>
            </w:r>
          </w:p>
        </w:tc>
        <w:tc>
          <w:tcPr>
            <w:tcW w:w="3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29,986</w:t>
            </w:r>
          </w:p>
        </w:tc>
      </w:tr>
      <w:tr>
        <w:trPr>
          <w:trHeight w:val="196"/>
        </w:trPr>
        <w:tc>
          <w:tcPr>
            <w:tcW w:w="64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(290,668)</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27,841</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2021 consisted primarily of our net loss of $15.3 million, partially offset by non-cash charges of $3.3 million and a net change of $1.0 million in net operating assets and liabilities. The net loss consisted primarily of $10.7 million in research and development expenses and $4.8 million in general and administrative expenses. The non-cash charges consisted primarily of stock-based compensation of $3.2 million and depreciation and amortization expenses of $0.1 million, primarily related to premium amortization on our marketable securities. The change in operating assets and liabilities was primarily due to an increase of $1.0 million in other current liabilities, primarily related to the increased spending in contract manufacturing expenses as a result of our continued advancement of our lead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product program. The increase is partially offset by a decrease of $0.3 million in accounts payable, primarily as a result of timing of invoice payment, and a decrease in prepaid expenses and other current assets of $0.3 million.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2020 consisted primarily of our net loss of $1.7 million, and a net change of $1.1 million in net operating assets and liabilities, partially offset by non-cash interest expense of $ 0.6 million related to a beneficial conversion feature on a convertible note issued in January 2020. The net loss primarily consisted of $0.8 million in research and development expenses and $0.2 million in general and administrative expenses. The net change in operating assets and liabilities was primarily due to a decrease of $0.7 million in accounts payable and an increase of $0.4 million in prepaid expenses and other current assets. The decrease in accounts payable was due to the timing of the posting of the invoices and payments and the increase in prepaid and other current assets related to upfront payments to certain contract research and manufacture vendors in the three months ended March 31, 2020.</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Net cash used in investing activities in the three-month ended March 31, 2021 was predominately due to purchases of marketable securities which was financed through the use of proceeds from the IPO and convertible preferred stock sale.</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Net cash used in investing activities in the three months ended March 31, 2020 was for purchases of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financing activities during the three months ended March 31, 2021.</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Net cash provided by financing activities in the three months ended March 31, 2020 consisted primarily of $27.0 million and $ 3.0 million in net proceeds from sale and issuance of our Series B convertible preferred stock, and the issuance of our convertible promissory notes, respectively.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Refer to Note 11 of our notes to the Company’s condensed consolidated financial statements contained in this Quarterly Report on Form 10-Q for further information. There have been no significant changes outside the ordinary course of business during the three months ended March 31, 2021 to our commitments and contingencies disclosed in “Management’s Discussion and Analysis of Financial Condition and Results of Operations” included in our Annual Report on Form 10-K for the year ended December 31, 2020 filed on March 17, 2021 with the SEC.</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three months ended March 31, 2021, there were no material changes to our critical accounting policies as reported in our Annual Report on Form 10-K.</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three months ended March 31, 2021, there were no material changes to our market risk disclosures reported in our Annual Report on Form 10-K.</w:t>
      </w:r>
    </w:p>
    <w:p>
      <w:pPr>
        <w:spacing w:after="0" w:line="1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March 31, 2021,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2021, the design and operation of our disclosure controls and procedures were effective at a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March 31, 2021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to the design and operating effectiveness of our internal controls.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1"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line="234" w:lineRule="auto"/>
        <w:rPr>
          <w:sz w:val="20"/>
          <w:szCs w:val="20"/>
          <w:color w:val="auto"/>
        </w:rPr>
      </w:pPr>
      <w:r>
        <w:rPr>
          <w:rFonts w:ascii="Arial" w:cs="Arial" w:eastAsia="Arial" w:hAnsi="Arial"/>
          <w:sz w:val="18"/>
          <w:szCs w:val="18"/>
          <w:color w:val="auto"/>
        </w:rPr>
        <w:t>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2" w:lineRule="exact"/>
        <w:rPr>
          <w:sz w:val="20"/>
          <w:szCs w:val="20"/>
          <w:color w:val="auto"/>
        </w:rPr>
      </w:pPr>
    </w:p>
    <w:p>
      <w:pPr>
        <w:jc w:val="both"/>
        <w:ind w:left="720" w:right="79" w:hanging="319"/>
        <w:spacing w:after="0" w:line="234"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contract research organizations, or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initiating a Phase 1/2 clinical trial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OP-1250. With only one product candidate in development, we anticipate incurring significant costs associated with the development of OP-1250. Our expenses could increase beyond expectations if we are required by the U.S. Food and Drug Administration, or the FDA, the European Medicines Agency, or the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March 31, 2021, we had $327.0 million in cash, cash equivalents, and marketable securities. Based on our current operating plans, we believe that our existing cash and cash equivalents, will be sufficient to fund our operating expenses and capital expenditures requirements through the end of 2023. Our estimate as to how long we expect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the COVID-19 pandemic and the macro-economic environment generally. Advancing the development of OP-1250 and any future product candidates we may develop will require a significant amount of capital, and our existing cash and cash equivalents will not be sufficient to fund all of the activities that are necessary to complete the development of OP-1250.</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private financings. We have incurred net losses of $15.3 million for the three months ended March 31, 2021. We had an accumulated deficit of $ 48.4 million as of March 31, 2021.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condensed consolidated financial statements for the three months ended March 31, 2021 and 2020 included elsewhere in this report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long-term.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product candidates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EMA,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 scale clinical trials.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shareholder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contract research organizations, or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19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OP- 1250’s risk-benefit ratio for its proposed indication is acceptable;</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EMA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line="238"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EMA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 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we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Enrollment of patients in our clinical trials and maintaining patients in our ongoing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ultimately delay future regulatory submissions.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2"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develop in the future. Furthermore, even if we are able to enroll a sufficient number of patients for our clinical trials, we may have difficulty maintaining enrollment of such patients in our clinical trials.</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we plan to initiate a Phase 1b clinical trial of OP-1250 as part of combination therapy with independent arms investigating its potential with a cyclin-dependent kinase 4 and 6 inhibitor and with a phosphatidylinositol 3-kinase alpha inhibitor.</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 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approval that we obtain is based on a narrower definition of the patient population, our revenue and ability to achieve profitability might be materially and adversely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OP- 1250.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particular, there is intense competition in the fields of women’s cancer which we are pursuing. 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certain complete estrogen receptor antagonist, or CERAN, therapies, such as RG6171 being developed by Roche Holding AG/Genentech, Inc., or Genentech, fulvestrant, marketed as FASLODEX® by AstraZeneca PLC, or any generic equivalents of FASLODEX® that may be developed, AZD9833 being developed by AstraZeneca PLC, SAR439859 being developed by Sanofi S.A. and LY3484356 being developed by Eli Lilly and Co., as well as certain selective estrogen receptor degrader, or SERD, or SERD therapies that are not CERANs, such as ZN-c5 being developed by Zentalis Pharmaceuticals, Inc., elacestrant being developed by Radius Health, Inc., ARV-471 being developed by Arvinas, Inc., rintodestrant (G1T48) being developed by G1 Therapeutics, Inc. and H3B-6545 being developed by H3 Biomedicines, a subsidiary of Eisai Co., Ltd.</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receive greater levels of reimbursement than products we may develop receive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 competitive or not economical. If we are unable to compete effectively, our opportunity to generate revenue from the sale of our product we may develop, if approved, would be adversely affected.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 -party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candidate we may develop will progress through required clinical testing and obtain the regulatory approvals necessary for us to begin selling them.</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may adversely impact our ability to obtain regulatory approvals of our product candidates in the United Kingdom, result in restrictions in the importation of our product candidates between the United Kingdom and the European Union, and may require us to incur additional expenses to commercialize our product candidates in the United Kingdom and the European Union.</w:t>
      </w:r>
    </w:p>
    <w:p>
      <w:pPr>
        <w:spacing w:after="0" w:line="19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was agreed in December 2020 and has been approved by each European Union Member State and the United Kingdom.</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upon the regulatory regime with respect to the development, manufacture, importation, approval and commercialization of our product candidates in the United Kingdom or the European Union, should any development or manufacturing of our product candidates take place in the United Kingdom.</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Great Britain (made up of England, Scotland, and Wales) is no longer covered by the EEA’s procedures for the grant of marketing authorizations (Northern Ireland will be covered by such procedures). A separate marketing authorization will be required to market drugs in Great Britain. It is currently unclear whether the Medicines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Healthcare products Regulatory Agency, or MHRA, in the United Kingdom is sufficiently prepared to handle the increased volume of marketing authorization applications that it is likely to receive. Any delay in obtaining, or an inability to obtain, any marketing approvals, would delay or prevent us from commercializing our product candidates in the United Kingdom and restrict our ability to generate revenue and achieve and sustain profitability.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Orphan designation in Great Britain following Brexit is, unlike in the European Union,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currently designated as orphan conditions in the European Union will be designated as such in Great Britain.</w:t>
      </w:r>
    </w:p>
    <w:p>
      <w:pPr>
        <w:spacing w:after="0" w:line="18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from the market. We cannot predict whether OP-1250 will cause toxicities in humans that would preclude or lead to the revocation of regulatory approval based on nonclinical studies or early-stage clinical trials.</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3"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it may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delated by the COVID-19 pandemic or other factors.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in March 2020, the FDA announced its intention to postpone most inspections of foreign and domestic manufacturing facilities and products through in July 2020 only restarted domestic inspections on a risk-based basis. Regulatory authorities outside the United States have adopted similar restrictions or other policy measures in response to the COVID-19 pandemic. If a prolonged government shutdown occurs, or if global health concerns continue to prevent the FDA or other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changes the way healthcare is financed by both the government and private insurers, and continues to significantly impact the U.S. pharmaceutical industry. There have been executive, judicial and Congressional challenges to certain aspects of the ACA. While Congress has not passed comprehensive repeal legislation, several bills affecting the implementation of certain taxes under the ACA have passed. On December 22, 2017, President Trump signed into law federal tax legislation commonly referred to as the Tax Cuts and Jobs Act, or the Tax Act, which included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among other things, amended the ACA, effective January 1, 2019, to close the coverage gap in most Medicare Part D drug plans. On December 14, 2018, a Texas U.S. District Court Judge ruled that the ACA is unconstitutional in its entirety because the “individual mandate” was repealed by Congress as part of the Tax Act. On December 18, 2019, the U.S. Court of Appeals for the 5th Circuit ruled that the individual mandate was unconstitutional and remanded the case back to the District Court to determine whether the remaining provisions of the ACA are invalid as well. The U.S. Supreme Court is currently reviewing the case, although it is unclear when a decision will be made or how the Supreme Court will rule. Although the U.S.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Additionally, on February 10, 2021, the Biden administration withdrew the federal government’s support for overturning the ACA. It is unclear how the Supreme Court ruling, other such litigation, and the healthcare reform measures of the Biden administration will impact the ACA and our business.</w:t>
      </w:r>
    </w:p>
    <w:p>
      <w:pPr>
        <w:spacing w:after="0" w:line="21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except for a temporary suspension from May 1, 2020 through December 31, 2021 due to the COVID-19 pandemic,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our drugs, if approved, and accordingly, our business.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For example, at the federal level, the Trump administration used several means to propose or implement drug pricing reform, including through federal budget proposals, executive orders and policy initiatives. For example,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July 24, 2020 and September 13, 2020, the Trump administration announced several executive orders related to prescription drug pricing that attempted to implement several of the administration’s proposals. The FDA also released a final rule on September 24, 2020,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The Most Favored Nation regulations mandate participation by identified Medicare Part B providers and will apply in all U.S. states and territories for a seven-year period beginning January 1, 2021, and ending December 31, 2027.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 It is possible that additional governmental action is taken in response to the COVID-19 pandemic.</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for which we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obtain marketing approval. Restrictions under applicable federal and state healthcare laws and regulations include the following:</w:t>
      </w:r>
    </w:p>
    <w:p>
      <w:pPr>
        <w:spacing w:after="0" w:line="197" w:lineRule="exact"/>
        <w:rPr>
          <w:sz w:val="20"/>
          <w:szCs w:val="20"/>
          <w:color w:val="auto"/>
        </w:rPr>
      </w:pPr>
    </w:p>
    <w:p>
      <w:pPr>
        <w:jc w:val="both"/>
        <w:ind w:left="720" w:right="79" w:hanging="319"/>
        <w:spacing w:after="0" w:line="23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2"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w:t>
      </w:r>
      <w:r>
        <w:rPr>
          <w:rFonts w:ascii="Arial" w:cs="Arial" w:eastAsia="Arial" w:hAnsi="Arial"/>
          <w:sz w:val="18"/>
          <w:szCs w:val="18"/>
          <w:color w:val="231F20"/>
        </w:rPr>
        <w:t>and teaching hospitals, as well as information regarding</w:t>
      </w:r>
      <w:r>
        <w:rPr>
          <w:rFonts w:ascii="Arial" w:cs="Arial" w:eastAsia="Arial" w:hAnsi="Arial"/>
          <w:sz w:val="18"/>
          <w:szCs w:val="18"/>
          <w:color w:val="000000"/>
        </w:rPr>
        <w:t xml:space="preserve"> </w:t>
      </w:r>
      <w:r>
        <w:rPr>
          <w:rFonts w:ascii="Arial" w:cs="Arial" w:eastAsia="Arial" w:hAnsi="Arial"/>
          <w:sz w:val="18"/>
          <w:szCs w:val="18"/>
          <w:color w:val="231F20"/>
        </w:rPr>
        <w:t>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The information reported is publicly available on a searchable website, with disclosure required annually; and</w:t>
      </w:r>
    </w:p>
    <w:p>
      <w:pPr>
        <w:spacing w:after="0" w:line="204"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report information on the pricing of certain drug products. Some state and local laws require the registration of pharmaceutical sales representatives.</w:t>
      </w:r>
    </w:p>
    <w:p>
      <w:pPr>
        <w:spacing w:after="0" w:line="19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State and international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United Kingdom, security breach notifications and the security and confidentiality of personal data. 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United Kingdom.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 This may be onerous and if our efforts to comply with the GDPR or other applicable European Union laws and regulations are not successful, it could adversely affect our business in the European Union.</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European Union.</w:t>
      </w:r>
    </w:p>
    <w:p>
      <w:pPr>
        <w:spacing w:after="0" w:line="20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 the vote in the United Kingdom in favor of exiting the European Union, referred to as Brexit, has complicated data protection regulation in the United Kingdom. In particular, as of January 1, 2021, the GDPR has been converted into United Kingdom law and the United Kingdom is now a “third country” under the GDPR. Pursuant to the Trade and Cooperation Agreement, which went into effect on January 1, 2021, the United Kingdom and European Union agreed to a specified period during which the United Kingdom will be treated like a European Union member state in relation to transfers of personal data to the United Kingdom for four months from January 1, 2021. This period may be extended by two further months. Unless the European Commission makes an ‘adequacy finding’ in respect of the United Kingdom before the expiration of such specified period, the United Kingdom will become an ‘inadequate third country’ under the GDPR and transfers of data from the EEA to the United Kingdom will require an ‘transfer mechanism,’ such as the standard contractual clauses. Furthermore, following the expiration of the specified period, there will be increasing scope for divergence in application, interpretation and enforcement of the data protection law as between the United Kingdom and EEA. In addition, as of January 1, 2021, the United Kingdom Information Commissioner’s Office is not able to be our ‘lead supervisory authority’ in respect of any ‘cross border processing’ for the purposes of the GDPR. In the event that we are unable to, or do not, designate a lead supervisory authority in an EEA member state, we would not be able to benefit from the GDPR’s ‘one stop shop’ mechanism. Amongst other things, this would mean that, in the event of a violation of the GDPR affecting data subjects across the United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Kingdom and the EEA, we could be investigated by, and ultimately fined by the United Kingdom Information Commissioner’s Office and the supervisory authority in each and every EEA member state where data subjects have been affected by such violation.</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 Additionally, California voters approved a new privacy law, the California Privacy Rights Act, or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w:t>
      </w:r>
    </w:p>
    <w:p>
      <w:pPr>
        <w:spacing w:after="0" w:line="21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Virginia,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statutory requirements, both in the United States and abroad, include obligations for companies to notify individuals of security breaches involving certain personal information, which could result from breaches experienced by us or our third-party service providers. For example,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or other counterparties of a security breach.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health-related and data protection laws, regulations, standards and other obligations are still uncertain, and often contradictory and in flux, it is possible that the scope and requirements of these laws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In addition, these privacy regulations may differ from country to country, and may vary based on whether testing is performed in the United States or in the local country and our operations or business practices may not comply with these regulations in each country.</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December 2019, a novel strain of the coronavirus disease, COVID-19, was identified in Wuhan, China, and since then has spread globally, including throughout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As a result of the COVID-19 pandemic, we experienced some delays in setting up our current Phase 1/2 clinical trial and in clinical site initiation, including delays in recruiting clinical site investigators and clinical site staff, which we may experience again in the future. Additionally, we may experience further disruptions that could severely impact our business, nonclinical studies and clinical trials, including:</w:t>
      </w:r>
    </w:p>
    <w:p>
      <w:pPr>
        <w:spacing w:after="0" w:line="204"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delays or difficulties in enrolling and retaining patients in our clinical trials;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difficulties in clinical site initiation, including difficulties in recruiting clinical site investigators and clinical site staff;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interruption or delays in the operations of the FDA or other regulatory authorities, which may impact review and approval timelines;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interruption of, or delays in receiving, supplies of OP-1250 from our contract manufacturing organizations, or CMO, due to staffing shortages, production slowdowns or stoppages and disruptions in delivery systems;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interruptions in nonclinical studies due to restricted or limited operations at our laboratory facility;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interruption or delays to our sourced discovery and clinical activities; and</w:t>
      </w:r>
    </w:p>
    <w:p>
      <w:pPr>
        <w:spacing w:after="0" w:line="225"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COVID-19 pandemic continues to rapidly evolve. The extent to which the outbreak impacts our business, nonclinical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 and key consultants.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 For example, Dr. Pamela Klein, our Chief Medical Officer, is a consultant and not an employee. As a result, Dr. Klein may choose to reduce the amount of time she allocates to us, or to terminate her relationship with us, at any time and for any reason, which could impede the achievement of our research, development and commercialization objectives and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OP-1250 or any other product candidate will be limited and the potential for successfully growing our business will be harmed.</w:t>
      </w:r>
    </w:p>
    <w:p>
      <w:pPr>
        <w:spacing w:after="0" w:line="18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candidate we may develop, we may not generate revenues from such product candidate or be able to reach or sustain profitability.</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May 7, 2021, we had 37 employees, 36f of whom were full-time, including 16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202"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9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service providers, are vulnerable to damage or interruption from a variety of sources, including computer viruses, unauthorized access,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such an event were to occur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and to develop and implement protections to prevent future events of this nature from occurring.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 OP-1250 will depend significantly on the availability of adequate coverage and reimbursement from third-party payors for OP-1250 and may be affected by existing and future healthcare reform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in most foreign countries, including the EEA,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tax years ending on or prior to December 31, 2017 are only permitted to be carried forward for 20 taxable years under applicable U.S. federal tax law. Under the Tax Act, as modified by the Coronavirus Aid, Relief, and Economic Security, or CARES, Act signed into law on March 27, 2020, NOLs arising in tax years beginning after December 31,2017,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37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 and</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We may be subject to a third-party pre-issuance submission of prior art to the USPTO or other jurisdictions, or become involved in post-grant challenges such as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we may not be able to detect infringement of our issued patents;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1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8"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7of,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OP-1250 in the future will depend on the severity and duration of the spread of the virus, and the actions undertaken to contain COVID-19 or treat its effects.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planned Phase 1b clinical trial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planned Phase 1b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trial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203"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rPr>
          <w:sz w:val="20"/>
          <w:szCs w:val="20"/>
          <w:color w:val="auto"/>
        </w:rPr>
      </w:pPr>
      <w:r>
        <w:rPr>
          <w:rFonts w:ascii="Arial" w:cs="Arial" w:eastAsia="Arial" w:hAnsi="Arial"/>
          <w:sz w:val="18"/>
          <w:szCs w:val="18"/>
          <w:color w:val="231F20"/>
        </w:rPr>
        <w:t>intellectual property related proceedings that could jeopardize or invalidate our proprietary information and intellectual property or expose us to potential litigation or other intellectual property related proceedings;</w:t>
      </w:r>
    </w:p>
    <w:p>
      <w:pPr>
        <w:spacing w:after="0" w:line="203" w:lineRule="exact"/>
        <w:rPr>
          <w:sz w:val="20"/>
          <w:szCs w:val="20"/>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expiration of market stand-off or lock-up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general economic, industry and market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 The COVID-19 outbreak continues to rapidly evolve. The extent to which the outbreak may impact our business, nonclinical studies and clinical trials will depend on future developments, which are highly uncertain and cannot be predicted with confidence.</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impacts from the COVID-19 pandemic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March 31, 2021, we had 39,342,129 shares of common stock outstanding. The resale of approximately 27.5 million shares is currently prohibited or otherwise restricted as a result of securities law provisions, market standoff agreements entered into by certain of our stockholders with us or lock-up agreements entered into by our stockholders with the underwriters in connection with our initial public offering. However, subject to applicable securities law restrictions, these shares will be able to be sold in the public market beginning 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May 18, 2021. Additionally, the representatives of the underwriters in our initial public offering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the holders of approximately 23.8 million shares of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 and the lock-up agreements.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05" w:lineRule="exact"/>
        <w:rPr>
          <w:sz w:val="20"/>
          <w:szCs w:val="20"/>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not being required to comply with the auditor attestation requirements of Section 404 of the Sarbanes-Oxley Act of 2002, or the Sarbanes-Oxley Act;</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231F20"/>
        </w:rPr>
        <w:t>reduced disclosure obligations regarding executive compensation in our annual and periodic reports and proxy statements;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231F20"/>
        </w:rPr>
        <w:t>exemptions from the requirements of holding nonbinding advisory stockholder votes on executive compensation and stockholder approval of any golden parachute payments not previously approved.</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December 31, 2025.</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board of directors, particularly to serve on our audit committee and compensation committee, and qualified executive officers.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During August 2020, in connection with the preparation of our financial statements as of and for the years ended December 31, 2019 and 2018, we identified material weaknesses in our control over financial reporting. While these materials weaknesses did not result in a misstatement for the years ended December 31, 2019 and 2018, these material weaknesses could have resulted in a misstatement of account balances or disclosures that would have resulted in a material misstatement to the annual or interim financial statements that would not be prevented or detected. To remediate the material weakness in our internal control over financial reporting and address the material weakness in our accounting processes, we established, and continue to establish, more robust accounting policies and procedures, reviews on the adoption of new accounting positions and the need for financial statement disclosures, and selection and engagement of consultants to assist us in determining positions and evaluating new accounting policies. As of December 31, 2020, we have remediated these material weaknesses. While we have implemented processes and controls over financial reporting to address the historical internal control deficiencies, there remains risk that future deficiencies may arise.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of the Sarbanes- Oxley Act. We could be an emerging growth company until December 31, 2025.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8"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231F20"/>
        </w:rPr>
        <w:t>establish advance notice requirements for stockholder proposals that can be acted on at stockholder meetings and nominations to our board of directors;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prohibit cumulative voting;</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95" w:lineRule="exact"/>
        <w:rPr>
          <w:rFonts w:ascii="Arial" w:cs="Arial" w:eastAsia="Arial" w:hAnsi="Arial"/>
          <w:sz w:val="18"/>
          <w:szCs w:val="18"/>
          <w:color w:val="auto"/>
        </w:rPr>
      </w:pPr>
    </w:p>
    <w:p>
      <w:pPr>
        <w:jc w:val="both"/>
        <w:ind w:left="720" w:right="79" w:hanging="319"/>
        <w:spacing w:after="0" w:line="235"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231F20"/>
        </w:rPr>
        <w:t>require the approval of the holders of at least 66</w:t>
      </w:r>
      <w:r>
        <w:rPr>
          <w:rFonts w:ascii="Arial" w:cs="Arial" w:eastAsia="Arial" w:hAnsi="Arial"/>
          <w:sz w:val="20"/>
          <w:szCs w:val="20"/>
          <w:color w:val="231F20"/>
          <w:vertAlign w:val="superscript"/>
        </w:rPr>
        <w:t>2⁄3</w:t>
      </w:r>
      <w:r>
        <w:rPr>
          <w:rFonts w:ascii="Arial" w:cs="Arial" w:eastAsia="Arial" w:hAnsi="Arial"/>
          <w:sz w:val="18"/>
          <w:szCs w:val="18"/>
          <w:color w:val="231F20"/>
        </w:rPr>
        <w:t>%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any action asserting a claim of breach of fiduciary duty;</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231F20"/>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524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60" w:type="dxa"/>
            <w:vAlign w:val="bottom"/>
            <w:gridSpan w:val="17"/>
          </w:tcPr>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78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1090"/>
              <w:spacing w:after="0" w:line="187" w:lineRule="exact"/>
              <w:rPr>
                <w:sz w:val="20"/>
                <w:szCs w:val="20"/>
                <w:color w:val="auto"/>
              </w:rPr>
            </w:pPr>
            <w:r>
              <w:rPr>
                <w:rFonts w:ascii="Arial" w:cs="Arial" w:eastAsia="Arial" w:hAnsi="Arial"/>
                <w:sz w:val="18"/>
                <w:szCs w:val="18"/>
                <w:b w:val="1"/>
                <w:bCs w:val="1"/>
                <w:color w:val="auto"/>
                <w:w w:val="99"/>
              </w:rPr>
              <w:t>Schedule</w:t>
            </w:r>
          </w:p>
        </w:tc>
        <w:tc>
          <w:tcPr>
            <w:tcW w:w="700" w:type="dxa"/>
            <w:vAlign w:val="bottom"/>
          </w:tcPr>
          <w:p>
            <w:pPr>
              <w:spacing w:after="0"/>
              <w:rPr>
                <w:sz w:val="16"/>
                <w:szCs w:val="16"/>
                <w:color w:val="auto"/>
              </w:rPr>
            </w:pPr>
          </w:p>
        </w:tc>
        <w:tc>
          <w:tcPr>
            <w:tcW w:w="94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Number</w:t>
            </w: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2"/>
          </w:tcPr>
          <w:p>
            <w:pPr>
              <w:ind w:left="16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Form</w:t>
            </w:r>
          </w:p>
        </w:tc>
        <w:tc>
          <w:tcPr>
            <w:tcW w:w="13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File Number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78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0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30">
              <w:r>
                <w:rPr>
                  <w:rFonts w:ascii="Arial" w:cs="Arial" w:eastAsia="Arial" w:hAnsi="Arial"/>
                  <w:sz w:val="18"/>
                  <w:szCs w:val="18"/>
                  <w:color w:val="0000EE"/>
                  <w:w w:val="99"/>
                </w:rPr>
                <w:t>Amended and Restated Certificate of Incorporation</w:t>
              </w:r>
            </w:hyperlink>
          </w:p>
        </w:tc>
        <w:tc>
          <w:tcPr>
            <w:tcW w:w="400" w:type="dxa"/>
            <w:vAlign w:val="bottom"/>
            <w:gridSpan w:val="4"/>
          </w:tcPr>
          <w:p>
            <w:pPr>
              <w:spacing w:after="0"/>
              <w:rPr>
                <w:sz w:val="15"/>
                <w:szCs w:val="15"/>
                <w:color w:val="auto"/>
              </w:rPr>
            </w:pPr>
          </w:p>
        </w:tc>
        <w:tc>
          <w:tcPr>
            <w:tcW w:w="6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Amended and Restated Bylaws</w:t>
              </w:r>
            </w:hyperlink>
          </w:p>
        </w:tc>
        <w:tc>
          <w:tcPr>
            <w:tcW w:w="1940" w:type="dxa"/>
            <w:vAlign w:val="bottom"/>
            <w:gridSpan w:val="11"/>
          </w:tcPr>
          <w:p>
            <w:pPr>
              <w:spacing w:after="0"/>
              <w:rPr>
                <w:sz w:val="17"/>
                <w:szCs w:val="17"/>
                <w:color w:val="auto"/>
              </w:rPr>
            </w:pPr>
          </w:p>
        </w:tc>
        <w:tc>
          <w:tcPr>
            <w:tcW w:w="6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ind w:left="90"/>
              <w:spacing w:after="0" w:line="196" w:lineRule="exact"/>
              <w:rPr>
                <w:sz w:val="20"/>
                <w:szCs w:val="20"/>
                <w:color w:val="auto"/>
              </w:rPr>
            </w:pPr>
            <w:r>
              <w:rPr>
                <w:rFonts w:ascii="Arial" w:cs="Arial" w:eastAsia="Arial" w:hAnsi="Arial"/>
                <w:sz w:val="18"/>
                <w:szCs w:val="18"/>
                <w:color w:val="auto"/>
                <w:w w:val="99"/>
              </w:rPr>
              <w:t>001-39712</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rPr>
              <w:t>3.2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460" w:type="dxa"/>
            <w:vAlign w:val="bottom"/>
            <w:gridSpan w:val="1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Consulting Agreement by and between the Company</w:t>
              </w:r>
            </w:hyperlink>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39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and Frank McCormick Ph.D., F.R.S., D.Sc. (Hon),</w:t>
              </w:r>
            </w:hyperlink>
          </w:p>
        </w:tc>
        <w:tc>
          <w:tcPr>
            <w:tcW w:w="260" w:type="dxa"/>
            <w:vAlign w:val="bottom"/>
            <w:tcBorders>
              <w:top w:val="single" w:sz="8" w:color="0000EE"/>
            </w:tcBorders>
            <w:gridSpan w:val="4"/>
          </w:tcPr>
          <w:p>
            <w:pPr>
              <w:spacing w:after="0"/>
              <w:rPr>
                <w:sz w:val="15"/>
                <w:szCs w:val="15"/>
                <w:color w:val="auto"/>
              </w:rPr>
            </w:pPr>
          </w:p>
        </w:tc>
        <w:tc>
          <w:tcPr>
            <w:tcW w:w="2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dated April 5, 2021.</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60" w:type="dxa"/>
            <w:vAlign w:val="bottom"/>
            <w:gridSpan w:val="1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Certification of Chief Executive Officer Pursuant to</w:t>
              </w:r>
            </w:hyperlink>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Exchange Act of 1934, as Adopted Pursuant to</w:t>
              </w:r>
            </w:hyperlink>
          </w:p>
        </w:tc>
        <w:tc>
          <w:tcPr>
            <w:tcW w:w="3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11">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394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12">
              <w:r>
                <w:rPr>
                  <w:rFonts w:ascii="Arial" w:cs="Arial" w:eastAsia="Arial" w:hAnsi="Arial"/>
                  <w:sz w:val="18"/>
                  <w:szCs w:val="18"/>
                  <w:color w:val="0000EE"/>
                  <w:w w:val="99"/>
                </w:rPr>
                <w:t>Certification of Chief Financial Officer Pursuant to</w:t>
              </w:r>
            </w:hyperlink>
          </w:p>
        </w:tc>
        <w:tc>
          <w:tcPr>
            <w:tcW w:w="5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Rules 13a-14(a) and 15d-14(a) under the Securities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1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Exchange Act of 1934, as Adopted Pursuant to</w:t>
              </w:r>
            </w:hyperlink>
          </w:p>
        </w:tc>
        <w:tc>
          <w:tcPr>
            <w:tcW w:w="3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Section 302 of the Sarbanes-Oxley Act of 2002.</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86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Certification of Chief Executive Officer and Chief</w:t>
              </w:r>
            </w:hyperlink>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2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Financial Officer Pursuant to 18 U.S.C. Section 1350,</w:t>
              </w:r>
            </w:hyperlink>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4460" w:type="dxa"/>
            <w:vAlign w:val="bottom"/>
            <w:gridSpan w:val="14"/>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as Adopted Pursuant to Section 906 of the Sarbanes-</w:t>
              </w:r>
            </w:hyperlink>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4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Oxley Act of 2002.</w:t>
              </w:r>
            </w:hyperlink>
          </w:p>
        </w:tc>
        <w:tc>
          <w:tcPr>
            <w:tcW w:w="2780" w:type="dxa"/>
            <w:vAlign w:val="bottom"/>
            <w:tcBorders>
              <w:top w:val="single" w:sz="8" w:color="0000EE"/>
            </w:tcBorders>
            <w:gridSpan w:val="12"/>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14"/>
          </w:tcPr>
          <w:p>
            <w:pPr>
              <w:spacing w:after="0"/>
              <w:rPr>
                <w:sz w:val="20"/>
                <w:szCs w:val="20"/>
                <w:color w:val="auto"/>
              </w:rPr>
            </w:pPr>
            <w:r>
              <w:rPr>
                <w:rFonts w:ascii="Arial" w:cs="Arial" w:eastAsia="Arial" w:hAnsi="Arial"/>
                <w:sz w:val="18"/>
                <w:szCs w:val="18"/>
                <w:color w:val="auto"/>
              </w:rPr>
              <w:t>XBRL Instance Document – the instance document</w:t>
            </w: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4"/>
          </w:tcPr>
          <w:p>
            <w:pPr>
              <w:spacing w:after="0" w:line="202" w:lineRule="exact"/>
              <w:rPr>
                <w:sz w:val="20"/>
                <w:szCs w:val="20"/>
                <w:color w:val="auto"/>
              </w:rPr>
            </w:pPr>
            <w:r>
              <w:rPr>
                <w:rFonts w:ascii="Arial" w:cs="Arial" w:eastAsia="Arial" w:hAnsi="Arial"/>
                <w:sz w:val="18"/>
                <w:szCs w:val="18"/>
                <w:color w:val="auto"/>
              </w:rPr>
              <w:t>does not appear in the Interactive Data File because its</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460" w:type="dxa"/>
            <w:vAlign w:val="bottom"/>
            <w:gridSpan w:val="14"/>
          </w:tcPr>
          <w:p>
            <w:pPr>
              <w:spacing w:after="0" w:line="202" w:lineRule="exact"/>
              <w:rPr>
                <w:sz w:val="20"/>
                <w:szCs w:val="20"/>
                <w:color w:val="auto"/>
              </w:rPr>
            </w:pPr>
            <w:r>
              <w:rPr>
                <w:rFonts w:ascii="Arial" w:cs="Arial" w:eastAsia="Arial" w:hAnsi="Arial"/>
                <w:sz w:val="18"/>
                <w:szCs w:val="18"/>
                <w:color w:val="auto"/>
              </w:rPr>
              <w:t>XBRL tags are embedded within the Inline XBRL</w:t>
            </w: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46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XBRL Taxonomy Extension Calculation Linkbase</w:t>
      </w:r>
    </w:p>
    <w:p>
      <w:pPr>
        <w:ind w:left="84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XBRL Taxonomy Extension Definition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XBRL Taxonomy Extension Presentation Linkbase</w:t>
      </w:r>
    </w:p>
    <w:p>
      <w:pPr>
        <w:ind w:left="840"/>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ind w:left="840" w:right="3859" w:hanging="780"/>
        <w:spacing w:after="0" w:line="238" w:lineRule="auto"/>
        <w:tabs>
          <w:tab w:leader="none" w:pos="8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9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5900" w:type="dxa"/>
            <w:vAlign w:val="bottom"/>
            <w:gridSpan w:val="2"/>
          </w:tcPr>
          <w:p>
            <w:pPr>
              <w:ind w:left="1440"/>
              <w:spacing w:after="0"/>
              <w:rPr>
                <w:sz w:val="20"/>
                <w:szCs w:val="20"/>
                <w:color w:val="auto"/>
              </w:rPr>
            </w:pPr>
            <w:r>
              <w:rPr>
                <w:rFonts w:ascii="Arial" w:cs="Arial" w:eastAsia="Arial" w:hAnsi="Arial"/>
                <w:sz w:val="18"/>
                <w:szCs w:val="18"/>
                <w:color w:val="auto"/>
              </w:rPr>
              <w:t>Olema Pharmaceuticals, Inc.</w:t>
            </w:r>
          </w:p>
        </w:tc>
      </w:tr>
      <w:tr>
        <w:trPr>
          <w:trHeight w:val="203"/>
        </w:trPr>
        <w:tc>
          <w:tcPr>
            <w:tcW w:w="3000" w:type="dxa"/>
            <w:vAlign w:val="bottom"/>
          </w:tcPr>
          <w:p>
            <w:pPr>
              <w:spacing w:after="0" w:line="203" w:lineRule="exact"/>
              <w:rPr>
                <w:sz w:val="20"/>
                <w:szCs w:val="20"/>
                <w:color w:val="auto"/>
              </w:rPr>
            </w:pPr>
            <w:r>
              <w:rPr>
                <w:rFonts w:ascii="Arial" w:cs="Arial" w:eastAsia="Arial" w:hAnsi="Arial"/>
                <w:sz w:val="18"/>
                <w:szCs w:val="18"/>
                <w:color w:val="auto"/>
              </w:rPr>
              <w:t>Date: May 11, 2021</w:t>
            </w:r>
          </w:p>
        </w:tc>
        <w:tc>
          <w:tcPr>
            <w:tcW w:w="1720" w:type="dxa"/>
            <w:vAlign w:val="bottom"/>
          </w:tcPr>
          <w:p>
            <w:pPr>
              <w:ind w:left="1440"/>
              <w:spacing w:after="0" w:line="203" w:lineRule="exact"/>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Sean Bohen, M.D., Ph.D.</w:t>
            </w:r>
          </w:p>
        </w:tc>
      </w:tr>
      <w:tr>
        <w:trPr>
          <w:trHeight w:val="200"/>
        </w:trPr>
        <w:tc>
          <w:tcPr>
            <w:tcW w:w="3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180" w:type="dxa"/>
            <w:vAlign w:val="bottom"/>
          </w:tcPr>
          <w:p>
            <w:pPr>
              <w:jc w:val="center"/>
              <w:spacing w:after="0" w:line="201" w:lineRule="exact"/>
              <w:rPr>
                <w:sz w:val="20"/>
                <w:szCs w:val="20"/>
                <w:color w:val="auto"/>
              </w:rPr>
            </w:pPr>
            <w:r>
              <w:rPr>
                <w:rFonts w:ascii="Arial" w:cs="Arial" w:eastAsia="Arial" w:hAnsi="Arial"/>
                <w:sz w:val="18"/>
                <w:szCs w:val="18"/>
                <w:color w:val="auto"/>
                <w:w w:val="99"/>
              </w:rPr>
              <w:t>Sean Bohen, M.D., Ph.D.</w:t>
            </w:r>
          </w:p>
        </w:tc>
      </w:tr>
      <w:tr>
        <w:trPr>
          <w:trHeight w:val="224"/>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03"/>
        </w:trPr>
        <w:tc>
          <w:tcPr>
            <w:tcW w:w="3000" w:type="dxa"/>
            <w:vAlign w:val="bottom"/>
          </w:tcPr>
          <w:p>
            <w:pPr>
              <w:spacing w:after="0"/>
              <w:rPr>
                <w:sz w:val="17"/>
                <w:szCs w:val="17"/>
                <w:color w:val="auto"/>
              </w:rPr>
            </w:pPr>
          </w:p>
        </w:tc>
        <w:tc>
          <w:tcPr>
            <w:tcW w:w="590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Olema Pharmaceuticals, Inc.</w:t>
            </w:r>
          </w:p>
        </w:tc>
      </w:tr>
      <w:tr>
        <w:trPr>
          <w:trHeight w:val="217"/>
        </w:trPr>
        <w:tc>
          <w:tcPr>
            <w:tcW w:w="3000" w:type="dxa"/>
            <w:vAlign w:val="bottom"/>
          </w:tcPr>
          <w:p>
            <w:pPr>
              <w:spacing w:after="0"/>
              <w:rPr>
                <w:sz w:val="20"/>
                <w:szCs w:val="20"/>
                <w:color w:val="auto"/>
              </w:rPr>
            </w:pPr>
            <w:r>
              <w:rPr>
                <w:rFonts w:ascii="Arial" w:cs="Arial" w:eastAsia="Arial" w:hAnsi="Arial"/>
                <w:sz w:val="18"/>
                <w:szCs w:val="18"/>
                <w:color w:val="auto"/>
              </w:rPr>
              <w:t>Date: May 11, 2021</w:t>
            </w:r>
          </w:p>
        </w:tc>
        <w:tc>
          <w:tcPr>
            <w:tcW w:w="1720" w:type="dxa"/>
            <w:vAlign w:val="bottom"/>
          </w:tcPr>
          <w:p>
            <w:pPr>
              <w:ind w:left="144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-7620</wp:posOffset>
            </wp:positionV>
            <wp:extent cx="26574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Shane Kovacs</w:t>
      </w:r>
    </w:p>
    <w:p>
      <w:pPr>
        <w:jc w:val="center"/>
        <w:ind w:left="4700"/>
        <w:spacing w:after="0"/>
        <w:rPr>
          <w:sz w:val="20"/>
          <w:szCs w:val="20"/>
          <w:color w:val="auto"/>
        </w:rPr>
      </w:pPr>
      <w:r>
        <w:rPr>
          <w:rFonts w:ascii="Arial" w:cs="Arial" w:eastAsia="Arial" w:hAnsi="Arial"/>
          <w:sz w:val="18"/>
          <w:szCs w:val="18"/>
          <w:b w:val="1"/>
          <w:bCs w:val="1"/>
          <w:color w:val="auto"/>
        </w:rPr>
        <w:t>Chief Operating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234315</wp:posOffset>
            </wp:positionV>
            <wp:extent cx="6292215" cy="8204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2215" cy="820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2035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820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2035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2215" cy="820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2035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820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2035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292215" cy="820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8412480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page">
              <wp:posOffset>748030</wp:posOffset>
            </wp:positionH>
            <wp:positionV relativeFrom="page">
              <wp:posOffset>88900</wp:posOffset>
            </wp:positionV>
            <wp:extent cx="5829300" cy="7543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2035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820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8267065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0664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8066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11, 2021</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By:/s/ Sean Bohen</w:t>
            </w:r>
          </w:p>
        </w:tc>
      </w:tr>
      <w:tr>
        <w:trPr>
          <w:trHeight w:val="195"/>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16"/>
        </w:trPr>
        <w:tc>
          <w:tcPr>
            <w:tcW w:w="3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30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11, 2021</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By:/s/ Shane Kovacs</w:t>
            </w:r>
          </w:p>
        </w:tc>
      </w:tr>
      <w:tr>
        <w:trPr>
          <w:trHeight w:val="195"/>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7" w:lineRule="exact"/>
        <w:rPr>
          <w:sz w:val="20"/>
          <w:szCs w:val="20"/>
          <w:color w:val="auto"/>
        </w:rPr>
      </w:pPr>
    </w:p>
    <w:p>
      <w:pPr>
        <w:ind w:left="660" w:right="100" w:hanging="328"/>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11, 2021</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By:/s/ Sean Bohen</w:t>
            </w:r>
          </w:p>
        </w:tc>
      </w:tr>
      <w:tr>
        <w:trPr>
          <w:trHeight w:val="195"/>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30"/>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200" w:type="dxa"/>
            <w:vAlign w:val="bottom"/>
          </w:tcPr>
          <w:p>
            <w:pPr>
              <w:spacing w:after="0"/>
              <w:rPr>
                <w:sz w:val="20"/>
                <w:szCs w:val="20"/>
                <w:color w:val="auto"/>
              </w:rPr>
            </w:pPr>
            <w:r>
              <w:rPr>
                <w:rFonts w:ascii="Arial" w:cs="Arial" w:eastAsia="Arial" w:hAnsi="Arial"/>
                <w:sz w:val="18"/>
                <w:szCs w:val="18"/>
                <w:color w:val="auto"/>
              </w:rPr>
              <w:t>Date: May 11, 2021</w:t>
            </w:r>
          </w:p>
        </w:tc>
        <w:tc>
          <w:tcPr>
            <w:tcW w:w="6720" w:type="dxa"/>
            <w:vAlign w:val="bottom"/>
            <w:gridSpan w:val="2"/>
          </w:tcPr>
          <w:p>
            <w:pPr>
              <w:ind w:left="1760"/>
              <w:spacing w:after="0"/>
              <w:rPr>
                <w:sz w:val="20"/>
                <w:szCs w:val="20"/>
                <w:color w:val="auto"/>
              </w:rPr>
            </w:pPr>
            <w:r>
              <w:rPr>
                <w:rFonts w:ascii="Arial" w:cs="Arial" w:eastAsia="Arial" w:hAnsi="Arial"/>
                <w:sz w:val="18"/>
                <w:szCs w:val="18"/>
                <w:color w:val="auto"/>
              </w:rPr>
              <w:t>By:/s/ Shane Kovacs</w:t>
            </w:r>
          </w:p>
        </w:tc>
      </w:tr>
      <w:tr>
        <w:trPr>
          <w:trHeight w:val="195"/>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30"/>
        </w:trPr>
        <w:tc>
          <w:tcPr>
            <w:tcW w:w="3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3"/>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decimal"/>
      <w:start w:val="8"/>
    </w:lvl>
  </w:abstractNum>
  <w:abstractNum w:abstractNumId="8">
    <w:nsid w:val="614FD4A1"/>
    <w:multiLevelType w:val="hybridMultilevel"/>
    <w:lvl w:ilvl="0">
      <w:lvlJc w:val="left"/>
      <w:lvlText w:val="%1."/>
      <w:numFmt w:val="decimal"/>
      <w:start w:val="9"/>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Roman"/>
      <w:start w:val="3"/>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lvl w:ilvl="1">
      <w:lvlJc w:val="left"/>
      <w:lvlText w:val="%2"/>
      <w:numFmt w:val="decimal"/>
      <w:start w:val="104"/>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jpe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30" Type="http://schemas.openxmlformats.org/officeDocument/2006/relationships/hyperlink" Target="https://www.sec.gov/Archives/edgar/data/1750284/000110465920128482/tm2027048d18_ex3-1.htm" TargetMode="External"/><Relationship Id="rId131" Type="http://schemas.openxmlformats.org/officeDocument/2006/relationships/hyperlink" Target="https://www.sec.gov/Archives/edgar/data/1750284/000110465920128482/tm2027048d1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2021-05-11T16:27:04Z</dcterms:created>
  <dcterms:modified xsi:type="dcterms:W3CDTF">2021-05-11T16:27:04Z</dcterms:modified>
</cp:coreProperties>
</file>