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w:t>
      </w:r>
    </w:p>
    <w:p>
      <w:pPr>
        <w:jc w:val="center"/>
        <w:spacing w:after="0" w:line="234" w:lineRule="auto"/>
        <w:rPr>
          <w:sz w:val="20"/>
          <w:szCs w:val="20"/>
          <w:color w:val="auto"/>
        </w:rPr>
      </w:pPr>
      <w:r>
        <w:rPr>
          <w:rFonts w:ascii="Arial" w:cs="Arial" w:eastAsia="Arial" w:hAnsi="Arial"/>
          <w:sz w:val="18"/>
          <w:szCs w:val="18"/>
          <w:b w:val="1"/>
          <w:bCs w:val="1"/>
          <w:color w:val="auto"/>
        </w:rPr>
        <w:t>UNITED STATES</w:t>
      </w:r>
    </w:p>
    <w:p>
      <w:pPr>
        <w:jc w:val="center"/>
        <w:spacing w:after="0" w:line="235"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57785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69215</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92" w:lineRule="exact"/>
        <w:rPr>
          <w:sz w:val="24"/>
          <w:szCs w:val="24"/>
          <w:color w:val="auto"/>
        </w:rPr>
      </w:pPr>
    </w:p>
    <w:p>
      <w:pPr>
        <w:ind w:left="3720" w:right="2000" w:hanging="3699"/>
        <w:spacing w:after="0" w:line="344" w:lineRule="auto"/>
        <w:tabs>
          <w:tab w:leader="none" w:pos="33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0" w:lineRule="exact"/>
        <w:rPr>
          <w:sz w:val="24"/>
          <w:szCs w:val="24"/>
          <w:color w:val="auto"/>
        </w:rPr>
      </w:pPr>
    </w:p>
    <w:p>
      <w:pPr>
        <w:ind w:left="3580" w:right="1660" w:hanging="3559"/>
        <w:spacing w:after="0" w:line="344" w:lineRule="auto"/>
        <w:tabs>
          <w:tab w:leader="none" w:pos="35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ind w:left="40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001-39712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69215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57785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jc w:val="center"/>
              <w:ind w:left="1108"/>
              <w:spacing w:after="0"/>
              <w:rPr>
                <w:sz w:val="20"/>
                <w:szCs w:val="20"/>
                <w:color w:val="auto"/>
              </w:rPr>
            </w:pPr>
            <w:r>
              <w:rPr>
                <w:rFonts w:ascii="Arial" w:cs="Arial" w:eastAsia="Arial" w:hAnsi="Arial"/>
                <w:sz w:val="14"/>
                <w:szCs w:val="14"/>
                <w:b w:val="1"/>
                <w:bCs w:val="1"/>
                <w:color w:val="auto"/>
              </w:rPr>
              <w:t>Delaware</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0" w:type="dxa"/>
            <w:vAlign w:val="bottom"/>
          </w:tcPr>
          <w:p>
            <w:pPr>
              <w:jc w:val="right"/>
              <w:ind w:right="1908"/>
              <w:spacing w:after="0"/>
              <w:rPr>
                <w:sz w:val="20"/>
                <w:szCs w:val="20"/>
                <w:color w:val="auto"/>
              </w:rPr>
            </w:pPr>
            <w:r>
              <w:rPr>
                <w:rFonts w:ascii="Arial" w:cs="Arial" w:eastAsia="Arial" w:hAnsi="Arial"/>
                <w:sz w:val="14"/>
                <w:szCs w:val="14"/>
                <w:b w:val="1"/>
                <w:bCs w:val="1"/>
                <w:color w:val="auto"/>
              </w:rPr>
              <w:t>30-0409740</w:t>
            </w:r>
          </w:p>
        </w:tc>
      </w:tr>
      <w:tr>
        <w:trPr>
          <w:trHeight w:val="196"/>
        </w:trPr>
        <w:tc>
          <w:tcPr>
            <w:tcW w:w="7640" w:type="dxa"/>
            <w:vAlign w:val="bottom"/>
            <w:gridSpan w:val="6"/>
          </w:tcPr>
          <w:p>
            <w:pPr>
              <w:jc w:val="center"/>
              <w:ind w:right="290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600" w:type="dxa"/>
            <w:vAlign w:val="bottom"/>
          </w:tcPr>
          <w:p>
            <w:pPr>
              <w:jc w:val="center"/>
              <w:ind w:right="1048"/>
              <w:spacing w:after="0"/>
              <w:rPr>
                <w:sz w:val="20"/>
                <w:szCs w:val="20"/>
                <w:color w:val="auto"/>
              </w:rPr>
            </w:pPr>
            <w:r>
              <w:rPr>
                <w:rFonts w:ascii="Arial" w:cs="Arial" w:eastAsia="Arial" w:hAnsi="Arial"/>
                <w:sz w:val="14"/>
                <w:szCs w:val="14"/>
                <w:b w:val="1"/>
                <w:bCs w:val="1"/>
                <w:color w:val="auto"/>
              </w:rPr>
              <w:t>(I.R.S. Employer Identification No.)</w:t>
            </w:r>
          </w:p>
        </w:tc>
      </w:tr>
      <w:tr>
        <w:trPr>
          <w:trHeight w:val="222"/>
        </w:trPr>
        <w:tc>
          <w:tcPr>
            <w:tcW w:w="3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780 Brannan Street</w:t>
            </w:r>
          </w:p>
        </w:tc>
        <w:tc>
          <w:tcPr>
            <w:tcW w:w="3600" w:type="dxa"/>
            <w:vAlign w:val="bottom"/>
          </w:tcPr>
          <w:p>
            <w:pPr>
              <w:spacing w:after="0"/>
              <w:rPr>
                <w:sz w:val="19"/>
                <w:szCs w:val="19"/>
                <w:color w:val="auto"/>
              </w:rPr>
            </w:pPr>
          </w:p>
        </w:tc>
      </w:tr>
      <w:tr>
        <w:trPr>
          <w:trHeight w:val="153"/>
        </w:trPr>
        <w:tc>
          <w:tcPr>
            <w:tcW w:w="3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gridSpan w:val="3"/>
          </w:tcPr>
          <w:p>
            <w:pPr>
              <w:jc w:val="center"/>
              <w:ind w:right="680"/>
              <w:spacing w:after="0" w:line="153" w:lineRule="exact"/>
              <w:rPr>
                <w:sz w:val="20"/>
                <w:szCs w:val="20"/>
                <w:color w:val="auto"/>
              </w:rPr>
            </w:pPr>
            <w:r>
              <w:rPr>
                <w:rFonts w:ascii="Arial" w:cs="Arial" w:eastAsia="Arial" w:hAnsi="Arial"/>
                <w:sz w:val="14"/>
                <w:szCs w:val="14"/>
                <w:b w:val="1"/>
                <w:bCs w:val="1"/>
                <w:color w:val="auto"/>
              </w:rPr>
              <w:t>San Francisco, California 94103</w:t>
            </w:r>
          </w:p>
        </w:tc>
        <w:tc>
          <w:tcPr>
            <w:tcW w:w="3600" w:type="dxa"/>
            <w:vAlign w:val="bottom"/>
          </w:tcPr>
          <w:p>
            <w:pPr>
              <w:spacing w:after="0"/>
              <w:rPr>
                <w:sz w:val="13"/>
                <w:szCs w:val="13"/>
                <w:color w:val="auto"/>
              </w:rPr>
            </w:pPr>
          </w:p>
        </w:tc>
      </w:tr>
      <w:tr>
        <w:trPr>
          <w:trHeight w:val="135"/>
        </w:trPr>
        <w:tc>
          <w:tcPr>
            <w:tcW w:w="3560" w:type="dxa"/>
            <w:vAlign w:val="bottom"/>
          </w:tcPr>
          <w:p>
            <w:pPr>
              <w:spacing w:after="0"/>
              <w:rPr>
                <w:sz w:val="11"/>
                <w:szCs w:val="11"/>
                <w:color w:val="auto"/>
              </w:rPr>
            </w:pPr>
          </w:p>
        </w:tc>
        <w:tc>
          <w:tcPr>
            <w:tcW w:w="408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7"/>
              </w:rPr>
              <w:t>(Address of principal executive offices and zip code)</w:t>
            </w:r>
          </w:p>
        </w:tc>
        <w:tc>
          <w:tcPr>
            <w:tcW w:w="3600" w:type="dxa"/>
            <w:vAlign w:val="bottom"/>
          </w:tcPr>
          <w:p>
            <w:pPr>
              <w:spacing w:after="0"/>
              <w:rPr>
                <w:sz w:val="11"/>
                <w:szCs w:val="11"/>
                <w:color w:val="auto"/>
              </w:rPr>
            </w:pPr>
          </w:p>
        </w:tc>
      </w:tr>
      <w:tr>
        <w:trPr>
          <w:trHeight w:val="172"/>
        </w:trPr>
        <w:tc>
          <w:tcPr>
            <w:tcW w:w="3560" w:type="dxa"/>
            <w:vAlign w:val="bottom"/>
          </w:tcPr>
          <w:p>
            <w:pPr>
              <w:spacing w:after="0"/>
              <w:rPr>
                <w:sz w:val="14"/>
                <w:szCs w:val="14"/>
                <w:color w:val="auto"/>
              </w:rPr>
            </w:pPr>
          </w:p>
        </w:tc>
        <w:tc>
          <w:tcPr>
            <w:tcW w:w="40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Registrant’s telephone number, including area code: (415) 651-3316</w:t>
            </w:r>
          </w:p>
        </w:tc>
        <w:tc>
          <w:tcPr>
            <w:tcW w:w="3600" w:type="dxa"/>
            <w:vAlign w:val="bottom"/>
          </w:tcPr>
          <w:p>
            <w:pPr>
              <w:spacing w:after="0"/>
              <w:rPr>
                <w:sz w:val="14"/>
                <w:szCs w:val="14"/>
                <w:color w:val="auto"/>
              </w:rPr>
            </w:pPr>
          </w:p>
        </w:tc>
      </w:tr>
      <w:tr>
        <w:trPr>
          <w:trHeight w:val="229"/>
        </w:trPr>
        <w:tc>
          <w:tcPr>
            <w:tcW w:w="3560" w:type="dxa"/>
            <w:vAlign w:val="bottom"/>
          </w:tcPr>
          <w:p>
            <w:pPr>
              <w:spacing w:after="0"/>
              <w:rPr>
                <w:sz w:val="19"/>
                <w:szCs w:val="19"/>
                <w:color w:val="auto"/>
              </w:rPr>
            </w:pPr>
          </w:p>
        </w:tc>
        <w:tc>
          <w:tcPr>
            <w:tcW w:w="40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3600" w:type="dxa"/>
            <w:vAlign w:val="bottom"/>
          </w:tcPr>
          <w:p>
            <w:pPr>
              <w:spacing w:after="0"/>
              <w:rPr>
                <w:sz w:val="19"/>
                <w:szCs w:val="19"/>
                <w:color w:val="auto"/>
              </w:rPr>
            </w:pPr>
          </w:p>
        </w:tc>
      </w:tr>
      <w:tr>
        <w:trPr>
          <w:trHeight w:val="238"/>
        </w:trPr>
        <w:tc>
          <w:tcPr>
            <w:tcW w:w="3560" w:type="dxa"/>
            <w:vAlign w:val="bottom"/>
          </w:tcPr>
          <w:p>
            <w:pPr>
              <w:jc w:val="center"/>
              <w:ind w:left="428"/>
              <w:spacing w:after="0"/>
              <w:rPr>
                <w:sz w:val="20"/>
                <w:szCs w:val="20"/>
                <w:color w:val="auto"/>
              </w:rPr>
            </w:pPr>
            <w:r>
              <w:rPr>
                <w:rFonts w:ascii="Arial" w:cs="Arial" w:eastAsia="Arial" w:hAnsi="Arial"/>
                <w:sz w:val="14"/>
                <w:szCs w:val="14"/>
                <w:b w:val="1"/>
                <w:bCs w:val="1"/>
                <w:color w:val="auto"/>
              </w:rPr>
              <w:t>Title of Each Class of Securities Registered</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Trading Symbol</w:t>
            </w:r>
          </w:p>
        </w:tc>
        <w:tc>
          <w:tcPr>
            <w:tcW w:w="3600" w:type="dxa"/>
            <w:vAlign w:val="bottom"/>
          </w:tcPr>
          <w:p>
            <w:pPr>
              <w:jc w:val="center"/>
              <w:ind w:right="3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560" w:type="dxa"/>
            <w:vAlign w:val="bottom"/>
            <w:tcBorders>
              <w:top w:val="single" w:sz="8" w:color="auto"/>
            </w:tcBorders>
          </w:tcPr>
          <w:p>
            <w:pPr>
              <w:jc w:val="center"/>
              <w:ind w:left="428"/>
              <w:spacing w:after="0"/>
              <w:rPr>
                <w:sz w:val="20"/>
                <w:szCs w:val="20"/>
                <w:color w:val="auto"/>
              </w:rPr>
            </w:pPr>
            <w:r>
              <w:rPr>
                <w:rFonts w:ascii="Arial" w:cs="Arial" w:eastAsia="Arial" w:hAnsi="Arial"/>
                <w:sz w:val="14"/>
                <w:szCs w:val="14"/>
                <w:color w:val="auto"/>
              </w:rPr>
              <w:t>Common Stock, par value $0.0001 per share</w:t>
            </w: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OLMA</w:t>
            </w:r>
          </w:p>
        </w:tc>
        <w:tc>
          <w:tcPr>
            <w:tcW w:w="2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jc w:val="center"/>
              <w:ind w:right="368"/>
              <w:spacing w:after="0"/>
              <w:rPr>
                <w:sz w:val="20"/>
                <w:szCs w:val="20"/>
                <w:color w:val="auto"/>
              </w:rPr>
            </w:pPr>
            <w:r>
              <w:rPr>
                <w:rFonts w:ascii="Arial" w:cs="Arial" w:eastAsia="Arial" w:hAnsi="Arial"/>
                <w:sz w:val="14"/>
                <w:szCs w:val="14"/>
                <w:color w:val="auto"/>
              </w:rPr>
              <w:t>The Nasdaq Global Select Market</w:t>
            </w:r>
          </w:p>
        </w:tc>
      </w:tr>
    </w:tbl>
    <w:p>
      <w:pPr>
        <w:spacing w:after="0" w:line="48"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6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9"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4" w:lineRule="exact"/>
        <w:rPr>
          <w:sz w:val="24"/>
          <w:szCs w:val="24"/>
          <w:color w:val="auto"/>
        </w:rPr>
      </w:pPr>
    </w:p>
    <w:p>
      <w:pPr>
        <w:jc w:val="both"/>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Arial Unicode MS" w:cs="Arial Unicode MS" w:eastAsia="Arial Unicode MS" w:hAnsi="Arial Unicode MS"/>
          <w:sz w:val="13"/>
          <w:szCs w:val="13"/>
          <w:color w:val="auto"/>
        </w:rPr>
        <w:t>‑</w:t>
      </w:r>
      <w:r>
        <w:rPr>
          <w:rFonts w:ascii="Arial" w:cs="Arial" w:eastAsia="Arial" w:hAnsi="Arial"/>
          <w:sz w:val="13"/>
          <w:szCs w:val="13"/>
          <w:color w:val="auto"/>
        </w:rPr>
        <w:t>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5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00" w:type="dxa"/>
            <w:vAlign w:val="bottom"/>
          </w:tcPr>
          <w:p>
            <w:pPr>
              <w:ind w:left="3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6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1120" w:type="dxa"/>
            <w:vAlign w:val="bottom"/>
          </w:tcPr>
          <w:p>
            <w:pPr>
              <w:ind w:left="10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91"/>
        </w:trPr>
        <w:tc>
          <w:tcPr>
            <w:tcW w:w="1580" w:type="dxa"/>
            <w:vAlign w:val="bottom"/>
          </w:tcPr>
          <w:p>
            <w:pPr>
              <w:spacing w:after="0"/>
              <w:rPr>
                <w:sz w:val="20"/>
                <w:szCs w:val="20"/>
                <w:color w:val="auto"/>
              </w:rPr>
            </w:pPr>
            <w:r>
              <w:rPr>
                <w:rFonts w:ascii="Arial" w:cs="Arial" w:eastAsia="Arial" w:hAnsi="Arial"/>
                <w:sz w:val="13"/>
                <w:szCs w:val="13"/>
                <w:color w:val="auto"/>
              </w:rPr>
              <w:t>Non-accelerated filer</w:t>
            </w:r>
          </w:p>
        </w:tc>
        <w:tc>
          <w:tcPr>
            <w:tcW w:w="3200" w:type="dxa"/>
            <w:vAlign w:val="bottom"/>
          </w:tcPr>
          <w:p>
            <w:pPr>
              <w:ind w:left="3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6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1120" w:type="dxa"/>
            <w:vAlign w:val="bottom"/>
          </w:tcPr>
          <w:p>
            <w:pPr>
              <w:ind w:left="10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24"/>
        </w:trPr>
        <w:tc>
          <w:tcPr>
            <w:tcW w:w="15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260" w:type="dxa"/>
            <w:vAlign w:val="bottom"/>
          </w:tcPr>
          <w:p>
            <w:pPr>
              <w:ind w:left="2740"/>
              <w:spacing w:after="0"/>
              <w:rPr>
                <w:sz w:val="20"/>
                <w:szCs w:val="20"/>
                <w:color w:val="auto"/>
              </w:rPr>
            </w:pPr>
            <w:r>
              <w:rPr>
                <w:rFonts w:ascii="Arial" w:cs="Arial" w:eastAsia="Arial" w:hAnsi="Arial"/>
                <w:sz w:val="13"/>
                <w:szCs w:val="13"/>
                <w:color w:val="auto"/>
              </w:rPr>
              <w:t>Emerging growth company</w:t>
            </w:r>
          </w:p>
        </w:tc>
        <w:tc>
          <w:tcPr>
            <w:tcW w:w="1120" w:type="dxa"/>
            <w:vAlign w:val="bottom"/>
          </w:tcPr>
          <w:p>
            <w:pPr>
              <w:ind w:left="100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46"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Indicate by check mark whether the registrant is a shell company (as defined in Rule 12b</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2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4" w:lineRule="exact"/>
        <w:rPr>
          <w:sz w:val="24"/>
          <w:szCs w:val="24"/>
          <w:color w:val="auto"/>
        </w:rPr>
      </w:pPr>
    </w:p>
    <w:p>
      <w:pPr>
        <w:ind w:right="20"/>
        <w:spacing w:after="0" w:line="243" w:lineRule="auto"/>
        <w:rPr>
          <w:sz w:val="20"/>
          <w:szCs w:val="20"/>
          <w:color w:val="auto"/>
        </w:rPr>
      </w:pPr>
      <w:r>
        <w:rPr>
          <w:rFonts w:ascii="Arial" w:cs="Arial" w:eastAsia="Arial" w:hAnsi="Arial"/>
          <w:sz w:val="13"/>
          <w:szCs w:val="13"/>
          <w:color w:val="auto"/>
        </w:rPr>
        <w:t>The aggregate market value of common stock held by non-affiliates of the Registrant, based on the closing sales price for such stock on June 28, 2024 as reported by The Nasdaq Global Select Market, was approximately $454.3 million.</w:t>
      </w:r>
    </w:p>
    <w:p>
      <w:pPr>
        <w:spacing w:after="0" w:line="62" w:lineRule="exact"/>
        <w:rPr>
          <w:sz w:val="24"/>
          <w:szCs w:val="24"/>
          <w:color w:val="auto"/>
        </w:rPr>
      </w:pPr>
    </w:p>
    <w:p>
      <w:pPr>
        <w:spacing w:after="0"/>
        <w:rPr>
          <w:sz w:val="20"/>
          <w:szCs w:val="20"/>
          <w:color w:val="auto"/>
        </w:rPr>
      </w:pPr>
      <w:r>
        <w:rPr>
          <w:rFonts w:ascii="Arial" w:cs="Arial" w:eastAsia="Arial" w:hAnsi="Arial"/>
          <w:sz w:val="13"/>
          <w:szCs w:val="13"/>
          <w:color w:val="auto"/>
        </w:rPr>
        <w:t>As of March 13, 2025, the number of outstanding shares of the Registrant’s common stock was 68,333,065.</w:t>
      </w:r>
    </w:p>
    <w:p>
      <w:pPr>
        <w:spacing w:after="0" w:line="67"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80"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Portions of the registrant’s definitive Proxy Statement for the 2024 Annual Meeting of Stockholders to be filed with the U.S. Securities and Exchange Commission pursuant to Regulation 14A not later than 120 days after the end of the fiscal year covered by this Annual Report on Form 10</w:t>
      </w:r>
      <w:r>
        <w:rPr>
          <w:rFonts w:ascii="Arial Unicode MS" w:cs="Arial Unicode MS" w:eastAsia="Arial Unicode MS" w:hAnsi="Arial Unicode MS"/>
          <w:sz w:val="13"/>
          <w:szCs w:val="13"/>
          <w:color w:val="auto"/>
        </w:rPr>
        <w:t>‑</w:t>
      </w:r>
      <w:r>
        <w:rPr>
          <w:rFonts w:ascii="Arial" w:cs="Arial" w:eastAsia="Arial" w:hAnsi="Arial"/>
          <w:sz w:val="13"/>
          <w:szCs w:val="13"/>
          <w:color w:val="auto"/>
        </w:rPr>
        <w:t>K are incorporated by reference in Part III, Items 10</w:t>
      </w:r>
      <w:r>
        <w:rPr>
          <w:rFonts w:ascii="Arial Unicode MS" w:cs="Arial Unicode MS" w:eastAsia="Arial Unicode MS" w:hAnsi="Arial Unicode MS"/>
          <w:sz w:val="13"/>
          <w:szCs w:val="13"/>
          <w:color w:val="auto"/>
        </w:rPr>
        <w:t>‑</w:t>
      </w:r>
      <w:r>
        <w:rPr>
          <w:rFonts w:ascii="Arial" w:cs="Arial" w:eastAsia="Arial" w:hAnsi="Arial"/>
          <w:sz w:val="13"/>
          <w:szCs w:val="13"/>
          <w:color w:val="auto"/>
        </w:rPr>
        <w:t>14 of this Annual Report on Form 10</w:t>
      </w:r>
      <w:r>
        <w:rPr>
          <w:rFonts w:ascii="Arial Unicode MS" w:cs="Arial Unicode MS" w:eastAsia="Arial Unicode MS" w:hAnsi="Arial Unicode MS"/>
          <w:sz w:val="13"/>
          <w:szCs w:val="13"/>
          <w:color w:val="auto"/>
        </w:rPr>
        <w:t>‑</w:t>
      </w:r>
      <w:r>
        <w:rPr>
          <w:rFonts w:ascii="Arial" w:cs="Arial" w:eastAsia="Arial" w:hAnsi="Arial"/>
          <w:sz w:val="13"/>
          <w:szCs w:val="13"/>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gridSpan w:val="13"/>
          </w:tcPr>
          <w:p>
            <w:pPr>
              <w:jc w:val="center"/>
              <w:ind w:right="2660"/>
              <w:spacing w:after="0"/>
              <w:rPr>
                <w:sz w:val="20"/>
                <w:szCs w:val="20"/>
                <w:color w:val="auto"/>
              </w:rPr>
            </w:pPr>
            <w:r>
              <w:rPr>
                <w:rFonts w:ascii="Arial" w:cs="Arial" w:eastAsia="Arial" w:hAnsi="Arial"/>
                <w:sz w:val="22"/>
                <w:szCs w:val="22"/>
                <w:b w:val="1"/>
                <w:bCs w:val="1"/>
                <w:color w:val="auto"/>
                <w:w w:val="98"/>
              </w:rPr>
              <w:t>OLEMA PHARMACEUTICALS,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gridSpan w:val="13"/>
          </w:tcPr>
          <w:p>
            <w:pPr>
              <w:jc w:val="center"/>
              <w:ind w:right="2680"/>
              <w:spacing w:after="0" w:line="253" w:lineRule="exact"/>
              <w:rPr>
                <w:sz w:val="20"/>
                <w:szCs w:val="20"/>
                <w:color w:val="auto"/>
              </w:rPr>
            </w:pPr>
            <w:r>
              <w:rPr>
                <w:rFonts w:ascii="Arial" w:cs="Arial" w:eastAsia="Arial" w:hAnsi="Arial"/>
                <w:sz w:val="22"/>
                <w:szCs w:val="22"/>
                <w:b w:val="1"/>
                <w:bCs w:val="1"/>
                <w:color w:val="auto"/>
                <w:w w:val="98"/>
              </w:rPr>
              <w:t>2024 ANNUAL REPORT ON FORM 10</w:t>
            </w:r>
            <w:r>
              <w:rPr>
                <w:rFonts w:ascii="MS PGothic" w:cs="MS PGothic" w:eastAsia="MS PGothic" w:hAnsi="MS PGothic"/>
                <w:sz w:val="22"/>
                <w:szCs w:val="22"/>
                <w:color w:val="auto"/>
                <w:strike w:val="1"/>
                <w:w w:val="98"/>
              </w:rPr>
              <w:t>‑</w:t>
            </w:r>
            <w:r>
              <w:rPr>
                <w:rFonts w:ascii="Arial" w:cs="Arial" w:eastAsia="Arial" w:hAnsi="Arial"/>
                <w:sz w:val="22"/>
                <w:szCs w:val="22"/>
                <w:b w:val="1"/>
                <w:bCs w:val="1"/>
                <w:color w:val="auto"/>
                <w:w w:val="98"/>
              </w:rPr>
              <w:t>K</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gridSpan w:val="13"/>
          </w:tcPr>
          <w:p>
            <w:pPr>
              <w:jc w:val="center"/>
              <w:ind w:right="2680"/>
              <w:spacing w:after="0"/>
              <w:rPr>
                <w:sz w:val="20"/>
                <w:szCs w:val="20"/>
                <w:color w:val="auto"/>
              </w:rPr>
            </w:pPr>
            <w:r>
              <w:rPr>
                <w:rFonts w:ascii="Arial" w:cs="Arial" w:eastAsia="Arial" w:hAnsi="Arial"/>
                <w:sz w:val="22"/>
                <w:szCs w:val="22"/>
                <w:b w:val="1"/>
                <w:bCs w:val="1"/>
                <w:color w:val="auto"/>
                <w:w w:val="97"/>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260" w:type="dxa"/>
            <w:vAlign w:val="bottom"/>
            <w:gridSpan w:val="15"/>
            <w:vMerge w:val="restart"/>
          </w:tcPr>
          <w:p>
            <w:pPr>
              <w:spacing w:after="0"/>
              <w:rPr>
                <w:sz w:val="20"/>
                <w:szCs w:val="20"/>
                <w:color w:val="auto"/>
              </w:rPr>
            </w:pPr>
            <w:r>
              <w:rPr>
                <w:rFonts w:ascii="Arial" w:cs="Arial" w:eastAsia="Arial" w:hAnsi="Arial"/>
                <w:sz w:val="18"/>
                <w:szCs w:val="18"/>
                <w:color w:val="0000FF"/>
              </w:rPr>
              <w:t>PART I</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260" w:type="dxa"/>
            <w:vAlign w:val="bottom"/>
            <w:gridSpan w:val="15"/>
            <w:vMerge w:val="continue"/>
          </w:tcPr>
          <w:p>
            <w:pPr>
              <w:spacing w:after="0"/>
              <w:rPr>
                <w:sz w:val="14"/>
                <w:szCs w:val="14"/>
                <w:color w:val="auto"/>
              </w:rPr>
            </w:pPr>
          </w:p>
        </w:tc>
        <w:tc>
          <w:tcPr>
            <w:tcW w:w="9060" w:type="dxa"/>
            <w:vAlign w:val="bottom"/>
            <w:gridSpan w:val="23"/>
            <w:vMerge w:val="restart"/>
          </w:tcPr>
          <w:p>
            <w:pPr>
              <w:spacing w:after="0"/>
              <w:rPr>
                <w:sz w:val="20"/>
                <w:szCs w:val="20"/>
                <w:color w:val="auto"/>
              </w:rPr>
            </w:pPr>
            <w:r>
              <w:rPr>
                <w:rFonts w:ascii="Arial" w:cs="Arial" w:eastAsia="Arial" w:hAnsi="Arial"/>
                <w:sz w:val="18"/>
                <w:szCs w:val="18"/>
                <w:color w:val="0000FF"/>
              </w:rPr>
              <w:t>Business.</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60" w:type="dxa"/>
            <w:vAlign w:val="bottom"/>
            <w:gridSpan w:val="23"/>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120" w:type="dxa"/>
            <w:vAlign w:val="bottom"/>
            <w:gridSpan w:val="14"/>
          </w:tcPr>
          <w:p>
            <w:pPr>
              <w:spacing w:after="0" w:line="182" w:lineRule="exact"/>
              <w:rPr>
                <w:sz w:val="20"/>
                <w:szCs w:val="20"/>
                <w:color w:val="auto"/>
              </w:rPr>
            </w:pPr>
            <w:r>
              <w:rPr>
                <w:rFonts w:ascii="Arial" w:cs="Arial" w:eastAsia="Arial" w:hAnsi="Arial"/>
                <w:sz w:val="18"/>
                <w:szCs w:val="18"/>
                <w:color w:val="0000FF"/>
              </w:rPr>
              <w:t>Item 1.</w:t>
            </w:r>
          </w:p>
        </w:tc>
        <w:tc>
          <w:tcPr>
            <w:tcW w:w="9060" w:type="dxa"/>
            <w:vAlign w:val="bottom"/>
            <w:gridSpan w:val="2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120" w:type="dxa"/>
            <w:vAlign w:val="bottom"/>
            <w:gridSpan w:val="14"/>
          </w:tcPr>
          <w:p>
            <w:pPr>
              <w:spacing w:after="0" w:line="182" w:lineRule="exact"/>
              <w:rPr>
                <w:sz w:val="20"/>
                <w:szCs w:val="20"/>
                <w:color w:val="auto"/>
              </w:rPr>
            </w:pPr>
            <w:r>
              <w:rPr>
                <w:rFonts w:ascii="Arial" w:cs="Arial" w:eastAsia="Arial" w:hAnsi="Arial"/>
                <w:sz w:val="18"/>
                <w:szCs w:val="18"/>
                <w:color w:val="0000FF"/>
              </w:rPr>
              <w:t>Item 1A.</w:t>
            </w:r>
          </w:p>
        </w:tc>
        <w:tc>
          <w:tcPr>
            <w:tcW w:w="9060" w:type="dxa"/>
            <w:vAlign w:val="bottom"/>
            <w:gridSpan w:val="23"/>
          </w:tcPr>
          <w:p>
            <w:pPr>
              <w:spacing w:after="0" w:line="182" w:lineRule="exact"/>
              <w:rPr>
                <w:sz w:val="20"/>
                <w:szCs w:val="20"/>
                <w:color w:val="auto"/>
              </w:rPr>
            </w:pPr>
            <w:r>
              <w:rPr>
                <w:rFonts w:ascii="Arial" w:cs="Arial" w:eastAsia="Arial" w:hAnsi="Arial"/>
                <w:sz w:val="18"/>
                <w:szCs w:val="18"/>
                <w:color w:val="0000FF"/>
              </w:rPr>
              <w:t>Risk Factors.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20" w:type="dxa"/>
            <w:vAlign w:val="bottom"/>
            <w:gridSpan w:val="20"/>
            <w:vMerge w:val="restart"/>
          </w:tcPr>
          <w:p>
            <w:pPr>
              <w:spacing w:after="0" w:line="202" w:lineRule="exact"/>
              <w:rPr>
                <w:sz w:val="20"/>
                <w:szCs w:val="20"/>
                <w:color w:val="auto"/>
              </w:rPr>
            </w:pPr>
            <w:r>
              <w:rPr>
                <w:rFonts w:ascii="Arial" w:cs="Arial" w:eastAsia="Arial" w:hAnsi="Arial"/>
                <w:sz w:val="18"/>
                <w:szCs w:val="18"/>
                <w:color w:val="0000FF"/>
              </w:rPr>
              <w:t>Staff Comments.</w:t>
            </w: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720" w:type="dxa"/>
            <w:vAlign w:val="bottom"/>
            <w:gridSpan w:val="11"/>
          </w:tcPr>
          <w:p>
            <w:pPr>
              <w:spacing w:after="0" w:line="182" w:lineRule="exact"/>
              <w:rPr>
                <w:sz w:val="20"/>
                <w:szCs w:val="20"/>
                <w:color w:val="auto"/>
              </w:rPr>
            </w:pPr>
            <w:r>
              <w:rPr>
                <w:rFonts w:ascii="Arial" w:cs="Arial" w:eastAsia="Arial" w:hAnsi="Arial"/>
                <w:sz w:val="18"/>
                <w:szCs w:val="18"/>
                <w:color w:val="0000FF"/>
              </w:rPr>
              <w:t>Item 1B.</w:t>
            </w:r>
          </w:p>
        </w:tc>
        <w:tc>
          <w:tcPr>
            <w:tcW w:w="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40" w:type="dxa"/>
            <w:vAlign w:val="bottom"/>
            <w:gridSpan w:val="3"/>
          </w:tcPr>
          <w:p>
            <w:pPr>
              <w:spacing w:after="0" w:line="182" w:lineRule="exact"/>
              <w:rPr>
                <w:sz w:val="20"/>
                <w:szCs w:val="20"/>
                <w:color w:val="auto"/>
              </w:rPr>
            </w:pPr>
            <w:r>
              <w:rPr>
                <w:rFonts w:ascii="Arial" w:cs="Arial" w:eastAsia="Arial" w:hAnsi="Arial"/>
                <w:sz w:val="18"/>
                <w:szCs w:val="18"/>
                <w:color w:val="0000FF"/>
              </w:rPr>
              <w:t>Unresolved</w:t>
            </w:r>
          </w:p>
        </w:tc>
        <w:tc>
          <w:tcPr>
            <w:tcW w:w="8020" w:type="dxa"/>
            <w:vAlign w:val="bottom"/>
            <w:gridSpan w:val="20"/>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720" w:type="dxa"/>
            <w:vAlign w:val="bottom"/>
            <w:gridSpan w:val="11"/>
          </w:tcPr>
          <w:p>
            <w:pPr>
              <w:spacing w:after="0" w:line="182" w:lineRule="exact"/>
              <w:rPr>
                <w:sz w:val="20"/>
                <w:szCs w:val="20"/>
                <w:color w:val="auto"/>
              </w:rPr>
            </w:pPr>
            <w:r>
              <w:rPr>
                <w:rFonts w:ascii="Arial" w:cs="Arial" w:eastAsia="Arial" w:hAnsi="Arial"/>
                <w:sz w:val="18"/>
                <w:szCs w:val="18"/>
                <w:color w:val="0000FF"/>
              </w:rPr>
              <w:t>Item 1C.</w:t>
            </w:r>
          </w:p>
        </w:tc>
        <w:tc>
          <w:tcPr>
            <w:tcW w:w="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300" w:type="dxa"/>
            <w:vAlign w:val="bottom"/>
            <w:gridSpan w:val="10"/>
          </w:tcPr>
          <w:p>
            <w:pPr>
              <w:spacing w:after="0" w:line="182" w:lineRule="exact"/>
              <w:rPr>
                <w:sz w:val="20"/>
                <w:szCs w:val="20"/>
                <w:color w:val="auto"/>
              </w:rPr>
            </w:pPr>
            <w:r>
              <w:rPr>
                <w:rFonts w:ascii="Arial" w:cs="Arial" w:eastAsia="Arial" w:hAnsi="Arial"/>
                <w:sz w:val="18"/>
                <w:szCs w:val="18"/>
                <w:color w:val="0000FF"/>
              </w:rPr>
              <w:t>Cybersecurity</w:t>
            </w:r>
            <w:r>
              <w:rPr>
                <w:rFonts w:ascii="Arial" w:cs="Arial" w:eastAsia="Arial" w:hAnsi="Arial"/>
                <w:sz w:val="18"/>
                <w:szCs w:val="18"/>
                <w:color w:val="000000"/>
              </w:rPr>
              <w:t>.</w:t>
            </w:r>
          </w:p>
        </w:tc>
        <w:tc>
          <w:tcPr>
            <w:tcW w:w="9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740" w:type="dxa"/>
            <w:vAlign w:val="bottom"/>
            <w:gridSpan w:val="12"/>
          </w:tcPr>
          <w:p>
            <w:pPr>
              <w:spacing w:after="0" w:line="182" w:lineRule="exact"/>
              <w:rPr>
                <w:sz w:val="20"/>
                <w:szCs w:val="20"/>
                <w:color w:val="auto"/>
              </w:rPr>
            </w:pPr>
            <w:r>
              <w:rPr>
                <w:rFonts w:ascii="Arial" w:cs="Arial" w:eastAsia="Arial" w:hAnsi="Arial"/>
                <w:sz w:val="18"/>
                <w:szCs w:val="18"/>
                <w:color w:val="0000FF"/>
              </w:rPr>
              <w:t>Item 2.</w:t>
            </w:r>
          </w:p>
        </w:tc>
        <w:tc>
          <w:tcPr>
            <w:tcW w:w="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00" w:type="dxa"/>
            <w:vAlign w:val="bottom"/>
            <w:gridSpan w:val="4"/>
          </w:tcPr>
          <w:p>
            <w:pPr>
              <w:spacing w:after="0" w:line="182" w:lineRule="exact"/>
              <w:rPr>
                <w:sz w:val="20"/>
                <w:szCs w:val="20"/>
                <w:color w:val="auto"/>
              </w:rPr>
            </w:pPr>
            <w:r>
              <w:rPr>
                <w:rFonts w:ascii="Arial" w:cs="Arial" w:eastAsia="Arial" w:hAnsi="Arial"/>
                <w:sz w:val="18"/>
                <w:szCs w:val="18"/>
                <w:color w:val="0000FF"/>
              </w:rPr>
              <w:t>Properties.</w:t>
            </w:r>
          </w:p>
        </w:tc>
        <w:tc>
          <w:tcPr>
            <w:tcW w:w="3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560" w:type="dxa"/>
            <w:vAlign w:val="bottom"/>
            <w:gridSpan w:val="4"/>
          </w:tcPr>
          <w:p>
            <w:pPr>
              <w:spacing w:after="0" w:line="182" w:lineRule="exact"/>
              <w:rPr>
                <w:sz w:val="20"/>
                <w:szCs w:val="20"/>
                <w:color w:val="auto"/>
              </w:rPr>
            </w:pPr>
            <w:r>
              <w:rPr>
                <w:rFonts w:ascii="Arial" w:cs="Arial" w:eastAsia="Arial" w:hAnsi="Arial"/>
                <w:sz w:val="18"/>
                <w:szCs w:val="18"/>
                <w:color w:val="0000FF"/>
                <w:w w:val="98"/>
              </w:rPr>
              <w:t>Item 3.</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60" w:type="dxa"/>
            <w:vAlign w:val="bottom"/>
            <w:gridSpan w:val="23"/>
          </w:tcPr>
          <w:p>
            <w:pPr>
              <w:spacing w:after="0" w:line="182" w:lineRule="exact"/>
              <w:rPr>
                <w:sz w:val="20"/>
                <w:szCs w:val="20"/>
                <w:color w:val="auto"/>
              </w:rPr>
            </w:pPr>
            <w:r>
              <w:rPr>
                <w:rFonts w:ascii="Arial" w:cs="Arial" w:eastAsia="Arial" w:hAnsi="Arial"/>
                <w:sz w:val="18"/>
                <w:szCs w:val="18"/>
                <w:color w:val="0000FF"/>
              </w:rPr>
              <w:t>Legal Proceedings.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560" w:type="dxa"/>
            <w:vAlign w:val="bottom"/>
            <w:gridSpan w:val="4"/>
          </w:tcPr>
          <w:p>
            <w:pPr>
              <w:spacing w:after="0" w:line="182" w:lineRule="exact"/>
              <w:rPr>
                <w:sz w:val="20"/>
                <w:szCs w:val="20"/>
                <w:color w:val="auto"/>
              </w:rPr>
            </w:pPr>
            <w:r>
              <w:rPr>
                <w:rFonts w:ascii="Arial" w:cs="Arial" w:eastAsia="Arial" w:hAnsi="Arial"/>
                <w:sz w:val="18"/>
                <w:szCs w:val="18"/>
                <w:color w:val="0000FF"/>
                <w:w w:val="98"/>
              </w:rPr>
              <w:t>Item 4.</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60" w:type="dxa"/>
            <w:vAlign w:val="bottom"/>
            <w:gridSpan w:val="23"/>
          </w:tcPr>
          <w:p>
            <w:pPr>
              <w:spacing w:after="0" w:line="182" w:lineRule="exact"/>
              <w:rPr>
                <w:sz w:val="20"/>
                <w:szCs w:val="20"/>
                <w:color w:val="auto"/>
              </w:rPr>
            </w:pPr>
            <w:r>
              <w:rPr>
                <w:rFonts w:ascii="Arial" w:cs="Arial" w:eastAsia="Arial" w:hAnsi="Arial"/>
                <w:sz w:val="18"/>
                <w:szCs w:val="18"/>
                <w:color w:val="0000FF"/>
              </w:rPr>
              <w:t>Mine Safety Disclosures.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PART II</w:t>
            </w:r>
          </w:p>
        </w:tc>
        <w:tc>
          <w:tcPr>
            <w:tcW w:w="40" w:type="dxa"/>
            <w:vAlign w:val="bottom"/>
            <w:tcBorders>
              <w:bottom w:val="single" w:sz="8" w:color="0000EE"/>
            </w:tcBorders>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60" w:type="dxa"/>
            <w:vAlign w:val="bottom"/>
            <w:gridSpan w:val="23"/>
            <w:vMerge w:val="restart"/>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20" w:type="dxa"/>
            <w:vAlign w:val="bottom"/>
            <w:gridSpan w:val="14"/>
          </w:tcPr>
          <w:p>
            <w:pPr>
              <w:spacing w:after="0" w:line="182" w:lineRule="exact"/>
              <w:rPr>
                <w:sz w:val="20"/>
                <w:szCs w:val="20"/>
                <w:color w:val="auto"/>
              </w:rPr>
            </w:pPr>
            <w:r>
              <w:rPr>
                <w:rFonts w:ascii="Arial" w:cs="Arial" w:eastAsia="Arial" w:hAnsi="Arial"/>
                <w:sz w:val="18"/>
                <w:szCs w:val="18"/>
                <w:color w:val="0000FF"/>
              </w:rPr>
              <w:t>Item 5.</w:t>
            </w:r>
          </w:p>
        </w:tc>
        <w:tc>
          <w:tcPr>
            <w:tcW w:w="9060" w:type="dxa"/>
            <w:vAlign w:val="bottom"/>
            <w:gridSpan w:val="2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560" w:type="dxa"/>
            <w:vAlign w:val="bottom"/>
            <w:gridSpan w:val="4"/>
          </w:tcPr>
          <w:p>
            <w:pPr>
              <w:spacing w:after="0" w:line="182" w:lineRule="exact"/>
              <w:rPr>
                <w:sz w:val="20"/>
                <w:szCs w:val="20"/>
                <w:color w:val="auto"/>
              </w:rPr>
            </w:pPr>
            <w:r>
              <w:rPr>
                <w:rFonts w:ascii="Arial" w:cs="Arial" w:eastAsia="Arial" w:hAnsi="Arial"/>
                <w:sz w:val="18"/>
                <w:szCs w:val="18"/>
                <w:color w:val="0000FF"/>
                <w:w w:val="98"/>
              </w:rPr>
              <w:t>Item 6.</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940" w:type="dxa"/>
            <w:vAlign w:val="bottom"/>
            <w:gridSpan w:val="22"/>
          </w:tcPr>
          <w:p>
            <w:pPr>
              <w:spacing w:after="0" w:line="182" w:lineRule="exact"/>
              <w:rPr>
                <w:sz w:val="20"/>
                <w:szCs w:val="20"/>
                <w:color w:val="auto"/>
              </w:rPr>
            </w:pPr>
            <w:r>
              <w:rPr>
                <w:rFonts w:ascii="Arial" w:cs="Arial" w:eastAsia="Arial" w:hAnsi="Arial"/>
                <w:sz w:val="18"/>
                <w:szCs w:val="18"/>
                <w:color w:val="0000FF"/>
              </w:rPr>
              <w:t>Reserved.</w:t>
            </w: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560" w:type="dxa"/>
            <w:vAlign w:val="bottom"/>
            <w:gridSpan w:val="4"/>
          </w:tcPr>
          <w:p>
            <w:pPr>
              <w:spacing w:after="0" w:line="182" w:lineRule="exact"/>
              <w:rPr>
                <w:sz w:val="20"/>
                <w:szCs w:val="20"/>
                <w:color w:val="auto"/>
              </w:rPr>
            </w:pPr>
            <w:r>
              <w:rPr>
                <w:rFonts w:ascii="Arial" w:cs="Arial" w:eastAsia="Arial" w:hAnsi="Arial"/>
                <w:sz w:val="18"/>
                <w:szCs w:val="18"/>
                <w:color w:val="0000FF"/>
                <w:w w:val="98"/>
              </w:rPr>
              <w:t>Item 7.</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60" w:type="dxa"/>
            <w:vAlign w:val="bottom"/>
            <w:gridSpan w:val="23"/>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000" w:type="dxa"/>
            <w:vAlign w:val="bottom"/>
            <w:gridSpan w:val="2"/>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70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Item 7A.</w:t>
            </w:r>
          </w:p>
        </w:tc>
        <w:tc>
          <w:tcPr>
            <w:tcW w:w="420" w:type="dxa"/>
            <w:vAlign w:val="bottom"/>
            <w:gridSpan w:val="4"/>
          </w:tcPr>
          <w:p>
            <w:pPr>
              <w:spacing w:after="0"/>
              <w:rPr>
                <w:sz w:val="15"/>
                <w:szCs w:val="15"/>
                <w:color w:val="auto"/>
              </w:rPr>
            </w:pPr>
          </w:p>
        </w:tc>
        <w:tc>
          <w:tcPr>
            <w:tcW w:w="4760" w:type="dxa"/>
            <w:vAlign w:val="bottom"/>
            <w:tcBorders>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5"/>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00" w:type="dxa"/>
            <w:vAlign w:val="bottom"/>
            <w:gridSpan w:val="10"/>
          </w:tcPr>
          <w:p>
            <w:pPr>
              <w:spacing w:after="0" w:line="182" w:lineRule="exact"/>
              <w:rPr>
                <w:sz w:val="20"/>
                <w:szCs w:val="20"/>
                <w:color w:val="auto"/>
              </w:rPr>
            </w:pPr>
            <w:r>
              <w:rPr>
                <w:rFonts w:ascii="Arial" w:cs="Arial" w:eastAsia="Arial" w:hAnsi="Arial"/>
                <w:sz w:val="18"/>
                <w:szCs w:val="18"/>
                <w:color w:val="0000FF"/>
              </w:rPr>
              <w:t>Item 8.</w:t>
            </w:r>
          </w:p>
        </w:tc>
        <w:tc>
          <w:tcPr>
            <w:tcW w:w="3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9060" w:type="dxa"/>
            <w:vAlign w:val="bottom"/>
            <w:gridSpan w:val="23"/>
          </w:tcPr>
          <w:p>
            <w:pPr>
              <w:spacing w:after="0" w:line="182" w:lineRule="exact"/>
              <w:rPr>
                <w:sz w:val="20"/>
                <w:szCs w:val="20"/>
                <w:color w:val="auto"/>
              </w:rPr>
            </w:pPr>
            <w:r>
              <w:rPr>
                <w:rFonts w:ascii="Arial" w:cs="Arial" w:eastAsia="Arial" w:hAnsi="Arial"/>
                <w:sz w:val="18"/>
                <w:szCs w:val="18"/>
                <w:color w:val="0000FF"/>
              </w:rPr>
              <w:t>Consolidated Financial Statements and Supplementary Data.</w:t>
            </w: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560" w:type="dxa"/>
            <w:vAlign w:val="bottom"/>
            <w:gridSpan w:val="4"/>
          </w:tcPr>
          <w:p>
            <w:pPr>
              <w:spacing w:after="0" w:line="182" w:lineRule="exact"/>
              <w:rPr>
                <w:sz w:val="20"/>
                <w:szCs w:val="20"/>
                <w:color w:val="auto"/>
              </w:rPr>
            </w:pPr>
            <w:r>
              <w:rPr>
                <w:rFonts w:ascii="Arial" w:cs="Arial" w:eastAsia="Arial" w:hAnsi="Arial"/>
                <w:sz w:val="18"/>
                <w:szCs w:val="18"/>
                <w:color w:val="0000FF"/>
                <w:w w:val="98"/>
              </w:rPr>
              <w:t>Item 9.</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60" w:type="dxa"/>
            <w:vAlign w:val="bottom"/>
            <w:gridSpan w:val="23"/>
          </w:tcPr>
          <w:p>
            <w:pPr>
              <w:spacing w:after="0" w:line="18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000" w:type="dxa"/>
            <w:vAlign w:val="bottom"/>
            <w:gridSpan w:val="2"/>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120" w:type="dxa"/>
            <w:vAlign w:val="bottom"/>
            <w:gridSpan w:val="14"/>
          </w:tcPr>
          <w:p>
            <w:pPr>
              <w:spacing w:after="0" w:line="182" w:lineRule="exact"/>
              <w:rPr>
                <w:sz w:val="20"/>
                <w:szCs w:val="20"/>
                <w:color w:val="auto"/>
              </w:rPr>
            </w:pPr>
            <w:r>
              <w:rPr>
                <w:rFonts w:ascii="Arial" w:cs="Arial" w:eastAsia="Arial" w:hAnsi="Arial"/>
                <w:sz w:val="18"/>
                <w:szCs w:val="18"/>
                <w:color w:val="0000FF"/>
              </w:rPr>
              <w:t>Item 9A.</w:t>
            </w:r>
          </w:p>
        </w:tc>
        <w:tc>
          <w:tcPr>
            <w:tcW w:w="7180" w:type="dxa"/>
            <w:vAlign w:val="bottom"/>
            <w:gridSpan w:val="20"/>
          </w:tcPr>
          <w:p>
            <w:pPr>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tcBorders>
              <w:left w:val="single" w:sz="8" w:color="0000EE"/>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gridSpan w:val="3"/>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940" w:type="dxa"/>
            <w:vAlign w:val="bottom"/>
            <w:gridSpan w:val="4"/>
            <w:vMerge w:val="restart"/>
          </w:tcPr>
          <w:p>
            <w:pPr>
              <w:spacing w:after="0" w:line="20" w:lineRule="exact"/>
              <w:rPr>
                <w:sz w:val="1"/>
                <w:szCs w:val="1"/>
                <w:color w:val="auto"/>
              </w:rPr>
            </w:pPr>
          </w:p>
        </w:tc>
        <w:tc>
          <w:tcPr>
            <w:tcW w:w="1000" w:type="dxa"/>
            <w:vAlign w:val="bottom"/>
            <w:gridSpan w:val="2"/>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720" w:type="dxa"/>
            <w:vAlign w:val="bottom"/>
            <w:gridSpan w:val="11"/>
          </w:tcPr>
          <w:p>
            <w:pPr>
              <w:spacing w:after="0" w:line="182" w:lineRule="exact"/>
              <w:rPr>
                <w:sz w:val="20"/>
                <w:szCs w:val="20"/>
                <w:color w:val="auto"/>
              </w:rPr>
            </w:pPr>
            <w:r>
              <w:rPr>
                <w:rFonts w:ascii="Arial" w:cs="Arial" w:eastAsia="Arial" w:hAnsi="Arial"/>
                <w:sz w:val="18"/>
                <w:szCs w:val="18"/>
                <w:color w:val="0000FF"/>
              </w:rPr>
              <w:t>Item 9B.</w:t>
            </w:r>
          </w:p>
        </w:tc>
        <w:tc>
          <w:tcPr>
            <w:tcW w:w="3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40" w:type="dxa"/>
            <w:vAlign w:val="bottom"/>
            <w:gridSpan w:val="9"/>
          </w:tcPr>
          <w:p>
            <w:pPr>
              <w:spacing w:after="0" w:line="182" w:lineRule="exact"/>
              <w:rPr>
                <w:sz w:val="20"/>
                <w:szCs w:val="20"/>
                <w:color w:val="auto"/>
              </w:rPr>
            </w:pPr>
            <w:r>
              <w:rPr>
                <w:rFonts w:ascii="Arial" w:cs="Arial" w:eastAsia="Arial" w:hAnsi="Arial"/>
                <w:sz w:val="18"/>
                <w:szCs w:val="18"/>
                <w:color w:val="0000FF"/>
              </w:rPr>
              <w:t>Other Information.</w:t>
            </w:r>
          </w:p>
        </w:tc>
        <w:tc>
          <w:tcPr>
            <w:tcW w:w="118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940" w:type="dxa"/>
            <w:vAlign w:val="bottom"/>
            <w:gridSpan w:val="4"/>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tcBorders>
              <w:left w:val="single" w:sz="8" w:color="0000EE"/>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700" w:type="dxa"/>
            <w:vAlign w:val="bottom"/>
            <w:gridSpan w:val="10"/>
          </w:tcPr>
          <w:p>
            <w:pPr>
              <w:spacing w:after="0" w:line="182" w:lineRule="exact"/>
              <w:rPr>
                <w:sz w:val="20"/>
                <w:szCs w:val="20"/>
                <w:color w:val="auto"/>
              </w:rPr>
            </w:pPr>
            <w:r>
              <w:rPr>
                <w:rFonts w:ascii="Arial" w:cs="Arial" w:eastAsia="Arial" w:hAnsi="Arial"/>
                <w:sz w:val="18"/>
                <w:szCs w:val="18"/>
                <w:color w:val="0000FF"/>
              </w:rPr>
              <w:t>Item 9C</w:t>
            </w:r>
          </w:p>
        </w:tc>
        <w:tc>
          <w:tcPr>
            <w:tcW w:w="340" w:type="dxa"/>
            <w:vAlign w:val="bottom"/>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60" w:type="dxa"/>
            <w:vAlign w:val="bottom"/>
            <w:gridSpan w:val="23"/>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tcBorders>
              <w:left w:val="single" w:sz="8" w:color="0000EE"/>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PART III</w:t>
            </w:r>
          </w:p>
        </w:tc>
        <w:tc>
          <w:tcPr>
            <w:tcW w:w="2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60" w:type="dxa"/>
            <w:vAlign w:val="bottom"/>
            <w:gridSpan w:val="23"/>
            <w:vMerge w:val="restart"/>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20" w:type="dxa"/>
            <w:vAlign w:val="bottom"/>
            <w:gridSpan w:val="14"/>
          </w:tcPr>
          <w:p>
            <w:pPr>
              <w:spacing w:after="0" w:line="182" w:lineRule="exact"/>
              <w:rPr>
                <w:sz w:val="20"/>
                <w:szCs w:val="20"/>
                <w:color w:val="auto"/>
              </w:rPr>
            </w:pPr>
            <w:r>
              <w:rPr>
                <w:rFonts w:ascii="Arial" w:cs="Arial" w:eastAsia="Arial" w:hAnsi="Arial"/>
                <w:sz w:val="18"/>
                <w:szCs w:val="18"/>
                <w:color w:val="0000FF"/>
              </w:rPr>
              <w:t>Item 10.</w:t>
            </w:r>
          </w:p>
        </w:tc>
        <w:tc>
          <w:tcPr>
            <w:tcW w:w="9060" w:type="dxa"/>
            <w:vAlign w:val="bottom"/>
            <w:gridSpan w:val="2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left w:val="single" w:sz="8" w:color="0000EE"/>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gridSpan w:val="4"/>
            <w:vMerge w:val="restart"/>
          </w:tcPr>
          <w:p>
            <w:pPr>
              <w:spacing w:after="0" w:line="20" w:lineRule="exact"/>
              <w:rPr>
                <w:sz w:val="1"/>
                <w:szCs w:val="1"/>
                <w:color w:val="auto"/>
              </w:rPr>
            </w:pPr>
          </w:p>
        </w:tc>
        <w:tc>
          <w:tcPr>
            <w:tcW w:w="1940" w:type="dxa"/>
            <w:vAlign w:val="bottom"/>
            <w:gridSpan w:val="4"/>
            <w:vMerge w:val="restart"/>
          </w:tcPr>
          <w:p>
            <w:pPr>
              <w:spacing w:after="0" w:line="20" w:lineRule="exact"/>
              <w:rPr>
                <w:sz w:val="1"/>
                <w:szCs w:val="1"/>
                <w:color w:val="auto"/>
              </w:rPr>
            </w:pPr>
          </w:p>
        </w:tc>
        <w:tc>
          <w:tcPr>
            <w:tcW w:w="1000" w:type="dxa"/>
            <w:vAlign w:val="bottom"/>
            <w:gridSpan w:val="2"/>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680" w:type="dxa"/>
            <w:vAlign w:val="bottom"/>
            <w:gridSpan w:val="9"/>
          </w:tcPr>
          <w:p>
            <w:pPr>
              <w:spacing w:after="0" w:line="182" w:lineRule="exact"/>
              <w:rPr>
                <w:sz w:val="20"/>
                <w:szCs w:val="20"/>
                <w:color w:val="auto"/>
              </w:rPr>
            </w:pPr>
            <w:r>
              <w:rPr>
                <w:rFonts w:ascii="Arial" w:cs="Arial" w:eastAsia="Arial" w:hAnsi="Arial"/>
                <w:sz w:val="18"/>
                <w:szCs w:val="18"/>
                <w:color w:val="0000FF"/>
              </w:rPr>
              <w:t>Item 11.</w:t>
            </w: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540" w:type="dxa"/>
            <w:vAlign w:val="bottom"/>
            <w:gridSpan w:val="12"/>
          </w:tcPr>
          <w:p>
            <w:pPr>
              <w:spacing w:after="0" w:line="182" w:lineRule="exact"/>
              <w:rPr>
                <w:sz w:val="20"/>
                <w:szCs w:val="20"/>
                <w:color w:val="auto"/>
              </w:rPr>
            </w:pPr>
            <w:r>
              <w:rPr>
                <w:rFonts w:ascii="Arial" w:cs="Arial" w:eastAsia="Arial" w:hAnsi="Arial"/>
                <w:sz w:val="18"/>
                <w:szCs w:val="18"/>
                <w:color w:val="0000FF"/>
              </w:rPr>
              <w:t>Executive Compensation.</w:t>
            </w:r>
          </w:p>
        </w:tc>
        <w:tc>
          <w:tcPr>
            <w:tcW w:w="20" w:type="dxa"/>
            <w:vAlign w:val="bottom"/>
            <w:vMerge w:val="continue"/>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940" w:type="dxa"/>
            <w:vAlign w:val="bottom"/>
            <w:gridSpan w:val="4"/>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left w:val="single" w:sz="8" w:color="0000EE"/>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680" w:type="dxa"/>
            <w:vAlign w:val="bottom"/>
            <w:gridSpan w:val="9"/>
          </w:tcPr>
          <w:p>
            <w:pPr>
              <w:spacing w:after="0" w:line="182" w:lineRule="exact"/>
              <w:rPr>
                <w:sz w:val="20"/>
                <w:szCs w:val="20"/>
                <w:color w:val="auto"/>
              </w:rPr>
            </w:pPr>
            <w:r>
              <w:rPr>
                <w:rFonts w:ascii="Arial" w:cs="Arial" w:eastAsia="Arial" w:hAnsi="Arial"/>
                <w:sz w:val="18"/>
                <w:szCs w:val="18"/>
                <w:color w:val="0000FF"/>
              </w:rPr>
              <w:t>Item 12.</w:t>
            </w: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60" w:type="dxa"/>
            <w:vAlign w:val="bottom"/>
            <w:gridSpan w:val="23"/>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left w:val="single" w:sz="8" w:color="0000EE"/>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000" w:type="dxa"/>
            <w:vAlign w:val="bottom"/>
            <w:gridSpan w:val="2"/>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680" w:type="dxa"/>
            <w:vAlign w:val="bottom"/>
            <w:gridSpan w:val="9"/>
          </w:tcPr>
          <w:p>
            <w:pPr>
              <w:spacing w:after="0" w:line="182" w:lineRule="exact"/>
              <w:rPr>
                <w:sz w:val="20"/>
                <w:szCs w:val="20"/>
                <w:color w:val="auto"/>
              </w:rPr>
            </w:pPr>
            <w:r>
              <w:rPr>
                <w:rFonts w:ascii="Arial" w:cs="Arial" w:eastAsia="Arial" w:hAnsi="Arial"/>
                <w:sz w:val="18"/>
                <w:szCs w:val="18"/>
                <w:color w:val="0000FF"/>
              </w:rPr>
              <w:t>Item 13.</w:t>
            </w: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60" w:type="dxa"/>
            <w:vAlign w:val="bottom"/>
            <w:gridSpan w:val="21"/>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0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left w:val="single" w:sz="8" w:color="0000EE"/>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940" w:type="dxa"/>
            <w:vAlign w:val="bottom"/>
            <w:gridSpan w:val="6"/>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680" w:type="dxa"/>
            <w:vAlign w:val="bottom"/>
            <w:gridSpan w:val="9"/>
          </w:tcPr>
          <w:p>
            <w:pPr>
              <w:spacing w:after="0" w:line="182" w:lineRule="exact"/>
              <w:rPr>
                <w:sz w:val="20"/>
                <w:szCs w:val="20"/>
                <w:color w:val="auto"/>
              </w:rPr>
            </w:pPr>
            <w:r>
              <w:rPr>
                <w:rFonts w:ascii="Arial" w:cs="Arial" w:eastAsia="Arial" w:hAnsi="Arial"/>
                <w:sz w:val="18"/>
                <w:szCs w:val="18"/>
                <w:color w:val="0000FF"/>
              </w:rPr>
              <w:t>Item 14.</w:t>
            </w: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120" w:type="dxa"/>
            <w:vAlign w:val="bottom"/>
            <w:gridSpan w:val="17"/>
          </w:tcPr>
          <w:p>
            <w:pPr>
              <w:spacing w:after="0" w:line="182" w:lineRule="exact"/>
              <w:rPr>
                <w:sz w:val="20"/>
                <w:szCs w:val="20"/>
                <w:color w:val="auto"/>
              </w:rPr>
            </w:pPr>
            <w:r>
              <w:rPr>
                <w:rFonts w:ascii="Arial" w:cs="Arial" w:eastAsia="Arial" w:hAnsi="Arial"/>
                <w:sz w:val="18"/>
                <w:szCs w:val="18"/>
                <w:color w:val="0000FF"/>
              </w:rPr>
              <w:t>Principal Accountant Fees and Services.</w:t>
            </w:r>
          </w:p>
        </w:tc>
        <w:tc>
          <w:tcPr>
            <w:tcW w:w="2940" w:type="dxa"/>
            <w:vAlign w:val="bottom"/>
            <w:gridSpan w:val="6"/>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left w:val="single" w:sz="8" w:color="0000EE"/>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5"/>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PART IV</w:t>
            </w:r>
          </w:p>
        </w:tc>
        <w:tc>
          <w:tcPr>
            <w:tcW w:w="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5"/>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60" w:type="dxa"/>
            <w:vAlign w:val="bottom"/>
            <w:gridSpan w:val="23"/>
            <w:vMerge w:val="restart"/>
          </w:tcPr>
          <w:p>
            <w:pPr>
              <w:spacing w:after="0"/>
              <w:rPr>
                <w:sz w:val="20"/>
                <w:szCs w:val="20"/>
                <w:color w:val="auto"/>
              </w:rPr>
            </w:pPr>
            <w:r>
              <w:rPr>
                <w:rFonts w:ascii="Arial" w:cs="Arial" w:eastAsia="Arial" w:hAnsi="Arial"/>
                <w:sz w:val="18"/>
                <w:szCs w:val="18"/>
                <w:color w:val="0000FF"/>
              </w:rPr>
              <w:t>Exhibit and Consolidated Financial Statement Schedules.</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20" w:type="dxa"/>
            <w:vAlign w:val="bottom"/>
            <w:gridSpan w:val="14"/>
          </w:tcPr>
          <w:p>
            <w:pPr>
              <w:spacing w:after="0" w:line="182" w:lineRule="exact"/>
              <w:rPr>
                <w:sz w:val="20"/>
                <w:szCs w:val="20"/>
                <w:color w:val="auto"/>
              </w:rPr>
            </w:pPr>
            <w:r>
              <w:rPr>
                <w:rFonts w:ascii="Arial" w:cs="Arial" w:eastAsia="Arial" w:hAnsi="Arial"/>
                <w:sz w:val="18"/>
                <w:szCs w:val="18"/>
                <w:color w:val="0000FF"/>
              </w:rPr>
              <w:t>Item 15.</w:t>
            </w:r>
          </w:p>
        </w:tc>
        <w:tc>
          <w:tcPr>
            <w:tcW w:w="9060" w:type="dxa"/>
            <w:vAlign w:val="bottom"/>
            <w:gridSpan w:val="2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60" w:type="dxa"/>
            <w:vAlign w:val="bottom"/>
            <w:tcBorders>
              <w:left w:val="single" w:sz="8" w:color="0000EE"/>
            </w:tcBorders>
            <w:gridSpan w:val="8"/>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2840" w:type="dxa"/>
            <w:vAlign w:val="bottom"/>
            <w:gridSpan w:val="6"/>
            <w:shd w:val="clear" w:color="auto" w:fill="0000FF"/>
          </w:tcPr>
          <w:p>
            <w:pPr>
              <w:spacing w:after="0" w:line="20" w:lineRule="exact"/>
              <w:rPr>
                <w:sz w:val="1"/>
                <w:szCs w:val="1"/>
                <w:color w:val="auto"/>
              </w:rPr>
            </w:pPr>
          </w:p>
        </w:tc>
        <w:tc>
          <w:tcPr>
            <w:tcW w:w="4500" w:type="dxa"/>
            <w:vAlign w:val="bottom"/>
            <w:gridSpan w:val="10"/>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680" w:type="dxa"/>
            <w:vAlign w:val="bottom"/>
            <w:gridSpan w:val="9"/>
          </w:tcPr>
          <w:p>
            <w:pPr>
              <w:spacing w:after="0" w:line="182" w:lineRule="exact"/>
              <w:rPr>
                <w:sz w:val="20"/>
                <w:szCs w:val="20"/>
                <w:color w:val="auto"/>
              </w:rPr>
            </w:pPr>
            <w:r>
              <w:rPr>
                <w:rFonts w:ascii="Arial" w:cs="Arial" w:eastAsia="Arial" w:hAnsi="Arial"/>
                <w:sz w:val="18"/>
                <w:szCs w:val="18"/>
                <w:color w:val="0000FF"/>
              </w:rPr>
              <w:t>Item 16.</w:t>
            </w:r>
          </w:p>
        </w:tc>
        <w:tc>
          <w:tcPr>
            <w:tcW w:w="36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560" w:type="dxa"/>
            <w:vAlign w:val="bottom"/>
            <w:gridSpan w:val="13"/>
          </w:tcPr>
          <w:p>
            <w:pPr>
              <w:spacing w:after="0" w:line="182" w:lineRule="exact"/>
              <w:rPr>
                <w:sz w:val="20"/>
                <w:szCs w:val="20"/>
                <w:color w:val="auto"/>
              </w:rPr>
            </w:pPr>
            <w:r>
              <w:rPr>
                <w:rFonts w:ascii="Arial" w:cs="Arial" w:eastAsia="Arial" w:hAnsi="Arial"/>
                <w:sz w:val="18"/>
                <w:szCs w:val="18"/>
                <w:color w:val="0000FF"/>
              </w:rPr>
              <w:t>Form 10</w:t>
            </w:r>
            <w:r>
              <w:rPr>
                <w:rFonts w:ascii="MS PGothic" w:cs="MS PGothic" w:eastAsia="MS PGothic" w:hAnsi="MS PGothic"/>
                <w:sz w:val="18"/>
                <w:szCs w:val="18"/>
                <w:color w:val="0000FF"/>
              </w:rPr>
              <w:t>‑</w:t>
            </w:r>
            <w:r>
              <w:rPr>
                <w:rFonts w:ascii="Arial" w:cs="Arial" w:eastAsia="Arial" w:hAnsi="Arial"/>
                <w:sz w:val="18"/>
                <w:szCs w:val="18"/>
                <w:color w:val="0000FF"/>
              </w:rPr>
              <w:t>K Summary.</w:t>
            </w:r>
          </w:p>
        </w:tc>
        <w:tc>
          <w:tcPr>
            <w:tcW w:w="4500" w:type="dxa"/>
            <w:vAlign w:val="bottom"/>
            <w:gridSpan w:val="10"/>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660" w:type="dxa"/>
            <w:vAlign w:val="bottom"/>
            <w:tcBorders>
              <w:left w:val="single" w:sz="8" w:color="0000EE"/>
            </w:tcBorders>
            <w:gridSpan w:val="8"/>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line="20" w:lineRule="exact"/>
              <w:rPr>
                <w:sz w:val="1"/>
                <w:szCs w:val="1"/>
                <w:color w:val="auto"/>
              </w:rPr>
            </w:pPr>
          </w:p>
        </w:tc>
      </w:tr>
      <w:tr>
        <w:trPr>
          <w:trHeight w:val="183"/>
        </w:trPr>
        <w:tc>
          <w:tcPr>
            <w:tcW w:w="140" w:type="dxa"/>
            <w:vAlign w:val="bottom"/>
            <w:vMerge w:val="continue"/>
          </w:tcPr>
          <w:p>
            <w:pPr>
              <w:spacing w:after="0"/>
              <w:rPr>
                <w:sz w:val="15"/>
                <w:szCs w:val="15"/>
                <w:color w:val="auto"/>
              </w:rPr>
            </w:pPr>
          </w:p>
        </w:tc>
        <w:tc>
          <w:tcPr>
            <w:tcW w:w="1120" w:type="dxa"/>
            <w:vAlign w:val="bottom"/>
            <w:gridSpan w:val="14"/>
          </w:tcPr>
          <w:p>
            <w:pPr>
              <w:spacing w:after="0" w:line="182" w:lineRule="exact"/>
              <w:rPr>
                <w:sz w:val="20"/>
                <w:szCs w:val="20"/>
                <w:color w:val="auto"/>
              </w:rPr>
            </w:pPr>
            <w:r>
              <w:rPr>
                <w:rFonts w:ascii="Arial" w:cs="Arial" w:eastAsia="Arial" w:hAnsi="Arial"/>
                <w:sz w:val="18"/>
                <w:szCs w:val="18"/>
                <w:color w:val="0000FF"/>
                <w:w w:val="93"/>
              </w:rPr>
              <w:t>SIGNATURES</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41" w:lineRule="exact"/>
        <w:rPr>
          <w:sz w:val="20"/>
          <w:szCs w:val="20"/>
          <w:color w:val="auto"/>
        </w:rPr>
      </w:pPr>
      <w:r>
        <w:rPr>
          <w:rFonts w:ascii="Arial" w:cs="Arial" w:eastAsia="Arial" w:hAnsi="Arial"/>
          <w:sz w:val="18"/>
          <w:szCs w:val="18"/>
          <w:color w:val="auto"/>
        </w:rPr>
        <w:t>Unless the context suggests otherwise, references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Annual Report), to “us,” “our,” “Olema,” “Olema Pharmaceuticals,” “we,” the “Company” and similar designations refer to Olema Pharmaceuticals, Inc. and, where appropriate, its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(the Securities Act), and Section 21E of the Securities Exchange Act of 1934, as amended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p>
      <w:pPr>
        <w:spacing w:after="0" w:line="183"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financial performance;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sufficiency of our existing cash to fund our future operating expenses and capital expenditure requirements;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accuracy of our estimates regarding expenses, future revenue, capital requirements, and needs for additional financing;</w:t>
      </w:r>
    </w:p>
    <w:p>
      <w:pPr>
        <w:spacing w:after="0" w:line="184" w:lineRule="exact"/>
        <w:rPr>
          <w:rFonts w:ascii="Times New Roman" w:cs="Times New Roman" w:eastAsia="Times New Roman" w:hAnsi="Times New Roman"/>
          <w:sz w:val="18"/>
          <w:szCs w:val="18"/>
          <w:color w:val="231F20"/>
        </w:rPr>
      </w:pPr>
    </w:p>
    <w:p>
      <w:pPr>
        <w:jc w:val="both"/>
        <w:ind w:left="760" w:hanging="378"/>
        <w:spacing w:after="0" w:line="228" w:lineRule="exact"/>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developing palazestrant (OP</w:t>
      </w:r>
      <w:r>
        <w:rPr>
          <w:rFonts w:ascii="MS PGothic" w:cs="MS PGothic" w:eastAsia="MS PGothic" w:hAnsi="MS PGothic"/>
          <w:sz w:val="18"/>
          <w:szCs w:val="18"/>
          <w:color w:val="231F20"/>
        </w:rPr>
        <w:t>‑</w:t>
      </w:r>
      <w:r>
        <w:rPr>
          <w:rFonts w:ascii="Arial" w:cs="Arial" w:eastAsia="Arial" w:hAnsi="Arial"/>
          <w:sz w:val="18"/>
          <w:szCs w:val="18"/>
          <w:color w:val="231F20"/>
        </w:rPr>
        <w:t>1250), OP-3136 or any other product candidates we may develop, and conducting non-clinical studies and clinical trials, including for OP-3136 and our palazestrant Phase 1/2 clinical studies and Phase 3 clinical trials;</w:t>
      </w:r>
    </w:p>
    <w:p>
      <w:pPr>
        <w:spacing w:after="0" w:line="179"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costs involved in obtaining and maintaining regulatory approval of palazestrant, OP-3136 or any other product candidates we may develop, and the timing or likelihood of regulatory filings and approvals, including our expectation to seek special designations for our product candidates for various diseases;</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plans relating to commercializing palazestrant, OP-3136 and any other product candidates we may develop, if approved, including the geographic areas of focus and our ability to grow a sales team;</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implementation of our strategic plans for our business, palazestrant, OP-3136 or any other product candidates we may develop;</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size of the market opportunity for palazestrant, OP-3136 or any other product candidates we may develop in each of the diseases we target;</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reliance on third parties to conduct non-clinical research activities, and for the manufacture of palazestrant, OP-3136 and any other product candidates we may develop;</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beneficial characteristics, safety, efficacy and therapeutic effects of palazestrant, OP-3136 and any other product candidates we may develop;</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estimates of the number of patients in the United States who suffer from the diseases we target and the number of subjects that will enroll in our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progress and focus of our current and future clinical trials, and the reporting of data from those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advance product candidates into and successfully complete clinical trials;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ability of our clinical trials to demonstrate the safety and efficacy of palazestrant, OP-3136 and any other product candidates we may develop, and other positive results;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developments relating to our competitors and our industry, including competing product candidates and therapies;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plans relating to the further development and manufacturing of palazestrant, OP-3136 and any other product candidates we may develop, including additional indications that we may pursue;</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existing regulations and regulatory developments in the United States and other jurisdictions;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potential and ability to successfully manufacture and supply palazestrant, OP-3136 and any other product candidates we may develop for clinical trials and for commercial use, if approved;</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rate and degree of market acceptance of palazestrant, OP-3136 and any other product candidates we may develop, as well as the pricing and reimbursement of palazestrant, OP-3136 and any other product candidates we may develop, if approved;</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continued reliance on third parties to conduct additional clinical trials of palazestrant, OP-3136 and any other product candidates we may develop, and for the manufacture of our product candidates;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plans and ability to obtain and protect intellectual property rights, including the scope of protection we are able to establish and maintain for palazestrant, OP-3136 and any other product candidates we may develop;</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access capital resources on favorable terms, or at all;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retain the continued service of our key personnel and to identify, hire, and then retain additional qualified personnel.</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entitled “Risk Factors” included under Part I, Item 1A below. Furthermore, such forward-looking statements speak only as of the date of this Annual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 SUMMARY</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Investing in our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spacing w:after="0" w:line="304" w:lineRule="exact"/>
        <w:rPr>
          <w:sz w:val="20"/>
          <w:szCs w:val="20"/>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no products approved for commercial sale, which may make it difficult for you to evaluate our current business and predict our future success and viability.</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net losses since inception, and we expect to continue to incur net losses for the foreseeable future. In addition, we may be unable to continue as a going concern over the long term.</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(NDA), to the FDA or similar drug approval filings to comparable foreign authorities. If we are ultimately unable to obtain regulatory approval for palazestrant or OP-3136, we will be unable to generate product revenue and our business, financial condition, results of operations and prospects will be significantly harmed.</w:t>
      </w:r>
    </w:p>
    <w:p>
      <w:pPr>
        <w:spacing w:after="0" w:line="7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palazestrant or OP-3136 may not achieve adequate market acceptance among physicians, patients, healthcare payors and others in the medical community necessary for commercial success.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obtain U.S. or foreign regulatory approvals and, as a result, may be unable to commercialize palazestrant, OP-3136 or any future product candidate we may develop.</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U.S. and global macroeconomic and geopolitical conditions could adversely affect our business, financial condition and results of operations.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020"/>
        <w:spacing w:after="0" w:line="253" w:lineRule="auto"/>
        <w:rPr>
          <w:sz w:val="20"/>
          <w:szCs w:val="20"/>
          <w:color w:val="auto"/>
        </w:rPr>
      </w:pPr>
      <w:r>
        <w:rPr>
          <w:rFonts w:ascii="Arial" w:cs="Arial" w:eastAsia="Arial" w:hAnsi="Arial"/>
          <w:sz w:val="18"/>
          <w:szCs w:val="18"/>
          <w:color w:val="auto"/>
        </w:rPr>
        <w:t>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61" w:lineRule="exact"/>
        <w:rPr>
          <w:sz w:val="20"/>
          <w:szCs w:val="20"/>
          <w:color w:val="auto"/>
        </w:rPr>
      </w:pPr>
    </w:p>
    <w:p>
      <w:pPr>
        <w:jc w:val="both"/>
        <w:ind w:left="1020" w:right="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Olema is a clinical-stage biopharmaceutical company focused on the discovery, development, and commercialization of next generation targeted therapies for breast cancer and beyond. We are advancing our pipeline of novel therapies by leveraging our deep understanding of endocrine-driven cancers, nuclear receptors, and mechanisms of acquired resistance.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lead product candidate, palazestrant (formerly known as OP-1250), is a novel, orally-available small molecule with dual activity as both a complete estrogen receptor (ER) antagonist (CERAN) and selective ER degrader (SERD), currently being investigated in patients with recurrent, locally advanced or metastatic ER-positive (ER+), human epidermal growth factor receptor 2-negative (HER2-), breast cancer. In pre-clinical models, palazestrant binds and completely blocks ER-driven transcriptional activity in both wild-type and mutant forms of metastatic ER+ breast cancer. In clinical studies across more than 400 patients, palazestrant has demonstrated strong anti-tumor activity, attractive pharmacokinetics and prolonged drug exposure, favorable tolerability, and combinability with CDK4/6 inhibitors with no significant drug-drug interaction. Based on the clinical results we have achieved to date, we are advancing palazestrant through late-stage clinical development both as a monotherapy and in combination with other targeted agents.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November 2023, we initiated OPERA-01, our pivotal Phase 3 clinical trial of palazestrant as a monotherapy in second/third-line ER+/HER2- metastatic breast cancer. We anticipate top-line results in 2026.</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combination, we are investigating palazestrant in multiple Phase 1/2 studies with CDK4/6 inhibitors (palbociclib or ribociclib), a phosphatidylinositol 3 kinase alpha (PI3Ka) inhibitor (alpelisib), and with an mTOR inhibitor (everolimus). In March 2024, we increased the size of the ongoing Phase 1/2 clinical study of palazestrant in combination with ribociclib by an additional 15 patients to explore 90 mg of palazestrant in combination with 600 mg of ribociclib. We also initiated our Phase 1b/2 clinical study of palazestrant in combination with an mTOR inhibitor, everolimus, in the third quarter of 2024. Further, in October 2024, we presented new pre-clinical data at the EORTC-NCI-AACR Symposium on Molecular Targets and Cancer Therapeutics showing that the combination of palazestrant with both everolimus and capivasertib may be synergistic and have the potential to result in significant tumor regression.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Most recently, we presented updated results from the ongoing Phase 1b/2 clinical trial of palazestrant in combination with ribociclib in patients with ER+/HER2- advanced or metastatic breast cancer at the San Antonio Breast Cancer Symposium (SABCS) in December 2024. These data further support our thesis that palazestrant possesses key characteristics to make it a potential backbone endocrine therapy of preference for ER+/HER2- breast cancer, while also providing the basis for a new pivotal Phase 3 clinical trial of palazestrant in combination with ribociclib in front-line ER+/HER2- metastatic breast cancer, called OPERA-02. The execution of OPERA-02 will be supported by our new clinical trial collaboration and supply agreement with Novartis Pharma AG (Novartis), which was also announced in December 2024. Under the terms of the agreement, Novartis will provide Olema with ribociclib drug supply for the OPERA-02 trial, which we expect to initiate in 2025.</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second product candidate in clinical development, called OP-3136, is a novel, orally-available small molecule that potently and selectively inhibits KAT6, an epigenetic target that is dysregulated in breast and other cancers. We believe OP-3136 presents a potential best-in-class KAT6 inhibitor in breast and other solid tumor cancers. In October 2024, we presented new pre-clinical data at the EORTC-NCI-AACR Symposium on Molecular Targets and Cancer Therapeutics demonstrating OP-3136's robust anti-tumor activity as a single agent, as well as potential synergy and enhanced anti-tumor activity in combination with palazestrant.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Investigational New Drug (IND) application for OP-3136 was cleared by the U.S Food and Drug Administration (FDA) in late 2024 and the Phase 1 clinical trial is now enrolling patients.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committed to transforming the standard of care and improving outcomes for women living with cancer. Breast cancer represents approximately 30% of all new diagnoses of cancer in women. The American Cancer Society (ACS), estimated that in 2025 there will be approximately 319,750 new cases of invasive breast cancer diagnosed and approximately 42,680 deaths from breast cancer in the United States. Treatment decisions are based on a combination of individual patient characteristics and tumor biology, most importantly the expression of three proteins: ER, progesterone receptor (PR), and human epidermal growth factor receptor 2 (HER2). Approximately 79% of all breast cancers are ER+, and approximately 70% are ER+/HER2-, highlighting the central role of the ER in driving a large majority of breast cancer. Approximately 6-10% of breast cancer patients present with metastatic disease at diagnosis and a further 20-30% of patients initially diagnosed with early-stage disease ultimately develop metastatic disease. The current five-year survival rate for patients with ER+ metastatic breast cancer is approximately 32%. Based on our internal estimates, we believe that the current global ER+/HER2- metastatic breast cancer market represents approximately $20 billion. In the U.S. and E.U., we believe the market potential for palazestrant is up to $5 billion in the second- and third-line settings and up to $10 billion in the first-line setting.</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ER is a nuclear receptor that functions as a ligand regulated transcription factor. When bound to estrogen, the ER directs the expression of genes that are essential for breast cancer cells’ survival and proliferation. For more than four decades, researchers have been developing new approaches and therapies to prevent activation of the ER pathway, thereby inhibiting the ability of the ER to drive tumor cell growth. In 1977, the first endocrine therapeutic, the anti-estrogen tamoxifen, was approved by the FDA for the treatment of breast cancer. Tamoxifen is still commonly used today but is challenged by the development of acquired drug resistance, which in some cases may be due to its partial agonist activity. In the search for a different mechanism to target the estrogen pathway, aromatase inhibitors (AIs), were developed in the 1990s to block the synthesis of estrogen and deprive the ER+ cells of its activating ligand. However, up to 50% of patients taking AIs develop arthralgia, leading to suspension of treatment in up to 15% of patients. Additionally, most patients with metastatic breast cancer have been shown to ultimately develop resistance to AIs, the most common of which is the development of a ligand-independent activating mutation in the estrogen receptor gene, ESR1. In pre-menopausal women, treatment with AIs must also be accompanied by ovarian suppression.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2002, fulvestrant was approved as a treatment for HR+ metastatic breast cancer patients and is typically used as a second- or third-line endocrine agent. Fulvestrant was designed to be a CERAN, and later discovered to also be a SERD, and represented a breakthrough for the field with improved outcomes for patients whose disease had progressed on prior endocrine therapy. However, fulvestrant has several limitations including 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suboptimal drug exposure and route of administration as two monthly intramuscular injections. Despite these drawbacks, fulvestrant achieved worldwide sales of over $1.1 billion in 2019.</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More recently, the field has focused on the discovery and development of oral agents that have fulvestrant’s dual mechanism of action to completely inactivate and degrade the ER. Some of these oral SERD agents are CERANs, such as palazestrant, but others have partial agonist activity despite being SERDs and thus are not CERANs. These agents can be considered selective ER modulators (SERM) SERDs. SERM/SERDs reduce the levels of the ER but they do not entirely eliminate it. Notably, naturally-occurring estrogen itself leads to ER degradation when binding the ER.</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spent a significant amount of time designing and optimizing our lead product candidate, palazestrant. We believe that the ability to function both as a CERAN and a SERD, together with attractive pharmacokinetics and drug exposure, favorable tolerability, combinability with CDK4/6 inhibitors, and central nervous system (CNS) penetration, are important characteristics to enable the success of a next generation endocrine therapy. We believe that results from our pre-clinical and clinical studies demonstrate that palazestrant has shown properties supporting its potential to achieve these objectives, address an unmet need in the treatment of breast cancer, and improve upon standard of care.</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the clinical results we have achieved to date, we are advancing palazestrant through late-stage clinical development both as a monotherapy and in combination with other targeted agents. We own worldwide development and commercialization rights to palazestrant. We believe palazestrant’s oral formulation and dual mechanism of action directly address the limitations of current endocrine therapies, such as fulvestrant, aromatase inhibitors and tamoxifen, and position palazestrant as a potential endocrine therapy of choice for the treatment of ER+ breast cancers. We are also advancing OP-3136, our newest product candidate in clinical development targeting KAT6. Taken together, we believe our product candidates have the potential to represent the future of breast cancer care.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goal is to discover, develop, and commercialize next generation targeted therapies for breast and other cancers. The key elements of our business strategy to achieve this goal include:</w:t>
      </w:r>
    </w:p>
    <w:p>
      <w:pPr>
        <w:spacing w:after="0" w:line="154" w:lineRule="exact"/>
        <w:rPr>
          <w:sz w:val="20"/>
          <w:szCs w:val="20"/>
          <w:color w:val="auto"/>
        </w:rPr>
      </w:pPr>
    </w:p>
    <w:p>
      <w:pPr>
        <w:jc w:val="both"/>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Applying our deep understanding of nuclear receptors — particularly the ER — and mechanisms of resistance to develop novel therapeutic approaches for endocrine-driven cancers. </w:t>
      </w:r>
      <w:r>
        <w:rPr>
          <w:rFonts w:ascii="Arial" w:cs="Arial" w:eastAsia="Arial" w:hAnsi="Arial"/>
          <w:sz w:val="18"/>
          <w:szCs w:val="18"/>
          <w:color w:val="auto"/>
        </w:rPr>
        <w:t>Our team has spent over a decade characterizing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and function of the ER and its role in driving tumor cell proliferation in HR+ breast cancer. Our knowledge of the ER’s functional domains combined with our medicinal chemistry expertise has allowed us to develop a potent and oral compound that both completely inactivates and strongly promotes degradation of the ER in non-clinical studies. We believe palazestrant’s oral formulation and dual mechanism of action as a CERAN/SERD directly address the limitations of current endocrine therapies, such as fulvestrant, AIs, and tamoxifen, and has the potential to drive deeper, more durable responses.</w:t>
      </w:r>
    </w:p>
    <w:p>
      <w:pPr>
        <w:spacing w:after="0" w:line="183"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Rapidly advancing our product candidates, including palazestrant, through late-stage clinical development for the treatment of ER+/HER2- metastatic breast cancer, and OP-3136 through early-stage clinical development in breast and other cancers. </w:t>
      </w:r>
      <w:r>
        <w:rPr>
          <w:rFonts w:ascii="Arial" w:cs="Arial" w:eastAsia="Arial" w:hAnsi="Arial"/>
          <w:sz w:val="18"/>
          <w:szCs w:val="18"/>
          <w:color w:val="auto"/>
        </w:rPr>
        <w:t>We are currently evaluating palazestrant in a pivotal Phase 3 trial, called OPERA-01, as a monotherapy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and third-line setting of ER+/HER2- advanced or metastatic breast cancer. We are also preparing to initiate OPERA-02, a pivotal Phase 3 trial evaluating palazestrant in combination with ribociclib in the frontline metastatic setting of ER+/HER2-breast cancer. OP-3136 is currently in a Phase 1 clinical trial being evaluated both as a monotherapy and in combination with fulvestrant and palazestrant.</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Establishing palazestrant as the endocrine therapy of choice with targeted therapy combinations for the treatment of metastatic ER+ breast cancers. </w:t>
      </w:r>
      <w:r>
        <w:rPr>
          <w:rFonts w:ascii="Arial" w:cs="Arial" w:eastAsia="Arial" w:hAnsi="Arial"/>
          <w:sz w:val="18"/>
          <w:szCs w:val="18"/>
          <w:color w:val="auto"/>
        </w:rPr>
        <w:t>We believe palazestrant’s differentiated product profile has the potential to overcome many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limitations of current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020"/>
        <w:spacing w:after="0" w:line="244" w:lineRule="auto"/>
        <w:rPr>
          <w:sz w:val="20"/>
          <w:szCs w:val="20"/>
          <w:color w:val="auto"/>
        </w:rPr>
      </w:pPr>
      <w:r>
        <w:rPr>
          <w:rFonts w:ascii="Arial" w:cs="Arial" w:eastAsia="Arial" w:hAnsi="Arial"/>
          <w:sz w:val="18"/>
          <w:szCs w:val="18"/>
          <w:color w:val="auto"/>
        </w:rPr>
        <w:t>endocrine therapy options. While targeted chemotherapy and other targeted anti-body drug conjugates continue to show promising data and will likely gain further favorability as a treatment option, we believe these new treatment options will replace traditional chemotherapy - not endocrine therapies. Our goal is to successfully demonstrate improved efficacy and a favorable tolerability profile in combination with other targeted therapies to position palazestrant as the endocrine therapy of choice in the first-line setting for advanced or metastatic ER+/HER2- breast cancer.</w:t>
      </w:r>
    </w:p>
    <w:p>
      <w:pPr>
        <w:spacing w:after="0" w:line="176" w:lineRule="exact"/>
        <w:rPr>
          <w:sz w:val="20"/>
          <w:szCs w:val="20"/>
          <w:color w:val="auto"/>
        </w:rPr>
      </w:pPr>
    </w:p>
    <w:p>
      <w:pPr>
        <w:jc w:val="both"/>
        <w:ind w:left="1020" w:hanging="503"/>
        <w:spacing w:after="0" w:line="239"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Exploring additional clinical opportunities for palazestrant, including metastatic breast cancer with brain metastases and other hormone sensitive tumors. </w:t>
      </w:r>
      <w:r>
        <w:rPr>
          <w:rFonts w:ascii="Arial" w:cs="Arial" w:eastAsia="Arial" w:hAnsi="Arial"/>
          <w:sz w:val="18"/>
          <w:szCs w:val="18"/>
          <w:color w:val="auto"/>
        </w:rPr>
        <w:t>Metastatic breast cancer is the second most common cancer associated with brain</w:t>
      </w:r>
      <w:r>
        <w:rPr>
          <w:rFonts w:ascii="Arial" w:cs="Arial" w:eastAsia="Arial" w:hAnsi="Arial"/>
          <w:sz w:val="18"/>
          <w:szCs w:val="18"/>
          <w:b w:val="1"/>
          <w:bCs w:val="1"/>
          <w:color w:val="auto"/>
        </w:rPr>
        <w:t xml:space="preserve"> </w:t>
      </w:r>
      <w:r>
        <w:rPr>
          <w:rFonts w:ascii="Arial" w:cs="Arial" w:eastAsia="Arial" w:hAnsi="Arial"/>
          <w:sz w:val="18"/>
          <w:szCs w:val="18"/>
          <w:color w:val="auto"/>
        </w:rPr>
        <w:t>metastases in the United States. The primary treatment for CNS metastases is typically surgery, radiation, or a combination of both and these patients tend to have a poor prognosis. In pre-clinical studies, palazestrant demonstrated robust CNS penetration and, in an intracranial breast cancer brain metastases xenograft study, palazestrant demonstrated the ability to shrink tumors and improve survival in mice. We believe that combining palazestrant with HER2-targeted agents may represent an opportunity to improve upon recent advancements in the treatment of CNS disease in patients that express both ER and HER2, as up to 50% of patients with metastatic ER+/HER2+ breast cancer develop CNS disease. In non-clinical studies, the addition of palazestrant to HER2 inhibitors improved tumor growth inhibition in ER+/HER2+ xenograft models.</w:t>
      </w:r>
    </w:p>
    <w:p>
      <w:pPr>
        <w:spacing w:after="0" w:line="182"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Expanding our portfolio of product candidates through both internal research activities and business development efforts. </w:t>
      </w:r>
      <w:r>
        <w:rPr>
          <w:rFonts w:ascii="Arial" w:cs="Arial" w:eastAsia="Arial" w:hAnsi="Arial"/>
          <w:sz w:val="18"/>
          <w:szCs w:val="18"/>
          <w:color w:val="auto"/>
        </w:rPr>
        <w:t>We are applying our internal drug discovery capabilities to identify and evaluate novel targeted therapies that can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the lives of people living with cancer. We have an active discovery research team exploring additional opportunities for targeted therapies for breast cancer. We successfully identified KAT6 as a novel target and entered into a collaboration with Aurigene Oncology in 2022, which led to the discovery and development of OP-3136. We plan to continue to explore opportunities to acquire products and technologies that align with our core areas of expertise and complement our existing portfolio.</w:t>
      </w:r>
    </w:p>
    <w:p>
      <w:pPr>
        <w:spacing w:after="0" w:line="183"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Continuing to evaluate opportunities to accelerate clinical development timelines and enhance the commercial potential of our programs through collaboration with third parties. </w:t>
      </w:r>
      <w:r>
        <w:rPr>
          <w:rFonts w:ascii="Arial" w:cs="Arial" w:eastAsia="Arial" w:hAnsi="Arial"/>
          <w:sz w:val="18"/>
          <w:szCs w:val="18"/>
          <w:color w:val="auto"/>
        </w:rPr>
        <w:t>We own full worldwide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rights to both palazestrant and OP-3136. We have established clinical collaborations with both Novartis and Pfizer and we intend to continue evaluating opportunities to work with partners that meaningfully enhance our capabilities with respect to the development and commercialization of our product candidates. In addition, we intend to commercialize our product candidates in key markets either alone or with partners to maximize the worldwide commercial potential of our programs.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summarized in the figure below, our plan is to develop our wholly-owned lead product candidate, palazestrant, in a number of ER+ breast cancer indications, both as a monotherapy and in combination with approved targeted therapies that have shown improved outcomes with other endocrine therapies. In addition,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KAT6 program, OP-3136, entered clinical development in late 2024 with plans to explore its clinical development in combination with both fulvestrant and palazestrant.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Olema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137795</wp:posOffset>
            </wp:positionV>
            <wp:extent cx="5546090" cy="2494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609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Epidemiology and classification of breast cancer</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Breast cancer is the second-most common cancer worldwide, with nearly two million new diagnoses per year. The ACS estimates 1 in 8 women in the U.S. will be diagnosed with invasive breast cancer in her lifetime and that, in 2025, there will be approximately 316,950 new cases of female breast cancer and approximately 42,170 deaths in the United States, making it the second-leading cause of cancer death in women. Approximately 2,800 men are also diagnosed with breast cancer each year in the United States. Breast cancer is a heterogeneous disease which is grouped into several clinical subtypes based on the expression of three proteins: ER, PR and HER2. Both ER and PR are hormone receptors, and tumors that express either of these receptors are referred to as HR+. It is unusual for a tumor to express PR in the absence of the ER, therefore most tumors are referred to as either ER+ or ER-. Tumors that express HER2 are denoted HER2+, and tumors that do not express ER, PR or HER2 are classified as triple negative breast cancer. Approximately 79% of all breast cancers are HR+, and approximately 70% are HR+/HER2-, highlighting the central role of ER signaling in driving a large majority of breast cancer.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Treating breast cancer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Early-stage breast cancer</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Breast cancer stage is determined by the size of the tumor and whether or not the cancer has spread to lymph nodes. A tumor that is confined to the breast with or without the involvement of local, ipsilateral lymph nodes is considered early-stage breast cancer. Treatment for patients with early-stage breast cancer involves two components. First, there is local treatment of the breast, chest wall, and local lymph nodes, if any, with surgery, either a lumpectomy or mastectomy, and potentially radiation. Second, based on the biology and characteristics of the tumor, patients may also be offered systemic therapy, referred to as adjuvant therapy, in order to decrease the risk of recurrence of breast cancer anywhere in the body. Systemic therapy can be given either after surgery (adjuvant), prior to surgery (neoadjuvant), or a combination of both.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initial standard of care for patients with early-stage ER+ breast cancer is at least five years of adjuvant endocrine therapy. The endocrine treatment options for early-stage disease are AIs, such as anastrozole, exemestane or letrozole, or an ER antagonist such as a tamoxifen. For patients diagnosed with early-stage ER+ breast cancer who undergo surgical and adjuvant/neoadjuvant treatment, the five-year survival rate is over 90%.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Metastatic breast cancer</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When cancer has spread beyond local lymph nodes, either to distant lymph nodes, bones, or visceral organs, the cancer is now considered metastatic. Approximately 6-10% of breast cancer patients present with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metastatic disease, also referred to as stage IV disease, at initial diagnosis. In addition, approximately 30% of patients diagnosed with early-stage breast cancer will develop metastatic disease. In contrast to the goals of adjuvant therapy, treatments for metastatic disease are palliative with the desired outcome of controlling symptoms and extending survival as long as possible. The current five-year survival rate for patients with ER+ metastatic breast cancer is approximately 32%.</w:t>
      </w:r>
    </w:p>
    <w:p>
      <w:pPr>
        <w:spacing w:after="0" w:line="179" w:lineRule="exact"/>
        <w:rPr>
          <w:sz w:val="20"/>
          <w:szCs w:val="20"/>
          <w:color w:val="auto"/>
        </w:rPr>
      </w:pPr>
    </w:p>
    <w:p>
      <w:pPr>
        <w:jc w:val="both"/>
        <w:spacing w:after="0" w:line="208" w:lineRule="exact"/>
        <w:rPr>
          <w:sz w:val="20"/>
          <w:szCs w:val="20"/>
          <w:color w:val="auto"/>
        </w:rPr>
      </w:pPr>
      <w:r>
        <w:rPr>
          <w:rFonts w:ascii="Arial" w:cs="Arial" w:eastAsia="Arial" w:hAnsi="Arial"/>
          <w:sz w:val="18"/>
          <w:szCs w:val="18"/>
          <w:color w:val="auto"/>
        </w:rPr>
        <w:t>While there are national guidelines and recommendations for the treatment of metastatic breast cancer, the actual treatment decision is based on a combination of individual patient characteristics and tumor biology, including whether they received adjuvant therapy and, if so, how quickly the cancer recurred. There is significant overlap in the agents that are recommended, but guidelines vary in the sequence in which these agents are used. In the past five years, several new classes of targeted therapies have been approved to be used in combination with endocrine agents for the treatment of HR+/HER2</w:t>
      </w:r>
      <w:r>
        <w:rPr>
          <w:rFonts w:ascii="MS PGothic" w:cs="MS PGothic" w:eastAsia="MS PGothic" w:hAnsi="MS PGothic"/>
          <w:sz w:val="18"/>
          <w:szCs w:val="18"/>
          <w:color w:val="auto"/>
        </w:rPr>
        <w:t>‑</w:t>
      </w:r>
      <w:r>
        <w:rPr>
          <w:rFonts w:ascii="Arial" w:cs="Arial" w:eastAsia="Arial" w:hAnsi="Arial"/>
          <w:sz w:val="18"/>
          <w:szCs w:val="18"/>
          <w:color w:val="auto"/>
        </w:rPr>
        <w:t xml:space="preserve"> breast cancer. Inhibitors of CDK4/6, such as palbociclib, ribociclib and abemaciclib, used in combination with an AI or fulvestrant, led to significant increases in progression-free survival and overall survival. Everolimus, an mTOR inhibitor, was approved in 2012 for the treatment of postmenopausal women with advanced HR+/HER2- breast cancer in combination with exemestane after failure of treatment with letrozole or anastrozole. Alpelisib, a PI3K</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inhibitor, was approved in 2019 in combination with fulvestrant for the treatment of HR+/HER2</w:t>
      </w:r>
      <w:r>
        <w:rPr>
          <w:rFonts w:ascii="MS PGothic" w:cs="MS PGothic" w:eastAsia="MS PGothic" w:hAnsi="MS PGothic"/>
          <w:sz w:val="18"/>
          <w:szCs w:val="18"/>
          <w:color w:val="auto"/>
        </w:rPr>
        <w:t>‑</w:t>
      </w:r>
      <w:r>
        <w:rPr>
          <w:rFonts w:ascii="Arial" w:cs="Arial" w:eastAsia="Arial" w:hAnsi="Arial"/>
          <w:sz w:val="18"/>
          <w:szCs w:val="18"/>
          <w:color w:val="auto"/>
        </w:rPr>
        <w:t xml:space="preserve"> breast cancers that have mutations in PIK3CA. Figure 2 shows the endocrine treatment options available for ER+ metastatic breast cancer, and an example of the sequence of treatments, by agent and line of therapy.</w:t>
      </w:r>
    </w:p>
    <w:p>
      <w:pPr>
        <w:spacing w:after="0" w:line="184"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Figure 2. Available endocrine options and example of sequential alternating of endocrine based therapy in ER+ metastatic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115570</wp:posOffset>
            </wp:positionV>
            <wp:extent cx="5546090" cy="2408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609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When moving a patient from one line of therapy to the next, the standard of care is to switch to an endocrine agent with a different mechanism of action depending upon last therapy, co-morbidities, and individual patient characteristics.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Metastatic breast cancer is the second most common cancer associated with brain metastases in the United States. About 10% to 15% of women with metastatic breast cancer develop brain metastases. Brain metastases present a significant challenge to systemic therapy and the primary treatment for CNS metastases is typically surgical resection, radiation, or a combination of both. Given the limited treatment options available for these patients, the prognosis remains poor, making it an area of continued, high unmet medical need. In addition, brain metastases in breast cancer patients are a major cause of morbidity, associated with progressive neurologic deficits that result in a reduced quality of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 signaling in cancer</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ER is a nuclear receptor that functions as a ligand regulated transcription factor. When bound to estrogen, the ER directs the expression of genes that are essential for breast cancer cells’ survival and proliferation. The ER has three modular functional domains:</w:t>
      </w:r>
    </w:p>
    <w:p>
      <w:pPr>
        <w:spacing w:after="0" w:line="154" w:lineRule="exact"/>
        <w:rPr>
          <w:sz w:val="20"/>
          <w:szCs w:val="20"/>
          <w:color w:val="auto"/>
        </w:rPr>
      </w:pPr>
    </w:p>
    <w:p>
      <w:pPr>
        <w:ind w:left="1020" w:hanging="503"/>
        <w:spacing w:after="0" w:line="244"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amino terminal domain, which contains the activation function 1 (AF1), the activity of which can be increased by multiple cell proliferative signaling pathways;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DNA binding domain, which directs the ER to bind to a specific set of ER-responsive genes;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ligand binding domain, which contains the activation function 2 (AF2), which is turned on when bound to estrogen.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Activation of either AF1 or AF2 can drive transcription and cancer cell proliferation.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3. Growth and proliferation mechanism driving ER+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146050</wp:posOffset>
            </wp:positionV>
            <wp:extent cx="3446145" cy="3223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4614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Classes of endocrine therapies and their limitations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more than four decades, researchers have been developing new approaches and therapies to prevent activation of the ER pathway, thereby inhibiting the ability of the ER to drive tumor cell growth. The two major classes of endocrine therapies are AIs and ER antagonists.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Antagonists with partial agonist activity</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Although tamoxifen, the first endocrine therapy for the treatment of breast cancer, directly competes with estrogen and prevents activation of the AF2 transcription factor activation domain, it does not block AF1 activity and therefore does not completely inhibit ER function. As a consequence of this partial agonist activity, tamoxifen mimics estrogen in some circumstances and promotes proliferation. In addition, some breast cancers can develop resistance to these partial agonists by activation of upstream AF1 signaling pathways, such as mTOR, PI3K, MAPK, c-SRC, EGFR, FGFR and IGFR. Therefore, while tamoxifen is commonly used today, it is challenged by acquired drug resistance and a relatively short duration of response.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4. Partial agonists, such as tamoxifen, are unable to completely block ER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146050</wp:posOffset>
            </wp:positionV>
            <wp:extent cx="3377565" cy="2811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7756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search of a different mechanism to target the estrogen pathway, AIs were developed in the 1990s to block the synthesis of estrogen and deprive the ER+ tumor of its activating ligand. However, most patients with metastatic breast cancer have been shown to ultimately develop resistance to these therapies. Similar to tamoxifen, resistance to AIs, such as anastrozole, exemestane or letrozole, can develop by multiple mechanisms, including activation of the AF1 pathway and development of mutations. Mutations in ESR1 that confer estrogen-independent ER activity arise in up to 50% of patients receiving treatment with an AI in combination with a CDK4/6 inhibitor in the first-line metastatic setting.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SERDs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search for more potent ER antagonists, researchers focused on another class of ER drugs that were described as SERDs. This classification arose from the observation that certain ligands bind tightly to ER leading to ER degradation. The field shifted drug discovery efforts to SERDs based on the hypothesis that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degrading ER would be more efficacious than inhibiting it. However, similar to tamoxifen, many compounds with SERD activity are not complete ER antagonists nor do they achieve complete degradation of the ER. Recent experiments conducted by us and third parties in non-clinical models of breast cancer suggest that ER degradation, as achieved by many SERDs, on its own is not sufficient to effectively treat tumors and that the ability to completely inhibit ER function is best achieved through complete antagonism.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CERANs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CERAN is a molecule that completely blocks the ability of both AF1 and AF2 to stimulate gene transcription. CERANs inhibit activation of the AF2 transcription factor activation domain and inactivate AF1 activity by recruiting nuclear receptor corepressors of the N-CoR/ SMRT family. Previous work by one of our co-founders identified specific interactions between fulvestrant-bound ER and N-CoR and that the strength of these interactions correlated with the ability of fulvestrant-bound ER to inactivate gene transcription through the transcription factor activating domain, AF1.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Complete antagonists turn off AF2 and recruit N-CoR to inactivate AF1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137795</wp:posOffset>
            </wp:positionV>
            <wp:extent cx="3257550" cy="2931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2002, fulvestrant was approved as a treatment for HR+ metastatic breast cancer and is typically used as a second- or third-line endocrine agent. Fulvestrant represented a breakthrough for the field based on its dual- mechanism of action as a CERAN and SERD which led to improved efficacy outcomes for patients. However, fulvestrant, the only FDA-approved anti-estrogen lacking agonist-type effects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uterotropic assays in immature or ovariectomized mice and rats, has several limitations including:</w:t>
      </w:r>
    </w:p>
    <w:p>
      <w:pPr>
        <w:spacing w:after="0" w:line="174" w:lineRule="exact"/>
        <w:rPr>
          <w:sz w:val="20"/>
          <w:szCs w:val="20"/>
          <w:color w:val="auto"/>
        </w:rPr>
      </w:pPr>
    </w:p>
    <w:p>
      <w:pPr>
        <w:jc w:val="both"/>
        <w:ind w:left="760" w:hanging="378"/>
        <w:spacing w:after="0" w:line="246"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Painful and inconvenient route of administration. Fulvestrant is a highly insoluble compound with poor oral bioavailability and therefore must be given intramuscularly. Fulvestrant is administered every 28 days in two 5 ml intramuscular injections into the buttocks. Injection site reactions occur in approximately 10% of patients and include sciatica, neuralgia, neuropathic pain, and peripheral neuropathy.</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Suboptimal drug exposure limits efficacy. In a non-clinical mouse model, an increase in antitumor activity and ER degradation was observed as the dose of fulvestrant was increased from 25 mg/kg to 200 mg/kg. However, researchers estimated that achieving an equivalent level of fulvestrant in humans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to a 200 mg/kg dose in mice would require a dose that is eight times higher than is currently clinically achievable. Furthermore, xenograft models created using patient-derived tumors containing ESR1 mutations show that even plasma levels substantially higher than those achievable in humans at the approved dose fail to demonstrate optimal antitumor effect.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 Palazestrant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own worldwide development and commercialization rights to palazestrant. Our plan is to develop palazestrant for the treatment of a number of ER+ breast cancer indications, both as monotherapy and in combination with approved targeted therapies that have shown improved outcomes with other endocrine therapies.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Palazestrant is an oral small molecule clinical-stage product candidate for the treatment of endocrine-driven cancers. Palazestrant was designed by our scientific team based both on a detailed structural understanding of the ER and on known alterations to this structure induced by fulvestrant and other ER ligands. We have demonstrated in non-clinical studies that palazestrant functions both as a CERAN, inactivating both AF1 and AF2 transcriptional activation functions, and a SERD, promoting degradation of the ER. We believe palazestrant’s oral formulation and dual mechanism of action directly address the limitations of current endocrine therapies, such as fulvestrant and tamoxifen, and position palazestrant as a potential endocrine therapy of choice for the treatment of ER+ breast cancers.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July 2022, palazestrant was granted Fast Track designation from the FDA in patients with ER+/HER2- metastatic breast cancer that has progressed following one or more lines of endocrine therapy with at least one line given in combination with a CDK4/6 inhibitor.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pivotal Phase 3 monotherapy trial: OPERA-01</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November 2023, we initiated our first pivotal Phase 3 trial of palazestrant, OPERA-01, which is a randomized Phase 3 trial evaluating palazestrant versus standard-of-care treatment for ER+/HER2- advanced or metastatic breast cancer. The trial is expected to enroll approximately 510 second/third-line metastatic breast cancer patients randomized one-to-one with either palazestrant or standard-of-care endocrine therapy. Key inclusion criteria for the trial include evaluable disease and prior exposure to endocrine therapy in combination with a CDK4/6 inhibitor in the advanced setting. One additional line of endocrine therapy in the advanced or metastatic setting is permitted. The trial consists of two parts: a three-arm dose selection part followed by assessment of the selected dose of palazestrant versus standard of care. Top-line results from the trial are expected in 2026.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6. OPERA-01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146050</wp:posOffset>
            </wp:positionV>
            <wp:extent cx="5237480" cy="2091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374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monotherapy clinical study</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presented positive Phase 2 monotherapy clinical results in an oral presentation at ESMO in October 2023. As of the data cut-off of July 7, 2023, 86 patients with recurrent, locally advanced or metastatic ER+/HER2- breast cancer were treated at the recommended Phase 2 dose (RP2D) of 120 mg. The group was heavily pretreated with 42% of patients being fourth-line or later at study entry, 65% of patients having received two or more prior lines of endocrine therapy for metastatic disease, and 31% having received prior chemotherapy. Almost all patients (97%) received prior treatment with a CDK4/6 inhibitor, and 66% received prior treatment with fulvestrant. Of 75 patients whose circulating tumor DNA (ctDNA), was assessed, 48% had activating mutations in ESR1 at baseline.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Pharmacokinetics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2416"/>
        </w:rPr>
        <w:t>Palazestrant demonstrated favorable pharmacokinetics characterized by high oral bioavailability, dose proportional exposure and a long half-life of eight days, with steady-state plasma levels showing minimal peak-to-trough variability, enabling consistent inhibition of the ER for the full dosing interval.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Tolerability Profile</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2416"/>
        </w:rPr>
        <w:t>Treatment with palazestrant at the RP2D of 120 mg was well tolerated with no dose-limiting toxicities, and the maximum tolerated dose (MTD), was not reached. The majority of treatment-emergent adverse events (TEAEs), were Grade 1 or 2. Of the 86 patients treated, events of Grade 4 neutropenia were observed in six patients, occurring approximately 4–6 weeks into therapy. Of these patients, three had a dose interruption with recovery and subsequent dose reduction (two continued at 90 mg and one continued at 60 mg) without any recurrence, and three had dose discontinuation followed by recovery. All six patients had prior exposure to CDK4/6 inhibitors.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Profile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Across all 86 patients, the median progression-free survival (PFS) was 4.6 months and the clinical benefit rate (CBR), was 40% with a 6-month PFS rate of 38%. In patients with an ESR1 mutation, the median PFS was 5.6 months and the CBR was 52% with a 6-month PFS rate of 46%. In ESR1 wild-type patients, the median PFS was 3.5 months and the CBR was 32% with a 6-month PFS rate of 35%.</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 subset analysis of 49 patients that received palazestrant as a second- or third-line therapy with or without prior chemotherapy, the median PFS was 7.2 months and the CBR was 48% across all patients with a 6-month PFS rate of 54%. In patients with an ESR1 mutation, the median PFS was 7.3 months and CBR was 59% with a 6-month PFS rate of 62%. In ESR1 wild-type patients the median PFS was 5.5 months and the CBR was 38% with a 6-month PFS rate of 44%.</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Anti-tumor activity was observed in this heavily pretreated population, with 40% of patients demonstrating reduction in target lesions and evidence of activity in both ESR1 wild-type and ESR1-mutant patients. Given the advanced and heavily pretreated nature of the patients, many of these patients are expected to be resistant to monotherapy endocrine treatment.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Palazestrant Phase 1b/2 study in combination with ribociclib</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we presented Phase 1b/2 data from our clinical study of palazastrant in combination with ribociclib at SABCS. With a data cutoff of November 1, 2023, across 19 patients who had completed at least one cycle of treatment as of the data cutoff date, the combination of up to 120 mg of palazestrant with 600 mg of ribociclib daily was well tolerated, with no safety signals or enhancement of toxicity and an overall safety profile consistent with the expected safety profile of ribociclib plus an endocrine therapy.</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Palazestrant did not affect ribociclib drug exposure in patients, and ribociclib had no clinically meaningful effect on palazestrant drug exposure. There were no dose-limiting toxicities, the maximum tolerated dose was not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reached, and the majority of treatment-emergent adverse events were grade 1 or 2, with no grade 4 events observed. Neutropenia was reversible in all patients, and the timing was generally consistent with ribociclib-related neutropenia. Findings from this study support the continued use of palazestrant at the RP2D of 120 mg in combination with 600mg of ribociclib, and enrollment of sixty patients in the dose-expansion portion of the study has been completed.</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May 2024, we presented interim results from this combination clinical trial at the ESMO Breast Cancer Annual Congress in Berlin, Germany. As of the data cut-off date of March 13, 2024, the combination of the palazestrant RP2D of 120 mg in combination with the full FDA-approved label dose of 600 mg of ribociclib was well tolerated with no new safety signals or enhancement of toxicity and palazestrant did not affect ribociclib drug exposure while ribociclib had no clinically meaningful effect on palazestrant drug exposure. Furthermore, the results for the maturing dataset showed anti-tumor activity and prolonged disease stabilization, and a CBR of 85% across 13 CBR-eligible patients. These data further supported our thesis that palazestrant possesses key characteristics to make it a potential backbone endocrine therapy of preference for ER+/HER2- breast cancer.</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2024, we presented updated clinical results from this study at SABCS 2024 as of a data cut-off date of November 22, 2024. Palazestrant, in combination with ribociclib, demonstrated promising clinical activity, a safety profile consistent with ribociclib and endocrine therapy, and favorable tolerability in patients with ER+/HER2- advanced or metastatic breast cancer.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Enrollment</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62 patients with advanced or metastatic ER+/HER2- breast cancer were treated with palazestrant (n=56 at the RP2D of 120 mg once daily) plus ribociclib (600 mg once daily; three weeks on treatment followed by one week off treatment). The majority of participants (48 (77%)) were 2/3+ line patients; 48 (77%) patients received prior endocrine therapy for metastatic breast cancer, 46 (74%) patients received prior treatment of endocrine therapy with CDK4/6i, 12 (19%) received two prior lines of treatment with CDK4/6i, and 11 (18%) patients received chemotherapy for metastatic breast cancer. 36 (58%) patients had visceral disease; 42 (68%) patients had measurable disease at baseline. Of 60 patients whose ctDNA was assessed, 28% had activating mutations in ESR1 at baseline.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Profile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Palazestrant combined with ribociclib showed promising clinical activity including tumor responses, prolonged disease stabilization, and progression-free survival in patients with ESR1 wild-type and ESR1 activating mutations at baseline and in those previously treated with one or two lines of CDK4/6i. Efficacy data continue to mature; 30 (48%) patients remained on treatment, and the longest duration on treatment is approximately 18 months (79 weeks) and was ongoing as of the data cutoff date of November 11, 2024. With a median follow-up of 12 months, the median PFS was not reached as of the data cutoff date. Across all patients, the 6-month PFS rate was 73%. In those who received prior treatment with a CDK4/6i plus an endocrine therapy, the 6-month PFS rate was 68%. The 6-month PFS rate in ESR1 mutant patients was 81% and in ESR1 wild-type patients it was 70%. In those who were clinical benefit rate (CBR)1-eligible, the CBR was 76% (37/49) in all patients, 81% (13/16) in patients with ESR1 mutations, and 74% (23/31) in ESR1 wild-type patients. In patients with prior CDK4/6i treatment, the CBR was 71% (25/35), 81% (13/16) in patients with ESR1 mutations, and 65% (11/17) in ESR1 wild-type patients. As of the data cutoff date, there were 11 responses (two confirmed complete responses, eight confirmed partial responses, and one unconfirmed partial response). Among 37 response-evaluable patients with measurable disease, the ORR was 27% (10/37). 60% of the 37 had a reduction in target lesion size.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Tolerability Profile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Across 62 treated patients, the combination of up to 120 mg of palazestrant with the approved dose for metastatic disease of 600 mg of ribociclib daily was well tolerated with no new safety signals or increase in toxicity. The overall safety profile was consistent with the established safety profile of ribociclib 600 mg plus an endocrine therapy. Treatment with palazestrant up to 120 mg combined with ribociclib (600 mg) was well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tolerated with no dose-limiting toxicities. The majority of TEAEs were Grade 1 or 2, and the severity and incidence of adverse events were consistent with the expected safety profile of ribociclib plus endocrine therapy.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Pharmacokinetics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Palazestrant did not affect ribociclib drug exposure when compared with published exposure data for single-agent ribociclib. Steady-state trough values showed no clinically significant difference between the combination and single-agent palazestrant.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Findings from this study support the advancement of palazestrant in combination with ribociclib into clinical development for the first-line treatment of ER+/HER2- advanced or metastatic breast cancer.</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2025, we disclosed updated median PFS (mPFS) from this study at the TD Cowen 45th Annual Health Care Conference. As of a data cutoff date of February 18, 2025, the mPFS was 13.8 months in 56 patients treated with 120 mg of palazestrant and 600 mg of ribociclib daily. 40 of the 56 patients had received prior treatment of a CDK4/6i plus an ET; the mPFS in this population was 13.1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pivotal Phase 3 combination trial of palazestrant in combination with ribociclib: OPERA-02</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Following the entry into our new clinical trial collaboration and supply agreement with Novartis and our positive data presentation at SABCS in December 2024, we announced our intention to initiate a new pivotal Phase 3 clinical trial of palazestrant in combination with ribociclib in patients with frontline advanced or metastatic ER+/HER2- breast cancer. The trial is expected to enroll approximately 1,000 patients, half of whom will receive palazestrant plus ribociclib; the other half will receive letrozole, a standard-of-care aromatase inhibitor, plus ribociclib. The trial will enroll first-line patients who have received no prior systemic therapy for the treatment of advanced or metastatic breast cancer. Progression free survival will be the primary endpoint; overall survival is a key secondary endpoint. We expect OPERA-02 to initiate in 2025.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7. OPERA-02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546090" cy="2108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4609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Palazestrant Phase 1b/2 study in combination with palbociclib</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presented Phase 1b/2 data from our clinical study of palazastrant in combination with palbociclib at SABCS on December 7, 2023. With a data cutoff of September 15, 2023, across 46 patients as of the cutoff date of September 15, 2023, the combination of palazestrant (120 mg) with palbociclib (125 mg) daily was well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tolerated, with an overall safety profile consistent with the expected safety profile of palbociclib plus an endocrine therapy.</w:t>
      </w:r>
    </w:p>
    <w:p>
      <w:pPr>
        <w:spacing w:after="0" w:line="21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There was no observed drug-drug interaction between palazestrant and palbociclib, and there was no induced metabolism or increase in exposure of either palbociclib or palazestrant when administered in combination. Most treatment-emergent adverse events were grade 1 or</w:t>
      </w:r>
    </w:p>
    <w:p>
      <w:pPr>
        <w:ind w:right="20" w:firstLine="8"/>
        <w:spacing w:after="0" w:line="250"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Neutropenia incidence was similar to the PALOMA-3 study; it was reversible in all patients and the timing was generally consistent with the palbociclib-related neutropenia.</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Tumor responses and prolonged disease stabilization were observed in this patient group, including in those previously exposed to CDK4/6 inhibitors, in both ESR1 mutant and ESR1 wild-type tumors. Partial responses were observed in seven patients, with two confirmed partial responses and five unconfirmed partial responses. The clinical benefit rate was 46% in all patients and 60% in patients with an ESR1 mutation at baseline. In patients naïve to prior CDK4/6 inhibitor treatment, the CBR was 71%. 53% of patients had any reduction in target lesion size.</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Twenty-two (48%) patients remained on treatment, and efficacy data were still maturing. Findings from this study were consistent with previously reported data and support the ongoing clinical development of palazestrant in combination with CDK4/6 inhibitors for the treatment of ER+/HER2− metastatic breast cancer. Enrollment of sixty patients in the Phase 2 portion of the palazestrant-palbociclib combination clinical study is complete.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palazestrant pre-clinical combination data</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October 2024, we presented new pre-clinical data at the EORTC-NCI-AACR Symposium on Molecular Targets and Cancer Therapeutics showing that the combination of palazestrant with both everolimus and capivasertib are synergistic and have the potential to result in significant tumor regression. Palazestrant and everolimus demonstrated synergy in vitro and in vivo and resulted in greater anti-proliferative activity than either agent alone; this combination also caused gene signature transcriptional changes, downregulating cell cycle progression and upregulating apoptosis. Palazestrant and capivasertib in combination worked synergistically to inhibit proliferation of multiple ER+ breast cancer models, both in vitro and in vivo.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 for palazestrant and additional clinical opportunities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Everolimus, an mTOR inhibitor, is a targeted therapy that is often used by oncologists in the treatment of advanced breast or other cancers. Clinical studies evaluating everolimus in combination with endocrine therapies has demonstrated clinical results that indicate a potential benefit for patients in later-line settings. In the third quarter of 2024, we initiated evaluation of palazestrant in combination with everolimus in a Phase 1b/2 clinical study. Our primary objectives are to determine the safety, tolerability, and PK profile of the combination with palazestrant, and secondarily to determine efficacy and duration of response in patients with ER+/HER2- metastatic breast cancer.</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Furthermore, though we are currently evaluating palazestrant in patients with ER+/HER2- breast cancer, we believe that there is an opportunity for us to study palazestrant in patients with ER+/HER2+ breast cancer, which represents approximately 11% of breast cancer patients and more than 50% of the patients with HER2+ breast cancer. In particular, up to 50% of patients with metastatic HER2+ breast cancer develop CNS disease. We believe that combining palazestrant with HER2 targeted agents may represent an opportunity to improve upon recent advancements in the treatment of CNS disease in patients that express both ER and HER2.</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our initial studies are focused on treating breast cancer patients with metastatic disease, we believe that if palazestrant is determined to be safe and effective in this population, there is potential for it to be used in earlier stage disease. Based on our extensive non-clinical studies, including certain head-to-head studies, we believe that palazestrant could have superior PK properties and improved clinical outcomes than fulvestrant. If proven in the clinic, we believe that palazestrant has the potential to not only replace fulvestrant but to become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endocrine treatment of choice for the treatment of both advanced/metastatic ER+ breast cancer as well as ultimately in early-stage ER+ breast cancer in the adjuvant setting.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Second Product Candidate: OP-3136</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October 2023, we presented new pre-clinical data regarding the discovery of novel compounds targeting KAT6, an epigenetic target that is dysregulated in breast and other cancers at the 2023 AACR-NCI-EORTC International Conference on Molecular Targets and Cancer Therapeutics. In January 2024, we nominated a development candidate for this program, OP-3136 and in late 2024, the IND application for OP-3136 was cleared by the FDA and we initiated a Phase 1 clinical trial evaluating OP-3136 in patients with ER+/HER2- metastatic breast cancer and other cancers.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 non-clinical xenograft model, OP-3136 caused dose-dependent tumor growth inhibition and tumor regression comparable to or better than a positive-control patented KAT6 inhibitor and demonstrated synergy in combination with CDK4/6 inhibitors or palazestrant.</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KAT6 is a clinically validated target and its overexpression has been shown to be correlated with worse clinical outcomes in ER+ breast cancer. KAT6 inhibition downregulates genes involved in estrogen receptor signaling and other signaling pathways.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8. Schematic of KAT6 biology and impact of OP-3136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146050</wp:posOffset>
            </wp:positionV>
            <wp:extent cx="5546090" cy="1654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4609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KAT6-amplified and overexpressing ER+ breast cancer cell lines, OP-3136 strongly inhibited cell proliferation whereas KAT6-low cell lines were insensitive to the compounds. In a non-clinical xenograft model, OP-3136 caused dose-dependent tumor growth inhibition and tumor regression comparable to or better than a positive-control patented KAT6 inhibitor and demonstrated synergy in combination with CDK4/6 inhibitors or an endocrine therapy, palazestrant. In addition, OP-3136 demonstrated activity in both ESR1 wild-type and mutant breast cancer cell lines.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9. Impact of OP-3136 and positive control on tumor volume in a 25-day mouse xenograft model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1082675</wp:posOffset>
            </wp:positionV>
            <wp:extent cx="5254625" cy="2494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5462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In October 2024, we presented compelling new pre-clinical data at the EORTC-NCI-AACR Symposium on Molecular Targets and Cancer Therapeutics demonstrating OP-3136's robust anti-tumor activity as a single agent, as well as potential synergy and enhanced anti-tumor activity in combination with palazestrant. OP-3136 inhibited cell proliferation and synergized with anti-estrogens (fulvestrant and palazestrant) and a CDK4/6 inhibitor (ribociclib) in a breast cancer cell line. OP-3136 led to either tumor growth inhibition or tumor regression in vivo in xenograft models across all treatment groups. In combination with OP-3136, palazestrant was consistently superior to fulvestrant and led to improved anti-tumor activity and tumor regression; OP-3136 also showed robust synergistic anti</w:t>
      </w:r>
      <w:r>
        <w:rPr>
          <w:rFonts w:ascii="MS PGothic" w:cs="MS PGothic" w:eastAsia="MS PGothic" w:hAnsi="MS PGothic"/>
          <w:sz w:val="18"/>
          <w:szCs w:val="18"/>
          <w:color w:val="auto"/>
        </w:rPr>
        <w:t>‑</w:t>
      </w:r>
      <w:r>
        <w:rPr>
          <w:rFonts w:ascii="Arial" w:cs="Arial" w:eastAsia="Arial" w:hAnsi="Arial"/>
          <w:sz w:val="18"/>
          <w:szCs w:val="18"/>
          <w:color w:val="auto"/>
        </w:rPr>
        <w:t>tumor activity when combined with fulvestrant or palazestrant as doublet therapy in breast cancer models.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10. OP-3136 demonstrates synergistic activity in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146050</wp:posOffset>
            </wp:positionV>
            <wp:extent cx="4440555" cy="2888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40555" cy="28886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December 2024, we announced that the FDA cleared our IND application for OP-3136. The Phase 1 clinical trial initiated thereafter and is now enrolling patients.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11. OP-3136 Phase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146050</wp:posOffset>
            </wp:positionV>
            <wp:extent cx="5546090" cy="2348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4609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Collaboration and Supply Agreement with Novartis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July 2020, we entered into a non-exclusive Clinical Collaboration and Supply Agreement (the Novartis Agreement) with Novartis Institutes for BioMedical Research, Inc. (Novartis). On January 13, 2022, we entered into an Amended and Restated Clinical Collaboration and Supply Agreement with Novartis, and on October 9, 2023, we entered into Amendment No. 1 (the Novartis Amendment) to Amended and Restated Clinical Collaboration and Supply Agreement with Novartis (as amended, the Novartis Agreement). The collaboration is focused on the evaluation of the safety, tolerability and efficacy of palazestrant in combination with Novartis’ proprietary CDK4/6 inhibitor KISQALI® (ribociclib) and/or Novartis’ proprietary phosphatidylinositol 3-kinase inhibitor PIQRAY® (alpelisib), or collectively the Novartis Study Drugs, as part of our planned Phase 1b clinical study of palazestrant in patients with metastatic ER+ breast cancer. The Novartis Amendment expanded the size of the ongoing ribociclib and palazestrant study cohort to a total of approximately 60 patients. In March 2024, we further amended the agreement and expanded the collaboration to explore 90mg of palazestrant in combination with ribociclib, bringing the total enrollment to approximately 75 patients. We are responsible for the conduct of the clinical studies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studies for the combined therapies (other than those specific to each component study drug), are jointly owned by the parties.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responsible for manufacturing, packaging and labeling palazestrant, and for packaging and labeling all drugs used in the clinical studies for the combined therapies (other than the Novartis Study Drugs). Novartis is responsible for manufacturing and delivering to us the Novartis Study Drugs in such quantities as reasonably needed for the clinical studies for the combined therapies. In accordance with an agreed budget, Novartis is reimbursing us for a portion of the direct outside costs, but no more than an amount in the low single digit millions of U.S. dollars, that we incur related to conducting the activities under the agreed development plan in conducting the clinical trials for the combined therapies.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insolvency of the other party, if it reasonably deems it necessary in order to protect the safety, health or welfare of subjects enrolled in the clinical studies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we may terminate the Novartis Agreement in the event we terminate all clinical studies of the combined therapies other than due to a material safety issue or upon a clinical hold.</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Novartis Agreement does not grant any right of first negotiation to participate in future clinical trials, and each of the parties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or with other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Clinical Trial Collaboration and Supply Agreement with Novartis</w:t>
      </w:r>
    </w:p>
    <w:p>
      <w:pPr>
        <w:spacing w:after="0" w:line="212" w:lineRule="exact"/>
        <w:rPr>
          <w:sz w:val="20"/>
          <w:szCs w:val="20"/>
          <w:color w:val="auto"/>
        </w:rPr>
      </w:pPr>
    </w:p>
    <w:p>
      <w:pPr>
        <w:ind w:right="3180"/>
        <w:spacing w:after="0" w:line="245" w:lineRule="auto"/>
        <w:rPr>
          <w:sz w:val="20"/>
          <w:szCs w:val="20"/>
          <w:color w:val="auto"/>
        </w:rPr>
      </w:pPr>
      <w:r>
        <w:rPr>
          <w:rFonts w:ascii="Arial" w:cs="Arial" w:eastAsia="Arial" w:hAnsi="Arial"/>
          <w:sz w:val="18"/>
          <w:szCs w:val="18"/>
          <w:color w:val="auto"/>
        </w:rPr>
        <w:t>In November 2024, we entered into a Clinical Trial Collaboration and Supply Agreement (the Novartis Pharma Agreement), with Novartis. Pursuant to the Novartis Pharma</w:t>
      </w:r>
    </w:p>
    <w:p>
      <w:pPr>
        <w:ind w:right="3040"/>
        <w:spacing w:after="0" w:line="242" w:lineRule="auto"/>
        <w:rPr>
          <w:sz w:val="20"/>
          <w:szCs w:val="20"/>
          <w:color w:val="auto"/>
        </w:rPr>
      </w:pPr>
      <w:r>
        <w:rPr>
          <w:rFonts w:ascii="Arial" w:cs="Arial" w:eastAsia="Arial" w:hAnsi="Arial"/>
          <w:sz w:val="18"/>
          <w:szCs w:val="18"/>
          <w:color w:val="auto"/>
        </w:rPr>
        <w:t>Agreement, Novartis will provide us with ribociclib drug supply for our planned Phase 3 OPERA-02 trial of palazestrant in combination with ribociclib in ER+/HER2- frontline advanced or metastatic breast cancer.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Under the Novartis Pharma Agreement, we will supply (including manufacturing, packaging and labeling)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palazestrant and letrozole for the OPERA-02 trial. Novartis will manufacture and supply (including</w:t>
      </w:r>
    </w:p>
    <w:p>
      <w:pPr>
        <w:spacing w:after="0" w:line="234" w:lineRule="auto"/>
        <w:rPr>
          <w:sz w:val="20"/>
          <w:szCs w:val="20"/>
          <w:color w:val="auto"/>
        </w:rPr>
      </w:pPr>
      <w:r>
        <w:rPr>
          <w:rFonts w:ascii="Arial" w:cs="Arial" w:eastAsia="Arial" w:hAnsi="Arial"/>
          <w:sz w:val="18"/>
          <w:szCs w:val="18"/>
          <w:color w:val="auto"/>
        </w:rPr>
        <w:t>primary packaging) us with a specified amount of ribociclib, which amount is expected to be sufficient for the</w:t>
      </w:r>
    </w:p>
    <w:p>
      <w:pPr>
        <w:spacing w:after="0" w:line="235" w:lineRule="auto"/>
        <w:rPr>
          <w:sz w:val="20"/>
          <w:szCs w:val="20"/>
          <w:color w:val="auto"/>
        </w:rPr>
      </w:pPr>
      <w:r>
        <w:rPr>
          <w:rFonts w:ascii="Arial" w:cs="Arial" w:eastAsia="Arial" w:hAnsi="Arial"/>
          <w:sz w:val="18"/>
          <w:szCs w:val="18"/>
          <w:color w:val="auto"/>
        </w:rPr>
        <w:t>OPERA-02 trial. The parties granted to each other a non-exclusive, royalty-free license under certain of the</w:t>
      </w:r>
    </w:p>
    <w:p>
      <w:pPr>
        <w:spacing w:after="0" w:line="235" w:lineRule="auto"/>
        <w:rPr>
          <w:sz w:val="20"/>
          <w:szCs w:val="20"/>
          <w:color w:val="auto"/>
        </w:rPr>
      </w:pPr>
      <w:r>
        <w:rPr>
          <w:rFonts w:ascii="Arial" w:cs="Arial" w:eastAsia="Arial" w:hAnsi="Arial"/>
          <w:sz w:val="18"/>
          <w:szCs w:val="18"/>
          <w:color w:val="auto"/>
        </w:rPr>
        <w:t>parties’ respective background patent rights and other technology to use the parties’ respective study drugs in</w:t>
      </w:r>
    </w:p>
    <w:p>
      <w:pPr>
        <w:spacing w:after="0" w:line="235" w:lineRule="auto"/>
        <w:rPr>
          <w:sz w:val="20"/>
          <w:szCs w:val="20"/>
          <w:color w:val="auto"/>
        </w:rPr>
      </w:pPr>
      <w:r>
        <w:rPr>
          <w:rFonts w:ascii="Arial" w:cs="Arial" w:eastAsia="Arial" w:hAnsi="Arial"/>
          <w:sz w:val="18"/>
          <w:szCs w:val="18"/>
          <w:color w:val="auto"/>
        </w:rPr>
        <w:t>research and development, solely to the extent reasonably needed for the other party’s activities in the</w:t>
      </w:r>
    </w:p>
    <w:p>
      <w:pPr>
        <w:spacing w:after="0" w:line="235" w:lineRule="auto"/>
        <w:rPr>
          <w:sz w:val="20"/>
          <w:szCs w:val="20"/>
          <w:color w:val="auto"/>
        </w:rPr>
      </w:pPr>
      <w:r>
        <w:rPr>
          <w:rFonts w:ascii="Arial" w:cs="Arial" w:eastAsia="Arial" w:hAnsi="Arial"/>
          <w:sz w:val="18"/>
          <w:szCs w:val="18"/>
          <w:color w:val="auto"/>
        </w:rPr>
        <w:t>collaboration. Any inventions developed in the performance of the clinical studies for the combined therapies</w:t>
      </w:r>
    </w:p>
    <w:p>
      <w:pPr>
        <w:spacing w:after="0" w:line="234" w:lineRule="auto"/>
        <w:rPr>
          <w:sz w:val="20"/>
          <w:szCs w:val="20"/>
          <w:color w:val="auto"/>
        </w:rPr>
      </w:pPr>
      <w:r>
        <w:rPr>
          <w:rFonts w:ascii="Arial" w:cs="Arial" w:eastAsia="Arial" w:hAnsi="Arial"/>
          <w:sz w:val="18"/>
          <w:szCs w:val="18"/>
          <w:color w:val="auto"/>
        </w:rPr>
        <w:t>(other than those specific to each component study drug) are jointly owned by the parties. Except as</w:t>
      </w:r>
    </w:p>
    <w:p>
      <w:pPr>
        <w:spacing w:after="0" w:line="235" w:lineRule="auto"/>
        <w:rPr>
          <w:sz w:val="20"/>
          <w:szCs w:val="20"/>
          <w:color w:val="auto"/>
        </w:rPr>
      </w:pPr>
      <w:r>
        <w:rPr>
          <w:rFonts w:ascii="Arial" w:cs="Arial" w:eastAsia="Arial" w:hAnsi="Arial"/>
          <w:sz w:val="18"/>
          <w:szCs w:val="18"/>
          <w:color w:val="auto"/>
        </w:rPr>
        <w:t>otherwise specified, the Agreement does not grant any right of first negotiation to participate in future clinical</w:t>
      </w:r>
    </w:p>
    <w:p>
      <w:pPr>
        <w:spacing w:after="0" w:line="235" w:lineRule="auto"/>
        <w:rPr>
          <w:sz w:val="20"/>
          <w:szCs w:val="20"/>
          <w:color w:val="auto"/>
        </w:rPr>
      </w:pPr>
      <w:r>
        <w:rPr>
          <w:rFonts w:ascii="Arial" w:cs="Arial" w:eastAsia="Arial" w:hAnsi="Arial"/>
          <w:sz w:val="18"/>
          <w:szCs w:val="18"/>
          <w:color w:val="auto"/>
        </w:rPr>
        <w:t>trials, and each party retains all rights and ability to evaluate their respective compounds in any studies or</w:t>
      </w:r>
    </w:p>
    <w:p>
      <w:pPr>
        <w:spacing w:after="0" w:line="235" w:lineRule="auto"/>
        <w:rPr>
          <w:sz w:val="20"/>
          <w:szCs w:val="20"/>
          <w:color w:val="auto"/>
        </w:rPr>
      </w:pPr>
      <w:r>
        <w:rPr>
          <w:rFonts w:ascii="Arial" w:cs="Arial" w:eastAsia="Arial" w:hAnsi="Arial"/>
          <w:sz w:val="18"/>
          <w:szCs w:val="18"/>
          <w:color w:val="auto"/>
        </w:rPr>
        <w:t>clinical trials, either as a monotherapy or in combination with any other product or compound, in any</w:t>
      </w:r>
    </w:p>
    <w:p>
      <w:pPr>
        <w:spacing w:after="0" w:line="235" w:lineRule="auto"/>
        <w:rPr>
          <w:sz w:val="20"/>
          <w:szCs w:val="20"/>
          <w:color w:val="auto"/>
        </w:rPr>
      </w:pPr>
      <w:r>
        <w:rPr>
          <w:rFonts w:ascii="Arial" w:cs="Arial" w:eastAsia="Arial" w:hAnsi="Arial"/>
          <w:sz w:val="18"/>
          <w:szCs w:val="18"/>
          <w:color w:val="auto"/>
        </w:rPr>
        <w:t>therapeutic area. The parties retain their independent rights to commercialize their respective therapies both</w:t>
      </w:r>
    </w:p>
    <w:p>
      <w:pPr>
        <w:spacing w:after="0"/>
        <w:rPr>
          <w:sz w:val="20"/>
          <w:szCs w:val="20"/>
          <w:color w:val="auto"/>
        </w:rPr>
      </w:pPr>
      <w:r>
        <w:rPr>
          <w:rFonts w:ascii="Arial" w:cs="Arial" w:eastAsia="Arial" w:hAnsi="Arial"/>
          <w:sz w:val="18"/>
          <w:szCs w:val="18"/>
          <w:color w:val="auto"/>
        </w:rPr>
        <w:t>alone and with third parties.</w:t>
      </w:r>
    </w:p>
    <w:p>
      <w:pPr>
        <w:spacing w:after="0" w:line="194" w:lineRule="exact"/>
        <w:rPr>
          <w:sz w:val="20"/>
          <w:szCs w:val="20"/>
          <w:color w:val="auto"/>
        </w:rPr>
      </w:pPr>
    </w:p>
    <w:p>
      <w:pPr>
        <w:ind w:right="2520"/>
        <w:spacing w:after="0" w:line="259" w:lineRule="auto"/>
        <w:rPr>
          <w:sz w:val="20"/>
          <w:szCs w:val="20"/>
          <w:color w:val="auto"/>
        </w:rPr>
      </w:pPr>
      <w:r>
        <w:rPr>
          <w:rFonts w:ascii="Arial" w:cs="Arial" w:eastAsia="Arial" w:hAnsi="Arial"/>
          <w:sz w:val="17"/>
          <w:szCs w:val="17"/>
          <w:color w:val="auto"/>
        </w:rPr>
        <w:t>We granted Novartis a right of first negotiation with respect to (a) the grant to any person or entity any right, license or sublicense to exploit palazestrant, in any field or territory, other than to third party service providers,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or (b) the sale or other transfer to any person or entity of palazestrant and any related assets, each referred to herein as an Olema Compound Transaction. If we desire to or do, at any time, (a) solicit or entertain any third party proposal or indication of interest with respect to an Olema Compound Transaction, or (b) negotiate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(including in response to any proposal or indication of interest received by the Company), enter into or perform under, in each case, any written definitive agreement with a third party with respect to or that contemplates an Olema Compound Transaction, then we must provide written notice to Novartis regarding such Olema Compound Transaction, along with certain other specified information. Novartis will have 30 days after receipt of such notice to elect to enter into exclusive good faith negotiations with respect to such Olema Compound Transaction for a period of up to 120 days.</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If our board of directors (or a duly authorized board committee) determines that we should pursue or explore a change of control or sale of all or substantially all of the assets of the Company (an Olema Change of</w:t>
      </w:r>
    </w:p>
    <w:p>
      <w:pPr>
        <w:ind w:right="2900"/>
        <w:spacing w:after="0" w:line="234" w:lineRule="auto"/>
        <w:rPr>
          <w:sz w:val="20"/>
          <w:szCs w:val="20"/>
          <w:color w:val="auto"/>
        </w:rPr>
      </w:pPr>
      <w:r>
        <w:rPr>
          <w:rFonts w:ascii="Arial" w:cs="Arial" w:eastAsia="Arial" w:hAnsi="Arial"/>
          <w:sz w:val="18"/>
          <w:szCs w:val="18"/>
          <w:color w:val="auto"/>
        </w:rPr>
        <w:t>Control Transaction), other than in response to an unsolicited bona fide acquisition proposal (a Proposed Sale), we must promptly notify Novartis of such determination. In the event Novartis elects to</w:t>
      </w:r>
    </w:p>
    <w:p>
      <w:pPr>
        <w:spacing w:after="0" w:line="1" w:lineRule="exact"/>
        <w:rPr>
          <w:sz w:val="20"/>
          <w:szCs w:val="20"/>
          <w:color w:val="auto"/>
        </w:rPr>
      </w:pPr>
    </w:p>
    <w:p>
      <w:pPr>
        <w:ind w:right="2560"/>
        <w:spacing w:after="0" w:line="242" w:lineRule="auto"/>
        <w:rPr>
          <w:sz w:val="20"/>
          <w:szCs w:val="20"/>
          <w:color w:val="auto"/>
        </w:rPr>
      </w:pPr>
      <w:r>
        <w:rPr>
          <w:rFonts w:ascii="Arial" w:cs="Arial" w:eastAsia="Arial" w:hAnsi="Arial"/>
          <w:sz w:val="18"/>
          <w:szCs w:val="18"/>
          <w:color w:val="auto"/>
        </w:rPr>
        <w:t>engage in negotiations with us in respect of such Proposed Sale, then from the date such notice is given until 45 days after the later of (a) the date on which the foregoing notice is given to Novartis, (b) the date on which Novartis is given notice that a data room has been populated as required by the Novartis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540"/>
        <w:spacing w:after="0" w:line="275" w:lineRule="auto"/>
        <w:rPr>
          <w:sz w:val="20"/>
          <w:szCs w:val="20"/>
          <w:color w:val="auto"/>
        </w:rPr>
      </w:pPr>
      <w:r>
        <w:rPr>
          <w:rFonts w:ascii="Arial" w:cs="Arial" w:eastAsia="Arial" w:hAnsi="Arial"/>
          <w:sz w:val="17"/>
          <w:szCs w:val="17"/>
          <w:color w:val="auto"/>
        </w:rPr>
        <w:t>Pharma Agreement, and (c) entry by us and Novartis into a customary nondisclosure agreement, Novartis will have the exclusive right (but no obligation) to conduct due diligence on us and our business and negotiate with us the definitive terms and conditions of the Proposed Sale.</w:t>
      </w:r>
    </w:p>
    <w:p>
      <w:pPr>
        <w:spacing w:after="0" w:line="152" w:lineRule="exact"/>
        <w:rPr>
          <w:sz w:val="20"/>
          <w:szCs w:val="20"/>
          <w:color w:val="auto"/>
        </w:rPr>
      </w:pPr>
    </w:p>
    <w:p>
      <w:pPr>
        <w:ind w:right="2520"/>
        <w:spacing w:after="0"/>
        <w:rPr>
          <w:sz w:val="20"/>
          <w:szCs w:val="20"/>
          <w:color w:val="auto"/>
        </w:rPr>
      </w:pPr>
      <w:r>
        <w:rPr>
          <w:rFonts w:ascii="Arial" w:cs="Arial" w:eastAsia="Arial" w:hAnsi="Arial"/>
          <w:sz w:val="18"/>
          <w:szCs w:val="18"/>
          <w:color w:val="auto"/>
        </w:rPr>
        <w:t>If the Company or its affiliates receive an unsolicited bona fide acquisition proposal from a third party, the Company must promptly notify its board of directors (or a duly authorized board committee) of the receipt thereof and request that they consider the merits of such acquisition proposal. If, after such consideration, the Company’s board of directors (or authorized committee) authorizes the Company to engage in negotiations with regard to such acquisition proposal, then the Company must notify Novartis in writing within 24 hours of receipt of such authorization. To the extent possible in light of any confidentiality obligations, such notice must include a summary of the key structural, non-financial terms of such acquisition proposal.</w:t>
      </w:r>
    </w:p>
    <w:p>
      <w:pPr>
        <w:spacing w:after="0" w:line="185" w:lineRule="exact"/>
        <w:rPr>
          <w:sz w:val="20"/>
          <w:szCs w:val="20"/>
          <w:color w:val="auto"/>
        </w:rPr>
      </w:pPr>
    </w:p>
    <w:p>
      <w:pPr>
        <w:ind w:right="2540"/>
        <w:spacing w:after="0" w:line="253" w:lineRule="auto"/>
        <w:rPr>
          <w:sz w:val="20"/>
          <w:szCs w:val="20"/>
          <w:color w:val="auto"/>
        </w:rPr>
      </w:pPr>
      <w:r>
        <w:rPr>
          <w:rFonts w:ascii="Arial" w:cs="Arial" w:eastAsia="Arial" w:hAnsi="Arial"/>
          <w:sz w:val="17"/>
          <w:szCs w:val="17"/>
          <w:color w:val="auto"/>
        </w:rPr>
        <w:t>In the event of an Olema Compound Transaction or Olema Change of Control involving a third party other than Novartis (the first to occur, a “Repayment Trigger Event”), the Company must promptly pay, or procure the payment of, the Repayment Amount (as defined below) to Novartis. Notwithstanding the foregoing, if the Agreement is terminated as a result of certain patient safety issues, lack of product efficacy, regulatory issues or clinical hold issues prior to the consummation of the Olema Compound Transaction or Olema Change of</w:t>
      </w:r>
    </w:p>
    <w:p>
      <w:pPr>
        <w:jc w:val="both"/>
        <w:spacing w:after="0" w:line="234" w:lineRule="auto"/>
        <w:rPr>
          <w:sz w:val="20"/>
          <w:szCs w:val="20"/>
          <w:color w:val="auto"/>
        </w:rPr>
      </w:pPr>
      <w:r>
        <w:rPr>
          <w:rFonts w:ascii="Arial" w:cs="Arial" w:eastAsia="Arial" w:hAnsi="Arial"/>
          <w:sz w:val="18"/>
          <w:szCs w:val="18"/>
          <w:color w:val="auto"/>
        </w:rPr>
        <w:t>Control, then the Company shall not be obligated to pay the Repayment Amount unless (a) the Olema Change of Control or Olema Compound Transaction occurs after such termination and (b) prior to the fifth anniversary of such Olema Change of Control or Olema Compound Transaction (as applicable), the Company or its affiliates (or the applicable acquirer, successor, licensee or option holder of the Company or its affiliates) enrolls a subject in any clinical study involving the combination of palazestrant and ribociclib (the Olema Combination) or submits any filing with any regulatory authority relating to the Olema Combination. The “Repayment Amount” is the proportion of approximately $275 million that is represented by the number of</w:t>
      </w:r>
    </w:p>
    <w:p>
      <w:pPr>
        <w:spacing w:after="0" w:line="4" w:lineRule="exact"/>
        <w:rPr>
          <w:sz w:val="20"/>
          <w:szCs w:val="20"/>
          <w:color w:val="auto"/>
        </w:rPr>
      </w:pPr>
    </w:p>
    <w:p>
      <w:pPr>
        <w:ind w:right="2320"/>
        <w:spacing w:after="0" w:line="250" w:lineRule="auto"/>
        <w:rPr>
          <w:sz w:val="20"/>
          <w:szCs w:val="20"/>
          <w:color w:val="auto"/>
        </w:rPr>
      </w:pPr>
      <w:r>
        <w:rPr>
          <w:rFonts w:ascii="Arial" w:cs="Arial" w:eastAsia="Arial" w:hAnsi="Arial"/>
          <w:sz w:val="18"/>
          <w:szCs w:val="18"/>
          <w:color w:val="auto"/>
        </w:rPr>
        <w:t>units of ribociclib actually supplied to the Company under the Supply Agreement as of immediately prior to the Repayment Trigger Event as compared to the total number of units that could be supplied under the Agreement.</w:t>
      </w:r>
    </w:p>
    <w:p>
      <w:pPr>
        <w:spacing w:after="0" w:line="172" w:lineRule="exact"/>
        <w:rPr>
          <w:sz w:val="20"/>
          <w:szCs w:val="20"/>
          <w:color w:val="auto"/>
        </w:rPr>
      </w:pPr>
    </w:p>
    <w:p>
      <w:pPr>
        <w:ind w:right="2500"/>
        <w:spacing w:after="0" w:line="239" w:lineRule="auto"/>
        <w:rPr>
          <w:sz w:val="20"/>
          <w:szCs w:val="20"/>
          <w:color w:val="auto"/>
        </w:rPr>
      </w:pPr>
      <w:r>
        <w:rPr>
          <w:rFonts w:ascii="Arial" w:cs="Arial" w:eastAsia="Arial" w:hAnsi="Arial"/>
          <w:sz w:val="18"/>
          <w:szCs w:val="18"/>
          <w:color w:val="auto"/>
        </w:rPr>
        <w:t>The foregoing rights of first negotiation, first offer and notice and repayment obligations remain in effect until the first to occur of: (a) the date that is 120 days after filing of the New Drug Application for the Olema Combination, (b) one year after any expiration or termination of the Agreement, and (c) such time as the Agreement is terminated by the Company due to Novartis’ material breach. However, in the event the Agreement is terminated due to certain patient safety issues, lack of product efficacy, regulatory issues or clinical hold issues prior to the consummation of an Olema Change of Control or Olema Compound Transaction, then the Repayment Obligation shall survive until the fifth anniversary of such Olema Change of Control or Olema Compound Transaction (as applicable) or, if payment of the Repayment Amount is required, until the next business day after the Repayment Amount has been received by Novartis.</w:t>
      </w:r>
    </w:p>
    <w:p>
      <w:pPr>
        <w:spacing w:after="0" w:line="183" w:lineRule="exact"/>
        <w:rPr>
          <w:sz w:val="20"/>
          <w:szCs w:val="20"/>
          <w:color w:val="auto"/>
        </w:rPr>
      </w:pPr>
    </w:p>
    <w:p>
      <w:pPr>
        <w:ind w:right="2540"/>
        <w:spacing w:after="0" w:line="237" w:lineRule="auto"/>
        <w:rPr>
          <w:sz w:val="20"/>
          <w:szCs w:val="20"/>
          <w:color w:val="auto"/>
        </w:rPr>
      </w:pPr>
      <w:r>
        <w:rPr>
          <w:rFonts w:ascii="Arial" w:cs="Arial" w:eastAsia="Arial" w:hAnsi="Arial"/>
          <w:sz w:val="18"/>
          <w:szCs w:val="18"/>
          <w:color w:val="auto"/>
        </w:rPr>
        <w:t>The Agreement will terminate on the fifth anniversary of the date on which the first dose of palazestrant is administered to the first study subject. Either party may terminate the Agreement for the uncured material breach or insolvency of the other party, for failure to comply with certain anti-corruption obligations, in the event of a change of control of the other party, if it reasonably deems it necessary in order to protect the safety, health or welfare of subjects enrolled in the clinical studies for the combined therapies due to the existence of a material safety issue, if the parties jointly decide that the Olema Combination is not achieving sufficiently superior levels of efficacy, if any regulatory authority action prevents a party (or the Letrozole supplier) from supplying its product, in the event of an unresolved force majeure event, or in certain circumstances for an unresolved clinical hold with respect to ribociclib, palazestrant or letrozole (or the combination of ribociclib and palazestrant or ribociclib and letrozole). In addition, Novartis may terminate the Agreement if the Company has failed to commence the OPERA-02 trial on or prior to March 31, 2026 or if the Company consummates an Olema Compound Transaction, and the Company may terminate the Agreement if the Company terminates the OPERA-02 trial other than due to a material safety issue, efficacy issue, regulatory action or upon a clinical hold.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Agreement with Pfizer</w:t>
      </w:r>
    </w:p>
    <w:p>
      <w:pPr>
        <w:spacing w:after="0" w:line="212"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In November 2020, we entered into a non-exclusive clinical trial agreement with Pfizer (the Pfizer Agreement) to evaluate the safety and tolerability of palazestrant in combination with Pfizer’s proprietary CDK4/6 inhibitor IBRANCE® (palbociclib) in patients with recurrent, locally advanced or metastatic ER+/HER2</w:t>
      </w:r>
      <w:r>
        <w:rPr>
          <w:rFonts w:ascii="MS PGothic" w:cs="MS PGothic" w:eastAsia="MS PGothic" w:hAnsi="MS PGothic"/>
          <w:sz w:val="18"/>
          <w:szCs w:val="18"/>
          <w:color w:val="auto"/>
        </w:rPr>
        <w:t>‑</w:t>
      </w:r>
      <w:r>
        <w:rPr>
          <w:rFonts w:ascii="Arial" w:cs="Arial" w:eastAsia="Arial" w:hAnsi="Arial"/>
          <w:sz w:val="18"/>
          <w:szCs w:val="18"/>
          <w:color w:val="auto"/>
        </w:rPr>
        <w:t xml:space="preserve"> breast cancer in a clinical trial. Under the terms of the non-exclusive agreement, we are responsible for conducting the clinical study for the combined therapies and Pfizer is responsible for supplying IBRANCE® to us at no cost to us. As part of the collaboration, the parties granted to each other a non-exclusive, royalty- 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are jointly owned by the parties.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responsible for manufacturing, packaging and labeling palazestrant, and for packaging and labeling all drugs used in the clinical trials for the combined therapies (other than IBRANCE® (palbociclib)). Pfizer is responsible for manufacturing and delivering to us IBRANCE® (palbociclib) in such quantities as reasonably needed for the clinical studies for the combined therapies.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studies for the combined therapies due to the existence of a material safety issue, or in certain circumstances for an unresolved clinical hold with respect to either the IBRANCE® (palbociclib)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studies, and each of the parties retains all rights and ability to evaluate their respective compounds.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Aurigene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June 2022, we entered into an exclusive global license agreement with Aurigene, to research, develop and commercialize novel small molecule inhibitors of an undisclosed oncology target (the Aurigene Agreement).</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terms of the Aurigene Agreement, Aurigene will provide to us an exclusive license to its portfolio of novel small molecule inhibitors of the target. Financial terms of the Aurigene Agreement include a $8.0 million upfront payment from us for rights to a pre-existing Aurigene program and potential future milestone payments of up to $60.0 million in clinical development and regulatory milestones, and up to $370.0 million in commercial milestones. Aurigene is also eligible to receive mid-single-digit to low double-digit royalties as percentages of product sales, if any. During the research term, we will contribute funding to Aurigene to facilitate Aurigene’s ongoing discovery efforts. We and Aurigene will jointly direct further pre-clinical work and, if successful, we will lead clinical development as well as regulatory and commercial activities. We and Aurigene jointly own collaboration compounds and rights to any inventions made during the research term.</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us for convenience, in our sole discretion, upon prior written notice to Aurigene, (b) by either us or Aurigene in connection with the other party’s uncured material breach or (c) by either us or Aurigene in connection with the insolvency of the other party.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Licensing Agreements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17, 2024, we signed an out-license of our de-prioritized TRPM4 targeted research program to Black Shadow Therapeutics LLC in exchange for potential single-digit royalties on world-wide net sales should a product be approved by regulatory authorities.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success depends, in part, on our ability to obtain, maintain and protect our intellectual property and other proprietary rights for palazestrant, OP-3136 and any future product candidates and other discoveries, inventions, trade secrets and know-how that are critical to our business operations. Our success also depends in part on our ability to operate without infringing, misappropriating or otherwise violating the intellectual property and proprietary rights of others, and in part, on our ability to prevent others from infringing, misappropriating or otherwise violating our intellectual property and proprietary rights. A comprehensive discussion on risks relating to intellectual property is provided under the section titled “Risk Factors—Risks Related to Our Intellectual Property.”</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Intellectual property rights relevant to pharmaceutical companies typically include a combination of patent rights, regulatory exclusivities, trademark rights, and trade secret protection. Our success depends, in part, on our ability to secure and enforce each of these types of intellectual property rights.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biotechnology has emerged in the United States and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Regardless of the coverage we seek under our existing patent applications, there is always a risk that an alteration to the product or process may provide sufficient basis for a competitor to avoid infringement claims. In addition, the coverage claimed in a patent application can be significantly reduced before a patent is issued and courts can reinterpret patent scope after issuance. Moreover, many jurisdictions, including the United States, permit third parties to challenge issued patents in administrative proceedings, which may result in further narrowing or even cancellation of patent claims.</w:t>
      </w:r>
    </w:p>
    <w:p>
      <w:pPr>
        <w:spacing w:after="0" w:line="186"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utility patents have a presumptive term of 20 years from their effective filing date (which is the earliest non-provisional filing date to which the patent claims priority). However, many jurisdictions, including the United States, require the payment of periodic annuities or maintenance fees for patents to remain in force for the full 20</w:t>
      </w:r>
      <w:r>
        <w:rPr>
          <w:rFonts w:ascii="MS PGothic" w:cs="MS PGothic" w:eastAsia="MS PGothic" w:hAnsi="MS PGothic"/>
          <w:sz w:val="18"/>
          <w:szCs w:val="18"/>
          <w:color w:val="auto"/>
        </w:rPr>
        <w:t>‑</w:t>
      </w:r>
      <w:r>
        <w:rPr>
          <w:rFonts w:ascii="Arial" w:cs="Arial" w:eastAsia="Arial" w:hAnsi="Arial"/>
          <w:sz w:val="18"/>
          <w:szCs w:val="18"/>
          <w:color w:val="auto"/>
        </w:rPr>
        <w:t>year term. The United States also has provisions that require a patent term to be shortened if its claims are too similar to another patent owned by the same party that has a shorter term. The term of a patent, and the protection it affords, is therefore limited and once the patent term of our issued patents has expired, we may face competition. Because of the extensive time required for clinical development and regulatory review of the drugs we develop, it is possible that, before palazestrant, OP-3136 or any future product candidates we may develop can be commercialized, any related patent may expire or remain in force for only a short period following commercialization, thereby reducing any advantage of any such patent.</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United States and certain other jurisdictions also have provisions that permit extension of patent term for patents that claim a drug or drug product, or its approved use, if the patent was issued before clinical trials and were completed and regulatory approval secured, so long as certain specific requirements were satisfied. In the United States, such extension associated with regulatory approval is called a Patent Term Extension (PTE) and it is limited to a maximum of five years, or less if the extended patent term would exceed 14 years after the date of regulatory approval. Only one patent can receive regulatory extension (e.g., PTE) per product approval.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The United States also offers a different form of patent term extension, known as Patent Term Adjustment (PTA), whereby a particular patent’s term is automatically extended beyond the 20</w:t>
      </w:r>
      <w:r>
        <w:rPr>
          <w:rFonts w:ascii="MS PGothic" w:cs="MS PGothic" w:eastAsia="MS PGothic" w:hAnsi="MS PGothic"/>
          <w:sz w:val="18"/>
          <w:szCs w:val="18"/>
          <w:color w:val="auto"/>
        </w:rPr>
        <w:t>‑</w:t>
      </w:r>
      <w:r>
        <w:rPr>
          <w:rFonts w:ascii="Arial" w:cs="Arial" w:eastAsia="Arial" w:hAnsi="Arial"/>
          <w:sz w:val="18"/>
          <w:szCs w:val="18"/>
          <w:color w:val="auto"/>
        </w:rPr>
        <w:t>year date if the United States Patent and Trademark Office (USPTO) caused delay during its examination; however, potentially available PTA is reduced by any amount of any delay caused by the patent applicant.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provisional patent application can establish a priority date for a patent, but only if certain deadlines and procedures are met. Specifically, a non-provisional application must be filed within 12 months of the provisional filing date, and such non -provisional filing must be made by an applicant who has properly documented its right to claim priority. Furthermore, if any changes are made to the application between the provisional and the non- provisional filings, the changed material may not be entitled to the priority filing date. Still further, in the biopharmaceutical industry, it is common for applicants to file a so-called “international” patent application under the Patent Cooperation Treaty (PCT) as a non-provisional filing. Such an international application, often referred to as a “PCT application,” like a provisional application, cannot itself issue as a patent but rather preserves the applicant’s right to pursue patent filings in individual countries, which patent filings are referred to as “national applications” or “national phase filings” and can claim the benefit of priority to the prior PCT application (which may in turn claim priority to the prior provisional filing). For most jurisdictions, national phase applications claiming priority to a PCT application must be filed within 30 to 32 months of the PCT’s earliest priority date. If we fail to meet the deadline for filing non-provisional or national phase applications, or fail to complete all procedural requirements associated with such filings, we may lose our right to claim priority. Moreover, even if we comply with all deadlines and requirements, we may not be able to issue patents in relevant jurisdictions, and furthermore cannot predict whether any patents that might issue will provide us with any competitive advantage.</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granted patents and pending applications relating to palazestrant, including granted claims that encompass the palazestrant compound, pharmaceutical compositions that include palazestrant, and certain methods of using palazestrant, including in treatment which may involve combination therapy. The 20-year term for these patents expires in 2036. In the United States, it is uncertain whether any PTE will be available, and if so, how much. Additional applications are pending, including ones that relate to dosing regimens and treatment of particular cancers and patient populations, and, if granted, will have 20-year terms that expire between 2040 and 2043.</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co-own with Aurigene a pending patent application related to OP-3136, which includes claims that encompass the OP-3136 compound, pharmaceutical compositions that include OP-3136, and certain methods of using OP-3136. Under the Aurigene Agreement, Aurigene has provided to us an exclusive license to Aurigene's rights in patents and applications related to OP-3136 and other KAT6 inhibitor compounds. The 20-year term for the pending patent application related to OP-3136 expires in 2044. In the United States, it is uncertain whether any PTE will be available, and if so, how much.</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patents related to palazestrant or OP-3136 (once granted) may be eligible for PTE in certain jurisdictions, including the United States and Europe, upon approval of a commercial use of the corresponding product by a regulatory agency in the jurisdiction where the patent was granted. However, there can be no assurance that we will receive or benefit from any PTE with respect to such patents.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patent term extension regulatory exclusivities, pharmaceutical marketing approval agencies, such as the FDA and the EMA, offer certain data exclusivities for first-approved products with a new chemical entity (NCE), exclusivity, and/or for approvals related to orphan indications (Orphan Drug designation), and/or pediatric approvals (Pediatric Exclusivity).</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Furthermore, as neither palazestrant nor OP-3136 has previously been approved in the United States for any indication, each of palazestrant and OP-3136 may be eligible for five years of NCE exclusivity upon its first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approval. Should that approval be for an orphan indication for which we have received Orphan Drug designation, the NCE and Orphan Drug exclusivity would run concurrently.</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With respect to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palazestrant, OP-3136 or any future product candidates and the methods used to manufacture them. Moreover, any issued patents and those that may be issued in the future may not guarantee us the right to practice our technology in relation to the commercialization of palazestrant, OP-3136 or any future product candidates. Any patents and those that may issue in the future may be challenged, narrowed, circumvented or invalidated, which could limit our ability to stop competitors from marketing related product candidates or limit the length of the term of patent protection that we may have for palazestrant, OP-3136 or any future product candidates. In addition, the rights granted under any issued patents may not provide us with complete protection or competitive advantages against competitors with similar products to ours. For information regarding risks related to intellectual property, see the section titled “Risk Factors—Risks Related to Our Intellectual Property.”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also applied to register the “Olema,” “Olema Oncology,” “Olema Oncology and design,” and “Olema Therapeutics” trademarks with the USPTO. We do not currently own any U.S. registered trademarks for our brand or trade names.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patent, regulatory exclusivity, and trademark, we rely on trade secret and know-how protection to secure our proprietary position around our chemistry, technology and other discoveries and inventions that we consider important to our business.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seek to protect our intellectual property, including our trade secrets and know-how,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 However, trade secrets and know-how can be difficult to protect. We cannot guarantee that we have entered into such agreements with each party that may have or have had access to our trade secrets or proprietary technology and processes or that these agreements will afford us adequate protection of our intellectual property and proprietary rights. Despite these efforts, any of these parties may breach the agreements and disclose our proprietary information, including our trade secrets, and we may not be able to obtain adequate remedies for such breaches. In addition, our trade secrets may otherwise become known or be independently discovered by competitors. For information regarding risks related to intellectual property, see the section titled “Risk Factors—Risks Related to Our Intellectual Property.”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any approved products. We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intend to continue evaluating opportunities to work with partners that enhance our capabilities with respect to the development and commercialization of palazestrant. In addition, we intend to commercialize our product candidates, if approved, in key markets either alone or with partners in order to maximize the worldwide commercial potential of our programs.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currently do not own or operate any manufacturing facilities. We rely, and expect to continue to rely for the foreseeable future, on third-party contract manufacturing organizations (CMOs) to produce palazestrant for non-clinical and clinical testing, as well as for commercial manufacture if palazestrant receives marketing approval. We require that our CMOs produce bulk drug substances and finished drug products in accordance with current Good Manufacturing Practices (cGMPs) and all other applicable laws and regulations. We maintain agreements with our manufacturers that include confidentiality and intellectual property provisions to protect our proprietary rights related to palazestrant.</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engaged CMOs to manufacture and package palazestrant for non-clinical and clinical use. Additional CMOs are used to label and distribute palazestrant for clinical use. We obtain our supplies from these CMOs on a purchase order basis and do not have long-term supply arrangements in place. Although we do not currently have contractual arrangements in place for redundant supply for palazestrant, it is our goal to identify and contract with at least two manufacturers for active pharmaceutical ingredient and two manufacturers for drug product. More broadly, for palazestrant and any other product candidates we may develop, we intend to identify and qualify additional manufacturers to provide the active pharmaceutical ingredient and fill-and-finish services prior to seeking regulatory approval.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current therapies and new therapies that may become available in the future.</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Many of the companies against which we may compete have significantly greater financial resources and expertise in research and development, manufacturing, non-clinical testing, conducting clinical trials, obtaining regulatory approvals and marketing approved products than we do. Mergers and acquisitions in the pharmaceutical, biotechnology and oncology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less expensive than any products we may develop. Our competitors also may obtain FDA or other regulatory approval for their product candidates more rapidly than we may obtain approval for ours, which could result in competitors establishing a strong market position before we are able to enter the market. We believe that the key competitive factors affecting the success of any of our product candidates, if approved, will include efficacy, combinability, safety profile, convenience, cost, level of promotional activity devoted to them and intellectual property protection.</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product candidates for our priority programs are approved for the indications we are currently targeting, they will compete with the products discussed below. Furthermore, it is possible that other companies are also engaged in discovery or non-clinical development of product candidates for the same indications. These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competitors, if successful in clinical development, may achieve regulatory approval and market adoption in advance of our product candidates, constraining our ability to gain significant market share for such product candidates. In addition, our product candidates, if approved, will complete with multiple approved products or products that may be approved for future indications for which we develop such product candidate.</w:t>
      </w:r>
    </w:p>
    <w:p>
      <w:pPr>
        <w:spacing w:after="0" w:line="174"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There are several currently marketed drugs and product candidates currently in development for the treatment of ER+ breast cancer that target the estrogen receptor that may compete with palazestrant including: fulvestrant, marketed as Faslodex® by AstraZeneca PLC and or any generic equivalents of Faslodex that are marketed or in development; elacestrant, marketed as ORSERDU</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(LY3484356), being developed by Eli Lilly and Co.; vepdegestrant (ARV</w:t>
      </w:r>
      <w:r>
        <w:rPr>
          <w:rFonts w:ascii="MS PGothic" w:cs="MS PGothic" w:eastAsia="MS PGothic" w:hAnsi="MS PGothic"/>
          <w:sz w:val="18"/>
          <w:szCs w:val="18"/>
          <w:color w:val="auto"/>
        </w:rPr>
        <w:t>‑</w:t>
      </w:r>
      <w:r>
        <w:rPr>
          <w:rFonts w:ascii="Arial" w:cs="Arial" w:eastAsia="Arial" w:hAnsi="Arial"/>
          <w:sz w:val="18"/>
          <w:szCs w:val="18"/>
          <w:color w:val="auto"/>
        </w:rPr>
        <w:t>471), being developed by Arvinas, Inc. in partnership with Pfizer, Inc.; and lasofoxifene, being developed by Sermonix Pharmaceuticals. There are a number of KAT6 inhibitor product candidates in development that may compete with OP-3136 including PF-07248144, which is being developed by Pfizer.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183" w:lineRule="exact"/>
        <w:rPr>
          <w:sz w:val="20"/>
          <w:szCs w:val="20"/>
          <w:color w:val="auto"/>
        </w:rPr>
      </w:pPr>
    </w:p>
    <w:p>
      <w:pPr>
        <w:ind w:left="76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extensive non-clinical laboratory tests, non-clinical animal studies and formulation studies in accordance with applicable regulations, including the FDA’s Good Laboratory Practices, or GLP, regulations and other applicable regulations;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begin;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(IRB) at each clinical site before each trial may be initiated;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60" w:right="20" w:hanging="378"/>
        <w:spacing w:after="0" w:line="270"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applicable regulations, including the FDA’s current good clinical practice (GCP) regulations to establish the safety and efficacy of the proposed drug for its proposed indication;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 New Drug Application (NDA) for a new drug;</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good manufacturing practice (cGMP) requirements to assure that the facilities, methods and controls are adequate to preserve the drug’s identity, strength, quality and purity;</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audit of the non-clinical and/or clinical trial sites that generated the data in support of the NDA;</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Before testing any compounds with potential therapeutic value in humans, the drug candidate enters the non-clinical testing stage. Non-clinical tests include laboratory evaluations of product chemistry, toxicity and formulation, as well as animal studies, to assess the characteristics and potential safety and activity of the drug candidate. The conduct of the non-clinical tests must comply with federal regulations and requirements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non-clinical testing may continue even after the IND is submitted. The IND automatically becomes effective 30 days after receipt by the FDA, unless the FDA raises concerns or questions regarding the proposed clinical trials and places the IND on clinical hold within that 30 day time period. In such a case, the IND may be placed on clinical hold and the IND sponsor and the FDA must resolve any outstanding concerns or questions before the clinical trial can begin. The FDA may also impose clinical holds on a drug candidate at any time before or during clinical trials due to safety concerns or non-compliance.</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Clinical trials involve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requirements governing the reporting of ongoing clinical trials and completed clinical trial results to public registries.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jc w:val="both"/>
        <w:ind w:left="760" w:hanging="378"/>
        <w:spacing w:after="0" w:line="246"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1. The drug is initially introduced into healthy human subjects and tested for safety, dosage tolerance, absorption, metabolism, distribution and excretion,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2. 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170"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Post-approval studies (Phase 4 clinical trials) may be conducted after initial marketing approval. These trials are used to gain additional experience from the treatment of patients in the intended therapeutic indication. In certain instances, the FDA may mandate the performance of Phase 4 trials. In certain instances, the FDA may mandate the performance of Phase 4 clinical trials as a condition of approval of an NDA.</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assesses whether or not a trial may move forward at designated check points based on access to certain data from the ongoing trial.</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along with descriptions of the manufacturing process, analytical tests conducted on the chemistry of the drug, proposed labeling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does not always meet its PDUFA goal dates for standard and priority NDAs, and the review process is often significantly extended by FDA requests for additional information or clarification.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(REMS) is necessary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for a serious condition where no satisfactory alternative therapy exists or a significant improvement in the treatment, diagnosis or prevention of a serious condition compared to marketed products. The FDA will attempt to direct additional resources to the evaluation of an application for a new drug designated for priority review in an effort to facilitate the review.</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 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this designation may not provide a material commercial advantage.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 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additional labeling claims, are also subject to further FDA review and approval.</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Depending upon the timing, duration and specifics of the FDA approval of the use of our product candidates, some of our U.S. patents, if granted, may be eligible for limited PTE under the Drug Price Competition and Patent Term Restoration Act of 1984, commonly referred to as the Hatch-Waxman Amendments. As compensation for patent term lost during product development and the FDA regulatory review process, the Hatch-Waxman Amendments permit a patent restoration term (PTE), which is limited to a maximum of five years, or less if the extended patent term would exceed 14 years after the date of the regulatory approval of the product. The patent term restoration period is generally one-half the time between the effective date of an IND and the submission date of an NDA plus the time between the submission date of an NDA and the approval of that application. Only one patent applicable to an approved drug or drug product, or its approved use,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a patent term for one of our currently owned or licensed patents to add patent life beyond its current expiration date, depending on the expected length of the clinical trials and other factors involved in the filing of the relevant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NDA.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PTE or favorable adjustment to the term of any of our patents.</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fraud and abuse (such as anti-kickback and false claims), privacy and security, price reporting, and provider transparency laws and regulations.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but the exceptions and safe harbors are drawn narrowly and require strict compliance in order to offer protection.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the intent standard under the Anti-Kickback Statute and certain criminal healthcare fraud statutes (discussed below) was amended by the Patient Protection and Affordable Care Act of 2010, as amended by the Health Care and Education Reconciliation Act of 2010, together with subsequent amendments and regulations, collectively,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Pharmaceutical and other healthcare companies have been prosecuted under these laws for, among other things, allegedly providing free product to customers with the expectation that the customers would bill federal programs for the product and for causing false claims to be submitted because of the companies’ marketing of the product for unapproved, and thus non- covered, uses.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federal Health Insurance Portability and Accountability Act of 1996 (HIPAA) also created new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and certain ownership and investment interests held by these physicians and their immediate family members.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may also be subject to data privacy and security regulations promulgated by both the federal government and the states in which we conduct our business. HIPAA, as amended by the Health Information Technology for Economic and Clinical Health Act (HITECH) and its implementing regulations, impose requirements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U.S. and foreign laws, regulations, rules, contractual obligations, policies and other obligations related to data privacy and security.</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or will become subject to privacy laws in the jurisdictions in which we are established or in which we sell or market our products or run clinical trials. For example, in Europe we are subject to the General Data Protection Regulation (GDPR) in relation to our collection, control, processing and other use of personal data (i.e., data relating to an identified or identifiable living individual). We process personal data in relation to participants in our clinical trials in the European Economic Area (EEA), including the health and medical information of these participants. The GDPR is directly applicable in each of the twenty-seven member states of the European Union (EU Member States), however, it provides that EU Member States may introduce further conditions that could cause our compliance costs to increase, ultimately having an adverse impact on our business.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the supervision of local data protection authorities in those European Union jurisdictions where we are established or otherwise subject to the GDPR. Fines for certain breaches of the GDPR are significant: up to the greater of €20 million or 4% of total global annual turnover. Further, we must comply with both the GDPR and separately the GDPR as implemented in the United Kingdom (UK), each regime having the ability to fine up to the greater of €20 million / £17 million or 4% of global turnover. A breach of the GDPR or other applicable privacy and data protection laws and regulations could result in regulatory investigations, reputational damage, orders to cease/change our use of data, enforcement notices, or potential civil claims including class action type litigation. In general, if our efforts to comply with the GDPR or other applicable European Union laws and regulations are not successful, it could adversely affect our business in the European Union.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United States, the California Consumer Privacy Act (CCPA) creates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(a) allows enforcement by the California Attorney General, with fines set at $2,500 per violation (i.e., per person) or $7,500 per intentional violation and (b) authorizes private lawsuits to recover statutory damages for certain data breaches.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 CCPA may impact our business activities and exemplifies the vulnerability of our business to the evolving regulatory environment related to personal data and protected health information. Additionally, the California Privacy Rights Act (CPRA) significantly modifies the CCPA, including by expanding consumers’ rights with respect to certain sensitive personal information. The CPRA also creates a new state agency that will be vested with authority to implement and enforce the CCPA and the CPRA. New legislation proposed or enacted in various other states will continue to shape the data privacy environment nationally. For example, Virginia, Colorado, Utah, and Connecticut have all enacted broad privacy legislation.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we will be accountable for any third-party service providers we engage to process personal data on our behalf, including our contract research organizations (CROs). We attempt to mitigate the associated risks but there is no assurance that privacy and security-related safeguards will protect us from all risks associated with the third-party processing, storage and transmission of such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part, on the extent to which third-party payors provide coverage, and establish adequate reimbursement levels for such drug products. In the United States, third-party payors include federal and state healthcare programs, government authorities, private managed care providers, private health insurers and other organizations.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(VHCA) drug companies are required to offer certain drugs at a reduced price to a number of federal agencies, including the U.S. Department of Veterans Affairs and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Across the European Union, member states carry out assessments of new pharmaceutical products from an economic, public health, and therapeutic perspective, through a Health Technology Assessment (HTA) process, which is currently governed by the national laws of EU Member States. In December 2021, the European Parliament voted to implement a regulation regarding HTAs (the HTA Regulation). The HTA Regulation is scheduled to apply as of January 2025, and will provide a framework for pan-EU clinical assessments, scientific consultations, identification of emerging health technologies, and further cooperation. Entry into application of the Regulation could impose stricter and more detailed procedures to be followed by marketing authorization holders concerning conduct of HTAs in relation to their products which may influence related pricing and reimbursement decisions. However, under the HTA Regulation, EU Member States will still be free to make their own pricing and reimbursement decisions. Moreover, EU Member States may, and do, choose to restrict the range of products for which their national health insurance systems or national healthcare systems provide reimbursement and to control the prices of such products. EU Member States may impose direct controls on pricing, or otherwise adopt a system of direct or indirect controls on the profitability of the companies placing such products on the market. Other EU Member States allow companies to set their own prices but monitor and control prescription volumes and issue guidance to medical professionals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limit prescriptions of such products.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ACA was enacted, which affected existing government healthcare programs and resulted in the development of new programs.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There have been executive, judicial and Congressional challenges and amendments to certain aspects of the ACA. For example, on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the healthcare reform measures of the current administration will impact the ACA and our business.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Other legislative changes have also been proposed and adopted in the United States since the ACA was enacted. On August 2, 2011, the Budget Control Act of 2011, among other things, included aggregate reductions to Medicare payments to providers of 2% per fiscal year, which went into effect on April 1, 2013, and will remain in effect through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has been heightened governmental scrutiny recently over the manner in which pharmaceutical companies set prices for their marketed products, which has resulted in several Presidential executive orders,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For example, the IRA, among other things, (1) directs the U.S. Department of Health and Human Services (HHS), to negotiate the price of certain high-expenditure, single-source drugs that have been on the market for at least seven years covered under Medicare, the Medicare Drug Price Negotiation Program, and (2) imposes rebates under Medicare Part B and Medicare Part D to penalize price increases that outpace inflation. These provisions began to take effect progressively in fiscal year 2023. On August 15, 2024, HHS announced the agreed-upon prices of the first ten drugs that were subject to price negotiations, although the Medicare Drug Price Negotiation Program is currently subject to legal challenges. On January 17, 2024,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it is possible that there will be further legislation or regulation that could harm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Foreign Corrupt Practices Act</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U.S. Foreign Corrupt Practices Act of 1977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countries outside of the United States have a similar process that requires the submission of a clinical trial application much like the IND prior to the commencement of human clinical trials. In the European Union, for example, clinical trials are governed by the Clinical Trials Regulation (EU) No 536/2014 (CTR), which entered into application on January 31, 2022 repealing and replacing the former Clinical Trials Directive 2001/20 (CTD). 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EU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 The CTR foresaw a three-year transition period that ended on January 31, 2025. Since this date, all new or ongoing trials are subject to the provisions of the CTR.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requirements and processes governing the conduct of clinical trials, product licensing, pricing and reimbursement vary from country to country. In all major territories, including the European Union, clinical trials must be conducted in accordance with GCP and the applicable regulatory requirements and the ethical principles that have their origin in the Declaration of Helsinki.</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European Union and the European Economic Area consist, at the time of writing, of the EU Member States, plus Norway, Iceland, and Liechtenstein which are member states of the European Economic Area. To obtain regulatory approval of an investigational drug or biological product under European Union regulatory systems, we must submit a marketing authorization application either under the so-called centralized or national authorization procedures. There are three procedures for a marketing authorization (MA) to be obtained:</w:t>
      </w:r>
    </w:p>
    <w:p>
      <w:pPr>
        <w:spacing w:after="0" w:line="174" w:lineRule="exact"/>
        <w:rPr>
          <w:sz w:val="20"/>
          <w:szCs w:val="20"/>
          <w:color w:val="auto"/>
        </w:rPr>
      </w:pPr>
    </w:p>
    <w:p>
      <w:pPr>
        <w:jc w:val="both"/>
        <w:ind w:left="760" w:hanging="378"/>
        <w:spacing w:after="0" w:line="237"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Centralized marketing authorization, which is issued by the European Commission through the Centralized Procedure, based on the scientific opinion of the EMA’s Committee for Medicinal Products for Human Use, and which is valid throughout the entire territory of the 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 The maximum timeframe for the evaluation of an MAA under the centralized procedure is 210 days, excluding clock stops when additional information or written or oral explanation is to be provided by the applicant in response to questions of the CHMP.</w:t>
      </w:r>
    </w:p>
    <w:p>
      <w:pPr>
        <w:spacing w:after="0" w:line="190" w:lineRule="exact"/>
        <w:rPr>
          <w:rFonts w:ascii="Times New Roman" w:cs="Times New Roman" w:eastAsia="Times New Roman" w:hAnsi="Times New Roman"/>
          <w:sz w:val="18"/>
          <w:szCs w:val="18"/>
          <w:color w:val="auto"/>
        </w:rPr>
      </w:pPr>
    </w:p>
    <w:p>
      <w:pPr>
        <w:jc w:val="both"/>
        <w:ind w:left="760" w:hanging="378"/>
        <w:spacing w:after="0" w:line="237"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Decentralized Procedure marketing authorizations are available for products not falling within the mandatory scope of the Centralized Procedure. An identical dossier is submitted to the competent authorities of each of the Member States in which the marketing authorization is sought, one of which is selected by the applicant as the Reference Member State (RMS), to lead the evaluation of the regulatory submission. The competent authority of the RMS prepares a draft assessment report, a draft summary of the product characteristics (SmPC), and a draft of the labeling and package leaflet as distilled from the preliminary evaluation, which are sent to the other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Each Member State concerned by the procedure is required to adopt a national decision to grant a national marketing authorization in conformity with the approved assessment report, SmPC and the labeling and package leaflet as approved. Where a product has already been authorized for marketing in a Member State of the European Economic Area, the granted national marketing authorization can be used for mutual recognition in other Member States through the Mutual Recognition Procedure (MRP), resulting in progressive national approval of the product in the European Economic Area.</w:t>
      </w:r>
    </w:p>
    <w:p>
      <w:pPr>
        <w:spacing w:after="0" w:line="190"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National marketing authorizations, which are issued by a single competent authority of the member states of the European Economic Area and only covers such authority’s respective territory, are also available for products not falling within the mandatory scope of the Centralized Procedure. Once a product has been authorized for marketing in a Member State of the European Economic Area through the National Procedure, this National marketing authorization can also be recognized in other Member States through the Mutual Recognition Procedure.</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An MA has, in principle, an initial validity of five years. The MA may be renewed after five years on the basis of a re-evaluation of the risk-benefit balance by the EMA or by the competent authority of the EU Member State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European Commission may also grant orphan drug designation to promote the development of products that may offer therapeutic benefits for life-threatening or chronically debilitating conditions affecting not more than five in 10,000 people in the European Union. In addition, orphan drug designation can be granted if the drug is intended for a life threatening, seriously debilitating or serious and chronic condition in the European Union and without incentives it is unlikely that sales of the drug in the European Union would be sufficient to justify developing the drug. Orphan drug designation is only available if there is no other satisfactory method approved in the European Union of diagnosing, preventing or treating the condition, or if such a method exists, the proposed orphan drug will be of significant benefit to patients. Orphan drug designation provides opportunities for free protocol assistance, fee reductions for access to the centralized regulatory procedures and ten years of market exclusivity following drug approval, which can be extended to 12 years if trials are conducted in accordance with an agreed-upon pediatric investigational plan. The exclusivity period may be reduced to six years if the designation criteria are no longer met, including where it is shown that the product is sufficiently profitable not to justify maintenance of market exclusivity.</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EU, pricing and reimbursement schemes vary widely from country to country.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some EU Member States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In December 2021, Regulation No 2021/2282 on Health Technology Assessment, or HTA Regulation, was adopted. The HTA Regulation is intended to boost cooperation among EU Member States in assessing health technologies, including new medicinal products, and providing the basis for cooperation at EU level for joint clinical assessments in these areas. The HTA Regulation has applied from January 12, 2025 although it will enter into force iteratively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initially apply to new active substances to treat cancer and to all advanced therapy medicinal products (ATMPs), it will then be expanded to orphan medicinal products in January 2028, and to all centrally authorized medicinal products as of 2030. Selected high-risk medical devices will also be assessed under the HTA Regulation as of 2026. The HTA Regulation is intended to harmonize the clinical benefit assessment of HTA across the European Union.</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Much like the Anti-Kickback Statute prohibition in the United States, as described below, the provision of benefits or advantages to physicians and other health care professionals to induce or encourage the prescription, recommendation, endorsement, purchase, supply, order or use of medicinal products is also prohibited in the E.U.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and imprisonment.</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Payments made to physicians and other health care professionals in certain EU Member States must be publicly disclosed. Moreover, agreements with health care professionals may require prior notification or approval by the health 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8D4"/>
        </w:rPr>
        <w:t>The United Kingdom’s, or UK, withdrawal from the EU on January 31, 2020, commonly referred to as Brexit,</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u w:val="single" w:color="auto"/>
          <w:color w:val="0078D4"/>
        </w:rPr>
        <w:t>has changed the regulatory relationship between the UK and the EU. The Medicines and Healthcare products Regulatory Agency, or MHRA, is now the UK’s standalone regulator for medicinal products and medical devices. The United Kingdom is now a third country to the EU. The UK regulatory framework in relation to clinical trials is governed by the Medicines for Human Use (Clinical Trials) Regulations 2004, as amended, which is derived from the CTD, as implemented into UK national law through secondary legislation.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 UK Government published its response to the consultation on March 21, 2023 confirming that it would bring forward changes to the legislation and such changes were laid in parliament on December 12, 2024. These resulting legislative amendments will, if implemented in their current form, bring the UK into closer alignment with the CTR. In October 2023, the MHRA announced a new Notification Scheme for clinical trials which enables a more streamlined and risk-proportionate approach to initial clinical trial applications for Phase 4 and low-risk Phase 3 clinical trial applications.</w:t>
      </w:r>
    </w:p>
    <w:p>
      <w:pPr>
        <w:spacing w:after="0" w:line="172" w:lineRule="exact"/>
        <w:rPr>
          <w:sz w:val="20"/>
          <w:szCs w:val="20"/>
          <w:color w:val="auto"/>
        </w:rPr>
      </w:pPr>
    </w:p>
    <w:p>
      <w:pPr>
        <w:ind w:right="2660"/>
        <w:spacing w:after="0" w:line="237" w:lineRule="auto"/>
        <w:rPr>
          <w:sz w:val="20"/>
          <w:szCs w:val="20"/>
          <w:color w:val="auto"/>
        </w:rPr>
      </w:pPr>
      <w:r>
        <w:rPr>
          <w:rFonts w:ascii="Arial" w:cs="Arial" w:eastAsia="Arial" w:hAnsi="Arial"/>
          <w:sz w:val="18"/>
          <w:szCs w:val="18"/>
          <w:u w:val="single" w:color="auto"/>
          <w:color w:val="0078D4"/>
        </w:rPr>
        <w:t>Marketing authorizations in the United Kingdom are governed by the Human Medicines Regulations (SI 2012/1916), as amended. Since January 1, 2021, an applicant for the EU’s centralized procedure marketing authorization can no longer be established in the United Kingdom. As a result, since this date, companies established in the United Kingdom cannot use the EU’s centralized procedure. In order to obtain a United Kingdom MA to commercialize products in the United Kingdom, an applicant must be established in the United Kingdom and must follow one of the United Kingdom national authorization procedures or one of the remaining post-Brexit international cooperation procedures. Applications are governed by the Human Medicines Regulations (SI 2012/1916) and are made electronically through the MHRA Submissions Portal.</w:t>
      </w:r>
    </w:p>
    <w:p>
      <w:pPr>
        <w:spacing w:after="0" w:line="3"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0078D4"/>
        </w:rPr>
        <w:t>The MHRA has introduced changes to national licensing procedures, including procedures to prioritize access to new medicines that will benefit patients, a 150-day assessment (subject to clock-stops) and a rolling review procedure. The rolling-review procedure permits the separate or joint submission of quality, non-clinical, and clinical data to the MHRA which can be reviewed on a rolling basis. After an application under the rolling-review procedure has been validated, the decision should be received within 100 days (subject to clock-stops).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8D4"/>
        </w:rPr>
        <w:t>In addition, since January 1, 2024, the MHRA may rely on the International Recognition Procedure (“IRP”),</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0078D4"/>
        </w:rPr>
        <w:t>when reviewing certain types of MAAs. Pursuant to the IRP, the MHRA will take into account the expertise and decision-making of trusted regulatory partners (e.g., the regulatory in Australia, Canada, Switzerland,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0078D4"/>
        </w:rPr>
        <w:t>Singapore, Japan, the U.S.A. and the EU). The MHRA will conduct a targeted assessment of IRP applications but retain the authority to reject applications if the evidence provided is considered insufficiently robust. The IRP allows medicinal products approved by such trusted regulatory partners that meet certain criteria to undergo a fast-tracked MHRA review to obtain and/or update a MA in the United Kingdom. Applications should be decided within a maximum of 60 days if there are no major objections identified that cannot be resolved within such 60 day period and the approval from the trusted regulatory partner selected has been granted within the previous 2 years or if there are such major objections identified or such approval hasn’t been granted within the previous 2 years within 110 days. Applicants can submit initial MAAs to the IRP but the procedure can also be used throughout the lifecycle of a product for post-authorization procedures including line extensions, variations and renewals.</w:t>
      </w:r>
    </w:p>
    <w:p>
      <w:pPr>
        <w:spacing w:after="0" w:line="167" w:lineRule="exact"/>
        <w:rPr>
          <w:sz w:val="20"/>
          <w:szCs w:val="20"/>
          <w:color w:val="auto"/>
        </w:rPr>
      </w:pPr>
    </w:p>
    <w:p>
      <w:pPr>
        <w:ind w:right="2780"/>
        <w:spacing w:after="0" w:line="255" w:lineRule="auto"/>
        <w:rPr>
          <w:sz w:val="20"/>
          <w:szCs w:val="20"/>
          <w:color w:val="auto"/>
        </w:rPr>
      </w:pPr>
      <w:r>
        <w:rPr>
          <w:rFonts w:ascii="Arial" w:cs="Arial" w:eastAsia="Arial" w:hAnsi="Arial"/>
          <w:sz w:val="17"/>
          <w:szCs w:val="17"/>
          <w:u w:val="single" w:color="auto"/>
          <w:color w:val="0078D4"/>
        </w:rPr>
        <w:t>There is no pre-marketing authorization orphan designation for medicinal products in the UK. Instead, the MHRA reviews applications for orphan designation in parallel to the corresponding marketing authorization application. The criteria are essentially the same as those in the EU, but have been tailored for the market.</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0078D4"/>
        </w:rPr>
        <w:t>This includes the criterion that prevalence of the condition in the United Kingdom, rather than the EU,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the United Kingdom.</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major territories, clinical trials must be conducted in accordance with GCP and the applicable regulatory requirements and the ethical principles that have their origin in the Declaration of Helsinki. 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commitment to innovation begins with the dedication to creating an environment that attracts and retains highly skilled people, including top scientific talent. This is a critical factor for us in delivering on our mission and creating value for our stakeholders.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grown significantly since our initial public offering in November 2020 and have since built a diverse organization, both in our Board of Directors where three global biotech female leaders are seated, and across our employee base. We have been successful in hiring employees with broad experience and backgrounds while facing significant competition for biotechnology talent from both established and early-stage biotechnology companies. Further, we are headquartered in the San Francisco Bay area and have operations in Cambridge, Massachusetts - both of which are global biotechnology hubs with many employment choices. Despite the competition, we have been successful in hiring highly qualified staff to join Olema.</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January 31, 2025, we had 96 employees, all of whom were full time, consisting of clinical, research, operations, regulatory, and administrative personnel. Twenty eight of our employees hold Ph.D. or M.D. degrees; 41% of our employee population is male and 59% is female. None of our employees is subject to a collective bargaining agreement. We consider our relationship with our employees to be good.</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strive to create a positive employee experience and we are committed to the health, safety, and well-being of our employees. This commitment is reflected in our ability to attract and retain high performers. We believe we have a robust employment package that promotes well-being across all aspects of our employees’ lives, including healthcare, paid time-off, retirement savings with a company match through a 401(k) plan, our equity incentive plans, and our employee stock purchase plan. The principal purposes of our equity incentive plans are to attract, motivate, and retain our employees and directors through the granting of stock-based compensation awards. From time to time, we may offer additional stock-based compensation awards to our employees to continue to motivate them and support retention, particularly at times when our stock price,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stock price of biotechnology companies generally, is volatile. We grant stock options to all full-time employees to foster alignment and promote a spirit of ownership.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were incorporated in Delaware on August 7, 2006, under the legal name of CombiThera, Inc., and, on March 25, 2009, were renamed Olema Pharmaceuticals,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Exchange Act, are filed with the SEC. Such reports and other information filed by us with the SEC are available free of charge on the Investors section of our website, www.olema.com,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any references to website URLs are intended to be inactive textual references only.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no products approved for commercial sale, which may make it difficult for you to evaluate our current business and predict our future success and viability.</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(OP-1250), securing related intellectual property rights, conducting non-clinical studies, conducting a Phase 1/2 clinical study of palazestrant, initiating and conducting a Phase 3 clinical trial of palazestrant, conducting non-clinical studies of OP-3136, and preparing for the anticipated clinical development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candidate, palazestrant, OP-3136 and any future product candidates we may develop. Our expenses could increase beyond expectations if we are required by the FDA, the European Medicines Agency (EMA), or other regulatory authorities to perform clinical trials or non-clinical studies in addition to those that we currently anticipate. Other unanticipated costs may also arise. In addition, if we obtain marketing approval for palazestrant, OP-3136 or other product candidates,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market volatility, labor shortages, tariffs and trade tensions, the ongoing conflicts between Ukraine and Russia and in the Middle East, as well as any related political or economic responses and counter-responses or otherwise by various global actors, inflation rates and the responses by central banking authorities to control such inflation, monetary supply shifts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We also could be required to seek collaborators for palazestrant, OP-3136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 term.</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sales of shares of our common stock</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pursuant to sales of our common stock and pre-funded warrants to purchase our common stock to selected institutional and accredited investors in private placement transactions, at-the-market offerings, our initial public offering and private financings. We have incurred net losses of $129.5 million and $96.7 million for the years ended December 31, 2024 and 2023, respectively. We had an accumulated deficit of $435.1 million as of December 31, 2024. Our losses have resulted principally from expenses incurred in research and development of palazestrant, OP-3136 and from management and administrative costs and other expenses that we have incurred while building our business infrastructure. Our lead product candidate, palazestrant, is in clinical trials. As a result, we expect that it will be several years, if ever, before we have a commercialized product and generate revenue from product sales. Even if we succeed in receiving marketing approval for and commercializing palazestrant in one of our lead indications, we expect that we will continue to incur substantial research and development and other expenses as we continue the clinical development programs for palazestrant in other indications or for OP-3136.</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our consolidated financial statements for the years ended December 31, 2024 and 2023 included elsewhere in this Annual Report on Form 10-K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74" w:lineRule="exact"/>
        <w:rPr>
          <w:sz w:val="20"/>
          <w:szCs w:val="20"/>
          <w:color w:val="auto"/>
        </w:rPr>
      </w:pPr>
    </w:p>
    <w:p>
      <w:pPr>
        <w:ind w:left="1540" w:hanging="514"/>
        <w:spacing w:after="0" w:line="270" w:lineRule="auto"/>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completing clinical and non-clinical development of our product candidates and programs and identifying and developing new product candidates;</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11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4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46" w:lineRule="exact"/>
        <w:rPr>
          <w:rFonts w:ascii="Times New Roman" w:cs="Times New Roman" w:eastAsia="Times New Roman" w:hAnsi="Times New Roman"/>
          <w:sz w:val="18"/>
          <w:szCs w:val="18"/>
          <w:color w:val="auto"/>
        </w:rPr>
      </w:pPr>
    </w:p>
    <w:p>
      <w:pPr>
        <w:jc w:val="both"/>
        <w:ind w:left="1540" w:hanging="514"/>
        <w:spacing w:after="0" w:line="252" w:lineRule="auto"/>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62"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31F20"/>
        </w:rPr>
        <w:t>addressing any competing technological and market developments;</w:t>
      </w:r>
    </w:p>
    <w:p>
      <w:pPr>
        <w:spacing w:after="0" w:line="11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4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31F20"/>
        </w:rPr>
        <w:t>attracting, hiring and retaining qualified personnel.</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Even if palazestrant, OP-3136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terms of the Loan Agreement place restrictions on our operating and financial flexibility. If we raise additional capital through debt financing, the terms of any new debt could further restrict our ability to operate our business.</w:t>
      </w:r>
    </w:p>
    <w:p>
      <w:pPr>
        <w:spacing w:after="0" w:line="12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September 2023, we entered into a loan and security agreement (the Original Loan Agreement) with Silicon Valley Bank, a division of First-Citizens Bank &amp; Trust Company (the Bank), providing us with an aggregate principal amount of up to $50.0 million (the Original Credit Facility).</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2024, we entered into the first amendment to loan and security agreement (the Amendment, and the Original Loan Agreement (as amended by the Amendment, the Loan Agreement), with the Bank. The Amendment amends the Original Loan Agreement in order to, among other things, increase the aggregate principal amount of the Original Credit Facility from up to $50.0 million to up to $100.0 million (the Credit Facility), of which $25.0 million was available as of December 31, 2024, an additional $ 25.0 million which will become available upon achievement of certain milestones related to execution of a first-line pivotal Phase 3 clinical trial of palazestrant in combination with ribociclib, and an additional $50.0 million which may be made available upon approval of the Bank in its discretion. The Credit Facility will mature on July 1, 2028.</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w:t>
      </w:r>
      <w:r>
        <w:rPr>
          <w:rFonts w:ascii="Arial" w:cs="Arial" w:eastAsia="Arial" w:hAnsi="Arial"/>
          <w:sz w:val="18"/>
          <w:szCs w:val="18"/>
          <w:color w:val="0000FF"/>
        </w:rPr>
        <w:t>, including, but not limited to,</w:t>
      </w:r>
      <w:r>
        <w:rPr>
          <w:rFonts w:ascii="Arial" w:cs="Arial" w:eastAsia="Arial" w:hAnsi="Arial"/>
          <w:sz w:val="18"/>
          <w:szCs w:val="18"/>
          <w:color w:val="auto"/>
        </w:rPr>
        <w:t xml:space="preserve"> </w:t>
      </w:r>
      <w:r>
        <w:rPr>
          <w:rFonts w:ascii="Arial" w:cs="Arial" w:eastAsia="Arial" w:hAnsi="Arial"/>
          <w:sz w:val="18"/>
          <w:szCs w:val="18"/>
          <w:color w:val="0000FF"/>
        </w:rPr>
        <w:t>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 t</w:t>
      </w:r>
      <w:r>
        <w:rPr>
          <w:rFonts w:ascii="Arial" w:cs="Arial" w:eastAsia="Arial" w:hAnsi="Arial"/>
          <w:sz w:val="18"/>
          <w:szCs w:val="18"/>
          <w:color w:val="000000"/>
        </w:rPr>
        <w:t>hereby requiring us to</w:t>
      </w:r>
      <w:r>
        <w:rPr>
          <w:rFonts w:ascii="Arial" w:cs="Arial" w:eastAsia="Arial" w:hAnsi="Arial"/>
          <w:sz w:val="18"/>
          <w:szCs w:val="18"/>
          <w:color w:val="0000FF"/>
        </w:rPr>
        <w:t xml:space="preserve"> </w:t>
      </w:r>
      <w:r>
        <w:rPr>
          <w:rFonts w:ascii="Arial" w:cs="Arial" w:eastAsia="Arial" w:hAnsi="Arial"/>
          <w:sz w:val="18"/>
          <w:szCs w:val="18"/>
          <w:color w:val="000000"/>
        </w:rPr>
        <w:t>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 results of subsequent clinical trials. We have a limited operating history and to date have not demonstrated our ability to complete large-scale clinical trials.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OP-3136 or product candidates we may develop in the future may also be undergoing surgical, radiation and chemotherapy treatments and may be using other approved products or investigational new drugs, which can cause side effects or adverse events that are unrelated to palazestrant, OP-3136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do not know whether our current clinical trial of palazestrant,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to market, our ability to create long-term stockholder value will be limited.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for support of a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rendering our clinical data insufficient for approval, which may lead to the FDA, European Commission or comparable foreign regulatory authorities delaying, limiting or denying approval of palazestrant or OP-3136, including and any other indication we are seeking for approval under palazestrant or OP-3136.</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regulatory approval processes of the FDA, European Commission and comparable foreign authorities are lengthy, time consuming and inherently unpredictable, and if we are ultimately unable to obtain regulatory approval for palazestrant, OP-3136 or any future product candidates we may develop, our business, financial condition, results of operations and prospects will be significantly harmed.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time required to obtain approval by the FDA, European Commission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palazestrant or OP-3136 could fail to receive regulatory approval for many reasons, including the following:</w:t>
      </w:r>
    </w:p>
    <w:p>
      <w:pPr>
        <w:spacing w:after="0" w:line="212" w:lineRule="exact"/>
        <w:rPr>
          <w:sz w:val="20"/>
          <w:szCs w:val="20"/>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the design, implementation or results of our clinical trials;</w:t>
      </w:r>
    </w:p>
    <w:p>
      <w:pPr>
        <w:spacing w:after="0" w:line="46" w:lineRule="exact"/>
        <w:rPr>
          <w:rFonts w:ascii="Times New Roman" w:cs="Times New Roman" w:eastAsia="Times New Roman" w:hAnsi="Times New Roman"/>
          <w:sz w:val="18"/>
          <w:szCs w:val="18"/>
          <w:color w:val="231F20"/>
        </w:rPr>
      </w:pPr>
    </w:p>
    <w:p>
      <w:pPr>
        <w:jc w:val="both"/>
        <w:ind w:left="1020" w:hanging="503"/>
        <w:spacing w:after="0" w:line="252" w:lineRule="auto"/>
        <w:tabs>
          <w:tab w:leader="none" w:pos="10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spacing w:after="0" w:line="62"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our interpretation of data from non-clinical studies or clinical trials;</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data collected from clinical trials of palazestrant or OP-3136 may not be sufficient to support the submission of a NDA, or other submission or to obtain regulatory approval in the United States or elsewhere;</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unable to demonstrate to the FDA, European Commission or other comparable foreign regulatory authorities that palazestrant's or OP-3136’s risk-benefit ratio for its proposed indication is acceptable;</w:t>
      </w:r>
    </w:p>
    <w:p>
      <w:pPr>
        <w:spacing w:after="0" w:line="46" w:lineRule="exact"/>
        <w:rPr>
          <w:rFonts w:ascii="Times New Roman" w:cs="Times New Roman" w:eastAsia="Times New Roman" w:hAnsi="Times New Roman"/>
          <w:sz w:val="18"/>
          <w:szCs w:val="18"/>
          <w:color w:val="231F20"/>
        </w:rPr>
      </w:pPr>
    </w:p>
    <w:p>
      <w:pPr>
        <w:jc w:val="both"/>
        <w:ind w:left="1020" w:hanging="503"/>
        <w:spacing w:after="0" w:line="252" w:lineRule="auto"/>
        <w:tabs>
          <w:tab w:leader="none" w:pos="10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the European Commission, the competent authorities of EU Member States or other comparable foreign regulatory authorities may fail to approve the manufacturing processes, test procedures and specifications or facilities of third-party manufacturers with which we contract for clinical and commercial supplies; and</w:t>
      </w:r>
    </w:p>
    <w:p>
      <w:pPr>
        <w:spacing w:after="0" w:line="62"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approval policies or regulations of the FDA, European Commission or other comparable foreign regulatory authorities may significantly change in a manner rendering our clinical data insufficient for approval.</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(REMS), or comparable foreign strategy. Certain regulatory authorities may grant approval contingent on the performance of costly post-marketing clinical trials or may approve palazestrant or OP-3136 with a label that does not include the labeling claims necessary or desirable for successful.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experience delays in clinical trials of palazestrant, OP-3136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169" w:lineRule="exact"/>
        <w:rPr>
          <w:sz w:val="20"/>
          <w:szCs w:val="20"/>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the FDA, EMA, the European Commission or comparable foreign regulatory authorities disagreeing as to the design or implementation of our clinical trials;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approval from one or more institutional review boards (IRBs), or positive Ethics Committee opinions;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to clinical trial protocol;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sites deviating from trial protocol or dropping out of a trial;</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manufacturing sufficient quantities of product candidates or obtaining sufficient quantities of combination therapies for use in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failing to enroll or remain in our trial at the rate we expect, or failing to return for post- treatment follow-up;</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choosing an alternative treatment for the indication for which we are developing palazestrant or OP-3136, or participating in competing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lack of adequate funding to continue the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experiencing severe or unexpected drug-related adverse effects;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authorities imposing a clinical hold;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at the FDA and other agencies or regulatory authorities, including as a result of legislative actions or a government shutdown;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shutdowns, either temporarily or permanently, of any facility manufacturing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or any of their components, including by order from the FDA, competent authorities of EU Member States or comparable foreign regulatory authorities due to violations of current good manufacturing practice (cGMP) regulations or other applicable requirements, or infections or cross-contaminations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in the manufacturing process;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any changes to our manufacturing process that may be necessary or desired;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cs="Arial" w:eastAsia="Arial" w:hAnsi="Arial"/>
          <w:sz w:val="18"/>
          <w:szCs w:val="18"/>
          <w:color w:val="231F20"/>
        </w:rPr>
        <w:t>competent authorities of</w:t>
      </w:r>
      <w:r>
        <w:rPr>
          <w:rFonts w:ascii="Arial" w:cs="Arial" w:eastAsia="Arial" w:hAnsi="Arial"/>
          <w:sz w:val="18"/>
          <w:szCs w:val="18"/>
          <w:color w:val="auto"/>
        </w:rPr>
        <w:t xml:space="preserve"> </w:t>
      </w:r>
      <w:r>
        <w:rPr>
          <w:rFonts w:ascii="Arial" w:cs="Arial" w:eastAsia="Arial" w:hAnsi="Arial"/>
          <w:sz w:val="18"/>
          <w:szCs w:val="18"/>
          <w:color w:val="231F20"/>
        </w:rPr>
        <w:t xml:space="preserve">EU Member States </w:t>
      </w:r>
      <w:r>
        <w:rPr>
          <w:rFonts w:ascii="Arial" w:cs="Arial" w:eastAsia="Arial" w:hAnsi="Arial"/>
          <w:sz w:val="18"/>
          <w:szCs w:val="18"/>
          <w:color w:val="000000"/>
        </w:rPr>
        <w:t>or comparable foreign regulatory authorities. Such authorities may impose such a suspension, variation or termination</w:t>
      </w:r>
      <w:r>
        <w:rPr>
          <w:rFonts w:ascii="Arial" w:cs="Arial" w:eastAsia="Arial" w:hAnsi="Arial"/>
          <w:sz w:val="18"/>
          <w:szCs w:val="18"/>
          <w:color w:val="231F20"/>
        </w:rPr>
        <w:t xml:space="preserve"> </w:t>
      </w:r>
      <w:r>
        <w:rPr>
          <w:rFonts w:ascii="Arial" w:cs="Arial" w:eastAsia="Arial" w:hAnsi="Arial"/>
          <w:sz w:val="18"/>
          <w:szCs w:val="18"/>
          <w:color w:val="000000"/>
        </w:rPr>
        <w:t>due to a number of factors,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auto"/>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Further, conducting clinical trials in foreign countries, as we may do for palazestrant, OP-3136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we experience delays in the completion of, or termination of, any clinical trial of palazestrant, OP-3136 or any product candidates we may develop in the future, the commercial prospects of palazestrant, OP-3136 or any product candidates we may develop in the future will be harmed, and our ability to generate product revenues from palazestrant, OP-3136 or any product candidates we may develop in the future will be delayed. Moreover, any delays in completing our clinical trials will increase our costs, slow down palazestrant’s, OP-3136's or any product candidates we may develop in the future’s development and approval process and jeopardize our ability to commence product sales and generate revenues.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many of the factors that cause, or lead to, termination, variation or suspension of, or a delay in the commencement or completion of, clinical trials may also ultimately lead to the denial of regulatory approval of palazestrant, OP-3136 or any product candidates we may develop in the future. Any delays in our clinical trials that occur as a result could shorten any period during which we may have the exclusive right to commercialize palazestrant, OP-3136 or any product candidates we may develop in the future and our competitors may be able to bring products to market before we do, and the commercial viability of palazestrant, OP-3136 or any product candidates we may develop in the future could be significantly reduced. Any of these occurrences may significantly harm our business, financial condition, results of operations and prospects.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currently focused on pursuing a variety of target indications for palazestrant, and we have expended, and plan to continue to expend, significant resources to pursue these and other indications for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approved, palazestrant or OP-3136 may not achieve adequate market acceptance among physicians, patients, healthcare payors and others in the medical community necessary for commercial success.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spacing w:after="0" w:line="1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clinical indications for which the product candidate is approved;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use of palazestrant or OP-3136, such as boxed warnings or contraindications in labeling, or a REMS, or comparable foreign strategy, if any, which may not be required of alternative treatments and competitor products;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availability of palazestrant or </w:t>
      </w:r>
      <w:r>
        <w:rPr>
          <w:rFonts w:ascii="Arial" w:cs="Arial" w:eastAsia="Arial" w:hAnsi="Arial"/>
          <w:sz w:val="18"/>
          <w:szCs w:val="18"/>
          <w:color w:val="000000"/>
        </w:rPr>
        <w:t>OP-3136</w:t>
      </w:r>
      <w:r>
        <w:rPr>
          <w:rFonts w:ascii="Arial" w:cs="Arial" w:eastAsia="Arial" w:hAnsi="Arial"/>
          <w:sz w:val="18"/>
          <w:szCs w:val="18"/>
          <w:color w:val="231F20"/>
        </w:rPr>
        <w:t xml:space="preserve"> for use as a combination therapy;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effectiveness of sales and marketing efforts;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unfavorable publicity relating to palazestrant, OP-3136 or similar approved products or product candidates in development by third parties;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approval of other new therapies for the same indications.</w:t>
      </w:r>
    </w:p>
    <w:p>
      <w:pPr>
        <w:spacing w:after="0" w:line="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palazestrant, OP-3136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17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size and nature of the patient population;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severity of the disease under investigation;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perceived risks and benefits of the product candidate under study;</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efforts to facilitate timely enrollment in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referral practices of physicians;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ability to monitor patients adequately during and after treatment;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proximity and availability of clinical trial sites for prospective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continued enrollment of prospective patients by clinical trial sites;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level of resources that clinical sites have to conduct a growing number of clinical studies.</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 we may develop and jeopardize our ability to obtain marketing approval for the sale of palazestrant, OP-3136 or any product candidate we may develop in the future. Furthermore, even if we are able to enroll a sufficient number of patients for our clinical trials, we may have difficulty maintaining enrollment of such patients in our clinical trials.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intend to develop palazestrant, and may develop OP-3136 or future product candidates, in combination with other therapies, which exposes us to additional risks.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intend to develop palazestrant, and may develop OP-3136 or other future product candidates, in combination with one or more other approved or unapproved therapies to treat cancer or other diseases. For example, we have a Phase 1/2 clinical study of palazestrant in a combination trial with a CDK4/6 inhibitor, and additional Phase 1/2 clinical studies of palazestrant in combination with another CDK4/6 inhibitor and with a PI3Ka inhibitor. We also expect to initiate OPERA-02, a proposed Phase 3 clinical trial of palazestrant in combination with a CDK4/6 inhibitor, ribociclib, in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palazestrant, OP-3136 or any future product candidate we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OP-3136 or any future product candidate we may develop, are replaced as the standard of care for the indications we choose for palazestrant, OP-3136 or any future product candidate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may choose to evaluate palazestrant, OP-3136 or future product candidates in combination with one or more cancer therapies that have not yet been approved for marketing by the FDA, European Commission or comparable foreign regulatory authorities. We will not be able to market and sell palazestrant, OP-3136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including the potential for serious adverse effects, delay in their clinical trials and lack of FDA, European Commission or comparable foreign regulatory approval.</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Risks associated with the in-licensing or acquisition of drug candidates could cause substantial delays in the pre-clinical and clinical development of our drug candidates.</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may be subject to the continuation of and our compliance with the terms of any such agreements.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palazestrant and OP-3136 are based on estimates and third-party sources.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 which we seek approval. This may make it difficult for us to replace existing therapies with palazestrant, OP-3136 and any product candidate that we may develop in the future.</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For example, if we are successful in developing palazestrant, it may compete against existing products and product candidates in development, to the extent any such product candidates are approved, for the treatment of estrogen receptor- positive (ER+) breast cancer, including fulvestrant, marketed as Faslodex® by AstraZeneca PLC and or any generic equivalents of Faslodex® that are marketed or in development; elacestrant, marketed as ORSERDU</w:t>
      </w:r>
      <w:r>
        <w:rPr>
          <w:rFonts w:ascii="Arial" w:cs="Arial" w:eastAsia="Arial" w:hAnsi="Arial"/>
          <w:sz w:val="24"/>
          <w:szCs w:val="24"/>
          <w:color w:val="auto"/>
          <w:vertAlign w:val="superscript"/>
        </w:rPr>
        <w:t>TM</w:t>
      </w:r>
      <w:r>
        <w:rPr>
          <w:rFonts w:ascii="Arial" w:cs="Arial" w:eastAsia="Arial" w:hAnsi="Arial"/>
          <w:sz w:val="18"/>
          <w:szCs w:val="18"/>
          <w:color w:val="auto"/>
        </w:rPr>
        <w:t>by Stemline Therapeutics Inc.; giredestrant (GDC-9545), being developed by Roche Holding AG/Genentech, Inc.; camizestrant (AZD9833), being developed by AstraZeneca PLC; imlunestrant (LY3484356), being developed by Eli Lilly and Co.; vepdegestrant (ARV-471), being developed by Arvinas, Inc. in partnership with Pfizer, Inc.; and lasofoxifene, being developed by Sermonix Pharmaceuticals. There are also a number of KAT6 inhibitor product candidates in development that may compete with OP-3136 including PF-07248144, which is being developed by Pfizer, and MEN2312, which is being developed by Stemline Therapeutics.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other product candidates we may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palazestrant manufacturing or formulation may result in additional costs or delay.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palazestrant progresses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OP-3136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including EU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palazestrant, OP-3136 or any future product candidates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 providers could result in decreased use of palazestrant, OP-3136 or any future product candidates we may develop.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palazestrant, OP-3136 or any future product candidate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Palazestrant and OP-3136 are,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product candidate we may develop will progress through required clinical testing and obtain the regulatory approvals necessary for us to begin selling them.</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palazestrant or OP-3136.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 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Palazestrant, OP-3136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 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cs="Arial" w:eastAsia="Arial" w:hAnsi="Arial"/>
          <w:sz w:val="18"/>
          <w:szCs w:val="18"/>
          <w:color w:val="231F20"/>
        </w:rPr>
        <w:t>competent authorities of EU Member States</w:t>
      </w:r>
      <w:r>
        <w:rPr>
          <w:rFonts w:ascii="Arial" w:cs="Arial" w:eastAsia="Arial" w:hAnsi="Arial"/>
          <w:sz w:val="18"/>
          <w:szCs w:val="18"/>
          <w:color w:val="auto"/>
        </w:rPr>
        <w:t>, other comparable regulatory authorities or an IRB or Ethics Committee may suspend, vary or terminate clinical trials of a product candidate at any time for various reasons,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palazestrant or OP-3136 obtains marketing approval, toxicities associated with palazestrant or OP-3136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FDA, EMA, the European Commission and other comparable foreign regulatory authorities may not accept data from trials conducted in locations outside of their jurisdiction.</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 palazestrant, OP-3136 or any future product candidates we may develop not receiving approval for commercialization in the applicable jurisdiction.</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Obtaining and maintaining regulatory approval of palazestrant, OP-3136 or any product candidate we develop in the future, in one jurisdiction does not guarantee that we will be able to obtain or maintain regulatory approval 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palazestrant, OP-3136 or any product candidate we develop in the future, receives regulatory approval, it will be subject to significant post-marketing regulatory requirements and oversight.</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European Commission or applicable foreign regulatory authorities approve palazestrant, OP-3136 or any product candidate we develop in the future, the manufacturing processes, labeling, packaging, distribution, adverse event reporting, storage, advertising, promotion, import, export and recordkeeping for palazestrant or OP-3136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and other foreign regulatory requirements may subject our company to administrative or judicially imposed sanctions, including:</w:t>
      </w:r>
    </w:p>
    <w:p>
      <w:pPr>
        <w:spacing w:after="0" w:line="27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delays in or the rejection of product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products, manufacturers or manufacturing process;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warning letters;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civil and criminal penalties;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injunctions;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suspension, variation or withdrawal of regulatory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product seizures, detentions or import bans;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voluntary or mandatory product recalls and publicity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total or partial suspension of production;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occurrence of any event or penalty described above may inhibit our ability to commercialize palazestrant, OP-3136 or any product candidate we may develop in the future and generate revenue and could require us to expend significant time and resources in response and could generate negative publicity.</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palazestrant, OP-3136 or any product candidate we may develop in the future. If we are slow or unable to adapt to changes in existing requirements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or the adoption of new requirements or policies, or if we are not able to maintain regulatory compliance, we may lose any marketing approval that we may have obtained, and we may not achieve or sustain profitability.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authorities actively enforce the laws and regulations prohibiting the promotion of off-label uses.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palazestrant, OP-3136 or any future product candidate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Disruptions at the FDA, EMA, the European Commission applicable foreign regulatory authorities, the SEC, and other government agencies and regulatory authorities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could be delayed. In addition, government funding of the SEC and other government authorities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Disruptions at the FDA and other authorities may also slow the time necessary for new drugs to be reviewed and/or approved by necessary government authorities, which would adversely affect our business.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requirements, the FDA, the European Commission or comparable foreign regulatory authorities may seek to withdraw their approval.</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in the future seek approval for palazestrant, OP-3136 or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and amendments to certain aspects of the ACA. For example, on August 16, 2022, the Inflation Reduction Act of 2022 (IRA) was signed into law, which among other things, extends enhanced subsidies for individuals purchasing health insurance coverage in ACA marketplaces through plan year 2025. The IRA also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current administration will impact the ACA and our business.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These laws may result in additional reductions in Medicare and other healthcare funding, which could have a material adverse effect on potential customers for our drugs, if approved, and accordingly, our business.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example, the IRA, among other things, (1) directs the U.S. Department of Health and Human Services (HHS) to negotiate the price of certain high-expenditure single-source drugs that have been on the market for 7 years covered under Medicare (the Medicare Drug Negotiation Program) and (2) imposes rebates under Medicare Part B and Medicare Part D to penalize price increases that outpace inflation. These provisions began to take effect progressively in fiscal year 2023. On August 15, 2024, HHS announced the agreed-upon reimbursement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currently unclear how the IRA will be implemented but is likely to have a significant impact on the pharmaceutical industry.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(CTR), which was adopted in April 2014 and repeals the EU Clinical Trials Directive (CTD), became applicable on January 31, 2022. The CTR allows sponsors to make a single submission to both the competent authority and an ethics committee in each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a three-year transition period that ended on January 31, 2025. Since this date, all new or ongoing trials are subject to the provisions of the CTR. Compliance with the CTR requirements by us and our third-party service providers, such as CROs, may impact our development plans.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was adopted in the EU. This Regulation, which entered into application on January 12, 2025 and has a phased implementation, is intended to boost cooperation among EU Member States in assessing health technologies, including new medicinal products, and providing the basis for cooperation at EU level for joint clinical assessments in these areas. The Regulation permits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technologies, and making decisions on pricing and reimbursement.</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light of the fact that the United Kingdom has left the EU, Regulation No 2021/2282 on HTA will not apply in the United Kingdom.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Legislators, policymakers and healthcare insurance funds in the EU and the United Kingdom may continue to propose and implement cost-containing measures to keep healthcare costs down, particularly due to the financial strain that the COVID-19 pandemic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on April 26, 2023, the European Commission adopted a proposal for a new Directive and Regulation to revise the existing pharmaceutical legislation and on April 10, 2024, the Parliament adopted its related position.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medicinal products may result in a number of changes to the regulatory framework governing medicinal products, including a decrease in data and market exclusivity opportunities for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product candidates in the EU and make them open to generic or biosimilar competition earlier than is currently the case with a related reduction in reimbursement status.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our development plans may be impacted.</w:t>
      </w:r>
    </w:p>
    <w:p>
      <w:pPr>
        <w:spacing w:after="0" w:line="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expect that the recent reform activity, as well as other healthcare reform measures that may be adopted in the future, particularly in light of the recent U.S. Presidential and Congressional elections,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if any, may be on the marketing approvals of palazestrant, OP-3136 or any future product candidates we may develop.</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176" w:lineRule="exact"/>
        <w:rPr>
          <w:sz w:val="20"/>
          <w:szCs w:val="20"/>
          <w:color w:val="auto"/>
        </w:rPr>
      </w:pPr>
    </w:p>
    <w:p>
      <w:pPr>
        <w:jc w:val="both"/>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color w:val="231F20"/>
        </w:rPr>
        <w:t>Statute, a person or entity does not need to have actual knowledge of the statute or specific intent to violate it in order to have committed a violation;</w:t>
      </w:r>
    </w:p>
    <w:p>
      <w:pPr>
        <w:spacing w:after="0" w:line="46" w:lineRule="exact"/>
        <w:rPr>
          <w:sz w:val="20"/>
          <w:szCs w:val="20"/>
          <w:color w:val="auto"/>
        </w:rPr>
      </w:pPr>
    </w:p>
    <w:p>
      <w:pPr>
        <w:jc w:val="both"/>
        <w:ind w:left="1020" w:hanging="503"/>
        <w:spacing w:after="0" w:line="243"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HIPAA, as amended by the Health Information Technology for Economic and Clinical Health Act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 optometrists, podiatrists and chiropractors), other healthcare professionals (such as</w:t>
      </w:r>
      <w:r>
        <w:rPr>
          <w:rFonts w:ascii="Arial" w:cs="Arial" w:eastAsia="Arial" w:hAnsi="Arial"/>
          <w:sz w:val="18"/>
          <w:szCs w:val="18"/>
          <w:color w:val="231F20"/>
        </w:rPr>
        <w:t xml:space="preserve"> </w:t>
      </w:r>
      <w:r>
        <w:rPr>
          <w:rFonts w:ascii="Arial" w:cs="Arial" w:eastAsia="Arial" w:hAnsi="Arial"/>
          <w:sz w:val="18"/>
          <w:szCs w:val="18"/>
          <w:color w:val="000000"/>
        </w:rPr>
        <w:t xml:space="preserve">physician assistants and nurse practitioners), </w:t>
      </w:r>
      <w:r>
        <w:rPr>
          <w:rFonts w:ascii="Arial" w:cs="Arial" w:eastAsia="Arial" w:hAnsi="Arial"/>
          <w:sz w:val="18"/>
          <w:szCs w:val="18"/>
          <w:color w:val="231F20"/>
        </w:rPr>
        <w:t>and teaching hospitals, as well as information regarding ownership and investment</w:t>
      </w:r>
      <w:r>
        <w:rPr>
          <w:rFonts w:ascii="Arial" w:cs="Arial" w:eastAsia="Arial" w:hAnsi="Arial"/>
          <w:sz w:val="18"/>
          <w:szCs w:val="18"/>
          <w:color w:val="000000"/>
        </w:rPr>
        <w:t xml:space="preserve"> </w:t>
      </w:r>
      <w:r>
        <w:rPr>
          <w:rFonts w:ascii="Arial" w:cs="Arial" w:eastAsia="Arial" w:hAnsi="Arial"/>
          <w:sz w:val="18"/>
          <w:szCs w:val="18"/>
          <w:color w:val="231F20"/>
        </w:rPr>
        <w:t>interests held by such physicians and their immediate family members. The information reported is publicly available on a searchable website, with disclosure required annually;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analogous state and foreign laws and regulations, such as state and foreign anti-kickback and false claims laws, may apply to sales or marketing arrangements and claims involving healthcare items or services reimbursed by non- governmental third-party payors, including private insurers.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and foreign laws may require biotechnology companies to report information on the pricing of certain drug products. Some state and local laws may require the registration of pharmaceutical sales representatives.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with applicable laws, they may be subject to criminal, civil or administrative sanctions, including exclusions from government funded healthcare programs.</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and foreign laws, regulations, rules, contractual obligations, policies and other obligations related to data privacy and security. Our (or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Outside the United States, an increasing number of laws, regulations, and industry standards govern data privacy and security. For example, the GDPR imposes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are considered ‘inadequate’. Other jurisdictions may adopt or have already adopted similarly stringent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and the UK Extension thereto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the California Privacy Rights Act (CPRA) significantly modified the CCPA, including by expanding consumers’ rights with respect to certain sensitive personal information. The CPRA also created a new state agency that will be vested with authority to implement and enforce the CCPA and the CPRA. In addition, numerous states have passed comprehensive privacy laws that have gone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also bound, and may in the future become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financial condition, results of operations and prospects.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actual or perceived failure by us or the third parties with whom we work to comply with these laws, regulations, or other obligations would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employees and personnel use generative artificial intelligence (AI) technologies to perform their work, and the disclosure and use of personal information in generative AI technologies is subject to various privacy laws and other privacy obligations. Governments have passed and are likely to pass additional laws regulating generative AI, such as the EU AI Act. Our use of this technology could result in additional compliance costs,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regulatory investigations and actions, and consumer lawsuits. If we are unable to use generative AI, it could make our business less efficient and result in competitive disadvantages.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will cause us to incur substantial costs or require us to change our business practices and compliance procedures in a manner adverse to our business.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attempt to mitigate the associated risks but there is no assurance that privacy and security-related safeguards will protect us from all risks associated with the third-party processing, storage and transmission of such information.</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Unfavorable U.S. and global macroeconomic and geopolitical conditions could adversely affect our business, financial condition and results of operations.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results of operations could be adversely affected by general conditions in the U.S. and global economies, the U.S. and global financial markets and adverse geopolitical and macroeconomic developments, including the economic uncertainty, market volatility, labor shortages, tariffs and trade tensions, the ongoing conflicts between Ukraine and Russia and in the Middle East, as well as any related political or economic responses and counter-responses or otherwise by various global actors, inflation rates and the responses by central banking authorities to control inflation, monetary supply shifts and related financial instability. U.S. and global market and economic conditions have been, and continue to be, disrupted and volatile due to many factors, including component shortages and related supply chain challenges, geopolitical developments, including the events noted above.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severe or prolonged global economic downturn could result in a variety of risks to our business.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to our company and may be required to expend significant financial resources in our employee recruitment and retention efforts.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other product candidate will be limited and the potential for successfully growing our business will be harmed.</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palazestrant, OP-3136 or any product candidate we may develop in the future, we may not be able to successfully sell or market palazestrant, OP-3136 or any future product candidate we may develop that obtain regulatory approval.</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 we may develop. We may not be successful in accomplishing these required tasks.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palazestrant, OP-3136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OP-3136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Factors that may affect our ability to commercialize palazestrant, OP-3136 or any future product candidate we may develop, on our own include recruiting and retaining adequate numbers of effective sales and marketing personnel, obtaining access to or our failure to educate physicians on the benefits of prescribing or ordering palazestrant, OP-3136 or any future product candidates we may develop and other unforeseen costs associated with creating an independent sales and marketing organization. Developing a sales and marketing organization will be expensive and time-consuming and could delay the launch of palazestrant, OP-3136 or any future product candidate we may develop. We may not be able to build an effective sales and marketing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organization. If we are unable to build our own distribution and marketing capabilities or to find suitable partners for the commercialization of palazestrant, OP-3136 or any future product candidate we may develop, we may not generate revenues from such product candidate or be able to reach or sustain profitability.</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January 31, 2025, we had 96 employees, all of whom were full time, consisting of clinical, research, operations, regulatory, and administrative personnel. Twenty-eight of our employees hold Ph.D. or M.D. degrees.In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17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authorities’ review process for palazestrant, OP-3136 and any other future product candidates we may develop, while complying with any contractual obligations to contractors and other third parties we may have; and</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we expect to be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palazestrant, OP-3136 and any other future product candidates we may develop and, accordingly, may not achieve our research, development and commercialization goals.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spacing w:after="0" w:line="15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health-related data), intellectual property, trade secrets (collectively, sensitive information). Cyber-attacks, malicious internet-based activity, online and offline fraud, outages,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would be vulnerable to a heightened risk of these attacks, including retaliatory cyber-attacks, that could materially disrupt our systems and operations.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intentional misconduct or unconventional error by those with authorized access,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unavailability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not able to anticipate all types of security incidents, and we cannot implement preventive measures effective against all such security incidents. A security incident or other interruption could disrupt our ability (and that of third parties upon whom we rely) to run our business. We could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 due to encryption and device security practices.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Applicable data privacy and security obligations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 Member States.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intend to seek approval to market palazestrant or OP-3136 in both the United States and in selected foreign jurisdictions. If we obtain approval in one or more foreign jurisdictions for palazestrant or OP-3136, we will be subject to rules and regulations in those jurisdictions. In some foreign countries, particularly those in the European Union, the pricing of drugs is subject to governmental control and other market regulations which could put pressure on the pricing and usage of palazestrant or OP-3136. In these countries, pricing negotiations with governmental authorities can take considerable time after obtaining marketing approval of a product candidate. In addition, market acceptance and sales of palazestrant or OP-3136 will depend significantly on the availability of adequate coverage and reimbursement from third-party payors for palazestrant or OP-3136 and may be affected by existing and future healthcare reform measures.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Moreover,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EU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Legislators, policymakers and healthcare insurance funds in the EU may continue to propose and implement cost-containing measures to keep healthcare costs down, particularly due to the financial strain that the COVID-19 pandemic placed on national healthcare systems of EU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net operating loss (NOL) carryforwards could expire unused and be unavailable to offset future income tax liabilities because of their limited duration or other restrictions. Under current U.S. federal tax law,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is limited to 80% of current year taxable income. It is uncertain if and to what extent various states will conform to current U.S. federal tax law.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spacing w:after="0" w:line="17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 variety of risks associated with marketing palazestrant, OP-3136 or any future product candidate we may develop internationally could significantly harm our business, financial condition, results of operations and prospects.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spacing w:after="0" w:line="16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potential liability under the FCPA or comparable foreign regulations;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proprietary technologies and their uses, our business, financial condition, results of operations and prospects could be significantly harmed.</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(USPTO) courts in the United States or by the patent offices and courts in foreign countries, nor can we be certain that the claims in our issued patent(s) will not be found invalid or unenforceable if challenged.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spacing w:after="0" w:line="169" w:lineRule="exact"/>
        <w:rPr>
          <w:sz w:val="20"/>
          <w:szCs w:val="20"/>
          <w:color w:val="auto"/>
        </w:rPr>
      </w:pPr>
    </w:p>
    <w:p>
      <w:pPr>
        <w:jc w:val="both"/>
        <w:ind w:left="102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46"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(PGR) and inter partes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we may not be able to detect infringement of our issued patents;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be able to develop products that are similar to palazestrant, or any future product candidates we may develop, but that are not covered by the claims of the patents that we may in-license in the future or own;</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palazestrant or any future product candidates we may develop;</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patents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8"/>
          <w:szCs w:val="18"/>
          <w:color w:val="231F20"/>
        </w:rPr>
        <w:t>covering such intellectual property.</w:t>
      </w: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similarities with palazestrant. It is possible that one or more of such third parties could pursue patent claims or assert patent claims that allegedly encompass palazestrant.</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21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cause development delays;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prevent us from commercializing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palazestrant or OP-3136 through acquisitions and in-licenses.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could be found invalid or unenforceable if challenged in court.</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w:t>
      </w:r>
    </w:p>
    <w:p>
      <w:pPr>
        <w:spacing w:after="0" w:line="8" w:lineRule="exact"/>
        <w:rPr>
          <w:sz w:val="20"/>
          <w:szCs w:val="20"/>
          <w:color w:val="auto"/>
        </w:rPr>
      </w:pPr>
    </w:p>
    <w:p>
      <w:pPr>
        <w:ind w:firstLine="8"/>
        <w:spacing w:after="0" w:line="250" w:lineRule="auto"/>
        <w:tabs>
          <w:tab w:leader="none" w:pos="2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any patent application related to palazestrant, OP-3136 or any future product candidate we may develop or (2) invent any of the inventions claimed in the patents or patent applications.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palazestrant, OP-3136 or any future product candidates we may develop.</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palazestrant, OP-3136 or any future product candidates we may develop for an adequate amount of time.</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protection for certain patents in all markets due to finite availability of resources. Any of the foregoing could significantly harm our business, financial condition, results of operations and prospects.</w:t>
      </w:r>
    </w:p>
    <w:p>
      <w:pPr>
        <w:spacing w:after="0" w:line="15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for palazestrant, OP-3136 or any future product candidates we may develop, our business, financial condition, results of operations and prospects may be significantly harmed.</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88"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 third parties, which could be significant. Should any of these events occur, it could significantly harm our business, financial condition, results of operations and prospects.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sublicense patents and other rights to third parties;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transfer or assign the license;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the priority of invention of patented technology.</w:t>
      </w:r>
    </w:p>
    <w:p>
      <w:pPr>
        <w:spacing w:after="0" w:line="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contract with third parties for the manufacture of palazestrant for non-clinical studies and our ongoing clinical trials, and expect to continue to do so for additional clinical trials and ultimately for 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currently have the infrastructure or internal capability to manufacture supplies of palazestrant for use in development and commercialization. We rely, and expect to continue to rely, on third-party manufacturers for the production of palazestrant for non-clinical studies and clinical trials under the guidance of members of our organization. We do not have long-term supply agreements for palazestrant. Furthermore, the raw materials 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rely on third-party manufacturers for the commercial supply of palazestrant,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69" w:lineRule="exact"/>
        <w:rPr>
          <w:sz w:val="20"/>
          <w:szCs w:val="20"/>
          <w:color w:val="auto"/>
        </w:rPr>
      </w:pPr>
    </w:p>
    <w:p>
      <w:pPr>
        <w:jc w:val="both"/>
        <w:ind w:left="1020" w:hanging="503"/>
        <w:spacing w:after="0" w:line="252"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disruptions resulting from the impact of public health pandemics or epidemics;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palazestrant according to our specifications;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if it withdraws any such approval in the future, we may need to find alternative manufacturing facilities, which would significantly impact our ability to develop, obtain marketing approval for or market palazestrant,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For example, for our Phase 1b/2 clinical study of palazestrant in combination with KISQALI® (ribociclib) or PIQRAY® (alpelisib), or the Novartis Study Drugs, in patients with metastatic ER+ breast cancer, we entered into an Amended and Restated Clinical Collaboration and Supply Agreement with Novartis Institutes for BioMedical Research, Inc. (Novartis), as amended by Amendment No. 1 to Amended and Restated Clinical Collaboration and Supply Agreement between us and Novartis, and Amendment No. 2 to Amended and Restated Clinical Collaboration and Supply Agreement between us and Novartis (as amended,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1b/2 clinical study may be delayed and the cost to us to conduct this trial may significantly increase, which would significantly harm our business, financial condition, results of operations and prospects. In addition, for our Phase 3 clinical trial of palazestrant in combination with ribociclib in ER+/HER2- frontline advanced or metastatic breast cancer, we entered into a Clinical Trial Collaboration and Supply Agreement with Novartis. Under the terms of the Novartis Pharma Agreement, Novartis will manufacture and supply ribociclib. If Novartis is unable to timely manufacture or supply ribociclib, or if the Novartis Pharma Agreement terminates and we are unable to obtain ribociclib on the current terms, our Phase 3 clinical study may be delayed and the cost to us to conduct this trial may significantly increase. Either of these outcomes would significantly harm our business, financial condition, results of operations and prospects. For a description of the Novartis Agreement and the Novartis Pharma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Agreement, see the sections titled “Business—Clinical Collaboration and Supply Agreement with Novartis” and “Business—Clinical Trial Collaboration and Supply Agreement with Novartis” respectively.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palazestrant for clinical trials or our product for patients, if approved, could be delayed or prevented.</w:t>
      </w:r>
    </w:p>
    <w:p>
      <w:pPr>
        <w:spacing w:after="0" w:line="15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spacing w:after="0" w:line="16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the assumption of contingent liabilities;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the issuance of our equity securities;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risk of delay in receiving or the failure to receive anticipated benefits of any such transactions, or of facing unanticipated challenges;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line="244"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palazestrant. If those collaborations are not successful, we may not be able to capitalize on the market potential of palazestrant.</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spacing w:after="0" w:line="174" w:lineRule="exact"/>
        <w:rPr>
          <w:sz w:val="20"/>
          <w:szCs w:val="20"/>
          <w:color w:val="auto"/>
        </w:rPr>
      </w:pPr>
    </w:p>
    <w:p>
      <w:pPr>
        <w:ind w:left="1020" w:right="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6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6"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right="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46"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For example, the closing price of our common stock from January 1, 2023 to December 31, 2024 has ranged from a low of $2.55 to a high of $17.14.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Annual Report on Form 10-K, these factors include:</w:t>
      </w:r>
    </w:p>
    <w:p>
      <w:pPr>
        <w:spacing w:after="0" w:line="169" w:lineRule="exact"/>
        <w:rPr>
          <w:sz w:val="20"/>
          <w:szCs w:val="20"/>
          <w:color w:val="auto"/>
        </w:rPr>
      </w:pPr>
    </w:p>
    <w:p>
      <w:pPr>
        <w:ind w:left="1020" w:right="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and results of non-clinical studies and clinical trials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or those of our competitors;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actions with respect to our product candidates or our competitors’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our growth rate relative to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market conditions in the pharmaceutical and biotechnology sector;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 or expectation of additional financing efforts;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sales of our common stock by us, our insiders or our other stockholders; and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the geopolitical and macroeconomic environment, generally, including economic uncertainty, market volatility, labor shortages, tariffs and trade tensions, the ongoing conflicts between Ukraine and Russia and in the Middle East, as well as any related political or economic responses and counter-responses or otherwise by various global actors, inflation rates and the responses</w:t>
      </w:r>
    </w:p>
    <w:p>
      <w:pPr>
        <w:ind w:left="1020"/>
        <w:spacing w:after="0" w:line="236" w:lineRule="auto"/>
        <w:rPr>
          <w:sz w:val="20"/>
          <w:szCs w:val="20"/>
          <w:color w:val="auto"/>
        </w:rPr>
      </w:pPr>
      <w:r>
        <w:rPr>
          <w:rFonts w:ascii="Arial" w:cs="Arial" w:eastAsia="Arial" w:hAnsi="Arial"/>
          <w:sz w:val="18"/>
          <w:szCs w:val="18"/>
          <w:color w:val="231F20"/>
        </w:rPr>
        <w:t>by central banking authorities to control such inflation, monetary supply shifts and related financial instability.</w:t>
      </w:r>
    </w:p>
    <w:p>
      <w:pPr>
        <w:spacing w:after="0" w:line="250" w:lineRule="auto"/>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8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3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54" w:lineRule="exact"/>
        <w:rPr>
          <w:sz w:val="20"/>
          <w:szCs w:val="20"/>
          <w:color w:val="auto"/>
        </w:rPr>
      </w:pPr>
    </w:p>
    <w:p>
      <w:pPr>
        <w:ind w:left="1020" w:hanging="503"/>
        <w:spacing w:after="0" w:line="270" w:lineRule="auto"/>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variations in the level of expense related to the ongoing development of palazestrant, OP-3136 or future development programs;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status of enrollment for our clinical trials;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impacts from geopolitical and macroeconomic events on us or third parties with which we engage;</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additions and departures of key personnel;</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if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receive regulatory approval, the timing and terms of such approval and market acceptance and demand for such product candidates;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developments affecting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or those of our competitors; and</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general market and economic conditions.</w:t>
      </w:r>
    </w:p>
    <w:p>
      <w:pPr>
        <w:spacing w:after="0" w:line="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act in a manner that advances their best interests and not necessarily those of other stockholders, including seeking a premium value for their common stock, and might affect the prevailing market price for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January 31, 2025, we had 68,333,065 shares of common stock and pre-funded warrants to purchase up to 17,094,163 shares of common stock outstanding. Shares issued upon the exercise of any such warrants as well as stock options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were obligated to file registration statements with the Securities and Exchange Commission to register all of the shares, including shares issuable upon the exercise of pre-funded warrants, issued in each of our private placement transactions for public resale, and are required to maintain effectiveness of both registration statements until the earliest of (i) the second anniversary of the effective date of such registration statement, (ii) such time as all of the shares issued in such private placement have been sold pursuant to such registration statement, or (iii) such time as the shares issued in such private placement become eligible for resale by non-affiliates without any volume limitations or other restrictions pursuant to Rule 144(b)(1)(i) under the Securities Act or any other rule of similar effect. In January 2025, we filed a universal shelf registration statement pursuant to which we may offer and sell shares from time to time, including pursuant to our at-the-marketing offering program currently in place.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palazestrant, OP-3136 or future product candidates we may develop on unfavorable terms to us.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in the past, and may again in the future seek additional capital through a variety of means, including through public or private equity offerings, debt financings or other sources, including up-front payments and milestone payments from strategic collaborations. For example, in September 2023, we completed a private placement of 13,211,381 shares of our common stock to selected institutional and accredited investors pursuant to a securities purchase agreement (the 2023 Private Placement), and in December 2024, we completed a private placement of 19,928,875 shares of our common stock and pre-funded warrants to purchase up to 7,604,163 shares of our common stock to selected institutional and accredited investors pursuant to a securities purchase and exchange agreement (the 2024 Private Placement). In addition, in January 2025, we entered into a Sales Agreement (the 2025 Sales Agreement), with TD Securities (USA) LLC (TD Cowen) pursuant to which we may offer and sell, from time to time through TD Cowen, at our option, shares of our common stock having an aggregate offering price of up to $150.0 million in one or more at-the-market offering (the ATM Program) which replaced an earlier sales agreement with Cowen and Company, LLC (the Prior Sales Agreement). During the year ended December 31, 2024, we issued 1,772,278 shares of our common stock under the Prior Sales Agreement. To the extent that we raise additional capital through the sale of equity or convertible debt or equity securities, including pursuant to sales under the 2025 Sales Agreement, your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ownership interest will be diluted, our stock price could fall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6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2024,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passed the Inflation Reduction Act in 2022,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classified Board of Directors such that not all members of our Board of Directors are elected at one time;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prohibit our stockholders from calling a special meeting of our stockholders;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prohibit cumulative voting;</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62"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amended and restated certificate of incorporations or amended and restated bylaws.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4"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fiduciary duty;</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46" w:lineRule="exact"/>
        <w:rPr>
          <w:rFonts w:ascii="Times New Roman" w:cs="Times New Roman" w:eastAsia="Times New Roman" w:hAnsi="Times New Roman"/>
          <w:sz w:val="18"/>
          <w:szCs w:val="18"/>
          <w:color w:val="auto"/>
        </w:rPr>
      </w:pPr>
    </w:p>
    <w:p>
      <w:pPr>
        <w:jc w:val="both"/>
        <w:ind w:firstLine="517"/>
        <w:spacing w:after="0" w:line="243" w:lineRule="auto"/>
        <w:tabs>
          <w:tab w:leader="none" w:pos="1018"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 or otherwise related to our internal affairs.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ambiguities related to their application and practice, regulatory authorities may initiate legal proceedings against us and our business, financial condition, results of operations and prospects may be significantly harmed.</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Even if any such claims do not result in litigation or are resolved in our favor, the time and resources needed to resolve them could divert our management’s resources and seriously harm our business, financial condition, results of operations and prospects.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established and maintain various information security processes designed to identify, assess, and manage cybersecurity risks to our critical computer networks, third-party hosted services, communication systems, hardware, software, and vital data, such as intellectual property, confidential proprietary information, strategic assets, and non-clinical/clinical trial data (Information Systems and Data). Our Chief Operating and Financial Officer, Vice President of Information Technology, vCISO (Virtual Chief Information Security Officer), cybersecurity business partner and IT &amp; Legal teams collaborate to address cybersecurity threats and risks, leveraging our risk register when needed. Our VP of Information Technology, vCISO, members of our in-house IT team, and our third-party cybersecurity business partner all play an active role in monitoring and assessing risks from cyber threats through a variety of methods including automated tools, third-party testing, tabletop incident response exercises, threat actor analysis, industry risk profiling, and collaboration with law enforcement.</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employ a range of measures, processes, standards, and policies tailored to specific environments designed to manage and mitigate material risks from cybersecurity threats to our Information Systems and Data. These include data encryption, network security controls, secure physical facilities, employee training, access management, change management and comprehensive asset management, tracking, and disposal procedures.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assessment and management of material risks from cybersecurity threats are integrated into the Company’s overall risk management processes. For example, the security team, which includes our VP of Information Technology, vCISO, and third-party service providers, works with management to prioritize our risk management processes and take steps to mitigate cybersecurity threats that are determined to be more likely to lead to a material impact to our business. Key findings and status of the cybersecurity landscape are reviewed with the Audit Committee of our Board of Directors (the Audit Committee), which evaluates our overall enterprise risk.</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engage various categories of third-party service providers to augment our efforts in monitoring, identifying, assessing, and mitigating significant cybersecurity risks. These third-party service providers encompass a range of expertise, including professional services firms such as legal counsel, cybersecurity consultants with specialized knowledge, providers of cybersecurity software solutions, managed cybersecurity service providers offering ongoing monitoring, protection and support, external testing firms specializing items like penetration testing to evaluate vulnerabilities, and forensic investigators who are enlisted as necessary to conduct comprehensive investigations and assessments when specific incidents or breaches occur.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enlist third-party service providers across our business functions, including application providers, hosting companies, contract manufacturers, and supply chain resources. Depending on the service type, data sensitivity, and provider identity, our vendor management process assesses cybersecurity risks and establishes corresponding contractual cybersecurity obligations, tailored to each provider's role and the nature of Information Systems and Data involved.</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a description of the risks from cybersecurity threats that may materially affect the Company and how they may do so, see our risk factors under "Part 1. Item 1A. Risk Factors" in this Annual Report on Form 10-K, including under the section titled "</w:t>
      </w: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Risks related to employee matters, managing our growth and other risks related to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of Directors retains responsibility for evaluating key business risks faced by the Company, including but not limited to information security. In part, our Board of Directors addresses its general oversight function by delegating the Company's cybersecurity risk management to the Audit Committee. The Audit Committee's responsibilities include supervising risk mitigation efforts related to cybersecurity threats, evaluating the sufficiency and effectiveness of information security policies and practices, and ensuring robust internal controls for information security.</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cybersecurity risk assessment and management processes are implemented and maintained by certain members of Company management, including our Vice President of Information Technology who has over 15 years of extensive experience managing cybersecurity programs, who reports into our Chief Operating and Financial Officer. The Vice President of Information Technology is responsible for hiring appropriate personnel, helping to integrate cybersecurity risk considerations into the Company's overall risk management strategy, and communicating key priorities to relevant personnel. The Chief Operating and Financial Officer is responsible for approving budgets, aiding in the preparation for cybersecurity incidents, approving cybersecurity processes, and reviewing security assessments and other security-related reports.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cybersecurity incident response procedures involve escalating specific incidents to certain members of management as needed, including the Vice President of Information Technology, Chief Operating and Financial Officer and the Chief Executive Officer. The Chief Operating and Financial Officer collaborates with our incident response team, which includes members of our in-house IT, facilities, human resources, regulatory, legal, and communications teams, to address and resolve reported cybersecurity incidents. Olema’s incident response procedures mandate reporting certain types of cybersecurity incidents to the Audit Committee and other agencies as required by law.</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periodically receives reports from the Vice President of Information Technology on the Company's significant cybersecurity threats, risks, and mitigation processes. The Audit Committee also receives various summaries, presentations, and reports pertaining to cybersecurity threats, risks, and mitigation.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corporate headquarters are located in San Francisco, California, where we lease approximately 20,500 square feet of office and laboratory space pursuant to lease agreements that expire between December 2025 and September 2026. We believe that these existing facilities will be adequate for our near-term needs. If required, we believe that suitable additional or alternative space would be available in the future on commercially reasonable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 Regardless of outcome,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such proceedings or claims can have an adverse impact on us because of defense and settlement costs, diversion of resources and other factors, and there can be no assurances that favorable outcomes will be obtained.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3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common stock has been listed on the Nasdaq Global Select Market under the symbol “OLMA” since November 19, 2020. Prior to that date, there was no public trading market for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the close of business on March 13, 2025, there were 67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were no sales of equity securities during the three months ended December 31, 2024 that were not registered under the Securities Act and were not previously reported in a Current Report on Form 8-K filed by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The following management’s discussion and analysis of our financial condition and results of operations should be read in conjunction with the consolidated financial statements and notes thereto included as part of this Annual Report.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See “Special Note Regarding Forward-Looking Statements” in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Olema is a clinical-stage biopharmaceutical company focused on the discovery, development, and commercialization of next generation targeted therapies for breast cancer and beyond. We are advancing our pipeline of novel therapies by leveraging our deep understanding of endocrine-driven cancers, nuclear receptors, and mechanisms of acquired resistance.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lead product candidate, palazestrant, is a novel, orally-available small molecule with dual activity as both a CERAN and SERD, currently being investigated in patients with recurrent, locally advanced or metastatic ER+/HER2-, breast cancer. In non-clinical models, palazestrant binds and completely blocks ER-driven transcriptional activity in both wild-type and mutant forms of metastatic ER+ breast cancer. In clinical studies across more than 400 patients, palazestrant has demonstrated strong anti-tumor activity, attractive pharmacokinetics and prolonged drug exposure, favorable tolerability, and combinability with CDK4/6 inhibitors with no significant drug-drug interaction. Based on the clinical results we have achieved to date, we are advancing palazestrant through late-stage clinical development both as a monotherapy and in combination with other targeted agents.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November 2023, we initiated OPERA-01, the pivotal Phase 3 clinical trial of palazestrant as a monotherapy in second/third-line ER+/HER2- metastatic breast cancer. We anticipate top-line results in 2026.</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combination, we are investigating palazestrant in multiple Phase 1/2 studies with CDK4/6 inhibitors (palbociclib or ribociclib), a PI3Ka inhibitor (alpelisib), and with an mTOR inhibitor (everolimus). In March 2024, we increased the size of the ongoing Phase 1/2 clinical study of palazestrant in combination with ribociclib by an additional 15 patients to explore 90 mg of palazestrant in combination with 600 mg of ribociclib. We also initiated our Phase 1b/2 clinical study of palazestrant in combination with an mTOR inhibitor, everolimus, in the third quarter of 2024. Further, in October 2024, we presented new non-clinical data at the EORTC-NCI-AACR Symposium on Molecular Targets and Cancer Therapeutics showing that the combination of palazestrant with both everolimus and capivasertib may be synergistic and have the potential to result in significant tumor regression.</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More recently, we presented updated results from the ongoing Phase 1b/2 clinical trial of palazestrant in combination with ribociclib in patients with ER+/HER2- advanced or metastatic breast cancer at SABCS in December 2024. In March 2025, we disclosed updated median PFS (mPFS) from this study at the TD Cowen 45th Annual Health Care Conference. As of a data cutoff date of February 18, 2025, the mPFS was 13.8 months in 56 patients treated with 120 mg of palazestrant and 600 mg of ribociclib daily. 40 of the 56 patients had received prior treatment of a CDK4/6i plus an ET; the mPFS in this population was 13.1 months.These data further support our thesis that palazestrant possesses key characteristics to make it a potential backbone endocrine therapy of preference for ER+/HER2- breast cancer, while also providing the basis for a new pivotal Phase 3 clinical trial of palazestrant in combination with ribociclib in front-line ER+/HER2- metastatic breast cancer, called OPERA-02. The execution of OPERA-02 will be supported by our new clinical trial collaboration and supply agreement with Novartis, which was announced in December 2024. Under the terms of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agreement, Novartis will provide Olema with ribociclib drug supply for OPERA-02, which we expect to initiate in 2025.</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second product candidate in clinical development, called OP-3136, is a novel, orally-available small molecule that potently and selectively inhibits KAT6, an epigenetic target that is dysregulated in breast and other cancers. We believe OP-3136 presents a potential best-in-class KAT6 inhibitor in breast and other solid tumor cancers. In October 2024, we presented new non-clinical data at the EORTC-NCI-AACR Symposium on Molecular Targets and Cancer Therapeutics demonstrating OP-3136's robust anti-tumor activity as a single agent, as well as potential synergy and enhanced anti-tumor activity in combination with palazestrant. The IND application for OP-3136 was cleared by the U.S FDA in late 2024 and the Phase 1 clinical trial is now enrolling patients.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incurred significant operating losses since the commencement of our operations. Our net losses were $129.5 million and $96.7 million for the years ended December 31, 2024 and 2023, respectively. We expect to incur significant and increasing losses for the foreseeable future as we continue to advance our product candidates, make potential milestone payments to our licensors, and as we continue to operate as a public company. Our net losses may fluctuate significantly from period to period, depending on the timing of expenditures on our research and development activities. As of December 31, 2024, we had an accumulated deficit of $ 435.1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61" w:lineRule="exact"/>
        <w:rPr>
          <w:sz w:val="20"/>
          <w:szCs w:val="20"/>
          <w:color w:val="auto"/>
        </w:rPr>
      </w:pPr>
    </w:p>
    <w:p>
      <w:pPr>
        <w:ind w:left="1020" w:hanging="503"/>
        <w:spacing w:after="0" w:line="270" w:lineRule="auto"/>
        <w:tabs>
          <w:tab w:leader="none" w:pos="102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our ongoing and planned research and development of our lead product candidate, palazestrant, for the treatment of ER+/HER2- metastatic breast cancer;</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enroll patients in the Phase 1 clinical trial for OP-3136 and any additional product candidates that we may pursue in the future;</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acquire or in-license other product candidates and technologies;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expand our operations in the United States and to other geographies; and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potential milestone payments to our licensors, and our expenditures on other research and development activities.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Global economic and business activities continue to face widespread uncertainty due to the geopolitical and macroeconomic environment, generally, including economic uncertainty, market volatility, labor shortages, tariffs and trade tensions, the ongoing conflicts between Ukraine and Russia and in the Middle East, as well as any related political or economic responses and counter-responses or otherwise by various global actors, inflation rates and the responses by central banking authorities to control such inflation, monetary supply shifts, and related financial instability.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External expenses include:</w:t>
      </w:r>
    </w:p>
    <w:p>
      <w:pPr>
        <w:spacing w:after="0" w:line="104" w:lineRule="exact"/>
        <w:rPr>
          <w:sz w:val="20"/>
          <w:szCs w:val="20"/>
          <w:color w:val="auto"/>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contract research organizations (CROs);</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manufacturing products for use in our non-clinical studies and clinical trials, including payments to contract manufacturing organizations (CMOs), and consultants;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funding research performed by third parties;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facility costs including rent, depreciation and maintenance expenses.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our research and development expenses may fluctuate from period to period, we generally expect our research and development expenses to increase substantially in absolute dollars for the foreseeable future as we advance palazestrant, OP-3136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other future product candidates we may develop. Clinical and non-clinical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75"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progress of non-clinical and clinical development activities;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receipt of regulatory approvals from applicable regulatory authorities;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licensing or collaboration arrangements;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the performance of our future collaborators, if any;</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commercializing the product candidates, if approved, whether alone or in collaboration with others;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maintaining continued acceptable safety profiles of our products following approval; and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retaining key research and development personnel.</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other income consists of interest income and other income. Interest income primarily consists of interest income on our cash equivalents and marketable securities. Other income primarily consists of unrealized foreign currency remeasurement gain (loss) and miscellaneous income (expense) not related to 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2024 and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2024 and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3240" w:type="dxa"/>
            <w:vAlign w:val="bottom"/>
            <w:tcBorders>
              <w:top w:val="single" w:sz="8" w:color="auto"/>
              <w:bottom w:val="single" w:sz="8" w:color="auto"/>
            </w:tcBorders>
            <w:gridSpan w:val="3"/>
          </w:tcPr>
          <w:p>
            <w:pPr>
              <w:jc w:val="right"/>
              <w:ind w:right="1274"/>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top w:val="single" w:sz="8" w:color="auto"/>
            </w:tcBorders>
          </w:tcPr>
          <w:p>
            <w:pPr>
              <w:spacing w:after="0"/>
              <w:rPr>
                <w:sz w:val="15"/>
                <w:szCs w:val="15"/>
                <w:color w:val="auto"/>
              </w:rPr>
            </w:pPr>
          </w:p>
        </w:tc>
        <w:tc>
          <w:tcPr>
            <w:tcW w:w="1740" w:type="dxa"/>
            <w:vAlign w:val="bottom"/>
            <w:tcBorders>
              <w:top w:val="single" w:sz="8" w:color="auto"/>
              <w:bottom w:val="single" w:sz="8" w:color="auto"/>
            </w:tcBorders>
            <w:vMerge w:val="restart"/>
          </w:tcPr>
          <w:p>
            <w:pPr>
              <w:jc w:val="right"/>
              <w:ind w:right="7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874"/>
              <w:spacing w:after="0" w:line="155" w:lineRule="exact"/>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tcPr>
          <w:p>
            <w:pPr>
              <w:jc w:val="right"/>
              <w:ind w:right="514"/>
              <w:spacing w:after="0" w:line="155"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124,517</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86,140</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38,377</w:t>
            </w:r>
          </w:p>
        </w:tc>
        <w:tc>
          <w:tcPr>
            <w:tcW w:w="0" w:type="dxa"/>
            <w:vAlign w:val="bottom"/>
          </w:tcPr>
          <w:p>
            <w:pPr>
              <w:spacing w:after="0"/>
              <w:rPr>
                <w:sz w:val="1"/>
                <w:szCs w:val="1"/>
                <w:color w:val="auto"/>
              </w:rPr>
            </w:pPr>
          </w:p>
        </w:tc>
      </w:tr>
      <w:tr>
        <w:trPr>
          <w:trHeight w:val="202"/>
        </w:trPr>
        <w:tc>
          <w:tcPr>
            <w:tcW w:w="334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52"/>
              <w:spacing w:after="0" w:line="202" w:lineRule="exact"/>
              <w:rPr>
                <w:sz w:val="20"/>
                <w:szCs w:val="20"/>
                <w:color w:val="auto"/>
              </w:rPr>
            </w:pPr>
            <w:r>
              <w:rPr>
                <w:rFonts w:ascii="Arial" w:cs="Arial" w:eastAsia="Arial" w:hAnsi="Arial"/>
                <w:sz w:val="18"/>
                <w:szCs w:val="18"/>
                <w:color w:val="auto"/>
              </w:rPr>
              <w:t>17,741</w:t>
            </w:r>
          </w:p>
        </w:tc>
        <w:tc>
          <w:tcPr>
            <w:tcW w:w="52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18,821</w:t>
            </w:r>
          </w:p>
        </w:tc>
        <w:tc>
          <w:tcPr>
            <w:tcW w:w="6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(1,080 )</w:t>
            </w:r>
          </w:p>
        </w:tc>
        <w:tc>
          <w:tcPr>
            <w:tcW w:w="0" w:type="dxa"/>
            <w:vAlign w:val="bottom"/>
          </w:tcPr>
          <w:p>
            <w:pPr>
              <w:spacing w:after="0"/>
              <w:rPr>
                <w:sz w:val="1"/>
                <w:szCs w:val="1"/>
                <w:color w:val="auto"/>
              </w:rPr>
            </w:pPr>
          </w:p>
        </w:tc>
      </w:tr>
      <w:tr>
        <w:trPr>
          <w:trHeight w:val="196"/>
        </w:trPr>
        <w:tc>
          <w:tcPr>
            <w:tcW w:w="3340" w:type="dxa"/>
            <w:vAlign w:val="bottom"/>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rPr>
              <w:t>142,258</w:t>
            </w:r>
          </w:p>
        </w:tc>
        <w:tc>
          <w:tcPr>
            <w:tcW w:w="5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104,961</w:t>
            </w:r>
          </w:p>
        </w:tc>
        <w:tc>
          <w:tcPr>
            <w:tcW w:w="6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37,297</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1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w w:val="97"/>
              </w:rPr>
              <w:t>(142,258 )</w:t>
            </w:r>
          </w:p>
        </w:tc>
        <w:tc>
          <w:tcPr>
            <w:tcW w:w="52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(104,961 )</w:t>
            </w:r>
          </w:p>
        </w:tc>
        <w:tc>
          <w:tcPr>
            <w:tcW w:w="6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(37,297 )</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income</w:t>
            </w:r>
          </w:p>
        </w:tc>
        <w:tc>
          <w:tcPr>
            <w:tcW w:w="1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52"/>
              <w:spacing w:after="0" w:line="202" w:lineRule="exact"/>
              <w:rPr>
                <w:sz w:val="20"/>
                <w:szCs w:val="20"/>
                <w:color w:val="auto"/>
              </w:rPr>
            </w:pPr>
            <w:r>
              <w:rPr>
                <w:rFonts w:ascii="Arial" w:cs="Arial" w:eastAsia="Arial" w:hAnsi="Arial"/>
                <w:sz w:val="18"/>
                <w:szCs w:val="18"/>
                <w:color w:val="auto"/>
              </w:rPr>
              <w:t>12,682</w:t>
            </w:r>
          </w:p>
        </w:tc>
        <w:tc>
          <w:tcPr>
            <w:tcW w:w="52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8,325</w:t>
            </w:r>
          </w:p>
        </w:tc>
        <w:tc>
          <w:tcPr>
            <w:tcW w:w="62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02"/>
        </w:trPr>
        <w:tc>
          <w:tcPr>
            <w:tcW w:w="3340" w:type="dxa"/>
            <w:vAlign w:val="bottom"/>
          </w:tcPr>
          <w:p>
            <w:pPr>
              <w:ind w:left="140"/>
              <w:spacing w:after="0" w:line="202" w:lineRule="exact"/>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102</w:t>
            </w:r>
          </w:p>
        </w:tc>
        <w:tc>
          <w:tcPr>
            <w:tcW w:w="5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(19 )</w:t>
            </w:r>
          </w:p>
        </w:tc>
        <w:tc>
          <w:tcPr>
            <w:tcW w:w="6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other income</w:t>
            </w:r>
          </w:p>
        </w:tc>
        <w:tc>
          <w:tcPr>
            <w:tcW w:w="11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52"/>
              <w:spacing w:after="0" w:line="196" w:lineRule="exact"/>
              <w:rPr>
                <w:sz w:val="20"/>
                <w:szCs w:val="20"/>
                <w:color w:val="auto"/>
              </w:rPr>
            </w:pPr>
            <w:r>
              <w:rPr>
                <w:rFonts w:ascii="Arial" w:cs="Arial" w:eastAsia="Arial" w:hAnsi="Arial"/>
                <w:sz w:val="18"/>
                <w:szCs w:val="18"/>
                <w:color w:val="auto"/>
              </w:rPr>
              <w:t>12,784</w:t>
            </w:r>
          </w:p>
        </w:tc>
        <w:tc>
          <w:tcPr>
            <w:tcW w:w="52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8,306</w:t>
            </w:r>
          </w:p>
        </w:tc>
        <w:tc>
          <w:tcPr>
            <w:tcW w:w="6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loss</w:t>
            </w: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w w:val="97"/>
              </w:rPr>
              <w:t>(129,474 )</w:t>
            </w:r>
          </w:p>
        </w:tc>
        <w:tc>
          <w:tcPr>
            <w:tcW w:w="5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(96,655 )</w:t>
            </w:r>
          </w:p>
        </w:tc>
        <w:tc>
          <w:tcPr>
            <w:tcW w:w="6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(32,819 )</w:t>
            </w: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our research and development expenses by functional area for the years ended December 31, 2024 and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3000" w:type="dxa"/>
            <w:vAlign w:val="bottom"/>
            <w:tcBorders>
              <w:top w:val="single" w:sz="8" w:color="auto"/>
              <w:bottom w:val="single" w:sz="8" w:color="auto"/>
            </w:tcBorders>
            <w:gridSpan w:val="3"/>
          </w:tcPr>
          <w:p>
            <w:pPr>
              <w:jc w:val="right"/>
              <w:ind w:right="109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tcBorders>
          </w:tcPr>
          <w:p>
            <w:pPr>
              <w:spacing w:after="0"/>
              <w:rPr>
                <w:sz w:val="15"/>
                <w:szCs w:val="15"/>
                <w:color w:val="auto"/>
              </w:rPr>
            </w:pPr>
          </w:p>
        </w:tc>
        <w:tc>
          <w:tcPr>
            <w:tcW w:w="1660" w:type="dxa"/>
            <w:vAlign w:val="bottom"/>
            <w:tcBorders>
              <w:top w:val="single" w:sz="8" w:color="auto"/>
              <w:bottom w:val="single" w:sz="8" w:color="auto"/>
            </w:tcBorders>
            <w:vMerge w:val="restart"/>
          </w:tcPr>
          <w:p>
            <w:pPr>
              <w:jc w:val="right"/>
              <w:ind w:right="6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815"/>
              <w:spacing w:after="0" w:line="155"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Pr>
          <w:p>
            <w:pPr>
              <w:jc w:val="right"/>
              <w:ind w:right="415"/>
              <w:spacing w:after="0" w:line="155"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CROs, CMOs and other clinical development related</w:t>
            </w: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third-party vendor expenses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52,166</w:t>
            </w:r>
          </w:p>
        </w:tc>
        <w:tc>
          <w:tcPr>
            <w:tcW w:w="5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33,650</w:t>
            </w: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18,516</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Compensation and related benefits</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26,964</w:t>
            </w:r>
          </w:p>
        </w:tc>
        <w:tc>
          <w:tcPr>
            <w:tcW w:w="500" w:type="dxa"/>
            <w:vAlign w:val="bottom"/>
          </w:tcPr>
          <w:p>
            <w:pPr>
              <w:spacing w:after="0"/>
              <w:rPr>
                <w:sz w:val="18"/>
                <w:szCs w:val="18"/>
                <w:color w:val="auto"/>
              </w:rPr>
            </w:pP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23,726</w:t>
            </w:r>
          </w:p>
        </w:tc>
        <w:tc>
          <w:tcPr>
            <w:tcW w:w="580" w:type="dxa"/>
            <w:vAlign w:val="bottom"/>
          </w:tcPr>
          <w:p>
            <w:pPr>
              <w:spacing w:after="0"/>
              <w:rPr>
                <w:sz w:val="18"/>
                <w:szCs w:val="18"/>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16,543</w:t>
            </w:r>
          </w:p>
        </w:tc>
        <w:tc>
          <w:tcPr>
            <w:tcW w:w="5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11,769</w:t>
            </w:r>
          </w:p>
        </w:tc>
        <w:tc>
          <w:tcPr>
            <w:tcW w:w="5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Aurigene</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research and development expenses</w:t>
            </w:r>
          </w:p>
        </w:tc>
        <w:tc>
          <w:tcPr>
            <w:tcW w:w="4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23,844</w:t>
            </w:r>
          </w:p>
        </w:tc>
        <w:tc>
          <w:tcPr>
            <w:tcW w:w="5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16,995</w:t>
            </w:r>
          </w:p>
        </w:tc>
        <w:tc>
          <w:tcPr>
            <w:tcW w:w="5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research and development expenses</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w w:val="98"/>
              </w:rPr>
              <w:t>124,517</w:t>
            </w:r>
          </w:p>
        </w:tc>
        <w:tc>
          <w:tcPr>
            <w:tcW w:w="5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86,140</w:t>
            </w:r>
          </w:p>
        </w:tc>
        <w:tc>
          <w:tcPr>
            <w:tcW w:w="5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38,377</w:t>
            </w:r>
          </w:p>
        </w:tc>
        <w:tc>
          <w:tcPr>
            <w:tcW w:w="0" w:type="dxa"/>
            <w:vAlign w:val="bottom"/>
          </w:tcPr>
          <w:p>
            <w:pPr>
              <w:spacing w:after="0"/>
              <w:rPr>
                <w:sz w:val="1"/>
                <w:szCs w:val="1"/>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4500" w:type="dxa"/>
            <w:vAlign w:val="bottom"/>
          </w:tcPr>
          <w:p>
            <w:pPr>
              <w:spacing w:after="0"/>
              <w:rPr>
                <w:sz w:val="24"/>
                <w:szCs w:val="24"/>
                <w:color w:val="auto"/>
              </w:rPr>
            </w:pPr>
          </w:p>
        </w:tc>
        <w:tc>
          <w:tcPr>
            <w:tcW w:w="1500" w:type="dxa"/>
            <w:vAlign w:val="bottom"/>
            <w:gridSpan w:val="2"/>
          </w:tcPr>
          <w:p>
            <w:pPr>
              <w:jc w:val="right"/>
              <w:ind w:right="148"/>
              <w:spacing w:after="0"/>
              <w:rPr>
                <w:sz w:val="20"/>
                <w:szCs w:val="20"/>
                <w:color w:val="auto"/>
              </w:rPr>
            </w:pPr>
            <w:r>
              <w:rPr>
                <w:rFonts w:ascii="Arial" w:cs="Arial" w:eastAsia="Arial" w:hAnsi="Arial"/>
                <w:sz w:val="18"/>
                <w:szCs w:val="18"/>
                <w:color w:val="auto"/>
              </w:rPr>
              <w:t>121</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for the year ended December 31, 2024 were $124.5 million, compared to $86.1 million for the year ended December 31, 2023. The increase of $38.4 million was primarily due to (i) increased spending on clinical operations and development-related activities as we continue to advance palazestrant through late-stage clinical trials, (ii) other research and development activities associated with the advancement of our KAT6 inhibitor program, and (iii) personnel-related costs related to increased headcount, including an increase in non-cash stock-based compensation expense of $4.8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for the year ended December 31, 2024 were $17.7 million compared to $18.8 million for the year ended December 31, 2023. The decrease of $1.1 million was primarily due to decreased spending on corporate-related costs, partially offset by an increase in non-cash stock-based compensation expense of $0.6 million related to increased headcount.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for the year ended December 31, 2024 was $12.8 million, compared to $8.3 million for the year ended December 31, 2023. The increase of $4.5 million was primarily due to an increase in interest income from our marketable securities due to higher investment balance.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$129.5 million and $96.7 million for the years ended December 31, 2024 and 2023, respectively. Through December 31, 2024, we had received aggregate gross proceeds of $789.0 million from sales of our common stock, convertible preferred stock and issuance of convertible promissory notes, stock option exercises, and sale of stock through the Company’s 2020 Employee Stock Purchase Plan (ESPP).</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2024, we had $434.1 million in cash, cash equivalents and marketable securities and accumulated deficit of $435.1 million. We had no debt outstanding as of December 31, 2024.</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September 5, 2023, we entered into a stock purchase agreement for a private placement of 13,211,381 shares of our common stock, at a price of $9.84 per share, to selected institutional and accredited investors (the 2023 Private Placement), resulting in gross proceeds of approximately $130.0 million. After deducting offering expenses related to the 2023 Private Placement of approximately $0.3 million, the net proceeds to us from the 2023 Private Placement were approximately $129.7 million.</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Also on September 5, 2023, we entered into a loan and security agreement (the Original Loan Agreement) with Silicon Valley Bank, a division of First Citizens Bank &amp; Trust Company (the Bank), which provided us with an aggregate principal amount of up to $50.0 million (the Original Credit Facility). On June 28, 2024, we entered into the First Amendment to Loan and Security Agreement (the Amendment, and the Original Loan Agreement as amended by the Amendment, the Loan Agreement), with the Bank. The Amendment amends the Original Loan Agreement in order to, among other things, (i) increase the aggregate principal amount of the Original Credit Facility from up to $50.0 million to up to $100.0 million (the Credit Facility) of which $25.0 million is currently available, an additional $25.0 million will become available upon achieving certain milestones related to execution of a first-line pivotal Phase 3 clinical trial of palazestrant in combination with ribociclib, and an additional $50.0 million which may be made available upon approval of the Bank in its discretion, and (ii) extend the maturity date to July 1, 2028. As of December 31, 2024, we had not drawn down from the Credit Facility.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29, 2024, we entered into a securities purchase agreement for a private placement of (i) 19,928,875 shares of our common stock at a price of $9.08 per share and (ii) pre-funded warrants to purchase up to an aggregate of 7,604,163 shares of our common stock at a price of $9.0799 per pre-funded warrant,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which represents the per share purchase price of the common stock sold in the private placement less the $ 0.0001 per share exercise price for each pre-funded warrant to selected institutional and accredited investors (the 2024 Private Placement). The aggregate gross proceeds for the 2024 Private Placement was approximately $250.0 million. After deducting offering expenses related to the 2024 Private Placement of approximately $6.5 million (the remaining $6.5 million was included in Other current liabilities in the consolidated balance sheets), the net proceeds to us from the 2024 Private Placement were approximately $243.5 million.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5, 2024, we entered into a sales agreement (the 2024 Sales Agreement), with Cowen and Company, LLC (TD Cowen), as sales agent, pursuant to which we may offer and sell, from time to time, shares of our common stock, having an aggregate offering price of up to $150.0 million (the 2024 ATM Shares). The sales, if any, of the ATM Shares will be made by any method permitted that is deemed to be an “at-the-market” (ATM), equity offering as defined in Rule 415(a)(4) promulgated under the Securities Act, including sales made directly on or through the Nasdaq Global Select Market. We have agreed to pay TD Cowen a commission of up to 3.0% of the aggregate gross proceeds from any ATM Shares sold by TD Cowen. During the year ended December 31, 2024, we issued 1,772,278 shares of our common stock under the Sales Agreement at a weighted-average price of $13.19 for net proceeds of $22.8 million after deducting related issuance costs. As of December 31, 2024, approximately $126.6 million remained available for issuance under the Sales Agreement.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6, 2025, we entered into a sales agreement (the 2025 Sales Agreement) with TD Securities (USA) LLC, (TD Cowen) as sales agent, pursuant to which the Company may offer and sell, from time to time, shares of the Company's common stock, having an aggregate offering price of up to $150.0 million (the 2025 ATM Shares). The 2025 Sales Agreement replaces our prior 2024 Sales Agreement, dated January 5, 2024. The sales of the 2025 ATM Shares will be made by any method permitted that is deemed to be an "at-the-market" equity offering as defined in Rule 415(a)(4) promulgated under the Securities Act of 1933, as amended, including sales made directly on or through the Nasdaq Global Select Market. We have agreed to pay TD Cowen a commission of up to 3.0% of the aggregate gross proceeds from any ATM Shares sold by TD Cowen.</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Other than as noted above, we currently have no financing commitments, such as lines of credit or guarantees, that are expected to affect our liquidity over the next five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and material cash requirements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as a public company. The amount and timing of our future funding requirements will depend on many factors, including the pace and results of our development efforts.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our cash, cash equivalents, and marketable securities as of December 31, 2024, as well as the available balance under the Credit Facility, will enable us to fund our current operating plan for at least the next 12 months from the filing date of these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material cash requirements for future periods: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580" w:type="dxa"/>
            <w:vAlign w:val="bottom"/>
            <w:tcBorders>
              <w:top w:val="single" w:sz="8" w:color="auto"/>
              <w:bottom w:val="single" w:sz="8" w:color="auto"/>
            </w:tcBorders>
            <w:gridSpan w:val="4"/>
          </w:tcPr>
          <w:p>
            <w:pPr>
              <w:jc w:val="center"/>
              <w:ind w:left="584"/>
              <w:spacing w:after="0"/>
              <w:rPr>
                <w:sz w:val="20"/>
                <w:szCs w:val="20"/>
                <w:color w:val="auto"/>
              </w:rPr>
            </w:pPr>
            <w:r>
              <w:rPr>
                <w:rFonts w:ascii="Arial" w:cs="Arial" w:eastAsia="Arial" w:hAnsi="Arial"/>
                <w:sz w:val="14"/>
                <w:szCs w:val="14"/>
                <w:b w:val="1"/>
                <w:bCs w:val="1"/>
                <w:color w:val="auto"/>
              </w:rPr>
              <w:t>Material cash requirements due by period</w:t>
            </w:r>
          </w:p>
        </w:tc>
        <w:tc>
          <w:tcPr>
            <w:tcW w:w="1000" w:type="dxa"/>
            <w:vAlign w:val="bottom"/>
            <w:tcBorders>
              <w:top w:val="single" w:sz="8" w:color="auto"/>
              <w:bottom w:val="single" w:sz="8" w:color="auto"/>
            </w:tcBorders>
          </w:tcPr>
          <w:p>
            <w:pPr>
              <w:spacing w:after="0"/>
              <w:rPr>
                <w:sz w:val="15"/>
                <w:szCs w:val="15"/>
                <w:color w:val="auto"/>
              </w:rPr>
            </w:pPr>
          </w:p>
        </w:tc>
      </w:tr>
      <w:tr>
        <w:trPr>
          <w:trHeight w:val="160"/>
        </w:trPr>
        <w:tc>
          <w:tcPr>
            <w:tcW w:w="6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264"/>
              <w:spacing w:after="0" w:line="160" w:lineRule="exact"/>
              <w:rPr>
                <w:sz w:val="20"/>
                <w:szCs w:val="20"/>
                <w:color w:val="auto"/>
              </w:rPr>
            </w:pPr>
            <w:r>
              <w:rPr>
                <w:rFonts w:ascii="Arial" w:cs="Arial" w:eastAsia="Arial" w:hAnsi="Arial"/>
                <w:sz w:val="14"/>
                <w:szCs w:val="14"/>
                <w:b w:val="1"/>
                <w:bCs w:val="1"/>
                <w:color w:val="auto"/>
              </w:rPr>
              <w:t>Less than 1</w:t>
            </w:r>
          </w:p>
        </w:tc>
        <w:tc>
          <w:tcPr>
            <w:tcW w:w="340" w:type="dxa"/>
            <w:vAlign w:val="bottom"/>
          </w:tcPr>
          <w:p>
            <w:pPr>
              <w:spacing w:after="0"/>
              <w:rPr>
                <w:sz w:val="13"/>
                <w:szCs w:val="13"/>
                <w:color w:val="auto"/>
              </w:rPr>
            </w:pPr>
          </w:p>
        </w:tc>
        <w:tc>
          <w:tcPr>
            <w:tcW w:w="1300" w:type="dxa"/>
            <w:vAlign w:val="bottom"/>
          </w:tcPr>
          <w:p>
            <w:pPr>
              <w:jc w:val="center"/>
              <w:ind w:right="262"/>
              <w:spacing w:after="0" w:line="160" w:lineRule="exact"/>
              <w:rPr>
                <w:sz w:val="20"/>
                <w:szCs w:val="20"/>
                <w:color w:val="auto"/>
              </w:rPr>
            </w:pPr>
            <w:r>
              <w:rPr>
                <w:rFonts w:ascii="Arial" w:cs="Arial" w:eastAsia="Arial" w:hAnsi="Arial"/>
                <w:sz w:val="14"/>
                <w:szCs w:val="14"/>
                <w:b w:val="1"/>
                <w:bCs w:val="1"/>
                <w:color w:val="auto"/>
              </w:rPr>
              <w:t>More than 1</w:t>
            </w: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rPr>
              <w:t>year</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year</w:t>
            </w: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Total</w:t>
            </w:r>
          </w:p>
        </w:tc>
      </w:tr>
      <w:tr>
        <w:trPr>
          <w:trHeight w:val="236"/>
        </w:trPr>
        <w:tc>
          <w:tcPr>
            <w:tcW w:w="6440" w:type="dxa"/>
            <w:vAlign w:val="bottom"/>
            <w:tcBorders>
              <w:bottom w:val="single" w:sz="8" w:color="auto"/>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Operating leases (1)</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64"/>
              <w:spacing w:after="0" w:line="196" w:lineRule="exact"/>
              <w:rPr>
                <w:sz w:val="20"/>
                <w:szCs w:val="20"/>
                <w:color w:val="auto"/>
              </w:rPr>
            </w:pPr>
            <w:r>
              <w:rPr>
                <w:rFonts w:ascii="Arial" w:cs="Arial" w:eastAsia="Arial" w:hAnsi="Arial"/>
                <w:sz w:val="18"/>
                <w:szCs w:val="18"/>
                <w:color w:val="auto"/>
              </w:rPr>
              <w:t>1,245</w:t>
            </w:r>
          </w:p>
        </w:tc>
        <w:tc>
          <w:tcPr>
            <w:tcW w:w="3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62"/>
              <w:spacing w:after="0" w:line="196" w:lineRule="exact"/>
              <w:rPr>
                <w:sz w:val="20"/>
                <w:szCs w:val="20"/>
                <w:color w:val="auto"/>
              </w:rPr>
            </w:pPr>
            <w:r>
              <w:rPr>
                <w:rFonts w:ascii="Arial" w:cs="Arial" w:eastAsia="Arial" w:hAnsi="Arial"/>
                <w:sz w:val="18"/>
                <w:szCs w:val="18"/>
                <w:color w:val="auto"/>
              </w:rPr>
              <w:t>263</w:t>
            </w:r>
          </w:p>
        </w:tc>
        <w:tc>
          <w:tcPr>
            <w:tcW w:w="64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1,508</w:t>
            </w:r>
          </w:p>
        </w:tc>
      </w:tr>
    </w:tbl>
    <w:p>
      <w:pPr>
        <w:spacing w:after="0" w:line="99" w:lineRule="exact"/>
        <w:rPr>
          <w:sz w:val="20"/>
          <w:szCs w:val="20"/>
          <w:color w:val="auto"/>
        </w:rPr>
      </w:pPr>
    </w:p>
    <w:p>
      <w:pPr>
        <w:jc w:val="both"/>
        <w:ind w:left="380" w:hanging="372"/>
        <w:spacing w:after="0" w:line="256" w:lineRule="auto"/>
        <w:tabs>
          <w:tab w:leader="none" w:pos="380" w:val="left"/>
        </w:tabs>
        <w:numPr>
          <w:ilvl w:val="0"/>
          <w:numId w:val="48"/>
        </w:numPr>
        <w:rPr>
          <w:rFonts w:ascii="Arial" w:cs="Arial" w:eastAsia="Arial" w:hAnsi="Arial"/>
          <w:sz w:val="14"/>
          <w:szCs w:val="14"/>
          <w:color w:val="231F20"/>
        </w:rPr>
      </w:pPr>
      <w:r>
        <w:rPr>
          <w:rFonts w:ascii="Arial" w:cs="Arial" w:eastAsia="Arial" w:hAnsi="Arial"/>
          <w:sz w:val="14"/>
          <w:szCs w:val="14"/>
          <w:color w:val="231F20"/>
        </w:rPr>
        <w:t>We conduct our research and development programs internally and through third parties that include, among others, arrangements with vendors, consultants, CMOs, and CROs. We have contractual arrangements in the normal course of business with these parties, however, our contracts with them are cancelable generally on reasonable notice within one year and our obligations under these contracts are primarily based on services performed. We included certain contracts that have significant cancellation penalties and are material, which make the continuation of these arrangements reasonable.</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under the Aurigene Agreement, we have payment obligations that are contingent upon future events such as the achievement of specified development, regulatory and commercial milestones. Financial terms of the Aurigene Agreement include potential future milestone payments of up to $55.0 million in clinical development and regulatory milestones, and up to $370.0 million in commercial milestones. Aurigene is also eligible to receive mid-single digit to the low double digit royalties as percentages of product sales, if any. The amount and timing of milestone obligations are unknown or uncertain as we are unable to estimate the timing or likelihood of achieving the milestone events. Additionally, the amount of royalty payments are based upon future product sales, which we are unable to predict with certainty. These potential obligations are further described in Note 12 to our audited consolidated financial statements.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enter into contracts in the normal course of business with CROs and clinical sites for the conduct of clinical trials, non-clinical research studies, professional consultants for expert advice and other vendors for clinical supply manufacturing or other services. These contracts generally provide for termination on notice, and therefore are cancelable contracts.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4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timing and outcome of regulatory review of our product candidates;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line="270" w:lineRule="auto"/>
        <w:tabs>
          <w:tab w:leader="none" w:pos="102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operating activities</w:t>
      </w: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financing activities</w:t>
      </w:r>
    </w:p>
    <w:p>
      <w:pPr>
        <w:ind w:left="2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54"/>
              <w:spacing w:after="0" w:line="155" w:lineRule="exact"/>
              <w:rPr>
                <w:sz w:val="20"/>
                <w:szCs w:val="20"/>
                <w:color w:val="auto"/>
              </w:rPr>
            </w:pPr>
            <w:r>
              <w:rPr>
                <w:rFonts w:ascii="Arial" w:cs="Arial" w:eastAsia="Arial" w:hAnsi="Arial"/>
                <w:sz w:val="14"/>
                <w:szCs w:val="14"/>
                <w:b w:val="1"/>
                <w:bCs w:val="1"/>
                <w:color w:val="auto"/>
              </w:rPr>
              <w:t>2024</w:t>
            </w:r>
          </w:p>
        </w:tc>
        <w:tc>
          <w:tcPr>
            <w:tcW w:w="4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2023</w:t>
            </w:r>
          </w:p>
        </w:tc>
      </w:tr>
      <w:tr>
        <w:trPr>
          <w:trHeight w:val="177"/>
        </w:trPr>
        <w:tc>
          <w:tcPr>
            <w:tcW w:w="40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(104,351 )</w:t>
            </w:r>
          </w:p>
        </w:tc>
        <w:tc>
          <w:tcPr>
            <w:tcW w:w="48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77" w:lineRule="exact"/>
              <w:rPr>
                <w:sz w:val="20"/>
                <w:szCs w:val="20"/>
                <w:color w:val="auto"/>
              </w:rPr>
            </w:pPr>
            <w:r>
              <w:rPr>
                <w:rFonts w:ascii="Arial" w:cs="Arial" w:eastAsia="Arial" w:hAnsi="Arial"/>
                <w:sz w:val="18"/>
                <w:szCs w:val="18"/>
                <w:color w:val="auto"/>
              </w:rPr>
              <w:t>(83,727 )</w:t>
            </w:r>
          </w:p>
        </w:tc>
      </w:tr>
      <w:tr>
        <w:trPr>
          <w:trHeight w:val="203"/>
        </w:trPr>
        <w:tc>
          <w:tcPr>
            <w:tcW w:w="400" w:type="dxa"/>
            <w:vAlign w:val="bottom"/>
          </w:tcPr>
          <w:p>
            <w:pPr>
              <w:spacing w:after="0"/>
              <w:rPr>
                <w:sz w:val="17"/>
                <w:szCs w:val="17"/>
                <w:color w:val="auto"/>
              </w:rPr>
            </w:pPr>
          </w:p>
        </w:tc>
        <w:tc>
          <w:tcPr>
            <w:tcW w:w="14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(93,526 )</w:t>
            </w:r>
          </w:p>
        </w:tc>
        <w:tc>
          <w:tcPr>
            <w:tcW w:w="4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(4,851 )</w:t>
            </w:r>
          </w:p>
        </w:tc>
      </w:tr>
      <w:tr>
        <w:trPr>
          <w:trHeight w:val="221"/>
        </w:trPr>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268,818</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133,415</w:t>
            </w:r>
          </w:p>
        </w:tc>
      </w:tr>
      <w:tr>
        <w:trPr>
          <w:trHeight w:val="232"/>
        </w:trPr>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70,941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44,837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-545465</wp:posOffset>
            </wp:positionV>
            <wp:extent cx="713232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-288290</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-22225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-5080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6880" w:space="720"/>
            <w:col w:w="3640"/>
          </w:cols>
          <w:pgMar w:left="320" w:top="117" w:right="339" w:bottom="1440" w:gutter="0" w:footer="0" w:header="0"/>
          <w:type w:val="continuous"/>
        </w:sect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cash used in operating activities during the year ended December 31, 2024 consisted primarily of our net loss of $129.5 million and non-cash interest income on our marketable securities of $8.2 million, offset by non-cash charges of $23.0 million and net increase in operating assets and liabilities of $10.3 million. The net loss consisted primarily of $124.5 million in research and development expenses and $17.7 million in general and administrative expenses. The non-cash charges consisted primarily of stock-based compensation expense of $22.6 million, depreciation and amortization expenses of $0.4 million, and non-cash lease expense of less than $0.1 million, net of cash payments of $1.2 million. The net increase in operating assets and liabilities was primarily due to (i) an increase of $11.2 million in accrued and other current liabilities and (ii) an increase of $2.5 million in accounts payable, which is primarily resulted from timing of invoicing by vendors and related payments. The changes are mainly offset by (i) an increase of $3.0 million in other assets and long-term deposits and (ii) an increase of $0.4 million in prepaid expenses and other current assets.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cash used in operating activities during the year ended December 31, 2023 consisted primarily of our net loss of $96.7 million and non-cash interest income on our marketable securities of $5.5 million, offset by net non-cash charges of $17.8 million and a net increase of $0.6 million in operating assets and liabilities. The net loss consisted primarily of $86.1 million in research and development expenses and $18.8 million in general and administrative expenses. The non-cash charges consisted primarily of stock-based compensation of $17.3 million, depreciation and amortization expenses of $0.4 million, loss on disposal of equipment of $0.1 million, and non-cash lease expense of less than $0.1 million, net of cash payments of $ 1.2 million. The change in operating assets and liabilities was primarily due to (i) an increase of $2.9 million in other current liabilities, (ii) an increase of $2.3 million in accounts payable, whic primarily resulted from timing of invoicing by vendors and related payments, and (iii) a decrease of $0.7 million in prepaid expenses and other current assets. The changes are mainly offset by an increase of $5.3 million in other assets and long-term deposits.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year ended December 31, 2024 was predominantly due to purchases of marketable securities which were partially offset by maturities of marketable securities.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year ended December 31, 2023 was predominately due to the purchase of marketable securities which was partially offset by the maturities of marketable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during the year ended December 31, 2024 consists of $243.5 million in net proceeds from the 2024 Private Placement, $22.8 million in net proceeds from the sale of ATM Shares, $1.7 million from the exercise of stock options, and $0.9 million from the sale of our common stock under the ESPP.</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financing activities during the year ended December 31, 2023 consists of $129.7 million in net proceeds from the 2023 Private Placement, $2.7 million from the exercise of stock options, and $1.1 million from the sale of our common stock under the 2020 ESPP.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elsewhere in this Annual Report, we believe that the following accounting policies are those most critical to the judgments and estimates used in the preparation of our audited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purchase orders and open contracts, communicating with our personnel and service providers to identify services that have been performed on our behalf and estimating the level of service performed and the associated cost incurred for the services when we have not yet been invoiced or otherwise notified of the actual cost. The majority of our service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providers invoice us monthly in arrears for services performed or when contractual milestones are met; however, some require advance payments.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CMOs among others, in connection with research and development activities for which we have not yet been invoiced. We contract with CROs and CMOs to conduct clinical and manufacturing and other research and development services on our behalf. We base our expenses related to CROs and CMOs on our estimates of the services received and efforts expended pursuant to quotes and contracts with them. The financial terms of these agreements are subject to negotiation, vary from contract to contract and may result in uneven payment flows. There may be instances in which payments made to our CROs or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Non-refundable advance payments for goods and services that will be used in future research and development activities are expensed when the activity has been performed or when the goods have been received rather than when the payment is made.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there have been no material differences between our estimates of such expenses and the amounts actually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Because our annual revenue was less than $100.0 million in 2024 and the market value of our voting and non-voting common stock held by non-affiliates was less than $700.0 million measured on the last business day of our second fiscal quarter in 2024, we qualify as a “smaller reporting company” as defined in the Exchange Act. We took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Note 2 to our consolidated financial statements contained in this Annual Report for a description of recent accounting pronouncements applicable to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December 31, 2024 and 2023, we had cash, cash equivalents and marketable securities of $434.1 million and $ 261.8 million, respectively. We generally hold our cash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marketable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 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cash is held with a single financial institution. Due to its size, this financial institution represents a minimal credit risk.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Cash amounts held at financial institutions are insured by the Federal Deposit Insurance Corporation up to $250,000.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expenses are generally denominated in U.S. dollars. To date, we have not had any significant foreign currency transactions, and we do not have a formal hedging program with respect to foreign currency. A 10.0% increase or decrease in current exchange rates would not have a material effect on our financial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Inflation generally affects us by increasing our cost of labor and research and development costs. We do not believe that inflation has had a material effect on our results of operations during the periods presented.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Olema Pharmaceuticals,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Page</w:t>
            </w:r>
          </w:p>
        </w:tc>
      </w:tr>
      <w:tr>
        <w:trPr>
          <w:trHeight w:val="214"/>
        </w:trPr>
        <w:tc>
          <w:tcPr>
            <w:tcW w:w="9700" w:type="dxa"/>
            <w:vAlign w:val="bottom"/>
            <w:gridSpan w:val="7"/>
          </w:tcPr>
          <w:p>
            <w:pPr>
              <w:ind w:left="20"/>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42)</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50"/>
        </w:trPr>
        <w:tc>
          <w:tcPr>
            <w:tcW w:w="4680" w:type="dxa"/>
            <w:vAlign w:val="bottom"/>
            <w:tcBorders>
              <w:top w:val="single" w:sz="8" w:color="0000EE"/>
            </w:tcBorders>
            <w:gridSpan w:val="5"/>
          </w:tcPr>
          <w:p>
            <w:pPr>
              <w:ind w:left="20"/>
              <w:spacing w:after="0"/>
              <w:rPr>
                <w:sz w:val="20"/>
                <w:szCs w:val="20"/>
                <w:color w:val="auto"/>
              </w:rPr>
            </w:pPr>
            <w:r>
              <w:rPr>
                <w:rFonts w:ascii="Arial" w:cs="Arial" w:eastAsia="Arial" w:hAnsi="Arial"/>
                <w:sz w:val="18"/>
                <w:szCs w:val="18"/>
                <w:color w:val="0000FF"/>
              </w:rPr>
              <w:t>Consolidated Balance Sheets</w:t>
            </w:r>
          </w:p>
        </w:tc>
        <w:tc>
          <w:tcPr>
            <w:tcW w:w="5020" w:type="dxa"/>
            <w:vAlign w:val="bottom"/>
            <w:gridSpan w:val="2"/>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132</w:t>
            </w:r>
          </w:p>
        </w:tc>
      </w:tr>
      <w:tr>
        <w:trPr>
          <w:trHeight w:val="20"/>
        </w:trPr>
        <w:tc>
          <w:tcPr>
            <w:tcW w:w="24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526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9"/>
              </w:rPr>
              <w:t>Consolidated Statements of Operations and Comprehensive Loss</w:t>
            </w:r>
          </w:p>
        </w:tc>
        <w:tc>
          <w:tcPr>
            <w:tcW w:w="44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133</w:t>
            </w:r>
          </w:p>
        </w:tc>
      </w:tr>
      <w:tr>
        <w:trPr>
          <w:trHeight w:val="250"/>
        </w:trPr>
        <w:tc>
          <w:tcPr>
            <w:tcW w:w="392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9"/>
              </w:rPr>
              <w:t>Consolidated Statements of Stockholders’ Equity</w:t>
            </w:r>
          </w:p>
        </w:tc>
        <w:tc>
          <w:tcPr>
            <w:tcW w:w="5780" w:type="dxa"/>
            <w:vAlign w:val="bottom"/>
            <w:gridSpan w:val="3"/>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134</w:t>
            </w:r>
          </w:p>
        </w:tc>
      </w:tr>
      <w:tr>
        <w:trPr>
          <w:trHeight w:val="250"/>
        </w:trPr>
        <w:tc>
          <w:tcPr>
            <w:tcW w:w="9700" w:type="dxa"/>
            <w:vAlign w:val="bottom"/>
            <w:gridSpan w:val="7"/>
          </w:tcPr>
          <w:p>
            <w:pPr>
              <w:ind w:left="20"/>
              <w:spacing w:after="0"/>
              <w:rPr>
                <w:sz w:val="20"/>
                <w:szCs w:val="20"/>
                <w:color w:val="auto"/>
              </w:rPr>
            </w:pPr>
            <w:r>
              <w:rPr>
                <w:rFonts w:ascii="Arial" w:cs="Arial" w:eastAsia="Arial" w:hAnsi="Arial"/>
                <w:sz w:val="18"/>
                <w:szCs w:val="18"/>
                <w:color w:val="0000FF"/>
              </w:rPr>
              <w:t>Consolidated Statements of Cash Flows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135</w:t>
            </w:r>
          </w:p>
        </w:tc>
      </w:tr>
      <w:tr>
        <w:trPr>
          <w:trHeight w:val="20"/>
        </w:trPr>
        <w:tc>
          <w:tcPr>
            <w:tcW w:w="322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9700" w:type="dxa"/>
            <w:vAlign w:val="bottom"/>
            <w:gridSpan w:val="7"/>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136</w:t>
            </w:r>
          </w:p>
        </w:tc>
      </w:tr>
      <w:tr>
        <w:trPr>
          <w:trHeight w:val="902"/>
        </w:trPr>
        <w:tc>
          <w:tcPr>
            <w:tcW w:w="3520" w:type="dxa"/>
            <w:vAlign w:val="bottom"/>
            <w:tcBorders>
              <w:top w:val="single" w:sz="8" w:color="0000FF"/>
            </w:tcBorders>
            <w:gridSpan w:val="3"/>
          </w:tcPr>
          <w:p>
            <w:pPr>
              <w:spacing w:after="0"/>
              <w:rPr>
                <w:sz w:val="24"/>
                <w:szCs w:val="24"/>
                <w:color w:val="auto"/>
              </w:rPr>
            </w:pPr>
          </w:p>
        </w:tc>
        <w:tc>
          <w:tcPr>
            <w:tcW w:w="6180" w:type="dxa"/>
            <w:vAlign w:val="bottom"/>
            <w:gridSpan w:val="4"/>
          </w:tcPr>
          <w:p>
            <w:pPr>
              <w:jc w:val="right"/>
              <w:ind w:right="3920"/>
              <w:spacing w:after="0"/>
              <w:rPr>
                <w:sz w:val="20"/>
                <w:szCs w:val="20"/>
                <w:color w:val="auto"/>
              </w:rPr>
            </w:pPr>
            <w:r>
              <w:rPr>
                <w:rFonts w:ascii="Arial" w:cs="Arial" w:eastAsia="Arial" w:hAnsi="Arial"/>
                <w:sz w:val="18"/>
                <w:szCs w:val="18"/>
                <w:color w:val="auto"/>
              </w:rPr>
              <w:t>129</w:t>
            </w:r>
          </w:p>
        </w:tc>
        <w:tc>
          <w:tcPr>
            <w:tcW w:w="1540" w:type="dxa"/>
            <w:vAlign w:val="bottom"/>
          </w:tcPr>
          <w:p>
            <w:pPr>
              <w:spacing w:after="0"/>
              <w:rPr>
                <w:sz w:val="24"/>
                <w:szCs w:val="24"/>
                <w:color w:val="auto"/>
              </w:rPr>
            </w:pPr>
          </w:p>
        </w:tc>
      </w:tr>
      <w:tr>
        <w:trPr>
          <w:trHeight w:val="745"/>
        </w:trPr>
        <w:tc>
          <w:tcPr>
            <w:tcW w:w="2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Olema Pharmaceuticals,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Olema Pharmaceuticals, Inc. (the Company) as of December 31, 2024 and 2023,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81" w:lineRule="exact"/>
        <w:rPr>
          <w:sz w:val="20"/>
          <w:szCs w:val="20"/>
          <w:color w:val="auto"/>
        </w:rPr>
      </w:pPr>
    </w:p>
    <w:p>
      <w:pPr>
        <w:ind w:left="2460"/>
        <w:spacing w:after="0"/>
        <w:rPr>
          <w:sz w:val="20"/>
          <w:szCs w:val="20"/>
          <w:color w:val="auto"/>
        </w:rPr>
      </w:pPr>
      <w:r>
        <w:rPr>
          <w:rFonts w:ascii="Arial" w:cs="Arial" w:eastAsia="Arial" w:hAnsi="Arial"/>
          <w:sz w:val="18"/>
          <w:szCs w:val="18"/>
          <w:b w:val="1"/>
          <w:bCs w:val="1"/>
          <w:i w:val="1"/>
          <w:iCs w:val="1"/>
          <w:color w:val="auto"/>
        </w:rPr>
        <w:t>Clinical Trial Accrual</w:t>
      </w:r>
    </w:p>
    <w:p>
      <w:pPr>
        <w:spacing w:after="0" w:line="223" w:lineRule="exact"/>
        <w:rPr>
          <w:sz w:val="20"/>
          <w:szCs w:val="20"/>
          <w:color w:val="auto"/>
        </w:rPr>
      </w:pPr>
    </w:p>
    <w:p>
      <w:pPr>
        <w:jc w:val="both"/>
        <w:ind w:left="2460" w:right="100" w:hanging="2348"/>
        <w:spacing w:after="0" w:line="247" w:lineRule="auto"/>
        <w:tabs>
          <w:tab w:leader="none" w:pos="24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2 in the consolidated financial statements, the Company enters into contracts with contract research organizations (CROs) to conduct clinical services on their behalf. Judgments and estimates are required to determine the amounts accrued for estimated ongoing research and development costs. The Company analyzes the progress of the studies or clinical trials, including the phase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2460"/>
        <w:spacing w:after="0"/>
        <w:rPr>
          <w:sz w:val="20"/>
          <w:szCs w:val="20"/>
          <w:color w:val="auto"/>
        </w:rPr>
      </w:pPr>
      <w:r>
        <w:rPr>
          <w:rFonts w:ascii="Arial" w:cs="Arial" w:eastAsia="Arial" w:hAnsi="Arial"/>
          <w:sz w:val="18"/>
          <w:szCs w:val="18"/>
          <w:color w:val="auto"/>
        </w:rPr>
        <w:t>completion of activities, invoices received and contracted costs. Auditing the Company’s accrual for clinical trial costs is complex since the information necessary to estimate the accruals is accumulated from the CROs and the Company's assessment of that information is subject to variability and uncertainty. In addition, in certain circumstances, the determination of the nature and amounts of services that have been received during the reporting period requires judgment because the timing and pattern of vendor invoicing does not correspond to the level of services provided, and there may be delays in invoicing from clinical study sites and other vendors.</w:t>
      </w:r>
    </w:p>
    <w:p>
      <w:pPr>
        <w:spacing w:after="0" w:line="185" w:lineRule="exact"/>
        <w:rPr>
          <w:sz w:val="20"/>
          <w:szCs w:val="20"/>
          <w:color w:val="auto"/>
        </w:rPr>
      </w:pPr>
    </w:p>
    <w:p>
      <w:pPr>
        <w:ind w:left="100"/>
        <w:spacing w:after="0"/>
        <w:tabs>
          <w:tab w:leader="none" w:pos="24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8"/>
          <w:szCs w:val="18"/>
          <w:color w:val="auto"/>
        </w:rPr>
        <w:t>To test the clinical trial accrual, our audit procedures included, among others, reading a sample of the</w:t>
      </w:r>
    </w:p>
    <w:p>
      <w:pPr>
        <w:spacing w:after="0" w:line="14" w:lineRule="exact"/>
        <w:rPr>
          <w:sz w:val="20"/>
          <w:szCs w:val="20"/>
          <w:color w:val="auto"/>
        </w:rPr>
      </w:pPr>
    </w:p>
    <w:p>
      <w:pPr>
        <w:jc w:val="both"/>
        <w:ind w:left="2460" w:hanging="2348"/>
        <w:spacing w:after="0" w:line="236" w:lineRule="auto"/>
        <w:tabs>
          <w:tab w:leader="none" w:pos="24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contracts with the CROs to understand key financial and contractual terms and testing the accuracy and completeness of the underlying data used in the accrual computations. We also evaluated management’s estimates of the vendor’s progress for a sample of clinical trials by inquiring of the Company’s operations personnel overseeing the clinical trials and obtaining information directly from third party vendors regarding their estimate of costs that have been incurred through December 31, 2024. We analyzed the data underlying the accrual balance to evaluate the impact of reasonable changes in the data on the recorded amount of the clinical trial accrual.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18, 2025</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7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32"/>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68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CFF"/>
          </w:tcPr>
          <w:p>
            <w:pPr>
              <w:spacing w:after="0"/>
              <w:rPr>
                <w:sz w:val="17"/>
                <w:szCs w:val="17"/>
                <w:color w:val="auto"/>
              </w:rPr>
            </w:pPr>
          </w:p>
        </w:tc>
        <w:tc>
          <w:tcPr>
            <w:tcW w:w="154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460" w:type="dxa"/>
            <w:vAlign w:val="bottom"/>
            <w:shd w:val="clear" w:color="auto" w:fill="CCECFF"/>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680" w:type="dxa"/>
            <w:vAlign w:val="bottom"/>
            <w:shd w:val="clear" w:color="auto" w:fill="CCECFF"/>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C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CECFF"/>
          </w:tcPr>
          <w:p>
            <w:pPr>
              <w:jc w:val="right"/>
              <w:ind w:right="112"/>
              <w:spacing w:after="0" w:line="202" w:lineRule="exact"/>
              <w:rPr>
                <w:sz w:val="20"/>
                <w:szCs w:val="20"/>
                <w:color w:val="auto"/>
              </w:rPr>
            </w:pPr>
            <w:r>
              <w:rPr>
                <w:rFonts w:ascii="Arial" w:cs="Arial" w:eastAsia="Arial" w:hAnsi="Arial"/>
                <w:sz w:val="18"/>
                <w:szCs w:val="18"/>
                <w:color w:val="auto"/>
              </w:rPr>
              <w:t>139,480</w:t>
            </w:r>
          </w:p>
        </w:tc>
        <w:tc>
          <w:tcPr>
            <w:tcW w:w="340" w:type="dxa"/>
            <w:vAlign w:val="bottom"/>
            <w:shd w:val="clear" w:color="auto" w:fill="CCEC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CFF"/>
          </w:tcPr>
          <w:p>
            <w:pPr>
              <w:jc w:val="right"/>
              <w:ind w:right="32"/>
              <w:spacing w:after="0" w:line="202" w:lineRule="exact"/>
              <w:rPr>
                <w:sz w:val="20"/>
                <w:szCs w:val="20"/>
                <w:color w:val="auto"/>
              </w:rPr>
            </w:pPr>
            <w:r>
              <w:rPr>
                <w:rFonts w:ascii="Arial" w:cs="Arial" w:eastAsia="Arial" w:hAnsi="Arial"/>
                <w:sz w:val="18"/>
                <w:szCs w:val="18"/>
                <w:color w:val="auto"/>
              </w:rPr>
              <w:t>68,539</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7"/>
                <w:szCs w:val="17"/>
                <w:color w:val="auto"/>
              </w:rPr>
            </w:pPr>
          </w:p>
        </w:tc>
        <w:tc>
          <w:tcPr>
            <w:tcW w:w="1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294,606</w:t>
            </w:r>
          </w:p>
        </w:tc>
        <w:tc>
          <w:tcPr>
            <w:tcW w:w="340" w:type="dxa"/>
            <w:vAlign w:val="bottom"/>
          </w:tcPr>
          <w:p>
            <w:pPr>
              <w:spacing w:after="0"/>
              <w:rPr>
                <w:sz w:val="17"/>
                <w:szCs w:val="17"/>
                <w:color w:val="auto"/>
              </w:rPr>
            </w:pPr>
          </w:p>
        </w:tc>
        <w:tc>
          <w:tcPr>
            <w:tcW w:w="1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193,268</w:t>
            </w:r>
          </w:p>
        </w:tc>
      </w:tr>
      <w:tr>
        <w:trPr>
          <w:trHeight w:val="202"/>
        </w:trPr>
        <w:tc>
          <w:tcPr>
            <w:tcW w:w="7680" w:type="dxa"/>
            <w:vAlign w:val="bottom"/>
            <w:tcBorders>
              <w:bottom w:val="single" w:sz="8" w:color="CCECFF"/>
            </w:tcBorders>
            <w:shd w:val="clear" w:color="auto" w:fill="CCECFF"/>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231F20"/>
            </w:tcBorders>
            <w:shd w:val="clear" w:color="auto" w:fill="CCECFF"/>
          </w:tcPr>
          <w:p>
            <w:pPr>
              <w:spacing w:after="0"/>
              <w:rPr>
                <w:sz w:val="17"/>
                <w:szCs w:val="17"/>
                <w:color w:val="auto"/>
              </w:rPr>
            </w:pPr>
          </w:p>
        </w:tc>
        <w:tc>
          <w:tcPr>
            <w:tcW w:w="1540" w:type="dxa"/>
            <w:vAlign w:val="bottom"/>
            <w:tcBorders>
              <w:bottom w:val="single" w:sz="8" w:color="231F20"/>
            </w:tcBorders>
            <w:shd w:val="clear" w:color="auto" w:fill="CCECFF"/>
          </w:tcPr>
          <w:p>
            <w:pPr>
              <w:jc w:val="right"/>
              <w:ind w:right="112"/>
              <w:spacing w:after="0" w:line="202" w:lineRule="exact"/>
              <w:rPr>
                <w:sz w:val="20"/>
                <w:szCs w:val="20"/>
                <w:color w:val="auto"/>
              </w:rPr>
            </w:pPr>
            <w:r>
              <w:rPr>
                <w:rFonts w:ascii="Arial" w:cs="Arial" w:eastAsia="Arial" w:hAnsi="Arial"/>
                <w:sz w:val="18"/>
                <w:szCs w:val="18"/>
                <w:color w:val="auto"/>
              </w:rPr>
              <w:t>4,387</w:t>
            </w:r>
          </w:p>
        </w:tc>
        <w:tc>
          <w:tcPr>
            <w:tcW w:w="340" w:type="dxa"/>
            <w:vAlign w:val="bottom"/>
            <w:tcBorders>
              <w:bottom w:val="single" w:sz="8" w:color="231F20"/>
            </w:tcBorders>
            <w:shd w:val="clear" w:color="auto" w:fill="CCECFF"/>
          </w:tcPr>
          <w:p>
            <w:pPr>
              <w:spacing w:after="0"/>
              <w:rPr>
                <w:sz w:val="17"/>
                <w:szCs w:val="17"/>
                <w:color w:val="auto"/>
              </w:rPr>
            </w:pPr>
          </w:p>
        </w:tc>
        <w:tc>
          <w:tcPr>
            <w:tcW w:w="1460" w:type="dxa"/>
            <w:vAlign w:val="bottom"/>
            <w:tcBorders>
              <w:bottom w:val="single" w:sz="8" w:color="231F20"/>
            </w:tcBorders>
            <w:shd w:val="clear" w:color="auto" w:fill="CCECFF"/>
          </w:tcPr>
          <w:p>
            <w:pPr>
              <w:jc w:val="right"/>
              <w:ind w:right="32"/>
              <w:spacing w:after="0" w:line="202" w:lineRule="exact"/>
              <w:rPr>
                <w:sz w:val="20"/>
                <w:szCs w:val="20"/>
                <w:color w:val="auto"/>
              </w:rPr>
            </w:pPr>
            <w:r>
              <w:rPr>
                <w:rFonts w:ascii="Arial" w:cs="Arial" w:eastAsia="Arial" w:hAnsi="Arial"/>
                <w:sz w:val="18"/>
                <w:szCs w:val="18"/>
                <w:color w:val="auto"/>
              </w:rPr>
              <w:t>4,706</w:t>
            </w: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7"/>
                <w:szCs w:val="17"/>
                <w:color w:val="auto"/>
              </w:rPr>
            </w:pPr>
          </w:p>
        </w:tc>
        <w:tc>
          <w:tcPr>
            <w:tcW w:w="154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438,473</w:t>
            </w:r>
          </w:p>
        </w:tc>
        <w:tc>
          <w:tcPr>
            <w:tcW w:w="340" w:type="dxa"/>
            <w:vAlign w:val="bottom"/>
          </w:tcPr>
          <w:p>
            <w:pPr>
              <w:spacing w:after="0"/>
              <w:rPr>
                <w:sz w:val="17"/>
                <w:szCs w:val="17"/>
                <w:color w:val="auto"/>
              </w:rPr>
            </w:pPr>
          </w:p>
        </w:tc>
        <w:tc>
          <w:tcPr>
            <w:tcW w:w="14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266,513</w:t>
            </w:r>
          </w:p>
        </w:tc>
      </w:tr>
      <w:tr>
        <w:trPr>
          <w:trHeight w:val="203"/>
        </w:trPr>
        <w:tc>
          <w:tcPr>
            <w:tcW w:w="768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CFF"/>
          </w:tcPr>
          <w:p>
            <w:pPr>
              <w:spacing w:after="0"/>
              <w:rPr>
                <w:sz w:val="17"/>
                <w:szCs w:val="17"/>
                <w:color w:val="auto"/>
              </w:rPr>
            </w:pPr>
          </w:p>
        </w:tc>
        <w:tc>
          <w:tcPr>
            <w:tcW w:w="1540" w:type="dxa"/>
            <w:vAlign w:val="bottom"/>
            <w:shd w:val="clear" w:color="auto" w:fill="CCECFF"/>
          </w:tcPr>
          <w:p>
            <w:pPr>
              <w:jc w:val="right"/>
              <w:ind w:right="112"/>
              <w:spacing w:after="0" w:line="202" w:lineRule="exact"/>
              <w:rPr>
                <w:sz w:val="20"/>
                <w:szCs w:val="20"/>
                <w:color w:val="auto"/>
              </w:rPr>
            </w:pPr>
            <w:r>
              <w:rPr>
                <w:rFonts w:ascii="Arial" w:cs="Arial" w:eastAsia="Arial" w:hAnsi="Arial"/>
                <w:sz w:val="18"/>
                <w:szCs w:val="18"/>
                <w:color w:val="auto"/>
              </w:rPr>
              <w:t>1,314</w:t>
            </w:r>
          </w:p>
        </w:tc>
        <w:tc>
          <w:tcPr>
            <w:tcW w:w="340" w:type="dxa"/>
            <w:vAlign w:val="bottom"/>
            <w:shd w:val="clear" w:color="auto" w:fill="CCECFF"/>
          </w:tcPr>
          <w:p>
            <w:pPr>
              <w:spacing w:after="0"/>
              <w:rPr>
                <w:sz w:val="17"/>
                <w:szCs w:val="17"/>
                <w:color w:val="auto"/>
              </w:rPr>
            </w:pPr>
          </w:p>
        </w:tc>
        <w:tc>
          <w:tcPr>
            <w:tcW w:w="1460" w:type="dxa"/>
            <w:vAlign w:val="bottom"/>
            <w:shd w:val="clear" w:color="auto" w:fill="CCECFF"/>
          </w:tcPr>
          <w:p>
            <w:pPr>
              <w:jc w:val="right"/>
              <w:ind w:right="32"/>
              <w:spacing w:after="0" w:line="202" w:lineRule="exact"/>
              <w:rPr>
                <w:sz w:val="20"/>
                <w:szCs w:val="20"/>
                <w:color w:val="auto"/>
              </w:rPr>
            </w:pPr>
            <w:r>
              <w:rPr>
                <w:rFonts w:ascii="Arial" w:cs="Arial" w:eastAsia="Arial" w:hAnsi="Arial"/>
                <w:sz w:val="18"/>
                <w:szCs w:val="18"/>
                <w:color w:val="auto"/>
              </w:rPr>
              <w:t>2,291</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assets and long-term deposits</w:t>
            </w:r>
          </w:p>
        </w:tc>
        <w:tc>
          <w:tcPr>
            <w:tcW w:w="220" w:type="dxa"/>
            <w:vAlign w:val="bottom"/>
            <w:tcBorders>
              <w:bottom w:val="single" w:sz="8" w:color="231F20"/>
            </w:tcBorders>
          </w:tcPr>
          <w:p>
            <w:pPr>
              <w:spacing w:after="0"/>
              <w:rPr>
                <w:sz w:val="17"/>
                <w:szCs w:val="17"/>
                <w:color w:val="auto"/>
              </w:rPr>
            </w:pPr>
          </w:p>
        </w:tc>
        <w:tc>
          <w:tcPr>
            <w:tcW w:w="1540" w:type="dxa"/>
            <w:vAlign w:val="bottom"/>
            <w:tcBorders>
              <w:bottom w:val="single" w:sz="8" w:color="231F20"/>
            </w:tcBorders>
          </w:tcPr>
          <w:p>
            <w:pPr>
              <w:jc w:val="right"/>
              <w:ind w:right="112"/>
              <w:spacing w:after="0" w:line="202" w:lineRule="exact"/>
              <w:rPr>
                <w:sz w:val="20"/>
                <w:szCs w:val="20"/>
                <w:color w:val="auto"/>
              </w:rPr>
            </w:pPr>
            <w:r>
              <w:rPr>
                <w:rFonts w:ascii="Arial" w:cs="Arial" w:eastAsia="Arial" w:hAnsi="Arial"/>
                <w:sz w:val="18"/>
                <w:szCs w:val="18"/>
                <w:color w:val="auto"/>
              </w:rPr>
              <w:t>11,192</w:t>
            </w:r>
          </w:p>
        </w:tc>
        <w:tc>
          <w:tcPr>
            <w:tcW w:w="340" w:type="dxa"/>
            <w:vAlign w:val="bottom"/>
            <w:tcBorders>
              <w:bottom w:val="single" w:sz="8" w:color="231F20"/>
            </w:tcBorders>
          </w:tcPr>
          <w:p>
            <w:pPr>
              <w:spacing w:after="0"/>
              <w:rPr>
                <w:sz w:val="17"/>
                <w:szCs w:val="17"/>
                <w:color w:val="auto"/>
              </w:rPr>
            </w:pPr>
          </w:p>
        </w:tc>
        <w:tc>
          <w:tcPr>
            <w:tcW w:w="1460" w:type="dxa"/>
            <w:vAlign w:val="bottom"/>
            <w:tcBorders>
              <w:bottom w:val="single" w:sz="8" w:color="231F20"/>
            </w:tcBorders>
          </w:tcPr>
          <w:p>
            <w:pPr>
              <w:jc w:val="right"/>
              <w:ind w:right="32"/>
              <w:spacing w:after="0" w:line="202" w:lineRule="exact"/>
              <w:rPr>
                <w:sz w:val="20"/>
                <w:szCs w:val="20"/>
                <w:color w:val="auto"/>
              </w:rPr>
            </w:pPr>
            <w:r>
              <w:rPr>
                <w:rFonts w:ascii="Arial" w:cs="Arial" w:eastAsia="Arial" w:hAnsi="Arial"/>
                <w:sz w:val="18"/>
                <w:szCs w:val="18"/>
                <w:color w:val="auto"/>
              </w:rPr>
              <w:t>8,141</w:t>
            </w:r>
          </w:p>
        </w:tc>
      </w:tr>
      <w:tr>
        <w:trPr>
          <w:trHeight w:val="236"/>
        </w:trPr>
        <w:tc>
          <w:tcPr>
            <w:tcW w:w="7680" w:type="dxa"/>
            <w:vAlign w:val="bottom"/>
            <w:tcBorders>
              <w:bottom w:val="single" w:sz="8" w:color="CCECFF"/>
            </w:tcBorders>
            <w:shd w:val="clear" w:color="auto" w:fill="CCECFF"/>
          </w:tcPr>
          <w:p>
            <w:pPr>
              <w:ind w:left="520"/>
              <w:spacing w:after="0" w:line="182"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C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CFF"/>
          </w:tcPr>
          <w:p>
            <w:pPr>
              <w:jc w:val="right"/>
              <w:ind w:right="112"/>
              <w:spacing w:after="0" w:line="182" w:lineRule="exact"/>
              <w:rPr>
                <w:sz w:val="20"/>
                <w:szCs w:val="20"/>
                <w:color w:val="auto"/>
              </w:rPr>
            </w:pPr>
            <w:r>
              <w:rPr>
                <w:rFonts w:ascii="Arial" w:cs="Arial" w:eastAsia="Arial" w:hAnsi="Arial"/>
                <w:sz w:val="18"/>
                <w:szCs w:val="18"/>
                <w:color w:val="auto"/>
              </w:rPr>
              <w:t>450,979</w:t>
            </w:r>
          </w:p>
        </w:tc>
        <w:tc>
          <w:tcPr>
            <w:tcW w:w="340" w:type="dxa"/>
            <w:vAlign w:val="bottom"/>
            <w:tcBorders>
              <w:bottom w:val="single" w:sz="8" w:color="auto"/>
            </w:tcBorders>
            <w:shd w:val="clear" w:color="auto" w:fill="CCEC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CFF"/>
          </w:tcPr>
          <w:p>
            <w:pPr>
              <w:jc w:val="right"/>
              <w:ind w:right="32"/>
              <w:spacing w:after="0" w:line="182" w:lineRule="exact"/>
              <w:rPr>
                <w:sz w:val="20"/>
                <w:szCs w:val="20"/>
                <w:color w:val="auto"/>
              </w:rPr>
            </w:pPr>
            <w:r>
              <w:rPr>
                <w:rFonts w:ascii="Arial" w:cs="Arial" w:eastAsia="Arial" w:hAnsi="Arial"/>
                <w:sz w:val="18"/>
                <w:szCs w:val="18"/>
                <w:color w:val="auto"/>
              </w:rPr>
              <w:t>276,945</w:t>
            </w:r>
          </w:p>
        </w:tc>
      </w:tr>
      <w:tr>
        <w:trPr>
          <w:trHeight w:val="183"/>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3"/>
        </w:trPr>
        <w:tc>
          <w:tcPr>
            <w:tcW w:w="768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CFF"/>
          </w:tcPr>
          <w:p>
            <w:pPr>
              <w:spacing w:after="0"/>
              <w:rPr>
                <w:sz w:val="17"/>
                <w:szCs w:val="17"/>
                <w:color w:val="auto"/>
              </w:rPr>
            </w:pPr>
          </w:p>
        </w:tc>
        <w:tc>
          <w:tcPr>
            <w:tcW w:w="154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460" w:type="dxa"/>
            <w:vAlign w:val="bottom"/>
            <w:shd w:val="clear" w:color="auto" w:fill="CCECFF"/>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680" w:type="dxa"/>
            <w:vAlign w:val="bottom"/>
            <w:shd w:val="clear" w:color="auto" w:fill="CCECFF"/>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C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CECFF"/>
          </w:tcPr>
          <w:p>
            <w:pPr>
              <w:jc w:val="right"/>
              <w:ind w:right="112"/>
              <w:spacing w:after="0" w:line="202" w:lineRule="exact"/>
              <w:rPr>
                <w:sz w:val="20"/>
                <w:szCs w:val="20"/>
                <w:color w:val="auto"/>
              </w:rPr>
            </w:pPr>
            <w:r>
              <w:rPr>
                <w:rFonts w:ascii="Arial" w:cs="Arial" w:eastAsia="Arial" w:hAnsi="Arial"/>
                <w:sz w:val="18"/>
                <w:szCs w:val="18"/>
                <w:color w:val="auto"/>
              </w:rPr>
              <w:t>4,460</w:t>
            </w:r>
          </w:p>
        </w:tc>
        <w:tc>
          <w:tcPr>
            <w:tcW w:w="340" w:type="dxa"/>
            <w:vAlign w:val="bottom"/>
            <w:shd w:val="clear" w:color="auto" w:fill="CCEC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CFF"/>
          </w:tcPr>
          <w:p>
            <w:pPr>
              <w:jc w:val="right"/>
              <w:ind w:right="32"/>
              <w:spacing w:after="0" w:line="202" w:lineRule="exact"/>
              <w:rPr>
                <w:sz w:val="20"/>
                <w:szCs w:val="20"/>
                <w:color w:val="auto"/>
              </w:rPr>
            </w:pPr>
            <w:r>
              <w:rPr>
                <w:rFonts w:ascii="Arial" w:cs="Arial" w:eastAsia="Arial" w:hAnsi="Arial"/>
                <w:sz w:val="18"/>
                <w:szCs w:val="18"/>
                <w:color w:val="auto"/>
              </w:rPr>
              <w:t>2,698</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Operating lease liabilities, current</w:t>
            </w:r>
          </w:p>
        </w:tc>
        <w:tc>
          <w:tcPr>
            <w:tcW w:w="220" w:type="dxa"/>
            <w:vAlign w:val="bottom"/>
          </w:tcPr>
          <w:p>
            <w:pPr>
              <w:spacing w:after="0"/>
              <w:rPr>
                <w:sz w:val="17"/>
                <w:szCs w:val="17"/>
                <w:color w:val="auto"/>
              </w:rPr>
            </w:pPr>
          </w:p>
        </w:tc>
        <w:tc>
          <w:tcPr>
            <w:tcW w:w="1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1,172</w:t>
            </w:r>
          </w:p>
        </w:tc>
        <w:tc>
          <w:tcPr>
            <w:tcW w:w="340" w:type="dxa"/>
            <w:vAlign w:val="bottom"/>
          </w:tcPr>
          <w:p>
            <w:pPr>
              <w:spacing w:after="0"/>
              <w:rPr>
                <w:sz w:val="17"/>
                <w:szCs w:val="17"/>
                <w:color w:val="auto"/>
              </w:rPr>
            </w:pPr>
          </w:p>
        </w:tc>
        <w:tc>
          <w:tcPr>
            <w:tcW w:w="1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988</w:t>
            </w:r>
          </w:p>
        </w:tc>
      </w:tr>
      <w:tr>
        <w:trPr>
          <w:trHeight w:val="203"/>
        </w:trPr>
        <w:tc>
          <w:tcPr>
            <w:tcW w:w="7680" w:type="dxa"/>
            <w:vAlign w:val="bottom"/>
            <w:tcBorders>
              <w:bottom w:val="single" w:sz="8" w:color="CCECFF"/>
            </w:tcBorders>
            <w:shd w:val="clear" w:color="auto" w:fill="CCECFF"/>
          </w:tcPr>
          <w:p>
            <w:pPr>
              <w:ind w:left="280"/>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CFF"/>
          </w:tcPr>
          <w:p>
            <w:pPr>
              <w:spacing w:after="0"/>
              <w:rPr>
                <w:sz w:val="17"/>
                <w:szCs w:val="17"/>
                <w:color w:val="auto"/>
              </w:rPr>
            </w:pPr>
          </w:p>
        </w:tc>
        <w:tc>
          <w:tcPr>
            <w:tcW w:w="1540" w:type="dxa"/>
            <w:vAlign w:val="bottom"/>
            <w:tcBorders>
              <w:bottom w:val="single" w:sz="8" w:color="auto"/>
            </w:tcBorders>
            <w:shd w:val="clear" w:color="auto" w:fill="CCECFF"/>
          </w:tcPr>
          <w:p>
            <w:pPr>
              <w:jc w:val="right"/>
              <w:ind w:right="112"/>
              <w:spacing w:after="0" w:line="202" w:lineRule="exact"/>
              <w:rPr>
                <w:sz w:val="20"/>
                <w:szCs w:val="20"/>
                <w:color w:val="auto"/>
              </w:rPr>
            </w:pPr>
            <w:r>
              <w:rPr>
                <w:rFonts w:ascii="Arial" w:cs="Arial" w:eastAsia="Arial" w:hAnsi="Arial"/>
                <w:sz w:val="18"/>
                <w:szCs w:val="18"/>
                <w:color w:val="auto"/>
              </w:rPr>
              <w:t>36,126</w:t>
            </w:r>
          </w:p>
        </w:tc>
        <w:tc>
          <w:tcPr>
            <w:tcW w:w="340" w:type="dxa"/>
            <w:vAlign w:val="bottom"/>
            <w:tcBorders>
              <w:bottom w:val="single" w:sz="8" w:color="auto"/>
            </w:tcBorders>
            <w:shd w:val="clear" w:color="auto" w:fill="CCECFF"/>
          </w:tcPr>
          <w:p>
            <w:pPr>
              <w:spacing w:after="0"/>
              <w:rPr>
                <w:sz w:val="17"/>
                <w:szCs w:val="17"/>
                <w:color w:val="auto"/>
              </w:rPr>
            </w:pPr>
          </w:p>
        </w:tc>
        <w:tc>
          <w:tcPr>
            <w:tcW w:w="1460" w:type="dxa"/>
            <w:vAlign w:val="bottom"/>
            <w:tcBorders>
              <w:bottom w:val="single" w:sz="8" w:color="auto"/>
            </w:tcBorders>
            <w:shd w:val="clear" w:color="auto" w:fill="CCECFF"/>
          </w:tcPr>
          <w:p>
            <w:pPr>
              <w:jc w:val="right"/>
              <w:ind w:right="32"/>
              <w:spacing w:after="0" w:line="202" w:lineRule="exact"/>
              <w:rPr>
                <w:sz w:val="20"/>
                <w:szCs w:val="20"/>
                <w:color w:val="auto"/>
              </w:rPr>
            </w:pPr>
            <w:r>
              <w:rPr>
                <w:rFonts w:ascii="Arial" w:cs="Arial" w:eastAsia="Arial" w:hAnsi="Arial"/>
                <w:sz w:val="18"/>
                <w:szCs w:val="18"/>
                <w:color w:val="auto"/>
              </w:rPr>
              <w:t>17,935</w:t>
            </w: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7"/>
                <w:szCs w:val="17"/>
                <w:color w:val="auto"/>
              </w:rPr>
            </w:pPr>
          </w:p>
        </w:tc>
        <w:tc>
          <w:tcPr>
            <w:tcW w:w="154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41,758</w:t>
            </w:r>
          </w:p>
        </w:tc>
        <w:tc>
          <w:tcPr>
            <w:tcW w:w="340" w:type="dxa"/>
            <w:vAlign w:val="bottom"/>
          </w:tcPr>
          <w:p>
            <w:pPr>
              <w:spacing w:after="0"/>
              <w:rPr>
                <w:sz w:val="17"/>
                <w:szCs w:val="17"/>
                <w:color w:val="auto"/>
              </w:rPr>
            </w:pPr>
          </w:p>
        </w:tc>
        <w:tc>
          <w:tcPr>
            <w:tcW w:w="14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21,621</w:t>
            </w:r>
          </w:p>
        </w:tc>
      </w:tr>
      <w:tr>
        <w:trPr>
          <w:trHeight w:val="203"/>
        </w:trPr>
        <w:tc>
          <w:tcPr>
            <w:tcW w:w="7680" w:type="dxa"/>
            <w:vAlign w:val="bottom"/>
            <w:tcBorders>
              <w:bottom w:val="single" w:sz="8" w:color="CCECFF"/>
            </w:tcBorders>
            <w:shd w:val="clear" w:color="auto" w:fill="CCECFF"/>
          </w:tcPr>
          <w:p>
            <w:pPr>
              <w:ind w:left="5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Borders>
              <w:bottom w:val="single" w:sz="8" w:color="auto"/>
            </w:tcBorders>
            <w:shd w:val="clear" w:color="auto" w:fill="CCECFF"/>
          </w:tcPr>
          <w:p>
            <w:pPr>
              <w:spacing w:after="0"/>
              <w:rPr>
                <w:sz w:val="17"/>
                <w:szCs w:val="17"/>
                <w:color w:val="auto"/>
              </w:rPr>
            </w:pPr>
          </w:p>
        </w:tc>
        <w:tc>
          <w:tcPr>
            <w:tcW w:w="1540" w:type="dxa"/>
            <w:vAlign w:val="bottom"/>
            <w:tcBorders>
              <w:bottom w:val="single" w:sz="8" w:color="auto"/>
            </w:tcBorders>
            <w:shd w:val="clear" w:color="auto" w:fill="CCECFF"/>
          </w:tcPr>
          <w:p>
            <w:pPr>
              <w:jc w:val="right"/>
              <w:ind w:right="112"/>
              <w:spacing w:after="0" w:line="202" w:lineRule="exact"/>
              <w:rPr>
                <w:sz w:val="20"/>
                <w:szCs w:val="20"/>
                <w:color w:val="auto"/>
              </w:rPr>
            </w:pPr>
            <w:r>
              <w:rPr>
                <w:rFonts w:ascii="Arial" w:cs="Arial" w:eastAsia="Arial" w:hAnsi="Arial"/>
                <w:sz w:val="18"/>
                <w:szCs w:val="18"/>
                <w:color w:val="auto"/>
              </w:rPr>
              <w:t>257</w:t>
            </w:r>
          </w:p>
        </w:tc>
        <w:tc>
          <w:tcPr>
            <w:tcW w:w="340" w:type="dxa"/>
            <w:vAlign w:val="bottom"/>
            <w:tcBorders>
              <w:bottom w:val="single" w:sz="8" w:color="auto"/>
            </w:tcBorders>
            <w:shd w:val="clear" w:color="auto" w:fill="CCECFF"/>
          </w:tcPr>
          <w:p>
            <w:pPr>
              <w:spacing w:after="0"/>
              <w:rPr>
                <w:sz w:val="17"/>
                <w:szCs w:val="17"/>
                <w:color w:val="auto"/>
              </w:rPr>
            </w:pPr>
          </w:p>
        </w:tc>
        <w:tc>
          <w:tcPr>
            <w:tcW w:w="1460" w:type="dxa"/>
            <w:vAlign w:val="bottom"/>
            <w:tcBorders>
              <w:bottom w:val="single" w:sz="8" w:color="auto"/>
            </w:tcBorders>
            <w:shd w:val="clear" w:color="auto" w:fill="CCECFF"/>
          </w:tcPr>
          <w:p>
            <w:pPr>
              <w:jc w:val="right"/>
              <w:ind w:right="32"/>
              <w:spacing w:after="0" w:line="202" w:lineRule="exact"/>
              <w:rPr>
                <w:sz w:val="20"/>
                <w:szCs w:val="20"/>
                <w:color w:val="auto"/>
              </w:rPr>
            </w:pPr>
            <w:r>
              <w:rPr>
                <w:rFonts w:ascii="Arial" w:cs="Arial" w:eastAsia="Arial" w:hAnsi="Arial"/>
                <w:sz w:val="18"/>
                <w:szCs w:val="18"/>
                <w:color w:val="auto"/>
              </w:rPr>
              <w:t>1,429</w:t>
            </w: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42,015</w:t>
            </w: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23,050</w:t>
            </w:r>
          </w:p>
        </w:tc>
      </w:tr>
      <w:tr>
        <w:trPr>
          <w:trHeight w:val="196"/>
        </w:trPr>
        <w:tc>
          <w:tcPr>
            <w:tcW w:w="768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CECFF"/>
          </w:tcPr>
          <w:p>
            <w:pPr>
              <w:spacing w:after="0"/>
              <w:rPr>
                <w:sz w:val="17"/>
                <w:szCs w:val="17"/>
                <w:color w:val="auto"/>
              </w:rPr>
            </w:pPr>
          </w:p>
        </w:tc>
        <w:tc>
          <w:tcPr>
            <w:tcW w:w="154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460" w:type="dxa"/>
            <w:vAlign w:val="bottom"/>
            <w:shd w:val="clear" w:color="auto" w:fill="CCECFF"/>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4"/>
        </w:trPr>
        <w:tc>
          <w:tcPr>
            <w:tcW w:w="7680" w:type="dxa"/>
            <w:vAlign w:val="bottom"/>
            <w:shd w:val="clear" w:color="auto" w:fill="CCECFF"/>
          </w:tcPr>
          <w:p>
            <w:pPr>
              <w:ind w:left="20"/>
              <w:spacing w:after="0" w:line="183" w:lineRule="exact"/>
              <w:rPr>
                <w:sz w:val="20"/>
                <w:szCs w:val="20"/>
                <w:color w:val="auto"/>
              </w:rPr>
            </w:pPr>
            <w:r>
              <w:rPr>
                <w:rFonts w:ascii="Arial" w:cs="Arial" w:eastAsia="Arial" w:hAnsi="Arial"/>
                <w:sz w:val="18"/>
                <w:szCs w:val="18"/>
                <w:color w:val="auto"/>
              </w:rPr>
              <w:t>Preferred stock, $0.0001 par value; 10,000,000 shares authorized as of December 31, 2024</w:t>
            </w:r>
          </w:p>
        </w:tc>
        <w:tc>
          <w:tcPr>
            <w:tcW w:w="220" w:type="dxa"/>
            <w:vAlign w:val="bottom"/>
            <w:shd w:val="clear" w:color="auto" w:fill="CCECFF"/>
          </w:tcPr>
          <w:p>
            <w:pPr>
              <w:spacing w:after="0"/>
              <w:rPr>
                <w:sz w:val="15"/>
                <w:szCs w:val="15"/>
                <w:color w:val="auto"/>
              </w:rPr>
            </w:pPr>
          </w:p>
        </w:tc>
        <w:tc>
          <w:tcPr>
            <w:tcW w:w="15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r>
      <w:tr>
        <w:trPr>
          <w:trHeight w:val="203"/>
        </w:trPr>
        <w:tc>
          <w:tcPr>
            <w:tcW w:w="768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and December 31, 2023; no shares issued and outstanding as of December 31, 2024 and</w:t>
            </w:r>
          </w:p>
        </w:tc>
        <w:tc>
          <w:tcPr>
            <w:tcW w:w="220" w:type="dxa"/>
            <w:vAlign w:val="bottom"/>
            <w:shd w:val="clear" w:color="auto" w:fill="CCECFF"/>
          </w:tcPr>
          <w:p>
            <w:pPr>
              <w:spacing w:after="0"/>
              <w:rPr>
                <w:sz w:val="17"/>
                <w:szCs w:val="17"/>
                <w:color w:val="auto"/>
              </w:rPr>
            </w:pPr>
          </w:p>
        </w:tc>
        <w:tc>
          <w:tcPr>
            <w:tcW w:w="154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460" w:type="dxa"/>
            <w:vAlign w:val="bottom"/>
            <w:shd w:val="clear" w:color="auto" w:fill="CCECFF"/>
          </w:tcPr>
          <w:p>
            <w:pPr>
              <w:spacing w:after="0"/>
              <w:rPr>
                <w:sz w:val="17"/>
                <w:szCs w:val="17"/>
                <w:color w:val="auto"/>
              </w:rPr>
            </w:pPr>
          </w:p>
        </w:tc>
      </w:tr>
      <w:tr>
        <w:trPr>
          <w:trHeight w:val="221"/>
        </w:trPr>
        <w:tc>
          <w:tcPr>
            <w:tcW w:w="768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December 31, 2023.</w:t>
            </w:r>
          </w:p>
        </w:tc>
        <w:tc>
          <w:tcPr>
            <w:tcW w:w="220" w:type="dxa"/>
            <w:vAlign w:val="bottom"/>
            <w:shd w:val="clear" w:color="auto" w:fill="CCECFF"/>
          </w:tcPr>
          <w:p>
            <w:pPr>
              <w:spacing w:after="0"/>
              <w:rPr>
                <w:sz w:val="19"/>
                <w:szCs w:val="19"/>
                <w:color w:val="auto"/>
              </w:rPr>
            </w:pPr>
          </w:p>
        </w:tc>
        <w:tc>
          <w:tcPr>
            <w:tcW w:w="1540" w:type="dxa"/>
            <w:vAlign w:val="bottom"/>
            <w:shd w:val="clear" w:color="auto" w:fill="CCECFF"/>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19"/>
                <w:szCs w:val="19"/>
                <w:color w:val="auto"/>
              </w:rPr>
            </w:pPr>
          </w:p>
        </w:tc>
        <w:tc>
          <w:tcPr>
            <w:tcW w:w="1460" w:type="dxa"/>
            <w:vAlign w:val="bottom"/>
            <w:shd w:val="clear" w:color="auto" w:fill="CCECFF"/>
          </w:tcPr>
          <w:p>
            <w:pPr>
              <w:jc w:val="right"/>
              <w:ind w:right="32"/>
              <w:spacing w:after="0"/>
              <w:rPr>
                <w:sz w:val="20"/>
                <w:szCs w:val="20"/>
                <w:color w:val="auto"/>
              </w:rPr>
            </w:pPr>
            <w:r>
              <w:rPr>
                <w:rFonts w:ascii="Arial" w:cs="Arial" w:eastAsia="Arial" w:hAnsi="Arial"/>
                <w:sz w:val="18"/>
                <w:szCs w:val="18"/>
                <w:color w:val="auto"/>
              </w:rPr>
              <w:t>—</w:t>
            </w:r>
          </w:p>
        </w:tc>
      </w:tr>
      <w:tr>
        <w:trPr>
          <w:trHeight w:val="184"/>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Common stock, $0.0001 par value; 490,000,000 shares authorized as of December 31, 2024</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and December 31, 2023; 74,312,608 and 55,097,118 shares issued as of December 31,</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2024 and December 31, 2023, respectively; 74,312,608 and 54,992,784 shares outstanding</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8"/>
                <w:szCs w:val="18"/>
                <w:color w:val="auto"/>
              </w:rPr>
              <w:t>as of December 31, 2024 and December 31, 2023, respectively.</w:t>
            </w:r>
          </w:p>
        </w:tc>
        <w:tc>
          <w:tcPr>
            <w:tcW w:w="220" w:type="dxa"/>
            <w:vAlign w:val="bottom"/>
          </w:tcPr>
          <w:p>
            <w:pPr>
              <w:spacing w:after="0"/>
              <w:rPr>
                <w:sz w:val="19"/>
                <w:szCs w:val="19"/>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03"/>
        </w:trPr>
        <w:tc>
          <w:tcPr>
            <w:tcW w:w="768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CFF"/>
          </w:tcPr>
          <w:p>
            <w:pPr>
              <w:spacing w:after="0"/>
              <w:rPr>
                <w:sz w:val="17"/>
                <w:szCs w:val="17"/>
                <w:color w:val="auto"/>
              </w:rPr>
            </w:pPr>
          </w:p>
        </w:tc>
        <w:tc>
          <w:tcPr>
            <w:tcW w:w="1540" w:type="dxa"/>
            <w:vAlign w:val="bottom"/>
            <w:shd w:val="clear" w:color="auto" w:fill="CCECFF"/>
          </w:tcPr>
          <w:p>
            <w:pPr>
              <w:jc w:val="right"/>
              <w:ind w:right="112"/>
              <w:spacing w:after="0" w:line="202" w:lineRule="exact"/>
              <w:rPr>
                <w:sz w:val="20"/>
                <w:szCs w:val="20"/>
                <w:color w:val="auto"/>
              </w:rPr>
            </w:pPr>
            <w:r>
              <w:rPr>
                <w:rFonts w:ascii="Arial" w:cs="Arial" w:eastAsia="Arial" w:hAnsi="Arial"/>
                <w:sz w:val="18"/>
                <w:szCs w:val="18"/>
                <w:color w:val="auto"/>
              </w:rPr>
              <w:t>843,921</w:t>
            </w:r>
          </w:p>
        </w:tc>
        <w:tc>
          <w:tcPr>
            <w:tcW w:w="340" w:type="dxa"/>
            <w:vAlign w:val="bottom"/>
            <w:shd w:val="clear" w:color="auto" w:fill="CCECFF"/>
          </w:tcPr>
          <w:p>
            <w:pPr>
              <w:spacing w:after="0"/>
              <w:rPr>
                <w:sz w:val="17"/>
                <w:szCs w:val="17"/>
                <w:color w:val="auto"/>
              </w:rPr>
            </w:pPr>
          </w:p>
        </w:tc>
        <w:tc>
          <w:tcPr>
            <w:tcW w:w="1460" w:type="dxa"/>
            <w:vAlign w:val="bottom"/>
            <w:shd w:val="clear" w:color="auto" w:fill="CCECFF"/>
          </w:tcPr>
          <w:p>
            <w:pPr>
              <w:jc w:val="right"/>
              <w:ind w:right="32"/>
              <w:spacing w:after="0" w:line="202" w:lineRule="exact"/>
              <w:rPr>
                <w:sz w:val="20"/>
                <w:szCs w:val="20"/>
                <w:color w:val="auto"/>
              </w:rPr>
            </w:pPr>
            <w:r>
              <w:rPr>
                <w:rFonts w:ascii="Arial" w:cs="Arial" w:eastAsia="Arial" w:hAnsi="Arial"/>
                <w:sz w:val="18"/>
                <w:szCs w:val="18"/>
                <w:color w:val="auto"/>
              </w:rPr>
              <w:t>559,176</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7"/>
                <w:szCs w:val="17"/>
                <w:color w:val="auto"/>
              </w:rPr>
            </w:pPr>
          </w:p>
        </w:tc>
        <w:tc>
          <w:tcPr>
            <w:tcW w:w="1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143</w:t>
            </w:r>
          </w:p>
        </w:tc>
        <w:tc>
          <w:tcPr>
            <w:tcW w:w="340" w:type="dxa"/>
            <w:vAlign w:val="bottom"/>
          </w:tcPr>
          <w:p>
            <w:pPr>
              <w:spacing w:after="0"/>
              <w:rPr>
                <w:sz w:val="17"/>
                <w:szCs w:val="17"/>
                <w:color w:val="auto"/>
              </w:rPr>
            </w:pPr>
          </w:p>
        </w:tc>
        <w:tc>
          <w:tcPr>
            <w:tcW w:w="1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347</w:t>
            </w:r>
          </w:p>
        </w:tc>
      </w:tr>
      <w:tr>
        <w:trPr>
          <w:trHeight w:val="203"/>
        </w:trPr>
        <w:tc>
          <w:tcPr>
            <w:tcW w:w="7680" w:type="dxa"/>
            <w:vAlign w:val="bottom"/>
            <w:tcBorders>
              <w:bottom w:val="single" w:sz="8" w:color="CCECFF"/>
            </w:tcBorders>
            <w:shd w:val="clear" w:color="auto" w:fill="CCECFF"/>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CFF"/>
          </w:tcPr>
          <w:p>
            <w:pPr>
              <w:spacing w:after="0"/>
              <w:rPr>
                <w:sz w:val="17"/>
                <w:szCs w:val="17"/>
                <w:color w:val="auto"/>
              </w:rPr>
            </w:pPr>
          </w:p>
        </w:tc>
        <w:tc>
          <w:tcPr>
            <w:tcW w:w="1540" w:type="dxa"/>
            <w:vAlign w:val="bottom"/>
            <w:tcBorders>
              <w:bottom w:val="single" w:sz="8" w:color="auto"/>
            </w:tcBorders>
            <w:shd w:val="clear" w:color="auto" w:fill="CCECFF"/>
          </w:tcPr>
          <w:p>
            <w:pPr>
              <w:jc w:val="right"/>
              <w:ind w:right="32"/>
              <w:spacing w:after="0" w:line="202" w:lineRule="exact"/>
              <w:rPr>
                <w:sz w:val="20"/>
                <w:szCs w:val="20"/>
                <w:color w:val="auto"/>
              </w:rPr>
            </w:pPr>
            <w:r>
              <w:rPr>
                <w:rFonts w:ascii="Arial" w:cs="Arial" w:eastAsia="Arial" w:hAnsi="Arial"/>
                <w:sz w:val="18"/>
                <w:szCs w:val="18"/>
                <w:color w:val="auto"/>
              </w:rPr>
              <w:t>(435,106 )</w:t>
            </w:r>
          </w:p>
        </w:tc>
        <w:tc>
          <w:tcPr>
            <w:tcW w:w="340" w:type="dxa"/>
            <w:vAlign w:val="bottom"/>
            <w:tcBorders>
              <w:bottom w:val="single" w:sz="8" w:color="auto"/>
            </w:tcBorders>
            <w:shd w:val="clear" w:color="auto" w:fill="CCECFF"/>
          </w:tcPr>
          <w:p>
            <w:pPr>
              <w:spacing w:after="0"/>
              <w:rPr>
                <w:sz w:val="17"/>
                <w:szCs w:val="17"/>
                <w:color w:val="auto"/>
              </w:rPr>
            </w:pPr>
          </w:p>
        </w:tc>
        <w:tc>
          <w:tcPr>
            <w:tcW w:w="14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(305,632 )</w:t>
            </w: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408,964</w:t>
            </w: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253,895</w:t>
            </w:r>
          </w:p>
        </w:tc>
      </w:tr>
      <w:tr>
        <w:trPr>
          <w:trHeight w:val="236"/>
        </w:trPr>
        <w:tc>
          <w:tcPr>
            <w:tcW w:w="7680" w:type="dxa"/>
            <w:vAlign w:val="bottom"/>
            <w:tcBorders>
              <w:bottom w:val="single" w:sz="8" w:color="auto"/>
            </w:tcBorders>
            <w:shd w:val="clear" w:color="auto" w:fill="CCECFF"/>
          </w:tcPr>
          <w:p>
            <w:pPr>
              <w:ind w:left="5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C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CFF"/>
          </w:tcPr>
          <w:p>
            <w:pPr>
              <w:jc w:val="right"/>
              <w:ind w:right="112"/>
              <w:spacing w:after="0" w:line="196" w:lineRule="exact"/>
              <w:rPr>
                <w:sz w:val="20"/>
                <w:szCs w:val="20"/>
                <w:color w:val="auto"/>
              </w:rPr>
            </w:pPr>
            <w:r>
              <w:rPr>
                <w:rFonts w:ascii="Arial" w:cs="Arial" w:eastAsia="Arial" w:hAnsi="Arial"/>
                <w:sz w:val="18"/>
                <w:szCs w:val="18"/>
                <w:color w:val="auto"/>
              </w:rPr>
              <w:t>450,979</w:t>
            </w:r>
          </w:p>
        </w:tc>
        <w:tc>
          <w:tcPr>
            <w:tcW w:w="340" w:type="dxa"/>
            <w:vAlign w:val="bottom"/>
            <w:tcBorders>
              <w:bottom w:val="single" w:sz="8" w:color="auto"/>
            </w:tcBorders>
            <w:shd w:val="clear" w:color="auto" w:fill="CCEC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CFF"/>
          </w:tcPr>
          <w:p>
            <w:pPr>
              <w:jc w:val="right"/>
              <w:ind w:right="32"/>
              <w:spacing w:after="0" w:line="196" w:lineRule="exact"/>
              <w:rPr>
                <w:sz w:val="20"/>
                <w:szCs w:val="20"/>
                <w:color w:val="auto"/>
              </w:rPr>
            </w:pPr>
            <w:r>
              <w:rPr>
                <w:rFonts w:ascii="Arial" w:cs="Arial" w:eastAsia="Arial" w:hAnsi="Arial"/>
                <w:sz w:val="18"/>
                <w:szCs w:val="18"/>
                <w:color w:val="auto"/>
              </w:rPr>
              <w:t>276,945</w:t>
            </w:r>
          </w:p>
        </w:tc>
      </w:tr>
    </w:tbl>
    <w:p>
      <w:pPr>
        <w:spacing w:after="0" w:line="226"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8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3280" w:type="dxa"/>
            <w:vAlign w:val="bottom"/>
            <w:tcBorders>
              <w:top w:val="single" w:sz="8" w:color="auto"/>
              <w:bottom w:val="single" w:sz="8" w:color="auto"/>
            </w:tcBorders>
            <w:gridSpan w:val="3"/>
          </w:tcPr>
          <w:p>
            <w:pPr>
              <w:jc w:val="right"/>
              <w:ind w:right="912"/>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94"/>
              <w:spacing w:after="0" w:line="155" w:lineRule="exact"/>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3"/>
        </w:trPr>
        <w:tc>
          <w:tcPr>
            <w:tcW w:w="7480" w:type="dxa"/>
            <w:vAlign w:val="bottom"/>
          </w:tcPr>
          <w:p>
            <w:pPr>
              <w:ind w:left="320"/>
              <w:spacing w:after="0" w:line="202" w:lineRule="exact"/>
              <w:rPr>
                <w:sz w:val="20"/>
                <w:szCs w:val="20"/>
                <w:color w:val="auto"/>
              </w:rPr>
            </w:pPr>
            <w:r>
              <w:rPr>
                <w:rFonts w:ascii="Arial" w:cs="Arial" w:eastAsia="Arial" w:hAnsi="Arial"/>
                <w:sz w:val="18"/>
                <w:szCs w:val="18"/>
                <w:color w:val="auto"/>
              </w:rPr>
              <w:t>Research and development</w:t>
            </w:r>
          </w:p>
        </w:tc>
        <w:tc>
          <w:tcPr>
            <w:tcW w:w="4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124,517</w:t>
            </w:r>
          </w:p>
        </w:tc>
        <w:tc>
          <w:tcPr>
            <w:tcW w:w="5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86,140</w:t>
            </w:r>
          </w:p>
        </w:tc>
      </w:tr>
      <w:tr>
        <w:trPr>
          <w:trHeight w:val="203"/>
        </w:trPr>
        <w:tc>
          <w:tcPr>
            <w:tcW w:w="7480" w:type="dxa"/>
            <w:vAlign w:val="bottom"/>
            <w:tcBorders>
              <w:bottom w:val="single" w:sz="8" w:color="CFF0FC"/>
            </w:tcBorders>
            <w:shd w:val="clear" w:color="auto" w:fill="CFF0FC"/>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34"/>
              <w:spacing w:after="0" w:line="202" w:lineRule="exact"/>
              <w:rPr>
                <w:sz w:val="20"/>
                <w:szCs w:val="20"/>
                <w:color w:val="auto"/>
              </w:rPr>
            </w:pPr>
            <w:r>
              <w:rPr>
                <w:rFonts w:ascii="Arial" w:cs="Arial" w:eastAsia="Arial" w:hAnsi="Arial"/>
                <w:sz w:val="18"/>
                <w:szCs w:val="18"/>
                <w:color w:val="auto"/>
              </w:rPr>
              <w:t>17,741</w:t>
            </w:r>
          </w:p>
        </w:tc>
        <w:tc>
          <w:tcPr>
            <w:tcW w:w="5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18,821</w:t>
            </w:r>
          </w:p>
        </w:tc>
      </w:tr>
      <w:tr>
        <w:trPr>
          <w:trHeight w:val="196"/>
        </w:trPr>
        <w:tc>
          <w:tcPr>
            <w:tcW w:w="7480" w:type="dxa"/>
            <w:vAlign w:val="bottom"/>
          </w:tcPr>
          <w:p>
            <w:pPr>
              <w:ind w:left="40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142,258</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104,961</w:t>
            </w: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(142,258 )</w:t>
            </w: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(104,961 )</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34"/>
              <w:spacing w:after="0" w:line="202" w:lineRule="exact"/>
              <w:rPr>
                <w:sz w:val="20"/>
                <w:szCs w:val="20"/>
                <w:color w:val="auto"/>
              </w:rPr>
            </w:pPr>
            <w:r>
              <w:rPr>
                <w:rFonts w:ascii="Arial" w:cs="Arial" w:eastAsia="Arial" w:hAnsi="Arial"/>
                <w:sz w:val="18"/>
                <w:szCs w:val="18"/>
                <w:color w:val="auto"/>
              </w:rPr>
              <w:t>12,682</w:t>
            </w: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8,325</w:t>
            </w:r>
          </w:p>
        </w:tc>
      </w:tr>
      <w:tr>
        <w:trPr>
          <w:trHeight w:val="203"/>
        </w:trPr>
        <w:tc>
          <w:tcPr>
            <w:tcW w:w="7480" w:type="dxa"/>
            <w:vAlign w:val="bottom"/>
          </w:tcPr>
          <w:p>
            <w:pPr>
              <w:ind w:left="28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102</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196"/>
        </w:trPr>
        <w:tc>
          <w:tcPr>
            <w:tcW w:w="74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other income</w:t>
            </w:r>
          </w:p>
        </w:tc>
        <w:tc>
          <w:tcPr>
            <w:tcW w:w="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34"/>
              <w:spacing w:after="0" w:line="196" w:lineRule="exact"/>
              <w:rPr>
                <w:sz w:val="20"/>
                <w:szCs w:val="20"/>
                <w:color w:val="auto"/>
              </w:rPr>
            </w:pPr>
            <w:r>
              <w:rPr>
                <w:rFonts w:ascii="Arial" w:cs="Arial" w:eastAsia="Arial" w:hAnsi="Arial"/>
                <w:sz w:val="18"/>
                <w:szCs w:val="18"/>
                <w:color w:val="auto"/>
              </w:rPr>
              <w:t>12,784</w:t>
            </w:r>
          </w:p>
        </w:tc>
        <w:tc>
          <w:tcPr>
            <w:tcW w:w="5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8,306</w:t>
            </w:r>
          </w:p>
        </w:tc>
      </w:tr>
      <w:tr>
        <w:trPr>
          <w:trHeight w:val="196"/>
        </w:trPr>
        <w:tc>
          <w:tcPr>
            <w:tcW w:w="7480" w:type="dxa"/>
            <w:vAlign w:val="bottom"/>
          </w:tcPr>
          <w:p>
            <w:pPr>
              <w:ind w:left="400"/>
              <w:spacing w:after="0" w:line="182" w:lineRule="exact"/>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gridSpan w:val="2"/>
          </w:tcPr>
          <w:p>
            <w:pPr>
              <w:jc w:val="right"/>
              <w:ind w:right="340"/>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rPr>
              <w:t>(129,474 )</w:t>
            </w:r>
          </w:p>
        </w:tc>
        <w:tc>
          <w:tcPr>
            <w:tcW w:w="500" w:type="dxa"/>
            <w:vAlign w:val="bottom"/>
            <w:tcBorders>
              <w:bottom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(96,655 )</w:t>
            </w: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74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480" w:type="dxa"/>
            <w:vAlign w:val="bottom"/>
            <w:tcBorders>
              <w:bottom w:val="single" w:sz="8" w:color="auto"/>
            </w:tcBorders>
            <w:gridSpan w:val="2"/>
            <w:shd w:val="clear" w:color="auto" w:fill="CFF0FC"/>
          </w:tcPr>
          <w:p>
            <w:pPr>
              <w:jc w:val="right"/>
              <w:ind w:right="340"/>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rPr>
              <w:t>(2.20 )</w:t>
            </w:r>
          </w:p>
        </w:tc>
        <w:tc>
          <w:tcPr>
            <w:tcW w:w="500" w:type="dxa"/>
            <w:vAlign w:val="bottom"/>
            <w:tcBorders>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(2.14 )</w:t>
            </w:r>
          </w:p>
        </w:tc>
      </w:tr>
      <w:tr>
        <w:trPr>
          <w:trHeight w:val="183"/>
        </w:trPr>
        <w:tc>
          <w:tcPr>
            <w:tcW w:w="74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8"/>
                <w:szCs w:val="18"/>
                <w:color w:val="auto"/>
              </w:rPr>
              <w:t>Weighted average shares used to compute net loss per share, basic and diluted</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4"/>
              <w:spacing w:after="0" w:line="183" w:lineRule="exact"/>
              <w:rPr>
                <w:sz w:val="20"/>
                <w:szCs w:val="20"/>
                <w:color w:val="auto"/>
              </w:rPr>
            </w:pPr>
            <w:r>
              <w:rPr>
                <w:rFonts w:ascii="Arial" w:cs="Arial" w:eastAsia="Arial" w:hAnsi="Arial"/>
                <w:sz w:val="18"/>
                <w:szCs w:val="18"/>
                <w:color w:val="auto"/>
              </w:rPr>
              <w:t>58,743,522</w:t>
            </w: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45,247,098</w:t>
            </w: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gridSpan w:val="3"/>
          </w:tcPr>
          <w:p>
            <w:pPr>
              <w:spacing w:after="0" w:line="20" w:lineRule="exact"/>
              <w:rPr>
                <w:sz w:val="1"/>
                <w:szCs w:val="1"/>
                <w:color w:val="auto"/>
              </w:rPr>
            </w:pPr>
          </w:p>
        </w:tc>
      </w:tr>
      <w:tr>
        <w:trPr>
          <w:trHeight w:val="224"/>
        </w:trPr>
        <w:tc>
          <w:tcPr>
            <w:tcW w:w="7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3"/>
          </w:tcPr>
          <w:p>
            <w:pPr>
              <w:spacing w:after="0"/>
              <w:rPr>
                <w:sz w:val="19"/>
                <w:szCs w:val="19"/>
                <w:color w:val="auto"/>
              </w:rPr>
            </w:pPr>
          </w:p>
        </w:tc>
      </w:tr>
      <w:tr>
        <w:trPr>
          <w:trHeight w:val="155"/>
        </w:trPr>
        <w:tc>
          <w:tcPr>
            <w:tcW w:w="7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3"/>
          </w:tcPr>
          <w:p>
            <w:pPr>
              <w:jc w:val="right"/>
              <w:ind w:right="872"/>
              <w:spacing w:after="0" w:line="155" w:lineRule="exact"/>
              <w:rPr>
                <w:sz w:val="20"/>
                <w:szCs w:val="20"/>
                <w:color w:val="auto"/>
              </w:rPr>
            </w:pPr>
            <w:r>
              <w:rPr>
                <w:rFonts w:ascii="Arial" w:cs="Arial" w:eastAsia="Arial" w:hAnsi="Arial"/>
                <w:sz w:val="14"/>
                <w:szCs w:val="14"/>
                <w:b w:val="1"/>
                <w:bCs w:val="1"/>
                <w:color w:val="auto"/>
              </w:rPr>
              <w:t>Years Ended December 31,</w:t>
            </w:r>
          </w:p>
        </w:tc>
      </w:tr>
      <w:tr>
        <w:trPr>
          <w:trHeight w:val="155"/>
        </w:trPr>
        <w:tc>
          <w:tcPr>
            <w:tcW w:w="7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(129,474 )</w:t>
            </w:r>
          </w:p>
        </w:tc>
        <w:tc>
          <w:tcPr>
            <w:tcW w:w="5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(96,655 )</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4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Net unrealized (loss) gain on marketable securities</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(204 )</w:t>
            </w:r>
          </w:p>
        </w:tc>
        <w:tc>
          <w:tcPr>
            <w:tcW w:w="5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2,160</w:t>
            </w:r>
          </w:p>
        </w:tc>
      </w:tr>
      <w:tr>
        <w:trPr>
          <w:trHeight w:val="196"/>
        </w:trPr>
        <w:tc>
          <w:tcPr>
            <w:tcW w:w="74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48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(129,678 )</w:t>
            </w:r>
          </w:p>
        </w:tc>
        <w:tc>
          <w:tcPr>
            <w:tcW w:w="5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(94,495 )</w:t>
            </w: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99"/>
              </w:rPr>
              <w:t>Accu</w:t>
            </w:r>
          </w:p>
        </w:tc>
        <w:tc>
          <w:tcPr>
            <w:tcW w:w="3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mulat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rPr>
              <w:t>Additiona</w:t>
            </w:r>
          </w:p>
        </w:tc>
        <w:tc>
          <w:tcPr>
            <w:tcW w:w="480" w:type="dxa"/>
            <w:vAlign w:val="bottom"/>
          </w:tcPr>
          <w:p>
            <w:pPr>
              <w:spacing w:after="0"/>
              <w:rPr>
                <w:sz w:val="17"/>
                <w:szCs w:val="17"/>
                <w:color w:val="auto"/>
              </w:rPr>
            </w:pPr>
          </w:p>
        </w:tc>
        <w:tc>
          <w:tcPr>
            <w:tcW w:w="540" w:type="dxa"/>
            <w:vAlign w:val="bottom"/>
          </w:tcPr>
          <w:p>
            <w:pPr>
              <w:jc w:val="center"/>
              <w:ind w:right="168"/>
              <w:spacing w:after="0"/>
              <w:rPr>
                <w:sz w:val="20"/>
                <w:szCs w:val="20"/>
                <w:color w:val="auto"/>
              </w:rPr>
            </w:pPr>
            <w:r>
              <w:rPr>
                <w:rFonts w:ascii="Arial" w:cs="Arial" w:eastAsia="Arial" w:hAnsi="Arial"/>
                <w:sz w:val="14"/>
                <w:szCs w:val="14"/>
                <w:b w:val="1"/>
                <w:bCs w:val="1"/>
                <w:color w:val="auto"/>
              </w:rPr>
              <w:t>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center"/>
              <w:ind w:right="168"/>
              <w:spacing w:after="0"/>
              <w:rPr>
                <w:sz w:val="20"/>
                <w:szCs w:val="20"/>
                <w:color w:val="auto"/>
              </w:rPr>
            </w:pPr>
            <w:r>
              <w:rPr>
                <w:rFonts w:ascii="Arial" w:cs="Arial" w:eastAsia="Arial" w:hAnsi="Arial"/>
                <w:sz w:val="14"/>
                <w:szCs w:val="14"/>
                <w:b w:val="1"/>
                <w:bCs w:val="1"/>
                <w:color w:val="auto"/>
              </w:rPr>
              <w:t>l</w:t>
            </w:r>
          </w:p>
        </w:tc>
        <w:tc>
          <w:tcPr>
            <w:tcW w:w="10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center"/>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Comp</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64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9"/>
              </w:rPr>
              <w:t>rehen</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64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center"/>
              <w:ind w:right="168"/>
              <w:spacing w:after="0" w:line="158" w:lineRule="exact"/>
              <w:rPr>
                <w:sz w:val="20"/>
                <w:szCs w:val="20"/>
                <w:color w:val="auto"/>
              </w:rPr>
            </w:pPr>
            <w:r>
              <w:rPr>
                <w:rFonts w:ascii="Arial" w:cs="Arial" w:eastAsia="Arial" w:hAnsi="Arial"/>
                <w:sz w:val="14"/>
                <w:szCs w:val="14"/>
                <w:b w:val="1"/>
                <w:bCs w:val="1"/>
                <w:color w:val="auto"/>
              </w:rPr>
              <w:t>Paid-in</w:t>
            </w:r>
          </w:p>
        </w:tc>
        <w:tc>
          <w:tcPr>
            <w:tcW w:w="480" w:type="dxa"/>
            <w:vAlign w:val="bottom"/>
          </w:tcPr>
          <w:p>
            <w:pPr>
              <w:spacing w:after="0"/>
              <w:rPr>
                <w:sz w:val="13"/>
                <w:szCs w:val="13"/>
                <w:color w:val="auto"/>
              </w:rPr>
            </w:pPr>
          </w:p>
        </w:tc>
        <w:tc>
          <w:tcPr>
            <w:tcW w:w="540" w:type="dxa"/>
            <w:vAlign w:val="bottom"/>
          </w:tcPr>
          <w:p>
            <w:pPr>
              <w:jc w:val="center"/>
              <w:ind w:right="188"/>
              <w:spacing w:after="0" w:line="158" w:lineRule="exact"/>
              <w:rPr>
                <w:sz w:val="20"/>
                <w:szCs w:val="20"/>
                <w:color w:val="auto"/>
              </w:rPr>
            </w:pPr>
            <w:r>
              <w:rPr>
                <w:rFonts w:ascii="Arial" w:cs="Arial" w:eastAsia="Arial" w:hAnsi="Arial"/>
                <w:sz w:val="14"/>
                <w:szCs w:val="14"/>
                <w:b w:val="1"/>
                <w:bCs w:val="1"/>
                <w:color w:val="auto"/>
              </w:rPr>
              <w:t>sive</w:t>
            </w:r>
          </w:p>
        </w:tc>
        <w:tc>
          <w:tcPr>
            <w:tcW w:w="320" w:type="dxa"/>
            <w:vAlign w:val="bottom"/>
          </w:tcPr>
          <w:p>
            <w:pPr>
              <w:spacing w:after="0"/>
              <w:rPr>
                <w:sz w:val="13"/>
                <w:szCs w:val="13"/>
                <w:color w:val="auto"/>
              </w:rPr>
            </w:pPr>
          </w:p>
        </w:tc>
        <w:tc>
          <w:tcPr>
            <w:tcW w:w="1180" w:type="dxa"/>
            <w:vAlign w:val="bottom"/>
            <w:gridSpan w:val="2"/>
          </w:tcPr>
          <w:p>
            <w:pPr>
              <w:jc w:val="right"/>
              <w:ind w:right="128"/>
              <w:spacing w:after="0" w:line="158" w:lineRule="exact"/>
              <w:rPr>
                <w:sz w:val="20"/>
                <w:szCs w:val="20"/>
                <w:color w:val="auto"/>
              </w:rPr>
            </w:pPr>
            <w:r>
              <w:rPr>
                <w:rFonts w:ascii="Arial" w:cs="Arial" w:eastAsia="Arial" w:hAnsi="Arial"/>
                <w:sz w:val="14"/>
                <w:szCs w:val="14"/>
                <w:b w:val="1"/>
                <w:bCs w:val="1"/>
                <w:color w:val="auto"/>
              </w:rPr>
              <w:t>Accumulated</w:t>
            </w:r>
          </w:p>
        </w:tc>
        <w:tc>
          <w:tcPr>
            <w:tcW w:w="144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center"/>
              <w:ind w:left="128"/>
              <w:spacing w:after="0" w:line="147" w:lineRule="exact"/>
              <w:rPr>
                <w:sz w:val="20"/>
                <w:szCs w:val="20"/>
                <w:color w:val="auto"/>
              </w:rPr>
            </w:pPr>
            <w:r>
              <w:rPr>
                <w:rFonts w:ascii="Arial" w:cs="Arial" w:eastAsia="Arial" w:hAnsi="Arial"/>
                <w:sz w:val="14"/>
                <w:szCs w:val="14"/>
                <w:b w:val="1"/>
                <w:bCs w:val="1"/>
                <w:color w:val="auto"/>
                <w:w w:val="99"/>
              </w:rPr>
              <w:t>(Loss)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1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Capital</w:t>
            </w:r>
          </w:p>
        </w:tc>
        <w:tc>
          <w:tcPr>
            <w:tcW w:w="102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b w:val="1"/>
                <w:bCs w:val="1"/>
                <w:color w:val="auto"/>
              </w:rPr>
              <w:t>Gain</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8"/>
              </w:rPr>
              <w:t>Deficit</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6"/>
        </w:trPr>
        <w:tc>
          <w:tcPr>
            <w:tcW w:w="404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Balances at December 31, 2022</w:t>
            </w:r>
          </w:p>
        </w:tc>
        <w:tc>
          <w:tcPr>
            <w:tcW w:w="840" w:type="dxa"/>
            <w:vAlign w:val="bottom"/>
            <w:shd w:val="clear" w:color="auto" w:fill="CFF0FC"/>
          </w:tcPr>
          <w:p>
            <w:pPr>
              <w:jc w:val="right"/>
              <w:ind w:right="88"/>
              <w:spacing w:after="0" w:line="147" w:lineRule="exact"/>
              <w:rPr>
                <w:sz w:val="20"/>
                <w:szCs w:val="20"/>
                <w:color w:val="auto"/>
              </w:rPr>
            </w:pPr>
            <w:r>
              <w:rPr>
                <w:rFonts w:ascii="Arial" w:cs="Arial" w:eastAsia="Arial" w:hAnsi="Arial"/>
                <w:sz w:val="14"/>
                <w:szCs w:val="14"/>
                <w:color w:val="auto"/>
              </w:rPr>
              <w:t>40,287</w:t>
            </w:r>
          </w:p>
        </w:tc>
        <w:tc>
          <w:tcPr>
            <w:tcW w:w="8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68"/>
              <w:spacing w:after="0" w:line="147" w:lineRule="exact"/>
              <w:rPr>
                <w:sz w:val="20"/>
                <w:szCs w:val="20"/>
                <w:color w:val="auto"/>
              </w:rPr>
            </w:pPr>
            <w:r>
              <w:rPr>
                <w:rFonts w:ascii="Arial" w:cs="Arial" w:eastAsia="Arial" w:hAnsi="Arial"/>
                <w:sz w:val="14"/>
                <w:szCs w:val="14"/>
                <w:color w:val="auto"/>
              </w:rPr>
              <w:t>408,33</w:t>
            </w:r>
          </w:p>
        </w:tc>
        <w:tc>
          <w:tcPr>
            <w:tcW w:w="48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88"/>
              <w:spacing w:after="0" w:line="147" w:lineRule="exact"/>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108"/>
              <w:spacing w:after="0" w:line="147" w:lineRule="exact"/>
              <w:rPr>
                <w:sz w:val="20"/>
                <w:szCs w:val="20"/>
                <w:color w:val="auto"/>
              </w:rPr>
            </w:pPr>
            <w:r>
              <w:rPr>
                <w:rFonts w:ascii="Arial" w:cs="Arial" w:eastAsia="Arial" w:hAnsi="Arial"/>
                <w:sz w:val="14"/>
                <w:szCs w:val="14"/>
                <w:color w:val="auto"/>
              </w:rPr>
              <w:t>(208,9</w:t>
            </w:r>
          </w:p>
        </w:tc>
        <w:tc>
          <w:tcPr>
            <w:tcW w:w="5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,097</w:t>
            </w:r>
          </w:p>
        </w:tc>
        <w:tc>
          <w:tcPr>
            <w:tcW w:w="80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813 )</w:t>
            </w:r>
          </w:p>
        </w:tc>
        <w:tc>
          <w:tcPr>
            <w:tcW w:w="3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77 )</w:t>
            </w:r>
          </w:p>
        </w:tc>
        <w:tc>
          <w:tcPr>
            <w:tcW w:w="5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197,546</w:t>
            </w:r>
          </w:p>
        </w:tc>
        <w:tc>
          <w:tcPr>
            <w:tcW w:w="0" w:type="dxa"/>
            <w:vAlign w:val="bottom"/>
          </w:tcPr>
          <w:p>
            <w:pPr>
              <w:spacing w:after="0"/>
              <w:rPr>
                <w:sz w:val="1"/>
                <w:szCs w:val="1"/>
                <w:color w:val="auto"/>
              </w:rPr>
            </w:pPr>
          </w:p>
        </w:tc>
      </w:tr>
      <w:tr>
        <w:trPr>
          <w:trHeight w:val="146"/>
        </w:trPr>
        <w:tc>
          <w:tcPr>
            <w:tcW w:w="4040" w:type="dxa"/>
            <w:vAlign w:val="bottom"/>
          </w:tcPr>
          <w:p>
            <w:pPr>
              <w:ind w:left="20"/>
              <w:spacing w:after="0" w:line="147" w:lineRule="exact"/>
              <w:rPr>
                <w:sz w:val="20"/>
                <w:szCs w:val="20"/>
                <w:color w:val="auto"/>
              </w:rPr>
            </w:pPr>
            <w:r>
              <w:rPr>
                <w:rFonts w:ascii="Arial" w:cs="Arial" w:eastAsia="Arial" w:hAnsi="Arial"/>
                <w:sz w:val="14"/>
                <w:szCs w:val="14"/>
                <w:color w:val="auto"/>
              </w:rPr>
              <w:t>Issuance of shares under equity private placement, net of</w:t>
            </w:r>
          </w:p>
        </w:tc>
        <w:tc>
          <w:tcPr>
            <w:tcW w:w="840" w:type="dxa"/>
            <w:vAlign w:val="bottom"/>
          </w:tcPr>
          <w:p>
            <w:pPr>
              <w:jc w:val="right"/>
              <w:ind w:right="88"/>
              <w:spacing w:after="0" w:line="147" w:lineRule="exact"/>
              <w:rPr>
                <w:sz w:val="20"/>
                <w:szCs w:val="20"/>
                <w:color w:val="auto"/>
              </w:rPr>
            </w:pPr>
            <w:r>
              <w:rPr>
                <w:rFonts w:ascii="Arial" w:cs="Arial" w:eastAsia="Arial" w:hAnsi="Arial"/>
                <w:sz w:val="14"/>
                <w:szCs w:val="14"/>
                <w:color w:val="auto"/>
              </w:rPr>
              <w:t>13,211</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129,73</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Pr>
          <w:p>
            <w:pPr>
              <w:ind w:left="20"/>
              <w:spacing w:after="0"/>
              <w:rPr>
                <w:sz w:val="20"/>
                <w:szCs w:val="20"/>
                <w:color w:val="auto"/>
              </w:rPr>
            </w:pPr>
            <w:r>
              <w:rPr>
                <w:rFonts w:ascii="Arial" w:cs="Arial" w:eastAsia="Arial" w:hAnsi="Arial"/>
                <w:sz w:val="14"/>
                <w:szCs w:val="14"/>
                <w:color w:val="auto"/>
              </w:rPr>
              <w:t>issuance costs of $264</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,381</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4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129,736</w:t>
            </w:r>
          </w:p>
        </w:tc>
        <w:tc>
          <w:tcPr>
            <w:tcW w:w="0" w:type="dxa"/>
            <w:vAlign w:val="bottom"/>
          </w:tcPr>
          <w:p>
            <w:pPr>
              <w:spacing w:after="0"/>
              <w:rPr>
                <w:sz w:val="1"/>
                <w:szCs w:val="1"/>
                <w:color w:val="auto"/>
              </w:rPr>
            </w:pPr>
          </w:p>
        </w:tc>
      </w:tr>
      <w:tr>
        <w:trPr>
          <w:trHeight w:val="162"/>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16,804</w:t>
            </w:r>
          </w:p>
        </w:tc>
        <w:tc>
          <w:tcPr>
            <w:tcW w:w="4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16,804</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line="153" w:lineRule="exact"/>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733,86</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2,722</w:t>
            </w:r>
          </w:p>
        </w:tc>
        <w:tc>
          <w:tcPr>
            <w:tcW w:w="4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153"/>
        </w:trPr>
        <w:tc>
          <w:tcPr>
            <w:tcW w:w="40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Issuance of shares under employee stock purchase plan</w:t>
            </w:r>
          </w:p>
        </w:tc>
        <w:tc>
          <w:tcPr>
            <w:tcW w:w="840" w:type="dxa"/>
            <w:vAlign w:val="bottom"/>
            <w:shd w:val="clear" w:color="auto" w:fill="CFF0FC"/>
          </w:tcPr>
          <w:p>
            <w:pPr>
              <w:jc w:val="right"/>
              <w:ind w:right="88"/>
              <w:spacing w:after="0" w:line="153" w:lineRule="exact"/>
              <w:rPr>
                <w:sz w:val="20"/>
                <w:szCs w:val="20"/>
                <w:color w:val="auto"/>
              </w:rPr>
            </w:pPr>
            <w:r>
              <w:rPr>
                <w:rFonts w:ascii="Arial" w:cs="Arial" w:eastAsia="Arial" w:hAnsi="Arial"/>
                <w:sz w:val="14"/>
                <w:szCs w:val="14"/>
                <w:color w:val="auto"/>
              </w:rPr>
              <w:t>333,50</w:t>
            </w:r>
          </w:p>
        </w:tc>
        <w:tc>
          <w:tcPr>
            <w:tcW w:w="8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w:t>
            </w:r>
          </w:p>
        </w:tc>
        <w:tc>
          <w:tcPr>
            <w:tcW w:w="8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1,050</w:t>
            </w:r>
          </w:p>
        </w:tc>
        <w:tc>
          <w:tcPr>
            <w:tcW w:w="4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62"/>
        </w:trPr>
        <w:tc>
          <w:tcPr>
            <w:tcW w:w="4040" w:type="dxa"/>
            <w:vAlign w:val="bottom"/>
          </w:tcPr>
          <w:p>
            <w:pPr>
              <w:ind w:left="20"/>
              <w:spacing w:after="0"/>
              <w:rPr>
                <w:sz w:val="20"/>
                <w:szCs w:val="20"/>
                <w:color w:val="auto"/>
              </w:rPr>
            </w:pPr>
            <w:r>
              <w:rPr>
                <w:rFonts w:ascii="Arial" w:cs="Arial" w:eastAsia="Arial" w:hAnsi="Arial"/>
                <w:sz w:val="14"/>
                <w:szCs w:val="14"/>
                <w:color w:val="auto"/>
              </w:rPr>
              <w:t>Employee stock purchase plan expense</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4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62"/>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18,640</w:t>
            </w:r>
          </w:p>
        </w:tc>
        <w:tc>
          <w:tcPr>
            <w:tcW w:w="8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w:t>
            </w:r>
          </w:p>
        </w:tc>
        <w:tc>
          <w:tcPr>
            <w:tcW w:w="4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line="153" w:lineRule="exact"/>
              <w:rPr>
                <w:sz w:val="20"/>
                <w:szCs w:val="20"/>
                <w:color w:val="auto"/>
              </w:rPr>
            </w:pPr>
            <w:r>
              <w:rPr>
                <w:rFonts w:ascii="Arial" w:cs="Arial" w:eastAsia="Arial" w:hAnsi="Arial"/>
                <w:sz w:val="14"/>
                <w:szCs w:val="14"/>
                <w:color w:val="auto"/>
              </w:rPr>
              <w:t>Vesting of performance-based restricted stock unit awards</w:t>
            </w:r>
          </w:p>
        </w:tc>
        <w:tc>
          <w:tcPr>
            <w:tcW w:w="8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217,00</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0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Vesting of restricted stock awards</w:t>
            </w:r>
          </w:p>
        </w:tc>
        <w:tc>
          <w:tcPr>
            <w:tcW w:w="840" w:type="dxa"/>
            <w:vAlign w:val="bottom"/>
            <w:shd w:val="clear" w:color="auto" w:fill="CFF0FC"/>
          </w:tcPr>
          <w:p>
            <w:pPr>
              <w:jc w:val="right"/>
              <w:ind w:right="88"/>
              <w:spacing w:after="0" w:line="153" w:lineRule="exact"/>
              <w:rPr>
                <w:sz w:val="20"/>
                <w:szCs w:val="20"/>
                <w:color w:val="auto"/>
              </w:rPr>
            </w:pPr>
            <w:r>
              <w:rPr>
                <w:rFonts w:ascii="Arial" w:cs="Arial" w:eastAsia="Arial" w:hAnsi="Arial"/>
                <w:sz w:val="14"/>
                <w:szCs w:val="14"/>
                <w:color w:val="auto"/>
              </w:rPr>
              <w:t>191,29</w:t>
            </w:r>
          </w:p>
        </w:tc>
        <w:tc>
          <w:tcPr>
            <w:tcW w:w="8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w:t>
            </w:r>
          </w:p>
        </w:tc>
        <w:tc>
          <w:tcPr>
            <w:tcW w:w="8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line="153" w:lineRule="exact"/>
              <w:rPr>
                <w:sz w:val="20"/>
                <w:szCs w:val="20"/>
                <w:color w:val="auto"/>
              </w:rPr>
            </w:pPr>
            <w:r>
              <w:rPr>
                <w:rFonts w:ascii="Arial" w:cs="Arial" w:eastAsia="Arial" w:hAnsi="Arial"/>
                <w:sz w:val="14"/>
                <w:szCs w:val="14"/>
                <w:color w:val="auto"/>
              </w:rPr>
              <w:t>Net unrealized gain on marketable securities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2,1</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53"/>
        </w:trPr>
        <w:tc>
          <w:tcPr>
            <w:tcW w:w="40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108"/>
              <w:spacing w:after="0" w:line="153" w:lineRule="exact"/>
              <w:rPr>
                <w:sz w:val="20"/>
                <w:szCs w:val="20"/>
                <w:color w:val="auto"/>
              </w:rPr>
            </w:pPr>
            <w:r>
              <w:rPr>
                <w:rFonts w:ascii="Arial" w:cs="Arial" w:eastAsia="Arial" w:hAnsi="Arial"/>
                <w:sz w:val="14"/>
                <w:szCs w:val="14"/>
                <w:color w:val="auto"/>
              </w:rPr>
              <w:t>(96,65</w:t>
            </w: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5 )</w:t>
            </w:r>
          </w:p>
        </w:tc>
        <w:tc>
          <w:tcPr>
            <w:tcW w:w="5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(96,655 )</w:t>
            </w:r>
          </w:p>
        </w:tc>
        <w:tc>
          <w:tcPr>
            <w:tcW w:w="0" w:type="dxa"/>
            <w:vAlign w:val="bottom"/>
          </w:tcPr>
          <w:p>
            <w:pPr>
              <w:spacing w:after="0"/>
              <w:rPr>
                <w:sz w:val="1"/>
                <w:szCs w:val="1"/>
                <w:color w:val="auto"/>
              </w:rPr>
            </w:pPr>
          </w:p>
        </w:tc>
      </w:tr>
      <w:tr>
        <w:trPr>
          <w:trHeight w:val="146"/>
        </w:trPr>
        <w:tc>
          <w:tcPr>
            <w:tcW w:w="4040" w:type="dxa"/>
            <w:vAlign w:val="bottom"/>
          </w:tcPr>
          <w:p>
            <w:pPr>
              <w:ind w:left="20"/>
              <w:spacing w:after="0" w:line="147" w:lineRule="exact"/>
              <w:rPr>
                <w:sz w:val="20"/>
                <w:szCs w:val="20"/>
                <w:color w:val="auto"/>
              </w:rPr>
            </w:pPr>
            <w:r>
              <w:rPr>
                <w:rFonts w:ascii="Arial" w:cs="Arial" w:eastAsia="Arial" w:hAnsi="Arial"/>
                <w:sz w:val="14"/>
                <w:szCs w:val="14"/>
                <w:color w:val="auto"/>
              </w:rPr>
              <w:t>Balances at December 31, 2023</w:t>
            </w:r>
          </w:p>
        </w:tc>
        <w:tc>
          <w:tcPr>
            <w:tcW w:w="840" w:type="dxa"/>
            <w:vAlign w:val="bottom"/>
          </w:tcPr>
          <w:p>
            <w:pPr>
              <w:jc w:val="right"/>
              <w:ind w:right="88"/>
              <w:spacing w:after="0" w:line="147" w:lineRule="exact"/>
              <w:rPr>
                <w:sz w:val="20"/>
                <w:szCs w:val="20"/>
                <w:color w:val="auto"/>
              </w:rPr>
            </w:pPr>
            <w:r>
              <w:rPr>
                <w:rFonts w:ascii="Arial" w:cs="Arial" w:eastAsia="Arial" w:hAnsi="Arial"/>
                <w:sz w:val="14"/>
                <w:szCs w:val="14"/>
                <w:color w:val="auto"/>
              </w:rPr>
              <w:t>54,992</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right"/>
              <w:ind w:right="68"/>
              <w:spacing w:after="0" w:line="147" w:lineRule="exact"/>
              <w:rPr>
                <w:sz w:val="20"/>
                <w:szCs w:val="20"/>
                <w:color w:val="auto"/>
              </w:rPr>
            </w:pPr>
            <w:r>
              <w:rPr>
                <w:rFonts w:ascii="Arial" w:cs="Arial" w:eastAsia="Arial" w:hAnsi="Arial"/>
                <w:sz w:val="14"/>
                <w:szCs w:val="14"/>
                <w:color w:val="auto"/>
              </w:rPr>
              <w:t>559,17</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(305,6</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,784</w:t>
            </w: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347</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w w:val="85"/>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32 )</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253,895</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color w:val="auto"/>
              </w:rPr>
              <w:t>Issuance of shares and pre-funded warrants under equity</w:t>
            </w:r>
          </w:p>
        </w:tc>
        <w:tc>
          <w:tcPr>
            <w:tcW w:w="840" w:type="dxa"/>
            <w:vAlign w:val="bottom"/>
            <w:shd w:val="clear" w:color="auto" w:fill="CFF0FC"/>
          </w:tcPr>
          <w:p>
            <w:pPr>
              <w:jc w:val="right"/>
              <w:ind w:right="88"/>
              <w:spacing w:after="0" w:line="133" w:lineRule="exact"/>
              <w:rPr>
                <w:sz w:val="20"/>
                <w:szCs w:val="20"/>
                <w:color w:val="auto"/>
              </w:rPr>
            </w:pPr>
            <w:r>
              <w:rPr>
                <w:rFonts w:ascii="Arial" w:cs="Arial" w:eastAsia="Arial" w:hAnsi="Arial"/>
                <w:sz w:val="14"/>
                <w:szCs w:val="14"/>
                <w:color w:val="auto"/>
              </w:rPr>
              <w:t>19,928</w:t>
            </w:r>
          </w:p>
        </w:tc>
        <w:tc>
          <w:tcPr>
            <w:tcW w:w="8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8"/>
              <w:spacing w:after="0" w:line="133" w:lineRule="exact"/>
              <w:rPr>
                <w:sz w:val="20"/>
                <w:szCs w:val="20"/>
                <w:color w:val="auto"/>
              </w:rPr>
            </w:pPr>
            <w:r>
              <w:rPr>
                <w:rFonts w:ascii="Arial" w:cs="Arial" w:eastAsia="Arial" w:hAnsi="Arial"/>
                <w:sz w:val="14"/>
                <w:szCs w:val="14"/>
                <w:color w:val="auto"/>
              </w:rPr>
              <w:t>236,99</w:t>
            </w:r>
          </w:p>
        </w:tc>
        <w:tc>
          <w:tcPr>
            <w:tcW w:w="4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private placement, net of issuance costs of $12,998</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,875</w:t>
            </w:r>
          </w:p>
        </w:tc>
        <w:tc>
          <w:tcPr>
            <w:tcW w:w="8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4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237,001</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under at-the-market offering, net of</w:t>
            </w:r>
          </w:p>
        </w:tc>
        <w:tc>
          <w:tcPr>
            <w:tcW w:w="8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1,772,</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tcPr>
          <w:p>
            <w:pPr>
              <w:ind w:left="20"/>
              <w:spacing w:after="0"/>
              <w:rPr>
                <w:sz w:val="20"/>
                <w:szCs w:val="20"/>
                <w:color w:val="auto"/>
              </w:rPr>
            </w:pPr>
            <w:r>
              <w:rPr>
                <w:rFonts w:ascii="Arial" w:cs="Arial" w:eastAsia="Arial" w:hAnsi="Arial"/>
                <w:sz w:val="14"/>
                <w:szCs w:val="14"/>
                <w:color w:val="auto"/>
              </w:rPr>
              <w:t>issuance costs of $166</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278</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22,787</w:t>
            </w:r>
          </w:p>
        </w:tc>
        <w:tc>
          <w:tcPr>
            <w:tcW w:w="4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22,787</w:t>
            </w:r>
          </w:p>
        </w:tc>
        <w:tc>
          <w:tcPr>
            <w:tcW w:w="0" w:type="dxa"/>
            <w:vAlign w:val="bottom"/>
          </w:tcPr>
          <w:p>
            <w:pPr>
              <w:spacing w:after="0"/>
              <w:rPr>
                <w:sz w:val="1"/>
                <w:szCs w:val="1"/>
                <w:color w:val="auto"/>
              </w:rPr>
            </w:pPr>
          </w:p>
        </w:tc>
      </w:tr>
      <w:tr>
        <w:trPr>
          <w:trHeight w:val="153"/>
        </w:trPr>
        <w:tc>
          <w:tcPr>
            <w:tcW w:w="40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Exchange of common stock shares for pre-funded warrants</w:t>
            </w:r>
          </w:p>
        </w:tc>
        <w:tc>
          <w:tcPr>
            <w:tcW w:w="840" w:type="dxa"/>
            <w:vAlign w:val="bottom"/>
            <w:shd w:val="clear" w:color="auto" w:fill="CFF0FC"/>
          </w:tcPr>
          <w:p>
            <w:pPr>
              <w:jc w:val="right"/>
              <w:ind w:right="88"/>
              <w:spacing w:after="0" w:line="153" w:lineRule="exact"/>
              <w:rPr>
                <w:sz w:val="20"/>
                <w:szCs w:val="20"/>
                <w:color w:val="auto"/>
              </w:rPr>
            </w:pPr>
            <w:r>
              <w:rPr>
                <w:rFonts w:ascii="Arial" w:cs="Arial" w:eastAsia="Arial" w:hAnsi="Arial"/>
                <w:sz w:val="14"/>
                <w:szCs w:val="14"/>
                <w:color w:val="auto"/>
              </w:rPr>
              <w:t>(3,420,</w:t>
            </w:r>
          </w:p>
        </w:tc>
        <w:tc>
          <w:tcPr>
            <w:tcW w:w="8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000 )</w:t>
            </w:r>
          </w:p>
        </w:tc>
        <w:tc>
          <w:tcPr>
            <w:tcW w:w="8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22,009</w:t>
            </w:r>
          </w:p>
        </w:tc>
        <w:tc>
          <w:tcPr>
            <w:tcW w:w="4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22,009</w:t>
            </w:r>
          </w:p>
        </w:tc>
        <w:tc>
          <w:tcPr>
            <w:tcW w:w="0" w:type="dxa"/>
            <w:vAlign w:val="bottom"/>
          </w:tcPr>
          <w:p>
            <w:pPr>
              <w:spacing w:after="0"/>
              <w:rPr>
                <w:sz w:val="1"/>
                <w:szCs w:val="1"/>
                <w:color w:val="auto"/>
              </w:rPr>
            </w:pPr>
          </w:p>
        </w:tc>
      </w:tr>
      <w:tr>
        <w:trPr>
          <w:trHeight w:val="153"/>
        </w:trPr>
        <w:tc>
          <w:tcPr>
            <w:tcW w:w="40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ind w:right="88"/>
              <w:spacing w:after="0" w:line="153" w:lineRule="exact"/>
              <w:rPr>
                <w:sz w:val="20"/>
                <w:szCs w:val="20"/>
                <w:color w:val="auto"/>
              </w:rPr>
            </w:pPr>
            <w:r>
              <w:rPr>
                <w:rFonts w:ascii="Arial" w:cs="Arial" w:eastAsia="Arial" w:hAnsi="Arial"/>
                <w:sz w:val="14"/>
                <w:szCs w:val="14"/>
                <w:color w:val="auto"/>
              </w:rPr>
              <w:t>430,15</w:t>
            </w:r>
          </w:p>
        </w:tc>
        <w:tc>
          <w:tcPr>
            <w:tcW w:w="8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w:t>
            </w:r>
          </w:p>
        </w:tc>
        <w:tc>
          <w:tcPr>
            <w:tcW w:w="8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1,518</w:t>
            </w:r>
          </w:p>
        </w:tc>
        <w:tc>
          <w:tcPr>
            <w:tcW w:w="4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under employee stock purchase plan</w:t>
            </w:r>
          </w:p>
        </w:tc>
        <w:tc>
          <w:tcPr>
            <w:tcW w:w="8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112,85</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859</w:t>
            </w:r>
          </w:p>
        </w:tc>
        <w:tc>
          <w:tcPr>
            <w:tcW w:w="4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62"/>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Employee stock purchase plan expense</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573</w:t>
            </w:r>
          </w:p>
        </w:tc>
        <w:tc>
          <w:tcPr>
            <w:tcW w:w="4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line="153" w:lineRule="exact"/>
              <w:rPr>
                <w:sz w:val="20"/>
                <w:szCs w:val="20"/>
                <w:color w:val="auto"/>
              </w:rPr>
            </w:pPr>
            <w:r>
              <w:rPr>
                <w:rFonts w:ascii="Arial" w:cs="Arial" w:eastAsia="Arial" w:hAnsi="Arial"/>
                <w:sz w:val="14"/>
                <w:szCs w:val="14"/>
                <w:color w:val="auto"/>
              </w:rPr>
              <w:t>Vesting of performance-based restricted stock unit awards</w:t>
            </w:r>
          </w:p>
        </w:tc>
        <w:tc>
          <w:tcPr>
            <w:tcW w:w="8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403,00</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awards</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92,659</w:t>
            </w:r>
          </w:p>
        </w:tc>
        <w:tc>
          <w:tcPr>
            <w:tcW w:w="8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line="153" w:lineRule="exact"/>
              <w:rPr>
                <w:sz w:val="20"/>
                <w:szCs w:val="20"/>
                <w:color w:val="auto"/>
              </w:rPr>
            </w:pPr>
            <w:r>
              <w:rPr>
                <w:rFonts w:ascii="Arial" w:cs="Arial" w:eastAsia="Arial" w:hAnsi="Arial"/>
                <w:sz w:val="14"/>
                <w:szCs w:val="14"/>
                <w:color w:val="auto"/>
              </w:rPr>
              <w:t>Net unrealized loss on marketable securities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(20</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4 )</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(204 )</w:t>
            </w:r>
          </w:p>
        </w:tc>
        <w:tc>
          <w:tcPr>
            <w:tcW w:w="0" w:type="dxa"/>
            <w:vAlign w:val="bottom"/>
          </w:tcPr>
          <w:p>
            <w:pPr>
              <w:spacing w:after="0"/>
              <w:rPr>
                <w:sz w:val="1"/>
                <w:szCs w:val="1"/>
                <w:color w:val="auto"/>
              </w:rPr>
            </w:pPr>
          </w:p>
        </w:tc>
      </w:tr>
      <w:tr>
        <w:trPr>
          <w:trHeight w:val="153"/>
        </w:trPr>
        <w:tc>
          <w:tcPr>
            <w:tcW w:w="40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108"/>
              <w:spacing w:after="0" w:line="153" w:lineRule="exact"/>
              <w:rPr>
                <w:sz w:val="20"/>
                <w:szCs w:val="20"/>
                <w:color w:val="auto"/>
              </w:rPr>
            </w:pPr>
            <w:r>
              <w:rPr>
                <w:rFonts w:ascii="Arial" w:cs="Arial" w:eastAsia="Arial" w:hAnsi="Arial"/>
                <w:sz w:val="14"/>
                <w:szCs w:val="14"/>
                <w:color w:val="auto"/>
              </w:rPr>
              <w:t>(129,4</w:t>
            </w: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74 )</w:t>
            </w:r>
          </w:p>
        </w:tc>
        <w:tc>
          <w:tcPr>
            <w:tcW w:w="5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(129,474 )</w:t>
            </w:r>
          </w:p>
        </w:tc>
        <w:tc>
          <w:tcPr>
            <w:tcW w:w="0" w:type="dxa"/>
            <w:vAlign w:val="bottom"/>
          </w:tcPr>
          <w:p>
            <w:pPr>
              <w:spacing w:after="0"/>
              <w:rPr>
                <w:sz w:val="1"/>
                <w:szCs w:val="1"/>
                <w:color w:val="auto"/>
              </w:rPr>
            </w:pPr>
          </w:p>
        </w:tc>
      </w:tr>
      <w:tr>
        <w:trPr>
          <w:trHeight w:val="146"/>
        </w:trPr>
        <w:tc>
          <w:tcPr>
            <w:tcW w:w="4040" w:type="dxa"/>
            <w:vAlign w:val="bottom"/>
          </w:tcPr>
          <w:p>
            <w:pPr>
              <w:ind w:left="20"/>
              <w:spacing w:after="0" w:line="147" w:lineRule="exact"/>
              <w:rPr>
                <w:sz w:val="20"/>
                <w:szCs w:val="20"/>
                <w:color w:val="auto"/>
              </w:rPr>
            </w:pPr>
            <w:r>
              <w:rPr>
                <w:rFonts w:ascii="Arial" w:cs="Arial" w:eastAsia="Arial" w:hAnsi="Arial"/>
                <w:sz w:val="14"/>
                <w:szCs w:val="14"/>
                <w:color w:val="auto"/>
              </w:rPr>
              <w:t>Balances at December 31, 2024</w:t>
            </w:r>
          </w:p>
        </w:tc>
        <w:tc>
          <w:tcPr>
            <w:tcW w:w="840" w:type="dxa"/>
            <w:vAlign w:val="bottom"/>
          </w:tcPr>
          <w:p>
            <w:pPr>
              <w:jc w:val="right"/>
              <w:ind w:right="88"/>
              <w:spacing w:after="0" w:line="147" w:lineRule="exact"/>
              <w:rPr>
                <w:sz w:val="20"/>
                <w:szCs w:val="20"/>
                <w:color w:val="auto"/>
              </w:rPr>
            </w:pPr>
            <w:r>
              <w:rPr>
                <w:rFonts w:ascii="Arial" w:cs="Arial" w:eastAsia="Arial" w:hAnsi="Arial"/>
                <w:sz w:val="14"/>
                <w:szCs w:val="14"/>
                <w:color w:val="auto"/>
              </w:rPr>
              <w:t>74,312</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right"/>
              <w:ind w:right="68"/>
              <w:spacing w:after="0" w:line="147" w:lineRule="exact"/>
              <w:rPr>
                <w:sz w:val="20"/>
                <w:szCs w:val="20"/>
                <w:color w:val="auto"/>
              </w:rPr>
            </w:pPr>
            <w:r>
              <w:rPr>
                <w:rFonts w:ascii="Arial" w:cs="Arial" w:eastAsia="Arial" w:hAnsi="Arial"/>
                <w:sz w:val="14"/>
                <w:szCs w:val="14"/>
                <w:color w:val="auto"/>
              </w:rPr>
              <w:t>843,92</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(435,1</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,608</w:t>
            </w: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143</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06 )</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408,964</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3180" w:type="dxa"/>
            <w:vAlign w:val="bottom"/>
            <w:tcBorders>
              <w:top w:val="single" w:sz="8" w:color="auto"/>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Net loss</w:t>
            </w:r>
          </w:p>
        </w:tc>
        <w:tc>
          <w:tcPr>
            <w:tcW w:w="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(129,474 )</w:t>
            </w:r>
          </w:p>
        </w:tc>
        <w:tc>
          <w:tcPr>
            <w:tcW w:w="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(96,655 )</w:t>
            </w:r>
          </w:p>
        </w:tc>
      </w:tr>
      <w:tr>
        <w:trPr>
          <w:trHeight w:val="203"/>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68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393</w:t>
            </w:r>
          </w:p>
        </w:tc>
        <w:tc>
          <w:tcPr>
            <w:tcW w:w="46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377</w:t>
            </w:r>
          </w:p>
        </w:tc>
      </w:tr>
      <w:tr>
        <w:trPr>
          <w:trHeight w:val="203"/>
        </w:trPr>
        <w:tc>
          <w:tcPr>
            <w:tcW w:w="76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Loss on disposal of equipment</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1"/>
              <w:spacing w:after="0" w:line="202" w:lineRule="exact"/>
              <w:rPr>
                <w:sz w:val="20"/>
                <w:szCs w:val="20"/>
                <w:color w:val="auto"/>
              </w:rPr>
            </w:pPr>
            <w:r>
              <w:rPr>
                <w:rFonts w:ascii="Arial" w:cs="Arial" w:eastAsia="Arial" w:hAnsi="Arial"/>
                <w:sz w:val="18"/>
                <w:szCs w:val="18"/>
                <w:color w:val="auto"/>
              </w:rPr>
              <w:t>9</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111</w:t>
            </w:r>
          </w:p>
        </w:tc>
      </w:tr>
      <w:tr>
        <w:trPr>
          <w:trHeight w:val="203"/>
        </w:trPr>
        <w:tc>
          <w:tcPr>
            <w:tcW w:w="7680" w:type="dxa"/>
            <w:vAlign w:val="bottom"/>
          </w:tcPr>
          <w:p>
            <w:pPr>
              <w:ind w:left="400"/>
              <w:spacing w:after="0" w:line="202" w:lineRule="exact"/>
              <w:rPr>
                <w:sz w:val="20"/>
                <w:szCs w:val="20"/>
                <w:color w:val="auto"/>
              </w:rPr>
            </w:pPr>
            <w:r>
              <w:rPr>
                <w:rFonts w:ascii="Arial" w:cs="Arial" w:eastAsia="Arial" w:hAnsi="Arial"/>
                <w:sz w:val="18"/>
                <w:szCs w:val="18"/>
                <w:color w:val="auto"/>
              </w:rPr>
              <w:t>Non-cash lease expense</w:t>
            </w:r>
          </w:p>
        </w:tc>
        <w:tc>
          <w:tcPr>
            <w:tcW w:w="38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1,150</w:t>
            </w:r>
          </w:p>
        </w:tc>
        <w:tc>
          <w:tcPr>
            <w:tcW w:w="46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1,297</w:t>
            </w:r>
          </w:p>
        </w:tc>
      </w:tr>
      <w:tr>
        <w:trPr>
          <w:trHeight w:val="203"/>
        </w:trPr>
        <w:tc>
          <w:tcPr>
            <w:tcW w:w="76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Non-cash interest income on marketable securities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(8,175 )</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(5,524 )</w:t>
            </w:r>
          </w:p>
        </w:tc>
      </w:tr>
      <w:tr>
        <w:trPr>
          <w:trHeight w:val="203"/>
        </w:trPr>
        <w:tc>
          <w:tcPr>
            <w:tcW w:w="7680" w:type="dxa"/>
            <w:vAlign w:val="bottom"/>
          </w:tcPr>
          <w:p>
            <w:pPr>
              <w:ind w:left="400"/>
              <w:spacing w:after="0" w:line="202" w:lineRule="exact"/>
              <w:rPr>
                <w:sz w:val="20"/>
                <w:szCs w:val="20"/>
                <w:color w:val="auto"/>
              </w:rPr>
            </w:pPr>
            <w:r>
              <w:rPr>
                <w:rFonts w:ascii="Arial" w:cs="Arial" w:eastAsia="Arial" w:hAnsi="Arial"/>
                <w:sz w:val="18"/>
                <w:szCs w:val="18"/>
                <w:color w:val="auto"/>
              </w:rPr>
              <w:t>Stock-based compensation expense, including employee stock purchase plan expense</w:t>
            </w:r>
          </w:p>
        </w:tc>
        <w:tc>
          <w:tcPr>
            <w:tcW w:w="38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22,582</w:t>
            </w:r>
          </w:p>
        </w:tc>
        <w:tc>
          <w:tcPr>
            <w:tcW w:w="46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17,256</w:t>
            </w:r>
          </w:p>
        </w:tc>
      </w:tr>
      <w:tr>
        <w:trPr>
          <w:trHeight w:val="203"/>
        </w:trPr>
        <w:tc>
          <w:tcPr>
            <w:tcW w:w="76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2"/>
        </w:trPr>
        <w:tc>
          <w:tcPr>
            <w:tcW w:w="7680" w:type="dxa"/>
            <w:vAlign w:val="bottom"/>
          </w:tcPr>
          <w:p>
            <w:pPr>
              <w:ind w:left="5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7"/>
                <w:szCs w:val="17"/>
                <w:color w:val="auto"/>
              </w:rPr>
            </w:pPr>
          </w:p>
        </w:tc>
        <w:tc>
          <w:tcPr>
            <w:tcW w:w="14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(429 )</w:t>
            </w:r>
          </w:p>
        </w:tc>
        <w:tc>
          <w:tcPr>
            <w:tcW w:w="46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694</w:t>
            </w:r>
          </w:p>
        </w:tc>
      </w:tr>
      <w:tr>
        <w:trPr>
          <w:trHeight w:val="203"/>
        </w:trPr>
        <w:tc>
          <w:tcPr>
            <w:tcW w:w="76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Other assets and long-term deposits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(2,957 )</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(5,324 )</w:t>
            </w:r>
          </w:p>
        </w:tc>
      </w:tr>
      <w:tr>
        <w:trPr>
          <w:trHeight w:val="203"/>
        </w:trPr>
        <w:tc>
          <w:tcPr>
            <w:tcW w:w="768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2,510</w:t>
            </w:r>
          </w:p>
        </w:tc>
        <w:tc>
          <w:tcPr>
            <w:tcW w:w="46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2,324</w:t>
            </w:r>
          </w:p>
        </w:tc>
      </w:tr>
      <w:tr>
        <w:trPr>
          <w:trHeight w:val="203"/>
        </w:trPr>
        <w:tc>
          <w:tcPr>
            <w:tcW w:w="76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1"/>
              <w:spacing w:after="0" w:line="202" w:lineRule="exact"/>
              <w:rPr>
                <w:sz w:val="20"/>
                <w:szCs w:val="20"/>
                <w:color w:val="auto"/>
              </w:rPr>
            </w:pPr>
            <w:r>
              <w:rPr>
                <w:rFonts w:ascii="Arial" w:cs="Arial" w:eastAsia="Arial" w:hAnsi="Arial"/>
                <w:sz w:val="18"/>
                <w:szCs w:val="18"/>
                <w:color w:val="auto"/>
              </w:rPr>
              <w:t>11,202</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2,948</w:t>
            </w:r>
          </w:p>
        </w:tc>
      </w:tr>
      <w:tr>
        <w:trPr>
          <w:trHeight w:val="203"/>
        </w:trPr>
        <w:tc>
          <w:tcPr>
            <w:tcW w:w="7680" w:type="dxa"/>
            <w:vAlign w:val="bottom"/>
          </w:tcPr>
          <w:p>
            <w:pPr>
              <w:ind w:left="520"/>
              <w:spacing w:after="0" w:line="202" w:lineRule="exact"/>
              <w:rPr>
                <w:sz w:val="20"/>
                <w:szCs w:val="20"/>
                <w:color w:val="auto"/>
              </w:rPr>
            </w:pPr>
            <w:r>
              <w:rPr>
                <w:rFonts w:ascii="Arial" w:cs="Arial" w:eastAsia="Arial" w:hAnsi="Arial"/>
                <w:sz w:val="18"/>
                <w:szCs w:val="18"/>
                <w:color w:val="auto"/>
              </w:rPr>
              <w:t>Operating lease liabilities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(1,162 )</w:t>
            </w: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(1,231 )</w:t>
            </w:r>
          </w:p>
        </w:tc>
      </w:tr>
      <w:tr>
        <w:trPr>
          <w:trHeight w:val="196"/>
        </w:trPr>
        <w:tc>
          <w:tcPr>
            <w:tcW w:w="7680" w:type="dxa"/>
            <w:vAlign w:val="bottom"/>
            <w:tcBorders>
              <w:bottom w:val="single" w:sz="8" w:color="CFF0FC"/>
            </w:tcBorders>
            <w:shd w:val="clear" w:color="auto" w:fill="CFF0FC"/>
          </w:tcPr>
          <w:p>
            <w:pPr>
              <w:ind w:left="400"/>
              <w:spacing w:after="0" w:line="196" w:lineRule="exact"/>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(104,351 )</w:t>
            </w:r>
          </w:p>
        </w:tc>
        <w:tc>
          <w:tcPr>
            <w:tcW w:w="4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(83,727 )</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Maturities of marketable securities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1"/>
              <w:spacing w:after="0" w:line="202" w:lineRule="exact"/>
              <w:rPr>
                <w:sz w:val="20"/>
                <w:szCs w:val="20"/>
                <w:color w:val="auto"/>
              </w:rPr>
            </w:pPr>
            <w:r>
              <w:rPr>
                <w:rFonts w:ascii="Arial" w:cs="Arial" w:eastAsia="Arial" w:hAnsi="Arial"/>
                <w:sz w:val="18"/>
                <w:szCs w:val="18"/>
                <w:color w:val="auto"/>
              </w:rPr>
              <w:t>301,592</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250,760</w:t>
            </w: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Purchases of marketable securities</w:t>
            </w:r>
          </w:p>
        </w:tc>
        <w:tc>
          <w:tcPr>
            <w:tcW w:w="380" w:type="dxa"/>
            <w:vAlign w:val="bottom"/>
          </w:tcPr>
          <w:p>
            <w:pPr>
              <w:spacing w:after="0"/>
              <w:rPr>
                <w:sz w:val="17"/>
                <w:szCs w:val="17"/>
                <w:color w:val="auto"/>
              </w:rPr>
            </w:pPr>
          </w:p>
        </w:tc>
        <w:tc>
          <w:tcPr>
            <w:tcW w:w="14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(394,959 )</w:t>
            </w:r>
          </w:p>
        </w:tc>
        <w:tc>
          <w:tcPr>
            <w:tcW w:w="4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(255,625 )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 of equipment</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(159 )</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Disposal of fixed assets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14</w:t>
            </w:r>
          </w:p>
        </w:tc>
      </w:tr>
      <w:tr>
        <w:trPr>
          <w:trHeight w:val="196"/>
        </w:trPr>
        <w:tc>
          <w:tcPr>
            <w:tcW w:w="7680" w:type="dxa"/>
            <w:vAlign w:val="bottom"/>
            <w:tcBorders>
              <w:bottom w:val="single" w:sz="8" w:color="CFF0FC"/>
            </w:tcBorders>
            <w:shd w:val="clear" w:color="auto" w:fill="CFF0FC"/>
          </w:tcPr>
          <w:p>
            <w:pPr>
              <w:ind w:left="400"/>
              <w:spacing w:after="0" w:line="196"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(93,526 )</w:t>
            </w:r>
          </w:p>
        </w:tc>
        <w:tc>
          <w:tcPr>
            <w:tcW w:w="4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(4,851 )</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equity private placement, net of issuance costs of $6,498</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1"/>
              <w:spacing w:after="0" w:line="202" w:lineRule="exact"/>
              <w:rPr>
                <w:sz w:val="20"/>
                <w:szCs w:val="20"/>
                <w:color w:val="auto"/>
              </w:rPr>
            </w:pPr>
            <w:r>
              <w:rPr>
                <w:rFonts w:ascii="Arial" w:cs="Arial" w:eastAsia="Arial" w:hAnsi="Arial"/>
                <w:sz w:val="18"/>
                <w:szCs w:val="18"/>
                <w:color w:val="auto"/>
              </w:rPr>
              <w:t>243,501</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129,736</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Proceeds from at-the-market offering, net of issuance costs of $166</w:t>
            </w:r>
          </w:p>
        </w:tc>
        <w:tc>
          <w:tcPr>
            <w:tcW w:w="38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22,787</w:t>
            </w:r>
          </w:p>
        </w:tc>
        <w:tc>
          <w:tcPr>
            <w:tcW w:w="46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1"/>
              <w:spacing w:after="0" w:line="202" w:lineRule="exact"/>
              <w:rPr>
                <w:sz w:val="20"/>
                <w:szCs w:val="20"/>
                <w:color w:val="auto"/>
              </w:rPr>
            </w:pPr>
            <w:r>
              <w:rPr>
                <w:rFonts w:ascii="Arial" w:cs="Arial" w:eastAsia="Arial" w:hAnsi="Arial"/>
                <w:sz w:val="18"/>
                <w:szCs w:val="18"/>
                <w:color w:val="auto"/>
              </w:rPr>
              <w:t>1,671</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2,629</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 of common stock under the ESPP plan</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859</w:t>
            </w: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1,050</w:t>
            </w:r>
          </w:p>
        </w:tc>
      </w:tr>
      <w:tr>
        <w:trPr>
          <w:trHeight w:val="196"/>
        </w:trPr>
        <w:tc>
          <w:tcPr>
            <w:tcW w:w="768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1"/>
              <w:spacing w:after="0" w:line="196" w:lineRule="exact"/>
              <w:rPr>
                <w:sz w:val="20"/>
                <w:szCs w:val="20"/>
                <w:color w:val="auto"/>
              </w:rPr>
            </w:pPr>
            <w:r>
              <w:rPr>
                <w:rFonts w:ascii="Arial" w:cs="Arial" w:eastAsia="Arial" w:hAnsi="Arial"/>
                <w:sz w:val="18"/>
                <w:szCs w:val="18"/>
                <w:color w:val="auto"/>
              </w:rPr>
              <w:t>268,818</w:t>
            </w:r>
          </w:p>
        </w:tc>
        <w:tc>
          <w:tcPr>
            <w:tcW w:w="4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133,415</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increase in cash and cash equivalents</w:t>
            </w:r>
          </w:p>
        </w:tc>
        <w:tc>
          <w:tcPr>
            <w:tcW w:w="380" w:type="dxa"/>
            <w:vAlign w:val="bottom"/>
          </w:tcPr>
          <w:p>
            <w:pPr>
              <w:spacing w:after="0"/>
              <w:rPr>
                <w:sz w:val="17"/>
                <w:szCs w:val="17"/>
                <w:color w:val="auto"/>
              </w:rPr>
            </w:pPr>
          </w:p>
        </w:tc>
        <w:tc>
          <w:tcPr>
            <w:tcW w:w="140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70,941</w:t>
            </w:r>
          </w:p>
        </w:tc>
        <w:tc>
          <w:tcPr>
            <w:tcW w:w="460" w:type="dxa"/>
            <w:vAlign w:val="bottom"/>
          </w:tcPr>
          <w:p>
            <w:pPr>
              <w:spacing w:after="0"/>
              <w:rPr>
                <w:sz w:val="17"/>
                <w:szCs w:val="17"/>
                <w:color w:val="auto"/>
              </w:rPr>
            </w:pPr>
          </w:p>
        </w:tc>
        <w:tc>
          <w:tcPr>
            <w:tcW w:w="13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44,837</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1"/>
              <w:spacing w:after="0" w:line="202" w:lineRule="exact"/>
              <w:rPr>
                <w:sz w:val="20"/>
                <w:szCs w:val="20"/>
                <w:color w:val="auto"/>
              </w:rPr>
            </w:pPr>
            <w:r>
              <w:rPr>
                <w:rFonts w:ascii="Arial" w:cs="Arial" w:eastAsia="Arial" w:hAnsi="Arial"/>
                <w:sz w:val="18"/>
                <w:szCs w:val="18"/>
                <w:color w:val="auto"/>
              </w:rPr>
              <w:t>68,539</w:t>
            </w:r>
          </w:p>
        </w:tc>
        <w:tc>
          <w:tcPr>
            <w:tcW w:w="4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23,702</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139,480</w:t>
            </w:r>
          </w:p>
        </w:tc>
        <w:tc>
          <w:tcPr>
            <w:tcW w:w="4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68,539</w:t>
            </w: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Issuance costs for equity private placement not paid in cash by the end of period</w:t>
            </w:r>
          </w:p>
        </w:tc>
        <w:tc>
          <w:tcPr>
            <w:tcW w:w="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6,500</w:t>
            </w:r>
          </w:p>
        </w:tc>
        <w:tc>
          <w:tcPr>
            <w:tcW w:w="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Exchange common stock shares for pre-funded warrants</w:t>
            </w:r>
          </w:p>
        </w:tc>
        <w:tc>
          <w:tcPr>
            <w:tcW w:w="38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11"/>
              <w:spacing w:after="0" w:line="202" w:lineRule="exact"/>
              <w:rPr>
                <w:sz w:val="20"/>
                <w:szCs w:val="20"/>
                <w:color w:val="auto"/>
              </w:rPr>
            </w:pPr>
            <w:r>
              <w:rPr>
                <w:rFonts w:ascii="Arial" w:cs="Arial" w:eastAsia="Arial" w:hAnsi="Arial"/>
                <w:sz w:val="18"/>
                <w:szCs w:val="18"/>
                <w:color w:val="auto"/>
              </w:rPr>
              <w:t>31,054</w:t>
            </w:r>
          </w:p>
        </w:tc>
        <w:tc>
          <w:tcPr>
            <w:tcW w:w="4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project deposit applied against final study invoices</w:t>
            </w:r>
          </w:p>
        </w:tc>
        <w:tc>
          <w:tcPr>
            <w:tcW w:w="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748</w:t>
            </w:r>
          </w:p>
        </w:tc>
        <w:tc>
          <w:tcPr>
            <w:tcW w:w="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System implementation cost included in other current liabilities</w:t>
            </w:r>
          </w:p>
        </w:tc>
        <w:tc>
          <w:tcPr>
            <w:tcW w:w="38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(337 )</w:t>
            </w:r>
          </w:p>
        </w:tc>
        <w:tc>
          <w:tcPr>
            <w:tcW w:w="4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Olema Pharmaceuticals,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w:t>
      </w:r>
    </w:p>
    <w:p>
      <w:pPr>
        <w:spacing w:after="0" w:line="214"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Nature of the Business and Basis of Presentation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was incorporated on January 6, 2021, and is a wholly-owned subsidiary of the Company (collectively with Olema Pharmaceuticals, Inc., referred to as “Olema” or the “Company” herein). It operates in one business segment and therefore has only one reportable segment. The Company is subject to risks and uncertainties common to late-stage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had $434.1 million of cash, cash equivalents and marketable securities at December 31, 2024, in addition to an available balance of $25.0 million under the Loan and Security Agreement dated as of September 5, 2023 (the “Original Loan Agreement”), by and between the Company, as borrower, and Silicon Valley Bank, a division of First-Citizens Bank &amp; Trust Company (the “Bank”), as amended by the First Amendment to Loan and Security Agreement, dated June 28, 2024, by and between the Company and the Bank (the "Amendment," and the Original Loan Agreement as amended by the Amendment, the "Loan Agreement"). See Footnote 12. Commitments and Contingencies for details. Management believes that the Company’s cash, cash equivalents, marketable securities, and the amounts available under the Loan Agreement will be sufficient to fund the Company’s current operating plan for at least the next 12 months from the filing date of these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November 29, 2024, the Company entered into a securities purchase agreement for a private placement of (i) 19,928,875 shares of the Company’s common stock at a price of $9.08 per share and (ii) pre-funded warrants to purchase up to an aggregate of 7,604,163 shares of the Company's common stock at a price of $9.0799 per pre-funded warrant, which represents the per share purchase price of the Company's common stock sold in the private placement less the $0.0001 per share exercise price for each pre-funded warrant to selected institutional and accredited investors (the “2024 Private Placement”). The aggregate gross proceeds for the 2024 Private Placement were approximately $250.0 million. After deducting offering expenses related to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2024 Private Placement of approximately $6.5 million (the remaining $6.5 million was included in Other current liabilities in the consolidated balance sheets), the net proceeds to the Company from the 2024 Private Placement were approximately $243.5 million.</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September 5, 2023, the Company entered into a stock purchase agreement for a private placement of 13,211,381 shares of our common stock, at a price of $9.84 per share, to selected institutional and accredited investors (the "2023 Private Placement"), resulting in gross proceeds of approximately $130.0 million. After deducting offering expenses related to the 2023 Private Placement of approximately $0.3 million, the net proceeds to the Company from the 2023 Private Placement were approximately $129.7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January 5, 2024, the Company entered into a sales agreement (the “2024 Sales Agreement”) with Cowen and Company, LLC ("Cowen and Company”) as sales agent, pursuant to which the Company may offer and sell, from time to time, shares of the Company's common stock, having an aggregate offering price of up to $150.0 million (the “2024 ATM Shares”). The sales of the 2024 ATM Shares will be made by any method permitted that is deemed to be an "at-the-market" equity offering as defined in Rule 415(a)(4) promulgated under the Securities Act of 1933, as amended ("Securities Act"), including sales made directly on or through the Nasdaq Global Select Market. The Company agreed to pay Cowen and Company a commission of up to 3.0% of the aggregate gross proceeds from any 2024 ATM Shares sold by Cowen and Company. During the year ended December 31, 2024, the Company issued 1,772,278 shares of the Company's common stock under the 2024 Sales Agreement at a weighted-average price of $13.19 for net proceeds of $22.8 million after deducting related issuance costs. As of December 31, 2024, approximately $126.6 million remained available for issuance under the 2024 Sales Agreement.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6, 2025, the Company entered into a sales agreement (the "2025 Sales Agreement") with TD Securities (USA) LLC, ("TD Cowen") as sales agent, pursuant to which the Company may offer and sell, from time to time, shares of the Company's common stock, having an aggregate offering price of up to $150.0 million (the “2025 ATM Shares”). The 2025 Sales Agreement replaces the prior 2024 Sales Agreement. The sales of the 2025 ATM Shares will be made by any method permitted that is deemed to be an "at-the-market" equity offering as defined in Rule 415(a)(4) promulgated under the Securities Act, including sales made directly on or through the Nasdaq Global Select Market. The Company has agreed to pay TD Cowen a commission of up to 3.0% of the aggregate gross proceeds from any 2025 ATM Shares sold by TD Cowen.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Geopolitical and Macroeconomic Events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Global economic and business activities continue to face widespread uncertainty related to the geopolitical and macroeconomic environment, generally, including economic uncertainty, market volatility, labor shortages, tariffs and trade tensions, the ongoing conflicts between Ukraine and Russia and in the Middle East, as well as any related political or economic responses and counter-responses or otherwise by various global actors, inflation rates and the responses by central banking authorities to control such inflation, monetary supply shifts and related financial instability.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spacing w:after="0" w:line="183"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(“GAAP”) and applicable rules and regulations of the Securities and Exchange Commission (the “SEC”) regarding financial reporting, and the instructions to Form 10-K and Article 10 of Regulation S-X. These consolidated financial statements include the accounts of Olema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Pharmaceuticals, Inc. and its wholly owned subsidiary, Olema Oncology Australia Pty Ltd. All intercompany balances and transactions have been eliminated upon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accompanying consolidated financial statements are prepared in accordance with GAAP. The preparation of the consolidated financial statements in conformity with GAAP requires management to make estimates and assumptions that affect the reported amounts of assets and liabilities at the date of the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fewer at the date of purchase. Cash deposits are all in reputable financial institutions in the United States as of December 31, 2024 and 2023. Cash and cash equivalents consisted of cash on deposit with U.S. banks, including the Company’s bank account for its Australia subsidiary, denominated in U.S. dollars and Australian dollars and investments in interest bearing money market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Accounting Standards Update ("ASU") 2026-12, Leases, Topic 842,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consolidated statements of operations and comprehensive loss.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Additional information and disclosures required by Topic 842 are contained in Note 11 “Lease” in this Annual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Reimbursements of certain costs associated with research activities performed under the agreement with Novartis Institutes for BioMedical Research, Inc. (“Novartis”) are recorded as a reduction of research and development expenses and as a receivable due from Novartis, which is recorded under prepaid expenses and other current assets in the accompanying consolidated financial statements, as described in Note 12, Commitments and Contingencies – Clinical Collaboration and Supply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Internal-Use Software</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capitalizes certain costs incurred for the development and implementation of computer software for internal-use. These costs generally relate to the implementation of the third-party developed software for the Company's regulatory and quality purposes. The Company capitalizes these costs when it is determined that it is probable that the project will be completed and the software will be used to perform the function intended, and the preliminary project stage is completed. Capitalized internal-use software development and implementation costs are included in Other assets and long-term deposits within the consolidated balance sheets. Capitalized implementation costs are amortized on a straight-line basis over the estimated useful lives of five years. Costs related to the preliminary project stage, post-implementation, training and maintenance are expensed as incurred.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Income taxes are computed using the asset and liability approach that requires the recognition of deferred tax assets and liabilities for the expected future tax consequences of events that have been recognized in the Company’s consolidated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As of December 31, 2024 and 2023, the Company has recorded full valuation allowance against its net deferred tax assets.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had no unrecognized tax benefits for the years ended December 31, 2024 and 2023, respectively. The Company may be subject to U.S. Federal, state, and local tax examinations by tax authorities for years before 2024, which may include adjustments to carry-forward attributes (see Note 9, “Income Taxes”).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policy is to recognize interest and penalties related to uncertain tax positions in the provision for income taxes. As of December 31, 2024 and 2023, the Company had no accrued interest or penalties related to uncertain tax positions.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Comprehensive loss includes net loss and other comprehensive (loss) gain for each period presented. Other comprehensive (loss) gain represents net unrealized (loss) gain on marketable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Stock-based compensation cost, including grants of stock options and restricted stock awards issued under the Company’s equity incentive plans and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ASC 718, Compensation — Stock Compensation (“ASC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Equity instruments issued to non-employees are recorded at their fair value on the grant date and without subsequent remeasurement.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Remeasurement gains and losses are recorded as other income (expense) on the consolidated statements of operations.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Pre-funded Warrants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issued pre-funded warrants in connection with the Purchase Agreement. The Company accounts for the pre-funded warrants as a freestanding equity-linked financial instrument that met the criteria for equity classification pursuant to Accounting Standards Codification 480, Distinguishing Liabilities from Equity ("ASC 480"), and ASC 815, Derivatives and Hedging ("ASC 815"). Accordingly, the Company recorded the pre-funded warrants as a component of stockholders' equity within additional paid-in capital. The Company valued the pre-funded warrants at issuance, concluding that their sales price approximated their fair value. See Note 7 for further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unvested performance-based restricted stock unit awards and contingently issuable common stock related to the 2020 Employee Stock Purchase Plan (the “ESPP”) are considered potential dilutive common shares. Basic shares outstanding includes the weighted average effect of the Company's outstanding pre-funded warrants, the exercise of which requires little or no consideration for the delivery of shares of common stock. Since the Company was in a loss position for all periods presented, basic net loss per share is the same as diluted net loss per share for all periods as the inclusion of all potential common shares outstanding would have been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chief operating decision maker (“CODM”), the Chief Executive Officer, manages its business activities as a single operating and reportable segment at the consolidated level. Accordingly, the Company's CODM uses consolidated net loss to measure segment loss, allocate resources and assess performance. Further, the CODM reviews and utilizes functional expenses (research and development, and general and administrative) at the consolidated level to manage the Company’s operations. Other segment items included in consolidated net loss is interest income, which is reflected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Standards Update ("ASU") No. 2020-06, </w:t>
      </w:r>
      <w:r>
        <w:rPr>
          <w:rFonts w:ascii="Arial" w:cs="Arial" w:eastAsia="Arial" w:hAnsi="Arial"/>
          <w:sz w:val="18"/>
          <w:szCs w:val="18"/>
          <w:i w:val="1"/>
          <w:iCs w:val="1"/>
          <w:color w:val="auto"/>
        </w:rPr>
        <w:t>Debt—Debt</w:t>
      </w:r>
      <w:r>
        <w:rPr>
          <w:rFonts w:ascii="Arial" w:cs="Arial" w:eastAsia="Arial" w:hAnsi="Arial"/>
          <w:sz w:val="18"/>
          <w:szCs w:val="18"/>
          <w:color w:val="auto"/>
        </w:rPr>
        <w:t xml:space="preserve"> </w:t>
      </w:r>
      <w:r>
        <w:rPr>
          <w:rFonts w:ascii="Arial" w:cs="Arial" w:eastAsia="Arial" w:hAnsi="Arial"/>
          <w:sz w:val="18"/>
          <w:szCs w:val="18"/>
          <w:i w:val="1"/>
          <w:iCs w:val="1"/>
          <w:color w:val="auto"/>
        </w:rPr>
        <w:t>with Conversion and Other Options (Subtopic 470-20) and Derivatives and Hedging—Contracts in Entity’s Own Equity (Subtopic 815-40)</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simplifies the accounting for convertible instruments and equity-linked financial instruments in addition to amending the earnings per share ("EPS") guidance in ASC 260 to improve the consistency of the diluted EPS calculation. The standard addresses issues identified as a result of the complexity associated with applying U.S. GAAP for certain financial instruments with characteristics of liabilities and equity. The standard eliminates the current models that require separation of beneficial conversion and cash conversion features from convertible instruments and simplifies the derivative scope exception guidance pertaining to equity classification of contracts in an entity’s own equity. The standard is effective for public companies, excluding entities eligible to be smaller reporting companies, for fiscal years beginning after December 15, 2021, including interim periods within those fiscal years. For all other entities, the standard is effective for fiscal years beginning after December 15, 2023, including interim periods within those fiscal years. The Company adopted ASU 2020-06 as of January 1, 2024. The adoption did not make an impact on its consolidated financial statements.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(“ASU 2023-07”)</w:t>
      </w:r>
      <w:r>
        <w:rPr>
          <w:rFonts w:ascii="Arial" w:cs="Arial" w:eastAsia="Arial" w:hAnsi="Arial"/>
          <w:sz w:val="18"/>
          <w:szCs w:val="18"/>
          <w:color w:val="auto"/>
        </w:rPr>
        <w:t>, which requires all public entities, including public entities with a single reportable segment, to provide in interim and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Company adopted ASU 2023-07 effective January 1, 2024, on a retrospective basis. The adoption of 2023-07 did not change the way that the Company identifies its reportable segments and, as a result, did not have a material impact on the Company’s segment-related disclosures. Refer to the Segment Reporting section in Note 2 "Summary of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December 2023, the FASB issued a new income tax-related accounting guidance in ASU 2023-09, </w:t>
      </w:r>
      <w:r>
        <w:rPr>
          <w:rFonts w:ascii="Arial" w:cs="Arial" w:eastAsia="Arial" w:hAnsi="Arial"/>
          <w:sz w:val="18"/>
          <w:szCs w:val="18"/>
          <w:i w:val="1"/>
          <w:iCs w:val="1"/>
          <w:color w:val="auto"/>
        </w:rPr>
        <w:t>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The standard requires disaggregated information about a reporting entity’s effective tax rate reconciliation as well as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income taxes paid. For public business entities, the new requirements will be effective for annual periods beginning after December 15, 2024. The guidance will be applied on a prospective basis with the option to apply the standard retrospectively. Early adoption is permitted. The Company did not early adopt this guidance as of December 31, 2024. The Company does not expect the adoption of ASU 2023-09 to have a material impact on its consolidated financial statements.</w:t>
      </w:r>
    </w:p>
    <w:p>
      <w:pPr>
        <w:spacing w:after="0" w:line="179"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assesses the fair value of financial instruments based on the provisions of ASC 820,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76" w:lineRule="exact"/>
        <w:rPr>
          <w:sz w:val="20"/>
          <w:szCs w:val="20"/>
          <w:color w:val="auto"/>
        </w:rPr>
      </w:pPr>
    </w:p>
    <w:p>
      <w:pPr>
        <w:ind w:left="760" w:right="20" w:hanging="378"/>
        <w:spacing w:after="0" w:line="270" w:lineRule="auto"/>
        <w:tabs>
          <w:tab w:leader="none" w:pos="76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5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0" w:hanging="378"/>
        <w:spacing w:after="0" w:line="270" w:lineRule="auto"/>
        <w:tabs>
          <w:tab w:leader="none" w:pos="76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2160" w:type="dxa"/>
            <w:vAlign w:val="bottom"/>
            <w:tcBorders>
              <w:top w:val="single" w:sz="8" w:color="auto"/>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rPr>
              <w:t>December 31, 2024</w:t>
            </w:r>
          </w:p>
        </w:tc>
        <w:tc>
          <w:tcPr>
            <w:tcW w:w="4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40" w:type="dxa"/>
            <w:vAlign w:val="bottom"/>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Level 2</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6,489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16"/>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03"/>
        </w:trPr>
        <w:tc>
          <w:tcPr>
            <w:tcW w:w="5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118,955</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7"/>
                <w:szCs w:val="17"/>
                <w:color w:val="auto"/>
              </w:rPr>
            </w:pPr>
          </w:p>
        </w:tc>
        <w:tc>
          <w:tcPr>
            <w:tcW w:w="4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118,955</w:t>
            </w:r>
          </w:p>
        </w:tc>
        <w:tc>
          <w:tcPr>
            <w:tcW w:w="0" w:type="dxa"/>
            <w:vAlign w:val="bottom"/>
          </w:tcPr>
          <w:p>
            <w:pPr>
              <w:spacing w:after="0"/>
              <w:rPr>
                <w:sz w:val="1"/>
                <w:szCs w:val="1"/>
                <w:color w:val="auto"/>
              </w:rPr>
            </w:pPr>
          </w:p>
        </w:tc>
      </w:tr>
      <w:tr>
        <w:trPr>
          <w:trHeight w:val="203"/>
        </w:trPr>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7"/>
                <w:szCs w:val="17"/>
                <w:color w:val="auto"/>
              </w:rPr>
            </w:pPr>
          </w:p>
        </w:tc>
        <w:tc>
          <w:tcPr>
            <w:tcW w:w="10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109,432</w:t>
            </w:r>
          </w:p>
        </w:tc>
        <w:tc>
          <w:tcPr>
            <w:tcW w:w="1040" w:type="dxa"/>
            <w:vAlign w:val="bottom"/>
          </w:tcPr>
          <w:p>
            <w:pPr>
              <w:spacing w:after="0"/>
              <w:rPr>
                <w:sz w:val="17"/>
                <w:szCs w:val="17"/>
                <w:color w:val="auto"/>
              </w:rPr>
            </w:pPr>
          </w:p>
        </w:tc>
        <w:tc>
          <w:tcPr>
            <w:tcW w:w="4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109,432</w:t>
            </w:r>
          </w:p>
        </w:tc>
        <w:tc>
          <w:tcPr>
            <w:tcW w:w="0" w:type="dxa"/>
            <w:vAlign w:val="bottom"/>
          </w:tcPr>
          <w:p>
            <w:pPr>
              <w:spacing w:after="0"/>
              <w:rPr>
                <w:sz w:val="1"/>
                <w:szCs w:val="1"/>
                <w:color w:val="auto"/>
              </w:rPr>
            </w:pPr>
          </w:p>
        </w:tc>
      </w:tr>
      <w:tr>
        <w:trPr>
          <w:trHeight w:val="203"/>
        </w:trPr>
        <w:tc>
          <w:tcPr>
            <w:tcW w:w="5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43,409</w:t>
            </w:r>
          </w:p>
        </w:tc>
        <w:tc>
          <w:tcPr>
            <w:tcW w:w="1040" w:type="dxa"/>
            <w:vAlign w:val="bottom"/>
            <w:shd w:val="clear" w:color="auto" w:fill="CFF0FC"/>
          </w:tcPr>
          <w:p>
            <w:pPr>
              <w:spacing w:after="0"/>
              <w:rPr>
                <w:sz w:val="17"/>
                <w:szCs w:val="17"/>
                <w:color w:val="auto"/>
              </w:rPr>
            </w:pPr>
          </w:p>
        </w:tc>
        <w:tc>
          <w:tcPr>
            <w:tcW w:w="4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43,409</w:t>
            </w:r>
          </w:p>
        </w:tc>
        <w:tc>
          <w:tcPr>
            <w:tcW w:w="0" w:type="dxa"/>
            <w:vAlign w:val="bottom"/>
          </w:tcPr>
          <w:p>
            <w:pPr>
              <w:spacing w:after="0"/>
              <w:rPr>
                <w:sz w:val="1"/>
                <w:szCs w:val="1"/>
                <w:color w:val="auto"/>
              </w:rPr>
            </w:pPr>
          </w:p>
        </w:tc>
      </w:tr>
      <w:tr>
        <w:trPr>
          <w:trHeight w:val="203"/>
        </w:trPr>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U.S. government treasury bills</w:t>
            </w:r>
          </w:p>
        </w:tc>
        <w:tc>
          <w:tcPr>
            <w:tcW w:w="240" w:type="dxa"/>
            <w:vAlign w:val="bottom"/>
          </w:tcPr>
          <w:p>
            <w:pPr>
              <w:spacing w:after="0"/>
              <w:rPr>
                <w:sz w:val="17"/>
                <w:szCs w:val="17"/>
                <w:color w:val="auto"/>
              </w:rPr>
            </w:pPr>
          </w:p>
        </w:tc>
        <w:tc>
          <w:tcPr>
            <w:tcW w:w="10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144,741</w:t>
            </w:r>
          </w:p>
        </w:tc>
        <w:tc>
          <w:tcPr>
            <w:tcW w:w="30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7"/>
                <w:szCs w:val="17"/>
                <w:color w:val="auto"/>
              </w:rPr>
            </w:pPr>
          </w:p>
        </w:tc>
        <w:tc>
          <w:tcPr>
            <w:tcW w:w="4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144,741</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11,714</w:t>
            </w:r>
          </w:p>
        </w:tc>
        <w:tc>
          <w:tcPr>
            <w:tcW w:w="10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270,185</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164,555</w:t>
            </w:r>
          </w:p>
        </w:tc>
        <w:tc>
          <w:tcPr>
            <w:tcW w:w="1040" w:type="dxa"/>
            <w:vAlign w:val="bottom"/>
            <w:tcBorders>
              <w:bottom w:val="single" w:sz="8" w:color="auto"/>
            </w:tcBorders>
          </w:tcPr>
          <w:p>
            <w:pPr>
              <w:jc w:val="right"/>
              <w:ind w:right="716"/>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434,740</w:t>
            </w:r>
          </w:p>
        </w:tc>
        <w:tc>
          <w:tcPr>
            <w:tcW w:w="0" w:type="dxa"/>
            <w:vAlign w:val="bottom"/>
          </w:tcPr>
          <w:p>
            <w:pPr>
              <w:spacing w:after="0"/>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60" w:type="dxa"/>
            <w:vAlign w:val="bottom"/>
            <w:gridSpan w:val="2"/>
          </w:tcPr>
          <w:p>
            <w:pPr>
              <w:jc w:val="right"/>
              <w:ind w:right="716"/>
              <w:spacing w:after="0" w:line="155" w:lineRule="exact"/>
              <w:rPr>
                <w:sz w:val="20"/>
                <w:szCs w:val="20"/>
                <w:color w:val="auto"/>
              </w:rPr>
            </w:pPr>
            <w:r>
              <w:rPr>
                <w:rFonts w:ascii="Arial" w:cs="Arial" w:eastAsia="Arial" w:hAnsi="Arial"/>
                <w:sz w:val="14"/>
                <w:szCs w:val="14"/>
                <w:b w:val="1"/>
                <w:bCs w:val="1"/>
                <w:color w:val="auto"/>
              </w:rPr>
              <w:t>December 31, 2024</w:t>
            </w: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24"/>
              <w:spacing w:after="0" w:line="147" w:lineRule="exact"/>
              <w:rPr>
                <w:sz w:val="20"/>
                <w:szCs w:val="20"/>
                <w:color w:val="auto"/>
              </w:rPr>
            </w:pPr>
            <w:r>
              <w:rPr>
                <w:rFonts w:ascii="Arial" w:cs="Arial" w:eastAsia="Arial" w:hAnsi="Arial"/>
                <w:sz w:val="14"/>
                <w:szCs w:val="14"/>
                <w:b w:val="1"/>
                <w:bCs w:val="1"/>
                <w:color w:val="auto"/>
              </w:rPr>
              <w:t>Gross</w:t>
            </w: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Gross</w:t>
            </w: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rPr>
              <w:t>Amortized</w:t>
            </w:r>
          </w:p>
        </w:tc>
        <w:tc>
          <w:tcPr>
            <w:tcW w:w="1340" w:type="dxa"/>
            <w:vAlign w:val="bottom"/>
            <w:gridSpan w:val="2"/>
          </w:tcPr>
          <w:p>
            <w:pPr>
              <w:jc w:val="center"/>
              <w:ind w:left="513"/>
              <w:spacing w:after="0"/>
              <w:rPr>
                <w:sz w:val="20"/>
                <w:szCs w:val="20"/>
                <w:color w:val="auto"/>
              </w:rPr>
            </w:pPr>
            <w:r>
              <w:rPr>
                <w:rFonts w:ascii="Arial" w:cs="Arial" w:eastAsia="Arial" w:hAnsi="Arial"/>
                <w:sz w:val="14"/>
                <w:szCs w:val="14"/>
                <w:b w:val="1"/>
                <w:bCs w:val="1"/>
                <w:color w:val="auto"/>
              </w:rPr>
              <w:t>Unrealized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ind w:left="4"/>
              <w:spacing w:after="0"/>
              <w:rPr>
                <w:sz w:val="20"/>
                <w:szCs w:val="20"/>
                <w:color w:val="auto"/>
              </w:rPr>
            </w:pPr>
            <w:r>
              <w:rPr>
                <w:rFonts w:ascii="Arial" w:cs="Arial" w:eastAsia="Arial" w:hAnsi="Arial"/>
                <w:sz w:val="14"/>
                <w:szCs w:val="14"/>
                <w:b w:val="1"/>
                <w:bCs w:val="1"/>
                <w:color w:val="auto"/>
              </w:rPr>
              <w:t>Unrealized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rPr>
              <w:t>Cost</w:t>
            </w: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Gains</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Losses</w:t>
            </w: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142,706</w:t>
            </w:r>
          </w:p>
        </w:tc>
        <w:tc>
          <w:tcPr>
            <w:tcW w:w="7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4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142,710</w:t>
            </w:r>
          </w:p>
        </w:tc>
        <w:tc>
          <w:tcPr>
            <w:tcW w:w="0" w:type="dxa"/>
            <w:vAlign w:val="bottom"/>
          </w:tcPr>
          <w:p>
            <w:pPr>
              <w:spacing w:after="0"/>
              <w:rPr>
                <w:sz w:val="1"/>
                <w:szCs w:val="1"/>
                <w:color w:val="auto"/>
              </w:rPr>
            </w:pPr>
          </w:p>
        </w:tc>
      </w:tr>
      <w:tr>
        <w:trPr>
          <w:trHeight w:val="184"/>
        </w:trPr>
        <w:tc>
          <w:tcPr>
            <w:tcW w:w="482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Short-term marketable securities (&lt;12 months to</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maturity)</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219,062</w:t>
            </w: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93"/>
              </w:rPr>
              <w:t>185</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7"/>
              </w:rPr>
              <w:t>(57 )</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219,190</w:t>
            </w:r>
          </w:p>
        </w:tc>
        <w:tc>
          <w:tcPr>
            <w:tcW w:w="0" w:type="dxa"/>
            <w:vAlign w:val="bottom"/>
          </w:tcPr>
          <w:p>
            <w:pPr>
              <w:spacing w:after="0"/>
              <w:rPr>
                <w:sz w:val="1"/>
                <w:szCs w:val="1"/>
                <w:color w:val="auto"/>
              </w:rPr>
            </w:pPr>
          </w:p>
        </w:tc>
      </w:tr>
      <w:tr>
        <w:trPr>
          <w:trHeight w:val="184"/>
        </w:trPr>
        <w:tc>
          <w:tcPr>
            <w:tcW w:w="4820" w:type="dxa"/>
            <w:vAlign w:val="bottom"/>
          </w:tcPr>
          <w:p>
            <w:pPr>
              <w:ind w:left="280"/>
              <w:spacing w:after="0" w:line="183" w:lineRule="exact"/>
              <w:rPr>
                <w:sz w:val="20"/>
                <w:szCs w:val="20"/>
                <w:color w:val="auto"/>
              </w:rPr>
            </w:pPr>
            <w:r>
              <w:rPr>
                <w:rFonts w:ascii="Arial" w:cs="Arial" w:eastAsia="Arial" w:hAnsi="Arial"/>
                <w:sz w:val="18"/>
                <w:szCs w:val="18"/>
                <w:color w:val="auto"/>
              </w:rPr>
              <w:t>Long-term marketable securities (&gt;12 months to</w:t>
            </w:r>
          </w:p>
        </w:tc>
        <w:tc>
          <w:tcPr>
            <w:tcW w:w="220" w:type="dxa"/>
            <w:vAlign w:val="bottom"/>
          </w:tcPr>
          <w:p>
            <w:pPr>
              <w:spacing w:after="0"/>
              <w:rPr>
                <w:sz w:val="15"/>
                <w:szCs w:val="15"/>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72,829</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vMerge w:val="restart"/>
          </w:tcPr>
          <w:p>
            <w:pPr>
              <w:jc w:val="right"/>
              <w:ind w:right="91"/>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color w:val="auto"/>
                <w:w w:val="97"/>
              </w:rPr>
              <w:t>(42 )</w:t>
            </w:r>
          </w:p>
        </w:tc>
        <w:tc>
          <w:tcPr>
            <w:tcW w:w="360" w:type="dxa"/>
            <w:vAlign w:val="bottom"/>
          </w:tcPr>
          <w:p>
            <w:pPr>
              <w:spacing w:after="0"/>
              <w:rPr>
                <w:sz w:val="15"/>
                <w:szCs w:val="15"/>
                <w:color w:val="auto"/>
              </w:rPr>
            </w:pP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color w:val="auto"/>
              </w:rPr>
              <w:t>72,840</w:t>
            </w:r>
          </w:p>
        </w:tc>
        <w:tc>
          <w:tcPr>
            <w:tcW w:w="0" w:type="dxa"/>
            <w:vAlign w:val="bottom"/>
          </w:tcPr>
          <w:p>
            <w:pPr>
              <w:spacing w:after="0"/>
              <w:rPr>
                <w:sz w:val="1"/>
                <w:szCs w:val="1"/>
                <w:color w:val="auto"/>
              </w:rPr>
            </w:pPr>
          </w:p>
        </w:tc>
      </w:tr>
      <w:tr>
        <w:trPr>
          <w:trHeight w:val="208"/>
        </w:trPr>
        <w:tc>
          <w:tcPr>
            <w:tcW w:w="4820" w:type="dxa"/>
            <w:vAlign w:val="bottom"/>
          </w:tcPr>
          <w:p>
            <w:pPr>
              <w:ind w:left="280"/>
              <w:spacing w:after="0"/>
              <w:rPr>
                <w:sz w:val="20"/>
                <w:szCs w:val="20"/>
                <w:color w:val="auto"/>
              </w:rPr>
            </w:pPr>
            <w:r>
              <w:rPr>
                <w:rFonts w:ascii="Arial" w:cs="Arial" w:eastAsia="Arial" w:hAnsi="Arial"/>
                <w:sz w:val="18"/>
                <w:szCs w:val="18"/>
                <w:color w:val="auto"/>
              </w:rPr>
              <w:t>maturity)</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auto"/>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434,597</w:t>
            </w:r>
          </w:p>
        </w:tc>
        <w:tc>
          <w:tcPr>
            <w:tcW w:w="700" w:type="dxa"/>
            <w:vAlign w:val="bottom"/>
            <w:tcBorders>
              <w:bottom w:val="single" w:sz="8" w:color="auto"/>
            </w:tcBorders>
            <w:shd w:val="clear" w:color="auto" w:fill="CFF0FC"/>
          </w:tcPr>
          <w:p>
            <w:pPr>
              <w:jc w:val="right"/>
              <w:ind w:right="213"/>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w w:val="93"/>
              </w:rPr>
              <w:t>242</w:t>
            </w:r>
          </w:p>
        </w:tc>
        <w:tc>
          <w:tcPr>
            <w:tcW w:w="3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7"/>
              </w:rPr>
              <w:t>(99 )</w:t>
            </w:r>
          </w:p>
        </w:tc>
        <w:tc>
          <w:tcPr>
            <w:tcW w:w="36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434,740</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4"/>
              <w:spacing w:after="0" w:line="155" w:lineRule="exact"/>
              <w:rPr>
                <w:sz w:val="20"/>
                <w:szCs w:val="20"/>
                <w:color w:val="auto"/>
              </w:rPr>
            </w:pPr>
            <w:r>
              <w:rPr>
                <w:rFonts w:ascii="Arial" w:cs="Arial" w:eastAsia="Arial" w:hAnsi="Arial"/>
                <w:sz w:val="14"/>
                <w:szCs w:val="14"/>
                <w:b w:val="1"/>
                <w:bCs w:val="1"/>
                <w:color w:val="auto"/>
              </w:rPr>
              <w:t>December 31, 2023</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313"/>
              <w:spacing w:after="0" w:line="155" w:lineRule="exact"/>
              <w:rPr>
                <w:sz w:val="20"/>
                <w:szCs w:val="20"/>
                <w:color w:val="auto"/>
              </w:rPr>
            </w:pPr>
            <w:r>
              <w:rPr>
                <w:rFonts w:ascii="Arial" w:cs="Arial" w:eastAsia="Arial" w:hAnsi="Arial"/>
                <w:sz w:val="14"/>
                <w:szCs w:val="14"/>
                <w:b w:val="1"/>
                <w:bCs w:val="1"/>
                <w:color w:val="auto"/>
              </w:rPr>
              <w:t>Level 1</w:t>
            </w:r>
          </w:p>
        </w:tc>
        <w:tc>
          <w:tcPr>
            <w:tcW w:w="11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82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CECFF"/>
          </w:tcPr>
          <w:p>
            <w:pPr>
              <w:spacing w:after="0"/>
              <w:rPr>
                <w:sz w:val="17"/>
                <w:szCs w:val="17"/>
                <w:color w:val="auto"/>
              </w:rPr>
            </w:pPr>
          </w:p>
        </w:tc>
        <w:tc>
          <w:tcPr>
            <w:tcW w:w="60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64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1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80"/>
              <w:spacing w:after="0" w:line="202" w:lineRule="exact"/>
              <w:rPr>
                <w:sz w:val="20"/>
                <w:szCs w:val="20"/>
                <w:color w:val="auto"/>
              </w:rPr>
            </w:pPr>
            <w:r>
              <w:rPr>
                <w:rFonts w:ascii="Arial" w:cs="Arial" w:eastAsia="Arial" w:hAnsi="Arial"/>
                <w:sz w:val="18"/>
                <w:szCs w:val="18"/>
                <w:color w:val="auto"/>
              </w:rPr>
              <w:t>Cash</w:t>
            </w:r>
          </w:p>
        </w:tc>
        <w:tc>
          <w:tcPr>
            <w:tcW w:w="220" w:type="dxa"/>
            <w:vAlign w:val="bottom"/>
          </w:tcPr>
          <w:p>
            <w:pPr>
              <w:spacing w:after="0"/>
              <w:rPr>
                <w:sz w:val="17"/>
                <w:szCs w:val="17"/>
                <w:color w:val="auto"/>
              </w:rPr>
            </w:pPr>
          </w:p>
        </w:tc>
        <w:tc>
          <w:tcPr>
            <w:tcW w:w="114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3,570</w:t>
            </w:r>
          </w:p>
        </w:tc>
        <w:tc>
          <w:tcPr>
            <w:tcW w:w="640" w:type="dxa"/>
            <w:vAlign w:val="bottom"/>
          </w:tcPr>
          <w:p>
            <w:pPr>
              <w:jc w:val="center"/>
              <w:ind w:right="64"/>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484"/>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03"/>
        </w:trPr>
        <w:tc>
          <w:tcPr>
            <w:tcW w:w="4820" w:type="dxa"/>
            <w:vAlign w:val="bottom"/>
            <w:shd w:val="clear" w:color="auto" w:fill="CCECFF"/>
          </w:tcPr>
          <w:p>
            <w:pPr>
              <w:ind w:left="28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CFF"/>
          </w:tcPr>
          <w:p>
            <w:pPr>
              <w:spacing w:after="0"/>
              <w:rPr>
                <w:sz w:val="17"/>
                <w:szCs w:val="17"/>
                <w:color w:val="auto"/>
              </w:rPr>
            </w:pPr>
          </w:p>
        </w:tc>
        <w:tc>
          <w:tcPr>
            <w:tcW w:w="60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7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59,280</w:t>
            </w:r>
          </w:p>
        </w:tc>
        <w:tc>
          <w:tcPr>
            <w:tcW w:w="64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3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spacing w:after="0"/>
              <w:rPr>
                <w:sz w:val="17"/>
                <w:szCs w:val="17"/>
                <w:color w:val="auto"/>
              </w:rPr>
            </w:pPr>
          </w:p>
        </w:tc>
        <w:tc>
          <w:tcPr>
            <w:tcW w:w="5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17"/>
                <w:szCs w:val="17"/>
                <w:color w:val="auto"/>
              </w:rPr>
            </w:pPr>
          </w:p>
        </w:tc>
        <w:tc>
          <w:tcPr>
            <w:tcW w:w="1160" w:type="dxa"/>
            <w:vAlign w:val="bottom"/>
            <w:shd w:val="clear" w:color="auto" w:fill="CCECFF"/>
          </w:tcPr>
          <w:p>
            <w:pPr>
              <w:jc w:val="right"/>
              <w:ind w:right="35"/>
              <w:spacing w:after="0" w:line="202" w:lineRule="exact"/>
              <w:rPr>
                <w:sz w:val="20"/>
                <w:szCs w:val="20"/>
                <w:color w:val="auto"/>
              </w:rPr>
            </w:pPr>
            <w:r>
              <w:rPr>
                <w:rFonts w:ascii="Arial" w:cs="Arial" w:eastAsia="Arial" w:hAnsi="Arial"/>
                <w:sz w:val="18"/>
                <w:szCs w:val="18"/>
                <w:color w:val="auto"/>
              </w:rPr>
              <w:t>59,280</w:t>
            </w:r>
          </w:p>
        </w:tc>
        <w:tc>
          <w:tcPr>
            <w:tcW w:w="0" w:type="dxa"/>
            <w:vAlign w:val="bottom"/>
          </w:tcPr>
          <w:p>
            <w:pPr>
              <w:spacing w:after="0"/>
              <w:rPr>
                <w:sz w:val="1"/>
                <w:szCs w:val="1"/>
                <w:color w:val="auto"/>
              </w:rPr>
            </w:pPr>
          </w:p>
        </w:tc>
      </w:tr>
      <w:tr>
        <w:trPr>
          <w:trHeight w:val="203"/>
        </w:trPr>
        <w:tc>
          <w:tcPr>
            <w:tcW w:w="4820" w:type="dxa"/>
            <w:vAlign w:val="bottom"/>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105,017</w:t>
            </w:r>
          </w:p>
        </w:tc>
        <w:tc>
          <w:tcPr>
            <w:tcW w:w="8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105,017</w:t>
            </w:r>
          </w:p>
        </w:tc>
        <w:tc>
          <w:tcPr>
            <w:tcW w:w="0" w:type="dxa"/>
            <w:vAlign w:val="bottom"/>
          </w:tcPr>
          <w:p>
            <w:pPr>
              <w:spacing w:after="0"/>
              <w:rPr>
                <w:sz w:val="1"/>
                <w:szCs w:val="1"/>
                <w:color w:val="auto"/>
              </w:rPr>
            </w:pPr>
          </w:p>
        </w:tc>
      </w:tr>
      <w:tr>
        <w:trPr>
          <w:trHeight w:val="203"/>
        </w:trPr>
        <w:tc>
          <w:tcPr>
            <w:tcW w:w="4820" w:type="dxa"/>
            <w:vAlign w:val="bottom"/>
            <w:shd w:val="clear" w:color="auto" w:fill="CCECFF"/>
          </w:tcPr>
          <w:p>
            <w:pPr>
              <w:ind w:left="28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shd w:val="clear" w:color="auto" w:fill="CCECFF"/>
          </w:tcPr>
          <w:p>
            <w:pPr>
              <w:spacing w:after="0"/>
              <w:rPr>
                <w:sz w:val="17"/>
                <w:szCs w:val="17"/>
                <w:color w:val="auto"/>
              </w:rPr>
            </w:pPr>
          </w:p>
        </w:tc>
        <w:tc>
          <w:tcPr>
            <w:tcW w:w="60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7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CFF"/>
          </w:tcPr>
          <w:p>
            <w:pPr>
              <w:spacing w:after="0"/>
              <w:rPr>
                <w:sz w:val="17"/>
                <w:szCs w:val="17"/>
                <w:color w:val="auto"/>
              </w:rPr>
            </w:pPr>
          </w:p>
        </w:tc>
        <w:tc>
          <w:tcPr>
            <w:tcW w:w="82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12,627</w:t>
            </w:r>
          </w:p>
        </w:tc>
        <w:tc>
          <w:tcPr>
            <w:tcW w:w="840" w:type="dxa"/>
            <w:vAlign w:val="bottom"/>
            <w:shd w:val="clear" w:color="auto" w:fill="CCECFF"/>
          </w:tcPr>
          <w:p>
            <w:pPr>
              <w:spacing w:after="0"/>
              <w:rPr>
                <w:sz w:val="17"/>
                <w:szCs w:val="17"/>
                <w:color w:val="auto"/>
              </w:rPr>
            </w:pPr>
          </w:p>
        </w:tc>
        <w:tc>
          <w:tcPr>
            <w:tcW w:w="5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17"/>
                <w:szCs w:val="17"/>
                <w:color w:val="auto"/>
              </w:rPr>
            </w:pPr>
          </w:p>
        </w:tc>
        <w:tc>
          <w:tcPr>
            <w:tcW w:w="1160" w:type="dxa"/>
            <w:vAlign w:val="bottom"/>
            <w:shd w:val="clear" w:color="auto" w:fill="CCECFF"/>
          </w:tcPr>
          <w:p>
            <w:pPr>
              <w:jc w:val="right"/>
              <w:ind w:right="35"/>
              <w:spacing w:after="0" w:line="202" w:lineRule="exact"/>
              <w:rPr>
                <w:sz w:val="20"/>
                <w:szCs w:val="20"/>
                <w:color w:val="auto"/>
              </w:rPr>
            </w:pPr>
            <w:r>
              <w:rPr>
                <w:rFonts w:ascii="Arial" w:cs="Arial" w:eastAsia="Arial" w:hAnsi="Arial"/>
                <w:sz w:val="18"/>
                <w:szCs w:val="18"/>
                <w:color w:val="auto"/>
              </w:rPr>
              <w:t>12,627</w:t>
            </w:r>
          </w:p>
        </w:tc>
        <w:tc>
          <w:tcPr>
            <w:tcW w:w="0" w:type="dxa"/>
            <w:vAlign w:val="bottom"/>
          </w:tcPr>
          <w:p>
            <w:pPr>
              <w:spacing w:after="0"/>
              <w:rPr>
                <w:sz w:val="1"/>
                <w:szCs w:val="1"/>
                <w:color w:val="auto"/>
              </w:rPr>
            </w:pPr>
          </w:p>
        </w:tc>
      </w:tr>
      <w:tr>
        <w:trPr>
          <w:trHeight w:val="203"/>
        </w:trPr>
        <w:tc>
          <w:tcPr>
            <w:tcW w:w="4820" w:type="dxa"/>
            <w:vAlign w:val="bottom"/>
          </w:tcPr>
          <w:p>
            <w:pPr>
              <w:ind w:left="280"/>
              <w:spacing w:after="0" w:line="202" w:lineRule="exact"/>
              <w:rPr>
                <w:sz w:val="20"/>
                <w:szCs w:val="20"/>
                <w:color w:val="auto"/>
              </w:rPr>
            </w:pPr>
            <w:r>
              <w:rPr>
                <w:rFonts w:ascii="Arial" w:cs="Arial" w:eastAsia="Arial" w:hAnsi="Arial"/>
                <w:sz w:val="18"/>
                <w:szCs w:val="18"/>
                <w:color w:val="auto"/>
              </w:rPr>
              <w:t>U.S. government treasury bills</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60,012</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60,012</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CECFF"/>
            </w:tcBorders>
            <w:shd w:val="clear" w:color="auto" w:fill="CCECFF"/>
          </w:tcPr>
          <w:p>
            <w:pPr>
              <w:ind w:left="28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220" w:type="dxa"/>
            <w:vAlign w:val="bottom"/>
            <w:tcBorders>
              <w:bottom w:val="single" w:sz="8" w:color="CCECFF"/>
            </w:tcBorders>
            <w:shd w:val="clear" w:color="auto" w:fill="CCECFF"/>
          </w:tcPr>
          <w:p>
            <w:pPr>
              <w:spacing w:after="0"/>
              <w:rPr>
                <w:sz w:val="17"/>
                <w:szCs w:val="17"/>
                <w:color w:val="auto"/>
              </w:rPr>
            </w:pPr>
          </w:p>
        </w:tc>
        <w:tc>
          <w:tcPr>
            <w:tcW w:w="600" w:type="dxa"/>
            <w:vAlign w:val="bottom"/>
            <w:tcBorders>
              <w:bottom w:val="single" w:sz="8" w:color="CCECFF"/>
            </w:tcBorders>
            <w:shd w:val="clear" w:color="auto" w:fill="CCECFF"/>
          </w:tcPr>
          <w:p>
            <w:pPr>
              <w:spacing w:after="0"/>
              <w:rPr>
                <w:sz w:val="17"/>
                <w:szCs w:val="17"/>
                <w:color w:val="auto"/>
              </w:rPr>
            </w:pPr>
          </w:p>
        </w:tc>
        <w:tc>
          <w:tcPr>
            <w:tcW w:w="540" w:type="dxa"/>
            <w:vAlign w:val="bottom"/>
            <w:tcBorders>
              <w:bottom w:val="single" w:sz="8" w:color="auto"/>
            </w:tcBorders>
            <w:shd w:val="clear" w:color="auto" w:fill="CCECFF"/>
          </w:tcPr>
          <w:p>
            <w:pPr>
              <w:spacing w:after="0"/>
              <w:rPr>
                <w:sz w:val="17"/>
                <w:szCs w:val="17"/>
                <w:color w:val="auto"/>
              </w:rPr>
            </w:pPr>
          </w:p>
        </w:tc>
        <w:tc>
          <w:tcPr>
            <w:tcW w:w="7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CFF"/>
          </w:tcPr>
          <w:p>
            <w:pPr>
              <w:spacing w:after="0"/>
              <w:rPr>
                <w:sz w:val="17"/>
                <w:szCs w:val="17"/>
                <w:color w:val="auto"/>
              </w:rPr>
            </w:pPr>
          </w:p>
        </w:tc>
        <w:tc>
          <w:tcPr>
            <w:tcW w:w="820" w:type="dxa"/>
            <w:vAlign w:val="bottom"/>
            <w:tcBorders>
              <w:bottom w:val="single" w:sz="8" w:color="auto"/>
            </w:tcBorders>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21,606</w:t>
            </w:r>
          </w:p>
        </w:tc>
        <w:tc>
          <w:tcPr>
            <w:tcW w:w="840" w:type="dxa"/>
            <w:vAlign w:val="bottom"/>
            <w:tcBorders>
              <w:bottom w:val="single" w:sz="8" w:color="auto"/>
            </w:tcBorders>
            <w:shd w:val="clear" w:color="auto" w:fill="CCECFF"/>
          </w:tcPr>
          <w:p>
            <w:pPr>
              <w:spacing w:after="0"/>
              <w:rPr>
                <w:sz w:val="17"/>
                <w:szCs w:val="17"/>
                <w:color w:val="auto"/>
              </w:rPr>
            </w:pPr>
          </w:p>
        </w:tc>
        <w:tc>
          <w:tcPr>
            <w:tcW w:w="5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CFF"/>
          </w:tcPr>
          <w:p>
            <w:pPr>
              <w:spacing w:after="0"/>
              <w:rPr>
                <w:sz w:val="17"/>
                <w:szCs w:val="17"/>
                <w:color w:val="auto"/>
              </w:rPr>
            </w:pPr>
          </w:p>
        </w:tc>
        <w:tc>
          <w:tcPr>
            <w:tcW w:w="1160" w:type="dxa"/>
            <w:vAlign w:val="bottom"/>
            <w:tcBorders>
              <w:bottom w:val="single" w:sz="8" w:color="auto"/>
            </w:tcBorders>
            <w:shd w:val="clear" w:color="auto" w:fill="CCECFF"/>
          </w:tcPr>
          <w:p>
            <w:pPr>
              <w:jc w:val="right"/>
              <w:ind w:right="35"/>
              <w:spacing w:after="0" w:line="202" w:lineRule="exact"/>
              <w:rPr>
                <w:sz w:val="20"/>
                <w:szCs w:val="20"/>
                <w:color w:val="auto"/>
              </w:rPr>
            </w:pPr>
            <w:r>
              <w:rPr>
                <w:rFonts w:ascii="Arial" w:cs="Arial" w:eastAsia="Arial" w:hAnsi="Arial"/>
                <w:sz w:val="18"/>
                <w:szCs w:val="18"/>
                <w:color w:val="auto"/>
              </w:rPr>
              <w:t>21,606</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348"/>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122,862</w:t>
            </w:r>
          </w:p>
        </w:tc>
        <w:tc>
          <w:tcPr>
            <w:tcW w:w="640" w:type="dxa"/>
            <w:vAlign w:val="bottom"/>
            <w:tcBorders>
              <w:bottom w:val="single" w:sz="8" w:color="auto"/>
            </w:tcBorders>
          </w:tcPr>
          <w:p>
            <w:pPr>
              <w:jc w:val="center"/>
              <w:ind w:right="24"/>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139,250</w:t>
            </w:r>
          </w:p>
        </w:tc>
        <w:tc>
          <w:tcPr>
            <w:tcW w:w="840" w:type="dxa"/>
            <w:vAlign w:val="bottom"/>
            <w:tcBorders>
              <w:bottom w:val="single" w:sz="8" w:color="auto"/>
            </w:tcBorders>
          </w:tcPr>
          <w:p>
            <w:pPr>
              <w:jc w:val="right"/>
              <w:ind w:right="484"/>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262,112</w:t>
            </w:r>
          </w:p>
        </w:tc>
        <w:tc>
          <w:tcPr>
            <w:tcW w:w="0" w:type="dxa"/>
            <w:vAlign w:val="bottom"/>
          </w:tcPr>
          <w:p>
            <w:pPr>
              <w:spacing w:after="0"/>
              <w:rPr>
                <w:sz w:val="1"/>
                <w:szCs w:val="1"/>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gridSpan w:val="4"/>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484"/>
              <w:spacing w:after="0" w:line="155" w:lineRule="exact"/>
              <w:rPr>
                <w:sz w:val="20"/>
                <w:szCs w:val="20"/>
                <w:color w:val="auto"/>
              </w:rPr>
            </w:pPr>
            <w:r>
              <w:rPr>
                <w:rFonts w:ascii="Arial" w:cs="Arial" w:eastAsia="Arial" w:hAnsi="Arial"/>
                <w:sz w:val="14"/>
                <w:szCs w:val="14"/>
                <w:b w:val="1"/>
                <w:bCs w:val="1"/>
                <w:color w:val="auto"/>
              </w:rPr>
              <w:t>December 31, 2023</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24"/>
              <w:spacing w:after="0" w:line="147"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rPr>
              <w:t>Amortized</w:t>
            </w:r>
          </w:p>
        </w:tc>
        <w:tc>
          <w:tcPr>
            <w:tcW w:w="1340" w:type="dxa"/>
            <w:vAlign w:val="bottom"/>
            <w:gridSpan w:val="2"/>
          </w:tcPr>
          <w:p>
            <w:pPr>
              <w:jc w:val="center"/>
              <w:ind w:left="513"/>
              <w:spacing w:after="0"/>
              <w:rPr>
                <w:sz w:val="20"/>
                <w:szCs w:val="20"/>
                <w:color w:val="auto"/>
              </w:rPr>
            </w:pPr>
            <w:r>
              <w:rPr>
                <w:rFonts w:ascii="Arial" w:cs="Arial" w:eastAsia="Arial" w:hAnsi="Arial"/>
                <w:sz w:val="14"/>
                <w:szCs w:val="14"/>
                <w:b w:val="1"/>
                <w:bCs w:val="1"/>
                <w:color w:val="auto"/>
              </w:rPr>
              <w:t>Unrealized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ind w:left="4"/>
              <w:spacing w:after="0"/>
              <w:rPr>
                <w:sz w:val="20"/>
                <w:szCs w:val="20"/>
                <w:color w:val="auto"/>
              </w:rPr>
            </w:pPr>
            <w:r>
              <w:rPr>
                <w:rFonts w:ascii="Arial" w:cs="Arial" w:eastAsia="Arial" w:hAnsi="Arial"/>
                <w:sz w:val="14"/>
                <w:szCs w:val="14"/>
                <w:b w:val="1"/>
                <w:bCs w:val="1"/>
                <w:color w:val="auto"/>
              </w:rPr>
              <w:t>Unrealized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rPr>
              <w:t>Cost</w:t>
            </w: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Gains</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Losses</w:t>
            </w: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68,844</w:t>
            </w:r>
          </w:p>
        </w:tc>
        <w:tc>
          <w:tcPr>
            <w:tcW w:w="7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4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68,844</w:t>
            </w:r>
          </w:p>
        </w:tc>
        <w:tc>
          <w:tcPr>
            <w:tcW w:w="0" w:type="dxa"/>
            <w:vAlign w:val="bottom"/>
          </w:tcPr>
          <w:p>
            <w:pPr>
              <w:spacing w:after="0"/>
              <w:rPr>
                <w:sz w:val="1"/>
                <w:szCs w:val="1"/>
                <w:color w:val="auto"/>
              </w:rPr>
            </w:pPr>
          </w:p>
        </w:tc>
      </w:tr>
      <w:tr>
        <w:trPr>
          <w:trHeight w:val="184"/>
        </w:trPr>
        <w:tc>
          <w:tcPr>
            <w:tcW w:w="482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Short-term marketable securities (&lt;12 months to</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maturity)</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169,966</w:t>
            </w: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93"/>
              </w:rPr>
              <w:t>176</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(8 )</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170,134</w:t>
            </w:r>
          </w:p>
        </w:tc>
        <w:tc>
          <w:tcPr>
            <w:tcW w:w="0" w:type="dxa"/>
            <w:vAlign w:val="bottom"/>
          </w:tcPr>
          <w:p>
            <w:pPr>
              <w:spacing w:after="0"/>
              <w:rPr>
                <w:sz w:val="1"/>
                <w:szCs w:val="1"/>
                <w:color w:val="auto"/>
              </w:rPr>
            </w:pPr>
          </w:p>
        </w:tc>
      </w:tr>
      <w:tr>
        <w:trPr>
          <w:trHeight w:val="184"/>
        </w:trPr>
        <w:tc>
          <w:tcPr>
            <w:tcW w:w="4820" w:type="dxa"/>
            <w:vAlign w:val="bottom"/>
          </w:tcPr>
          <w:p>
            <w:pPr>
              <w:ind w:left="280"/>
              <w:spacing w:after="0" w:line="183" w:lineRule="exact"/>
              <w:rPr>
                <w:sz w:val="20"/>
                <w:szCs w:val="20"/>
                <w:color w:val="auto"/>
              </w:rPr>
            </w:pPr>
            <w:r>
              <w:rPr>
                <w:rFonts w:ascii="Arial" w:cs="Arial" w:eastAsia="Arial" w:hAnsi="Arial"/>
                <w:sz w:val="18"/>
                <w:szCs w:val="18"/>
                <w:color w:val="auto"/>
              </w:rPr>
              <w:t>Long-term marketable securities (&gt;12 months to</w:t>
            </w:r>
          </w:p>
        </w:tc>
        <w:tc>
          <w:tcPr>
            <w:tcW w:w="220" w:type="dxa"/>
            <w:vAlign w:val="bottom"/>
          </w:tcPr>
          <w:p>
            <w:pPr>
              <w:spacing w:after="0"/>
              <w:rPr>
                <w:sz w:val="15"/>
                <w:szCs w:val="15"/>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22,955</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vMerge w:val="restart"/>
          </w:tcPr>
          <w:p>
            <w:pPr>
              <w:jc w:val="right"/>
              <w:ind w:right="91"/>
              <w:spacing w:after="0"/>
              <w:rPr>
                <w:sz w:val="20"/>
                <w:szCs w:val="20"/>
                <w:color w:val="auto"/>
              </w:rPr>
            </w:pPr>
            <w:r>
              <w:rPr>
                <w:rFonts w:ascii="Arial" w:cs="Arial" w:eastAsia="Arial" w:hAnsi="Arial"/>
                <w:sz w:val="18"/>
                <w:szCs w:val="18"/>
                <w:color w:val="auto"/>
                <w:w w:val="93"/>
              </w:rPr>
              <w:t>179</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08"/>
        </w:trPr>
        <w:tc>
          <w:tcPr>
            <w:tcW w:w="4820" w:type="dxa"/>
            <w:vAlign w:val="bottom"/>
          </w:tcPr>
          <w:p>
            <w:pPr>
              <w:ind w:left="280"/>
              <w:spacing w:after="0"/>
              <w:rPr>
                <w:sz w:val="20"/>
                <w:szCs w:val="20"/>
                <w:color w:val="auto"/>
              </w:rPr>
            </w:pPr>
            <w:r>
              <w:rPr>
                <w:rFonts w:ascii="Arial" w:cs="Arial" w:eastAsia="Arial" w:hAnsi="Arial"/>
                <w:sz w:val="18"/>
                <w:szCs w:val="18"/>
                <w:color w:val="auto"/>
              </w:rPr>
              <w:t>maturity)</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auto"/>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261,765</w:t>
            </w:r>
          </w:p>
        </w:tc>
        <w:tc>
          <w:tcPr>
            <w:tcW w:w="700" w:type="dxa"/>
            <w:vAlign w:val="bottom"/>
            <w:tcBorders>
              <w:bottom w:val="single" w:sz="8" w:color="auto"/>
            </w:tcBorders>
            <w:shd w:val="clear" w:color="auto" w:fill="CFF0FC"/>
          </w:tcPr>
          <w:p>
            <w:pPr>
              <w:jc w:val="right"/>
              <w:ind w:right="213"/>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w w:val="93"/>
              </w:rPr>
              <w:t>355</w:t>
            </w:r>
          </w:p>
        </w:tc>
        <w:tc>
          <w:tcPr>
            <w:tcW w:w="3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(8 )</w:t>
            </w:r>
          </w:p>
        </w:tc>
        <w:tc>
          <w:tcPr>
            <w:tcW w:w="36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262,112</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marketable securities that have been in a consecutive loss position for more than 12 months as of December 31, 2024. During the year ended December 31, 2024, the Company did not recognize any other-than-temporary impairment loss. As of December 31, 2024, there was no allowance for losses on available-for-sale debt securities attributable to credit risk.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all of the Company’s cash and cash equivalents consisted of cash on deposit with U.S. banks denominated in U.</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 dollars and Australian dollars.</w:t>
      </w:r>
    </w:p>
    <w:p>
      <w:pPr>
        <w:spacing w:after="0" w:line="18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4.</w:t>
        <w:tab/>
        <w:t>Prepaid Expenses and Other Current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gridSpan w:val="2"/>
          </w:tcPr>
          <w:p>
            <w:pPr>
              <w:jc w:val="center"/>
              <w:ind w:right="17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5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bottom w:val="single" w:sz="8" w:color="auto"/>
            </w:tcBorders>
            <w:gridSpan w:val="2"/>
          </w:tcPr>
          <w:p>
            <w:pPr>
              <w:jc w:val="center"/>
              <w:ind w:left="528"/>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25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receivable</w:t>
            </w:r>
          </w:p>
        </w:tc>
        <w:tc>
          <w:tcPr>
            <w:tcW w:w="7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2,120</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673</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Prepaid insurance</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1,033</w:t>
            </w:r>
          </w:p>
        </w:tc>
        <w:tc>
          <w:tcPr>
            <w:tcW w:w="360" w:type="dxa"/>
            <w:vAlign w:val="bottom"/>
          </w:tcPr>
          <w:p>
            <w:pPr>
              <w:spacing w:after="0"/>
              <w:rPr>
                <w:sz w:val="17"/>
                <w:szCs w:val="17"/>
                <w:color w:val="auto"/>
              </w:rPr>
            </w:pPr>
          </w:p>
        </w:tc>
        <w:tc>
          <w:tcPr>
            <w:tcW w:w="1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1,239</w:t>
            </w:r>
          </w:p>
        </w:tc>
      </w:tr>
      <w:tr>
        <w:trPr>
          <w:trHeight w:val="203"/>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subscriptions and licenses</w:t>
            </w:r>
          </w:p>
        </w:tc>
        <w:tc>
          <w:tcPr>
            <w:tcW w:w="7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728</w:t>
            </w: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255</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Prepaid clinical development costs</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140</w:t>
            </w:r>
          </w:p>
        </w:tc>
        <w:tc>
          <w:tcPr>
            <w:tcW w:w="360" w:type="dxa"/>
            <w:vAlign w:val="bottom"/>
          </w:tcPr>
          <w:p>
            <w:pPr>
              <w:spacing w:after="0"/>
              <w:rPr>
                <w:sz w:val="17"/>
                <w:szCs w:val="17"/>
                <w:color w:val="auto"/>
              </w:rPr>
            </w:pPr>
          </w:p>
        </w:tc>
        <w:tc>
          <w:tcPr>
            <w:tcW w:w="1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858</w:t>
            </w:r>
          </w:p>
        </w:tc>
      </w:tr>
      <w:tr>
        <w:trPr>
          <w:trHeight w:val="203"/>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366</w:t>
            </w: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190</w:t>
            </w:r>
          </w:p>
        </w:tc>
      </w:tr>
      <w:tr>
        <w:trPr>
          <w:trHeight w:val="203"/>
        </w:trPr>
        <w:tc>
          <w:tcPr>
            <w:tcW w:w="64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Reimbursable research and development costs from a collaboration partner</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231F20"/>
            </w:tcBorders>
          </w:tcPr>
          <w:p>
            <w:pPr>
              <w:spacing w:after="0"/>
              <w:rPr>
                <w:sz w:val="17"/>
                <w:szCs w:val="17"/>
                <w:color w:val="auto"/>
              </w:rPr>
            </w:pPr>
          </w:p>
        </w:tc>
        <w:tc>
          <w:tcPr>
            <w:tcW w:w="1540" w:type="dxa"/>
            <w:vAlign w:val="bottom"/>
            <w:tcBorders>
              <w:bottom w:val="single" w:sz="8" w:color="231F20"/>
            </w:tcBorders>
          </w:tcPr>
          <w:p>
            <w:pPr>
              <w:jc w:val="right"/>
              <w:ind w:right="54"/>
              <w:spacing w:after="0" w:line="202" w:lineRule="exact"/>
              <w:rPr>
                <w:sz w:val="20"/>
                <w:szCs w:val="20"/>
                <w:color w:val="auto"/>
              </w:rPr>
            </w:pPr>
            <w:r>
              <w:rPr>
                <w:rFonts w:ascii="Arial" w:cs="Arial" w:eastAsia="Arial" w:hAnsi="Arial"/>
                <w:sz w:val="18"/>
                <w:szCs w:val="18"/>
                <w:color w:val="auto"/>
              </w:rPr>
              <w:t>1,491</w:t>
            </w:r>
          </w:p>
        </w:tc>
      </w:tr>
      <w:tr>
        <w:trPr>
          <w:trHeight w:val="236"/>
        </w:trPr>
        <w:tc>
          <w:tcPr>
            <w:tcW w:w="52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4,387</w:t>
            </w:r>
          </w:p>
        </w:tc>
        <w:tc>
          <w:tcPr>
            <w:tcW w:w="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4,706</w:t>
            </w:r>
          </w:p>
        </w:tc>
      </w:tr>
      <w:tr>
        <w:trPr>
          <w:trHeight w:val="443"/>
        </w:trPr>
        <w:tc>
          <w:tcPr>
            <w:tcW w:w="5280" w:type="dxa"/>
            <w:vAlign w:val="bottom"/>
          </w:tcPr>
          <w:p>
            <w:pPr>
              <w:spacing w:after="0"/>
              <w:rPr>
                <w:sz w:val="20"/>
                <w:szCs w:val="20"/>
                <w:color w:val="auto"/>
              </w:rPr>
            </w:pPr>
            <w:r>
              <w:rPr>
                <w:rFonts w:ascii="Arial" w:cs="Arial" w:eastAsia="Arial" w:hAnsi="Arial"/>
                <w:sz w:val="18"/>
                <w:szCs w:val="18"/>
                <w:color w:val="auto"/>
              </w:rPr>
              <w:t>5. Other Assets and Long-Term Deposits</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6460" w:type="dxa"/>
            <w:vAlign w:val="bottom"/>
            <w:gridSpan w:val="3"/>
          </w:tcPr>
          <w:p>
            <w:pPr>
              <w:spacing w:after="0"/>
              <w:rPr>
                <w:sz w:val="20"/>
                <w:szCs w:val="20"/>
                <w:color w:val="auto"/>
              </w:rPr>
            </w:pPr>
            <w:r>
              <w:rPr>
                <w:rFonts w:ascii="Arial" w:cs="Arial" w:eastAsia="Arial" w:hAnsi="Arial"/>
                <w:sz w:val="18"/>
                <w:szCs w:val="18"/>
                <w:color w:val="auto"/>
              </w:rPr>
              <w:t>Other assets and long-term deposits consisted of the following (in thousands):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5"/>
        </w:trPr>
        <w:tc>
          <w:tcPr>
            <w:tcW w:w="5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spacing w:after="0"/>
              <w:rPr>
                <w:sz w:val="16"/>
                <w:szCs w:val="16"/>
                <w:color w:val="auto"/>
              </w:rPr>
            </w:pPr>
          </w:p>
        </w:tc>
      </w:tr>
      <w:tr>
        <w:trPr>
          <w:trHeight w:val="155"/>
        </w:trPr>
        <w:tc>
          <w:tcPr>
            <w:tcW w:w="5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center"/>
              <w:ind w:right="668"/>
              <w:spacing w:after="0" w:line="155" w:lineRule="exact"/>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right"/>
              <w:ind w:right="754"/>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155"/>
        </w:trPr>
        <w:tc>
          <w:tcPr>
            <w:tcW w:w="5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05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Clinical development project deposits</w:t>
            </w:r>
          </w:p>
        </w:tc>
        <w:tc>
          <w:tcPr>
            <w:tcW w:w="118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2160" w:type="dxa"/>
            <w:vAlign w:val="bottom"/>
            <w:gridSpan w:val="4"/>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9,263</w:t>
            </w:r>
          </w:p>
        </w:tc>
        <w:tc>
          <w:tcPr>
            <w:tcW w:w="72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6,688</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60" w:type="dxa"/>
            <w:vAlign w:val="bottom"/>
            <w:gridSpan w:val="4"/>
          </w:tcPr>
          <w:p>
            <w:pPr>
              <w:jc w:val="right"/>
              <w:ind w:right="188"/>
              <w:spacing w:after="0" w:line="202" w:lineRule="exact"/>
              <w:rPr>
                <w:sz w:val="20"/>
                <w:szCs w:val="20"/>
                <w:color w:val="auto"/>
              </w:rPr>
            </w:pPr>
            <w:r>
              <w:rPr>
                <w:rFonts w:ascii="Arial" w:cs="Arial" w:eastAsia="Arial" w:hAnsi="Arial"/>
                <w:sz w:val="18"/>
                <w:szCs w:val="18"/>
                <w:color w:val="auto"/>
              </w:rPr>
              <w:t>746</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968</w:t>
            </w:r>
          </w:p>
        </w:tc>
      </w:tr>
      <w:tr>
        <w:trPr>
          <w:trHeight w:val="203"/>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System implementation costs</w:t>
            </w:r>
          </w:p>
        </w:tc>
        <w:tc>
          <w:tcPr>
            <w:tcW w:w="7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160" w:type="dxa"/>
            <w:vAlign w:val="bottom"/>
            <w:gridSpan w:val="4"/>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683</w:t>
            </w: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Security deposits</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60" w:type="dxa"/>
            <w:vAlign w:val="bottom"/>
            <w:gridSpan w:val="4"/>
          </w:tcPr>
          <w:p>
            <w:pPr>
              <w:jc w:val="right"/>
              <w:ind w:right="188"/>
              <w:spacing w:after="0" w:line="202" w:lineRule="exact"/>
              <w:rPr>
                <w:sz w:val="20"/>
                <w:szCs w:val="20"/>
                <w:color w:val="auto"/>
              </w:rPr>
            </w:pPr>
            <w:r>
              <w:rPr>
                <w:rFonts w:ascii="Arial" w:cs="Arial" w:eastAsia="Arial" w:hAnsi="Arial"/>
                <w:sz w:val="18"/>
                <w:szCs w:val="18"/>
                <w:color w:val="auto"/>
              </w:rPr>
              <w:t>485</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485</w:t>
            </w:r>
          </w:p>
        </w:tc>
      </w:tr>
      <w:tr>
        <w:trPr>
          <w:trHeight w:val="203"/>
        </w:trPr>
        <w:tc>
          <w:tcPr>
            <w:tcW w:w="5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7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2160" w:type="dxa"/>
            <w:vAlign w:val="bottom"/>
            <w:tcBorders>
              <w:bottom w:val="single" w:sz="8" w:color="auto"/>
            </w:tcBorders>
            <w:gridSpan w:val="4"/>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15</w:t>
            </w:r>
          </w:p>
        </w:tc>
        <w:tc>
          <w:tcPr>
            <w:tcW w:w="7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w:t>
            </w:r>
          </w:p>
        </w:tc>
      </w:tr>
      <w:tr>
        <w:trPr>
          <w:trHeight w:val="196"/>
        </w:trPr>
        <w:tc>
          <w:tcPr>
            <w:tcW w:w="5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gridSpan w:val="2"/>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gridSpan w:val="4"/>
          </w:tcPr>
          <w:p>
            <w:pPr>
              <w:jc w:val="right"/>
              <w:ind w:right="188"/>
              <w:spacing w:after="0" w:line="196" w:lineRule="exact"/>
              <w:rPr>
                <w:sz w:val="20"/>
                <w:szCs w:val="20"/>
                <w:color w:val="auto"/>
              </w:rPr>
            </w:pPr>
            <w:r>
              <w:rPr>
                <w:rFonts w:ascii="Arial" w:cs="Arial" w:eastAsia="Arial" w:hAnsi="Arial"/>
                <w:sz w:val="18"/>
                <w:szCs w:val="18"/>
                <w:color w:val="auto"/>
              </w:rPr>
              <w:t>11,192</w:t>
            </w:r>
          </w:p>
        </w:tc>
        <w:tc>
          <w:tcPr>
            <w:tcW w:w="7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8,141</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16"/>
        </w:trPr>
        <w:tc>
          <w:tcPr>
            <w:tcW w:w="5280" w:type="dxa"/>
            <w:vAlign w:val="bottom"/>
          </w:tcPr>
          <w:p>
            <w:pPr>
              <w:spacing w:after="0"/>
              <w:rPr>
                <w:sz w:val="20"/>
                <w:szCs w:val="20"/>
                <w:color w:val="auto"/>
              </w:rPr>
            </w:pPr>
            <w:r>
              <w:rPr>
                <w:rFonts w:ascii="Arial" w:cs="Arial" w:eastAsia="Arial" w:hAnsi="Arial"/>
                <w:sz w:val="18"/>
                <w:szCs w:val="18"/>
                <w:color w:val="auto"/>
              </w:rPr>
              <w:t>6.  Other Current Liabilities</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9"/>
        </w:trPr>
        <w:tc>
          <w:tcPr>
            <w:tcW w:w="528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5"/>
        </w:trPr>
        <w:tc>
          <w:tcPr>
            <w:tcW w:w="5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55"/>
        </w:trPr>
        <w:tc>
          <w:tcPr>
            <w:tcW w:w="5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170"/>
              <w:spacing w:after="0" w:line="155" w:lineRule="exact"/>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194"/>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155"/>
        </w:trPr>
        <w:tc>
          <w:tcPr>
            <w:tcW w:w="5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Borders>
              <w:bottom w:val="single" w:sz="8" w:color="auto"/>
            </w:tcBorders>
            <w:gridSpan w:val="3"/>
          </w:tcPr>
          <w:p>
            <w:pPr>
              <w:jc w:val="center"/>
              <w:ind w:left="548"/>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21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research and development related costs</w:t>
            </w:r>
          </w:p>
        </w:tc>
        <w:tc>
          <w:tcPr>
            <w:tcW w:w="7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22,768</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11,322</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7,545</w:t>
            </w:r>
          </w:p>
        </w:tc>
        <w:tc>
          <w:tcPr>
            <w:tcW w:w="360" w:type="dxa"/>
            <w:vAlign w:val="bottom"/>
          </w:tcPr>
          <w:p>
            <w:pPr>
              <w:spacing w:after="0"/>
              <w:rPr>
                <w:sz w:val="17"/>
                <w:szCs w:val="17"/>
                <w:color w:val="auto"/>
              </w:rPr>
            </w:pPr>
          </w:p>
        </w:tc>
        <w:tc>
          <w:tcPr>
            <w:tcW w:w="15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903</w:t>
            </w:r>
          </w:p>
        </w:tc>
      </w:tr>
      <w:tr>
        <w:trPr>
          <w:trHeight w:val="202"/>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employee bonuses</w:t>
            </w:r>
          </w:p>
        </w:tc>
        <w:tc>
          <w:tcPr>
            <w:tcW w:w="7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5,661</w:t>
            </w: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5,465</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related costs</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w:t>
            </w:r>
          </w:p>
        </w:tc>
        <w:tc>
          <w:tcPr>
            <w:tcW w:w="360" w:type="dxa"/>
            <w:vAlign w:val="bottom"/>
          </w:tcPr>
          <w:p>
            <w:pPr>
              <w:spacing w:after="0"/>
              <w:rPr>
                <w:sz w:val="17"/>
                <w:szCs w:val="17"/>
                <w:color w:val="auto"/>
              </w:rPr>
            </w:pPr>
          </w:p>
        </w:tc>
        <w:tc>
          <w:tcPr>
            <w:tcW w:w="15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172</w:t>
            </w:r>
          </w:p>
        </w:tc>
      </w:tr>
      <w:tr>
        <w:trPr>
          <w:trHeight w:val="203"/>
        </w:trPr>
        <w:tc>
          <w:tcPr>
            <w:tcW w:w="5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taxes</w:t>
            </w:r>
          </w:p>
        </w:tc>
        <w:tc>
          <w:tcPr>
            <w:tcW w:w="7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231F20"/>
            </w:tcBorders>
            <w:shd w:val="clear" w:color="auto" w:fill="CFF0FC"/>
          </w:tcPr>
          <w:p>
            <w:pPr>
              <w:spacing w:after="0"/>
              <w:rPr>
                <w:sz w:val="17"/>
                <w:szCs w:val="17"/>
                <w:color w:val="auto"/>
              </w:rPr>
            </w:pPr>
          </w:p>
        </w:tc>
        <w:tc>
          <w:tcPr>
            <w:tcW w:w="120" w:type="dxa"/>
            <w:vAlign w:val="bottom"/>
            <w:tcBorders>
              <w:bottom w:val="single" w:sz="8" w:color="231F20"/>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41</w:t>
            </w:r>
          </w:p>
        </w:tc>
        <w:tc>
          <w:tcPr>
            <w:tcW w:w="360" w:type="dxa"/>
            <w:vAlign w:val="bottom"/>
            <w:tcBorders>
              <w:bottom w:val="single" w:sz="8" w:color="231F20"/>
            </w:tcBorders>
            <w:shd w:val="clear" w:color="auto" w:fill="CFF0FC"/>
          </w:tcPr>
          <w:p>
            <w:pPr>
              <w:spacing w:after="0"/>
              <w:rPr>
                <w:sz w:val="17"/>
                <w:szCs w:val="17"/>
                <w:color w:val="auto"/>
              </w:rPr>
            </w:pPr>
          </w:p>
        </w:tc>
        <w:tc>
          <w:tcPr>
            <w:tcW w:w="1540" w:type="dxa"/>
            <w:vAlign w:val="bottom"/>
            <w:tcBorders>
              <w:bottom w:val="single" w:sz="8" w:color="231F20"/>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73</w:t>
            </w:r>
          </w:p>
        </w:tc>
      </w:tr>
      <w:tr>
        <w:trPr>
          <w:trHeight w:val="196"/>
        </w:trPr>
        <w:tc>
          <w:tcPr>
            <w:tcW w:w="5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36,126</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17,935</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848"/>
        </w:trPr>
        <w:tc>
          <w:tcPr>
            <w:tcW w:w="528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745"/>
        </w:trPr>
        <w:tc>
          <w:tcPr>
            <w:tcW w:w="5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7.</w:t>
        <w:tab/>
        <w:t>Common Stock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each of the balance sheet dates below, the Company had reserved shares of common stock for issuance in connection with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December 31,</w:t>
            </w:r>
          </w:p>
        </w:tc>
        <w:tc>
          <w:tcPr>
            <w:tcW w:w="176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6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935"/>
              <w:spacing w:after="0"/>
              <w:rPr>
                <w:sz w:val="20"/>
                <w:szCs w:val="20"/>
                <w:color w:val="auto"/>
              </w:rPr>
            </w:pPr>
            <w:r>
              <w:rPr>
                <w:rFonts w:ascii="Arial" w:cs="Arial" w:eastAsia="Arial" w:hAnsi="Arial"/>
                <w:sz w:val="14"/>
                <w:szCs w:val="14"/>
                <w:b w:val="1"/>
                <w:bCs w:val="1"/>
                <w:color w:val="auto"/>
              </w:rPr>
              <w:t>2024</w:t>
            </w:r>
          </w:p>
        </w:tc>
        <w:tc>
          <w:tcPr>
            <w:tcW w:w="17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2023</w:t>
            </w: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outstanding under the 2014 Stock Plan</w:t>
            </w:r>
          </w:p>
        </w:tc>
        <w:tc>
          <w:tcPr>
            <w:tcW w:w="2020" w:type="dxa"/>
            <w:vAlign w:val="bottom"/>
            <w:gridSpan w:val="2"/>
            <w:shd w:val="clear" w:color="auto" w:fill="CFF0FC"/>
          </w:tcPr>
          <w:p>
            <w:pPr>
              <w:jc w:val="right"/>
              <w:ind w:right="255"/>
              <w:spacing w:after="0" w:line="196" w:lineRule="exact"/>
              <w:rPr>
                <w:sz w:val="20"/>
                <w:szCs w:val="20"/>
                <w:color w:val="auto"/>
              </w:rPr>
            </w:pPr>
            <w:r>
              <w:rPr>
                <w:rFonts w:ascii="Arial" w:cs="Arial" w:eastAsia="Arial" w:hAnsi="Arial"/>
                <w:sz w:val="18"/>
                <w:szCs w:val="18"/>
                <w:color w:val="auto"/>
              </w:rPr>
              <w:t>1,875,140</w:t>
            </w:r>
          </w:p>
        </w:tc>
        <w:tc>
          <w:tcPr>
            <w:tcW w:w="176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1,875,140</w:t>
            </w: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Options outstanding under the 2020 Equity Incentive Plan</w:t>
            </w:r>
          </w:p>
        </w:tc>
        <w:tc>
          <w:tcPr>
            <w:tcW w:w="2020" w:type="dxa"/>
            <w:vAlign w:val="bottom"/>
            <w:gridSpan w:val="2"/>
          </w:tcPr>
          <w:p>
            <w:pPr>
              <w:jc w:val="right"/>
              <w:ind w:right="255"/>
              <w:spacing w:after="0" w:line="202" w:lineRule="exact"/>
              <w:rPr>
                <w:sz w:val="20"/>
                <w:szCs w:val="20"/>
                <w:color w:val="auto"/>
              </w:rPr>
            </w:pPr>
            <w:r>
              <w:rPr>
                <w:rFonts w:ascii="Arial" w:cs="Arial" w:eastAsia="Arial" w:hAnsi="Arial"/>
                <w:sz w:val="18"/>
                <w:szCs w:val="18"/>
                <w:color w:val="auto"/>
              </w:rPr>
              <w:t>7,786,735</w:t>
            </w:r>
          </w:p>
        </w:tc>
        <w:tc>
          <w:tcPr>
            <w:tcW w:w="1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5,669,961</w:t>
            </w: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outstanding under the 2022 Inducement Plan</w:t>
            </w:r>
          </w:p>
        </w:tc>
        <w:tc>
          <w:tcPr>
            <w:tcW w:w="2020" w:type="dxa"/>
            <w:vAlign w:val="bottom"/>
            <w:gridSpan w:val="2"/>
            <w:shd w:val="clear" w:color="auto" w:fill="CFF0FC"/>
          </w:tcPr>
          <w:p>
            <w:pPr>
              <w:jc w:val="right"/>
              <w:ind w:right="255"/>
              <w:spacing w:after="0" w:line="202" w:lineRule="exact"/>
              <w:rPr>
                <w:sz w:val="20"/>
                <w:szCs w:val="20"/>
                <w:color w:val="auto"/>
              </w:rPr>
            </w:pPr>
            <w:r>
              <w:rPr>
                <w:rFonts w:ascii="Arial" w:cs="Arial" w:eastAsia="Arial" w:hAnsi="Arial"/>
                <w:sz w:val="18"/>
                <w:szCs w:val="18"/>
                <w:color w:val="auto"/>
              </w:rPr>
              <w:t>1,691,182</w:t>
            </w:r>
          </w:p>
        </w:tc>
        <w:tc>
          <w:tcPr>
            <w:tcW w:w="17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1,125,641</w:t>
            </w:r>
          </w:p>
        </w:tc>
      </w:tr>
      <w:tr>
        <w:trPr>
          <w:trHeight w:val="184"/>
        </w:trPr>
        <w:tc>
          <w:tcPr>
            <w:tcW w:w="7460" w:type="dxa"/>
            <w:vAlign w:val="bottom"/>
          </w:tcPr>
          <w:p>
            <w:pPr>
              <w:ind w:left="20"/>
              <w:spacing w:after="0" w:line="183" w:lineRule="exact"/>
              <w:rPr>
                <w:sz w:val="20"/>
                <w:szCs w:val="20"/>
                <w:color w:val="auto"/>
              </w:rPr>
            </w:pPr>
            <w:r>
              <w:rPr>
                <w:rFonts w:ascii="Arial" w:cs="Arial" w:eastAsia="Arial" w:hAnsi="Arial"/>
                <w:sz w:val="18"/>
                <w:szCs w:val="18"/>
                <w:color w:val="auto"/>
              </w:rPr>
              <w:t>Shares available for future grant under the 2020 Equity Incentive Plan and the 2022</w:t>
            </w: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21"/>
        </w:trPr>
        <w:tc>
          <w:tcPr>
            <w:tcW w:w="7460" w:type="dxa"/>
            <w:vAlign w:val="bottom"/>
          </w:tcPr>
          <w:p>
            <w:pPr>
              <w:ind w:left="20"/>
              <w:spacing w:after="0"/>
              <w:rPr>
                <w:sz w:val="20"/>
                <w:szCs w:val="20"/>
                <w:color w:val="auto"/>
              </w:rPr>
            </w:pPr>
            <w:r>
              <w:rPr>
                <w:rFonts w:ascii="Arial" w:cs="Arial" w:eastAsia="Arial" w:hAnsi="Arial"/>
                <w:sz w:val="18"/>
                <w:szCs w:val="18"/>
                <w:color w:val="auto"/>
              </w:rPr>
              <w:t>Inducement Plan</w:t>
            </w:r>
          </w:p>
        </w:tc>
        <w:tc>
          <w:tcPr>
            <w:tcW w:w="2020" w:type="dxa"/>
            <w:vAlign w:val="bottom"/>
            <w:gridSpan w:val="2"/>
          </w:tcPr>
          <w:p>
            <w:pPr>
              <w:jc w:val="right"/>
              <w:ind w:right="255"/>
              <w:spacing w:after="0"/>
              <w:rPr>
                <w:sz w:val="20"/>
                <w:szCs w:val="20"/>
                <w:color w:val="auto"/>
              </w:rPr>
            </w:pPr>
            <w:r>
              <w:rPr>
                <w:rFonts w:ascii="Arial" w:cs="Arial" w:eastAsia="Arial" w:hAnsi="Arial"/>
                <w:sz w:val="18"/>
                <w:szCs w:val="18"/>
                <w:color w:val="auto"/>
              </w:rPr>
              <w:t>2,056,300</w:t>
            </w:r>
          </w:p>
        </w:tc>
        <w:tc>
          <w:tcPr>
            <w:tcW w:w="1760" w:type="dxa"/>
            <w:vAlign w:val="bottom"/>
          </w:tcPr>
          <w:p>
            <w:pPr>
              <w:jc w:val="right"/>
              <w:ind w:right="53"/>
              <w:spacing w:after="0"/>
              <w:rPr>
                <w:sz w:val="20"/>
                <w:szCs w:val="20"/>
                <w:color w:val="auto"/>
              </w:rPr>
            </w:pPr>
            <w:r>
              <w:rPr>
                <w:rFonts w:ascii="Arial" w:cs="Arial" w:eastAsia="Arial" w:hAnsi="Arial"/>
                <w:sz w:val="18"/>
                <w:szCs w:val="18"/>
                <w:color w:val="auto"/>
              </w:rPr>
              <w:t>2,497,813</w:t>
            </w: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Shares available for the 2020 Employee Stock Purchase Plan</w:t>
            </w:r>
          </w:p>
        </w:tc>
        <w:tc>
          <w:tcPr>
            <w:tcW w:w="2020" w:type="dxa"/>
            <w:vAlign w:val="bottom"/>
            <w:gridSpan w:val="2"/>
            <w:shd w:val="clear" w:color="auto" w:fill="CFF0FC"/>
          </w:tcPr>
          <w:p>
            <w:pPr>
              <w:jc w:val="right"/>
              <w:ind w:right="255"/>
              <w:spacing w:after="0" w:line="202" w:lineRule="exact"/>
              <w:rPr>
                <w:sz w:val="20"/>
                <w:szCs w:val="20"/>
                <w:color w:val="auto"/>
              </w:rPr>
            </w:pPr>
            <w:r>
              <w:rPr>
                <w:rFonts w:ascii="Arial" w:cs="Arial" w:eastAsia="Arial" w:hAnsi="Arial"/>
                <w:sz w:val="18"/>
                <w:szCs w:val="18"/>
                <w:color w:val="auto"/>
              </w:rPr>
              <w:t>1,122,615</w:t>
            </w:r>
          </w:p>
        </w:tc>
        <w:tc>
          <w:tcPr>
            <w:tcW w:w="17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684,497</w:t>
            </w:r>
          </w:p>
        </w:tc>
      </w:tr>
      <w:tr>
        <w:trPr>
          <w:trHeight w:val="184"/>
        </w:trPr>
        <w:tc>
          <w:tcPr>
            <w:tcW w:w="7460" w:type="dxa"/>
            <w:vAlign w:val="bottom"/>
          </w:tcPr>
          <w:p>
            <w:pPr>
              <w:ind w:left="20"/>
              <w:spacing w:after="0" w:line="183" w:lineRule="exact"/>
              <w:rPr>
                <w:sz w:val="20"/>
                <w:szCs w:val="20"/>
                <w:color w:val="auto"/>
              </w:rPr>
            </w:pPr>
            <w:r>
              <w:rPr>
                <w:rFonts w:ascii="Arial" w:cs="Arial" w:eastAsia="Arial" w:hAnsi="Arial"/>
                <w:sz w:val="18"/>
                <w:szCs w:val="18"/>
                <w:color w:val="auto"/>
              </w:rPr>
              <w:t>Unvested performance-based restricted stock unit awards outstanding under the 2020</w:t>
            </w: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21"/>
        </w:trPr>
        <w:tc>
          <w:tcPr>
            <w:tcW w:w="74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40" w:type="dxa"/>
            <w:vAlign w:val="bottom"/>
          </w:tcPr>
          <w:p>
            <w:pPr>
              <w:spacing w:after="0"/>
              <w:rPr>
                <w:sz w:val="19"/>
                <w:szCs w:val="19"/>
                <w:color w:val="auto"/>
              </w:rPr>
            </w:pPr>
          </w:p>
        </w:tc>
        <w:tc>
          <w:tcPr>
            <w:tcW w:w="188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3"/>
              <w:spacing w:after="0"/>
              <w:rPr>
                <w:sz w:val="20"/>
                <w:szCs w:val="20"/>
                <w:color w:val="auto"/>
              </w:rPr>
            </w:pPr>
            <w:r>
              <w:rPr>
                <w:rFonts w:ascii="Arial" w:cs="Arial" w:eastAsia="Arial" w:hAnsi="Arial"/>
                <w:sz w:val="18"/>
                <w:szCs w:val="18"/>
                <w:color w:val="auto"/>
              </w:rPr>
              <w:t>403,000</w:t>
            </w: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restricted stock awards outstanding under the 2014 Stock Plan</w:t>
            </w:r>
          </w:p>
        </w:tc>
        <w:tc>
          <w:tcPr>
            <w:tcW w:w="14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255"/>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80,703</w:t>
            </w: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issuance related to pre-funded warrants</w:t>
            </w:r>
          </w:p>
        </w:tc>
        <w:tc>
          <w:tcPr>
            <w:tcW w:w="2020" w:type="dxa"/>
            <w:vAlign w:val="bottom"/>
            <w:gridSpan w:val="2"/>
          </w:tcPr>
          <w:p>
            <w:pPr>
              <w:jc w:val="right"/>
              <w:ind w:right="255"/>
              <w:spacing w:after="0" w:line="202" w:lineRule="exact"/>
              <w:rPr>
                <w:sz w:val="20"/>
                <w:szCs w:val="20"/>
                <w:color w:val="auto"/>
              </w:rPr>
            </w:pPr>
            <w:r>
              <w:rPr>
                <w:rFonts w:ascii="Arial" w:cs="Arial" w:eastAsia="Arial" w:hAnsi="Arial"/>
                <w:sz w:val="18"/>
                <w:szCs w:val="18"/>
                <w:color w:val="auto"/>
              </w:rPr>
              <w:t>11,024,163</w:t>
            </w:r>
          </w:p>
        </w:tc>
        <w:tc>
          <w:tcPr>
            <w:tcW w:w="1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r>
      <w:tr>
        <w:trPr>
          <w:trHeight w:val="196"/>
        </w:trPr>
        <w:tc>
          <w:tcPr>
            <w:tcW w:w="7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255"/>
              <w:spacing w:after="0" w:line="196" w:lineRule="exact"/>
              <w:rPr>
                <w:sz w:val="20"/>
                <w:szCs w:val="20"/>
                <w:color w:val="auto"/>
              </w:rPr>
            </w:pPr>
            <w:r>
              <w:rPr>
                <w:rFonts w:ascii="Arial" w:cs="Arial" w:eastAsia="Arial" w:hAnsi="Arial"/>
                <w:sz w:val="18"/>
                <w:szCs w:val="18"/>
                <w:color w:val="auto"/>
              </w:rPr>
              <w:t>25,556,135</w:t>
            </w:r>
          </w:p>
        </w:tc>
        <w:tc>
          <w:tcPr>
            <w:tcW w:w="1760" w:type="dxa"/>
            <w:vAlign w:val="bottom"/>
            <w:tcBorders>
              <w:top w:val="single" w:sz="8" w:color="auto"/>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12,336,755</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Pre-Funded Warrants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December 2024, the Company issued pre-funded warrants to purchase up to 7,604,163 shares of the Company's common stock in the 2024 Private Placement at $9.07998 per share of the common stock, less the $0.0001 per share exercise price of each warrant. Also, in December 2024, the Company issued pre-funded warrants to purchase up to 3,420,000 shares of the Company's common stock in exchange of 3,420,000 shares of the Company's common stock previously held by investors. The warrants were recorded as a component of stockholders’ equity within additional paid-in capital and have no expiration date.</w:t>
      </w:r>
    </w:p>
    <w:p>
      <w:pPr>
        <w:spacing w:after="0" w:line="200" w:lineRule="exact"/>
        <w:rPr>
          <w:sz w:val="20"/>
          <w:szCs w:val="20"/>
          <w:color w:val="auto"/>
        </w:rPr>
      </w:pPr>
    </w:p>
    <w:p>
      <w:pPr>
        <w:spacing w:after="0" w:line="35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8.</w:t>
        <w:tab/>
        <w:t>Stock-Based Compensation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initially issuable under the 2020 Plan was a number not to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2022, the Board approved and adopted the Company’s 2022 Inducement Plan (the “2022 Inducement Plan”). Under the 2022 Inducement Plan, initially 2,000,000 shares of common stock were reserved for issuance. The 2022 Inducement Plan permits the grant of options, restricted stock awards, stock appreciation rights, restricted stock unit awards, performance awards, and other awards.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 after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 average: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Borders>
              <w:top w:val="single" w:sz="8" w:color="auto"/>
            </w:tcBorders>
          </w:tcPr>
          <w:p>
            <w:pPr>
              <w:spacing w:after="0"/>
              <w:rPr>
                <w:sz w:val="15"/>
                <w:szCs w:val="15"/>
                <w:color w:val="auto"/>
              </w:rPr>
            </w:pPr>
          </w:p>
        </w:tc>
        <w:tc>
          <w:tcPr>
            <w:tcW w:w="3640" w:type="dxa"/>
            <w:vAlign w:val="bottom"/>
            <w:tcBorders>
              <w:top w:val="single" w:sz="8" w:color="auto"/>
            </w:tcBorders>
          </w:tcPr>
          <w:p>
            <w:pPr>
              <w:spacing w:after="0"/>
              <w:rPr>
                <w:sz w:val="15"/>
                <w:szCs w:val="15"/>
                <w:color w:val="auto"/>
              </w:rPr>
            </w:pPr>
          </w:p>
        </w:tc>
        <w:tc>
          <w:tcPr>
            <w:tcW w:w="21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December 31,</w:t>
            </w:r>
          </w:p>
        </w:tc>
        <w:tc>
          <w:tcPr>
            <w:tcW w:w="17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37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120" w:type="dxa"/>
            <w:vAlign w:val="bottom"/>
            <w:tcBorders>
              <w:bottom w:val="single" w:sz="8" w:color="auto"/>
            </w:tcBorders>
          </w:tcPr>
          <w:p>
            <w:pPr>
              <w:jc w:val="right"/>
              <w:ind w:right="1042"/>
              <w:spacing w:after="0" w:line="155" w:lineRule="exact"/>
              <w:rPr>
                <w:sz w:val="20"/>
                <w:szCs w:val="20"/>
                <w:color w:val="auto"/>
              </w:rPr>
            </w:pPr>
            <w:r>
              <w:rPr>
                <w:rFonts w:ascii="Arial" w:cs="Arial" w:eastAsia="Arial" w:hAnsi="Arial"/>
                <w:sz w:val="14"/>
                <w:szCs w:val="14"/>
                <w:b w:val="1"/>
                <w:bCs w:val="1"/>
                <w:color w:val="auto"/>
              </w:rPr>
              <w:t>2024</w:t>
            </w:r>
          </w:p>
        </w:tc>
        <w:tc>
          <w:tcPr>
            <w:tcW w:w="1760" w:type="dxa"/>
            <w:vAlign w:val="bottom"/>
            <w:tcBorders>
              <w:bottom w:val="single" w:sz="8" w:color="auto"/>
            </w:tcBorders>
          </w:tcPr>
          <w:p>
            <w:pPr>
              <w:jc w:val="right"/>
              <w:ind w:right="776"/>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3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5760" w:type="dxa"/>
            <w:vAlign w:val="bottom"/>
            <w:gridSpan w:val="2"/>
            <w:shd w:val="clear" w:color="auto" w:fill="CFF0FC"/>
          </w:tcPr>
          <w:p>
            <w:pPr>
              <w:jc w:val="right"/>
              <w:ind w:right="202"/>
              <w:spacing w:after="0" w:line="196" w:lineRule="exact"/>
              <w:rPr>
                <w:sz w:val="20"/>
                <w:szCs w:val="20"/>
                <w:color w:val="auto"/>
              </w:rPr>
            </w:pPr>
            <w:r>
              <w:rPr>
                <w:rFonts w:ascii="Arial" w:cs="Arial" w:eastAsia="Arial" w:hAnsi="Arial"/>
                <w:sz w:val="18"/>
                <w:szCs w:val="18"/>
                <w:color w:val="auto"/>
              </w:rPr>
              <w:t>3.91 %</w:t>
            </w: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3.64 %</w:t>
            </w: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5760" w:type="dxa"/>
            <w:vAlign w:val="bottom"/>
            <w:gridSpan w:val="2"/>
          </w:tcPr>
          <w:p>
            <w:pPr>
              <w:jc w:val="right"/>
              <w:ind w:right="382"/>
              <w:spacing w:after="0" w:line="202" w:lineRule="exact"/>
              <w:rPr>
                <w:sz w:val="20"/>
                <w:szCs w:val="20"/>
                <w:color w:val="auto"/>
              </w:rPr>
            </w:pPr>
            <w:r>
              <w:rPr>
                <w:rFonts w:ascii="Arial" w:cs="Arial" w:eastAsia="Arial" w:hAnsi="Arial"/>
                <w:sz w:val="18"/>
                <w:szCs w:val="18"/>
                <w:color w:val="auto"/>
              </w:rPr>
              <w:t>6.03</w:t>
            </w:r>
          </w:p>
        </w:tc>
        <w:tc>
          <w:tcPr>
            <w:tcW w:w="17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6.02</w:t>
            </w:r>
          </w:p>
        </w:tc>
      </w:tr>
      <w:tr>
        <w:trPr>
          <w:trHeight w:val="203"/>
        </w:trPr>
        <w:tc>
          <w:tcPr>
            <w:tcW w:w="3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5760" w:type="dxa"/>
            <w:vAlign w:val="bottom"/>
            <w:gridSpan w:val="2"/>
            <w:shd w:val="clear" w:color="auto" w:fill="CFF0FC"/>
          </w:tcPr>
          <w:p>
            <w:pPr>
              <w:jc w:val="right"/>
              <w:ind w:right="202"/>
              <w:spacing w:after="0" w:line="202" w:lineRule="exact"/>
              <w:rPr>
                <w:sz w:val="20"/>
                <w:szCs w:val="20"/>
                <w:color w:val="auto"/>
              </w:rPr>
            </w:pPr>
            <w:r>
              <w:rPr>
                <w:rFonts w:ascii="Arial" w:cs="Arial" w:eastAsia="Arial" w:hAnsi="Arial"/>
                <w:sz w:val="18"/>
                <w:szCs w:val="18"/>
                <w:color w:val="auto"/>
              </w:rPr>
              <w:t>85.00 %</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86.35 %</w:t>
            </w:r>
          </w:p>
        </w:tc>
      </w:tr>
      <w:tr>
        <w:trPr>
          <w:trHeight w:val="203"/>
        </w:trPr>
        <w:tc>
          <w:tcPr>
            <w:tcW w:w="37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36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382"/>
              <w:spacing w:after="0" w:line="20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color w:val="auto"/>
              </w:rPr>
              <w:t>—</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848"/>
        </w:trPr>
        <w:tc>
          <w:tcPr>
            <w:tcW w:w="3720" w:type="dxa"/>
            <w:vAlign w:val="bottom"/>
          </w:tcPr>
          <w:p>
            <w:pPr>
              <w:spacing w:after="0"/>
              <w:rPr>
                <w:sz w:val="24"/>
                <w:szCs w:val="24"/>
                <w:color w:val="auto"/>
              </w:rPr>
            </w:pPr>
          </w:p>
        </w:tc>
        <w:tc>
          <w:tcPr>
            <w:tcW w:w="3640" w:type="dxa"/>
            <w:vAlign w:val="bottom"/>
          </w:tcPr>
          <w:p>
            <w:pPr>
              <w:jc w:val="right"/>
              <w:ind w:right="1490"/>
              <w:spacing w:after="0"/>
              <w:rPr>
                <w:sz w:val="20"/>
                <w:szCs w:val="20"/>
                <w:color w:val="auto"/>
              </w:rPr>
            </w:pPr>
            <w:r>
              <w:rPr>
                <w:rFonts w:ascii="Arial" w:cs="Arial" w:eastAsia="Arial" w:hAnsi="Arial"/>
                <w:sz w:val="18"/>
                <w:szCs w:val="18"/>
                <w:color w:val="auto"/>
              </w:rPr>
              <w:t>147</w:t>
            </w:r>
          </w:p>
        </w:tc>
        <w:tc>
          <w:tcPr>
            <w:tcW w:w="2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745"/>
        </w:trPr>
        <w:tc>
          <w:tcPr>
            <w:tcW w:w="37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under the 2014 Plan, the 2020 Plan and the 2022 Inducement Plan: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Weighted</w:t>
            </w: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center"/>
              <w:ind w:right="377"/>
              <w:spacing w:after="0"/>
              <w:rPr>
                <w:sz w:val="20"/>
                <w:szCs w:val="20"/>
                <w:color w:val="auto"/>
              </w:rPr>
            </w:pPr>
            <w:r>
              <w:rPr>
                <w:rFonts w:ascii="Arial" w:cs="Arial" w:eastAsia="Arial" w:hAnsi="Arial"/>
                <w:sz w:val="14"/>
                <w:szCs w:val="14"/>
                <w:b w:val="1"/>
                <w:bCs w:val="1"/>
                <w:color w:val="auto"/>
              </w:rPr>
              <w:t>Weighted</w:t>
            </w:r>
          </w:p>
        </w:tc>
        <w:tc>
          <w:tcPr>
            <w:tcW w:w="1420" w:type="dxa"/>
            <w:vAlign w:val="bottom"/>
          </w:tcPr>
          <w:p>
            <w:pPr>
              <w:jc w:val="center"/>
              <w:ind w:right="5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center"/>
              <w:ind w:right="377"/>
              <w:spacing w:after="0"/>
              <w:rPr>
                <w:sz w:val="20"/>
                <w:szCs w:val="20"/>
                <w:color w:val="auto"/>
              </w:rPr>
            </w:pPr>
            <w:r>
              <w:rPr>
                <w:rFonts w:ascii="Arial" w:cs="Arial" w:eastAsia="Arial" w:hAnsi="Arial"/>
                <w:sz w:val="14"/>
                <w:szCs w:val="14"/>
                <w:b w:val="1"/>
                <w:bCs w:val="1"/>
                <w:color w:val="auto"/>
              </w:rPr>
              <w:t>Average</w:t>
            </w:r>
          </w:p>
        </w:tc>
        <w:tc>
          <w:tcPr>
            <w:tcW w:w="1420" w:type="dxa"/>
            <w:vAlign w:val="bottom"/>
          </w:tcPr>
          <w:p>
            <w:pPr>
              <w:jc w:val="center"/>
              <w:ind w:right="38"/>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00" w:type="dxa"/>
            <w:vAlign w:val="bottom"/>
          </w:tcPr>
          <w:p>
            <w:pPr>
              <w:spacing w:after="0"/>
              <w:rPr>
                <w:sz w:val="14"/>
                <w:szCs w:val="14"/>
                <w:color w:val="auto"/>
              </w:rPr>
            </w:pPr>
          </w:p>
        </w:tc>
        <w:tc>
          <w:tcPr>
            <w:tcW w:w="1480" w:type="dxa"/>
            <w:vAlign w:val="bottom"/>
          </w:tcPr>
          <w:p>
            <w:pPr>
              <w:jc w:val="right"/>
              <w:ind w:right="374"/>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340" w:type="dxa"/>
            <w:vAlign w:val="bottom"/>
          </w:tcPr>
          <w:p>
            <w:pPr>
              <w:jc w:val="center"/>
              <w:ind w:right="377"/>
              <w:spacing w:after="0"/>
              <w:rPr>
                <w:sz w:val="20"/>
                <w:szCs w:val="20"/>
                <w:color w:val="auto"/>
              </w:rPr>
            </w:pPr>
            <w:r>
              <w:rPr>
                <w:rFonts w:ascii="Arial" w:cs="Arial" w:eastAsia="Arial" w:hAnsi="Arial"/>
                <w:sz w:val="14"/>
                <w:szCs w:val="14"/>
                <w:b w:val="1"/>
                <w:bCs w:val="1"/>
                <w:color w:val="auto"/>
              </w:rPr>
              <w:t>Exercise</w:t>
            </w:r>
          </w:p>
        </w:tc>
        <w:tc>
          <w:tcPr>
            <w:tcW w:w="1420" w:type="dxa"/>
            <w:vAlign w:val="bottom"/>
          </w:tcPr>
          <w:p>
            <w:pPr>
              <w:jc w:val="center"/>
              <w:ind w:right="58"/>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100" w:type="dxa"/>
            <w:vAlign w:val="bottom"/>
          </w:tcPr>
          <w:p>
            <w:pPr>
              <w:spacing w:after="0"/>
              <w:rPr>
                <w:sz w:val="14"/>
                <w:szCs w:val="14"/>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77"/>
              <w:spacing w:after="0"/>
              <w:rPr>
                <w:sz w:val="20"/>
                <w:szCs w:val="20"/>
                <w:color w:val="auto"/>
              </w:rPr>
            </w:pPr>
            <w:r>
              <w:rPr>
                <w:rFonts w:ascii="Arial" w:cs="Arial" w:eastAsia="Arial" w:hAnsi="Arial"/>
                <w:sz w:val="14"/>
                <w:szCs w:val="14"/>
                <w:b w:val="1"/>
                <w:bCs w:val="1"/>
                <w:color w:val="auto"/>
              </w:rPr>
              <w:t>Price</w:t>
            </w:r>
          </w:p>
        </w:tc>
        <w:tc>
          <w:tcPr>
            <w:tcW w:w="14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Term</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Value</w:t>
            </w:r>
          </w:p>
        </w:tc>
      </w:tr>
      <w:tr>
        <w:trPr>
          <w:trHeight w:val="155"/>
        </w:trPr>
        <w:tc>
          <w:tcPr>
            <w:tcW w:w="5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20" w:type="dxa"/>
            <w:vAlign w:val="bottom"/>
          </w:tcPr>
          <w:p>
            <w:pPr>
              <w:jc w:val="center"/>
              <w:ind w:right="58"/>
              <w:spacing w:after="0" w:line="155" w:lineRule="exact"/>
              <w:rPr>
                <w:sz w:val="20"/>
                <w:szCs w:val="20"/>
                <w:color w:val="auto"/>
              </w:rPr>
            </w:pPr>
            <w:r>
              <w:rPr>
                <w:rFonts w:ascii="Arial" w:cs="Arial" w:eastAsia="Arial" w:hAnsi="Arial"/>
                <w:sz w:val="14"/>
                <w:szCs w:val="14"/>
                <w:b w:val="1"/>
                <w:bCs w:val="1"/>
                <w:color w:val="auto"/>
              </w:rPr>
              <w:t>(in years)</w:t>
            </w:r>
          </w:p>
        </w:tc>
        <w:tc>
          <w:tcPr>
            <w:tcW w:w="280" w:type="dxa"/>
            <w:vAlign w:val="bottom"/>
          </w:tcPr>
          <w:p>
            <w:pPr>
              <w:spacing w:after="0"/>
              <w:rPr>
                <w:sz w:val="13"/>
                <w:szCs w:val="13"/>
                <w:color w:val="auto"/>
              </w:rPr>
            </w:pPr>
          </w:p>
        </w:tc>
        <w:tc>
          <w:tcPr>
            <w:tcW w:w="1300" w:type="dxa"/>
            <w:vAlign w:val="bottom"/>
          </w:tcPr>
          <w:p>
            <w:pPr>
              <w:jc w:val="center"/>
              <w:ind w:right="177"/>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as of December 31, 2023</w:t>
            </w:r>
          </w:p>
        </w:tc>
        <w:tc>
          <w:tcPr>
            <w:tcW w:w="148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8,670,742</w:t>
            </w: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8.52</w:t>
            </w:r>
          </w:p>
        </w:tc>
        <w:tc>
          <w:tcPr>
            <w:tcW w:w="1420" w:type="dxa"/>
            <w:vAlign w:val="bottom"/>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7.60</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61,749</w:t>
            </w:r>
          </w:p>
        </w:tc>
      </w:tr>
      <w:tr>
        <w:trPr>
          <w:trHeight w:val="203"/>
        </w:trPr>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Granted</w:t>
            </w:r>
          </w:p>
        </w:tc>
        <w:tc>
          <w:tcPr>
            <w:tcW w:w="14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3,478,850</w:t>
            </w:r>
          </w:p>
        </w:tc>
        <w:tc>
          <w:tcPr>
            <w:tcW w:w="320" w:type="dxa"/>
            <w:vAlign w:val="bottom"/>
          </w:tcPr>
          <w:p>
            <w:pPr>
              <w:spacing w:after="0"/>
              <w:rPr>
                <w:sz w:val="17"/>
                <w:szCs w:val="17"/>
                <w:color w:val="auto"/>
              </w:rPr>
            </w:pPr>
          </w:p>
        </w:tc>
        <w:tc>
          <w:tcPr>
            <w:tcW w:w="134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14.21</w:t>
            </w:r>
          </w:p>
        </w:tc>
        <w:tc>
          <w:tcPr>
            <w:tcW w:w="1420" w:type="dxa"/>
            <w:vAlign w:val="bottom"/>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Exercised (1)</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(460,744 )</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4.09</w:t>
            </w:r>
          </w:p>
        </w:tc>
        <w:tc>
          <w:tcPr>
            <w:tcW w:w="1420" w:type="dxa"/>
            <w:vAlign w:val="bottom"/>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(335,791 )</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14.17</w:t>
            </w:r>
          </w:p>
        </w:tc>
        <w:tc>
          <w:tcPr>
            <w:tcW w:w="142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36"/>
        </w:trPr>
        <w:tc>
          <w:tcPr>
            <w:tcW w:w="51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as of December 31, 2024</w:t>
            </w:r>
          </w:p>
        </w:tc>
        <w:tc>
          <w:tcPr>
            <w:tcW w:w="1480" w:type="dxa"/>
            <w:vAlign w:val="bottom"/>
            <w:tcBorders>
              <w:bottom w:val="single" w:sz="8" w:color="auto"/>
            </w:tcBorders>
            <w:shd w:val="clear" w:color="auto" w:fill="CFF0FC"/>
          </w:tcPr>
          <w:p>
            <w:pPr>
              <w:jc w:val="right"/>
              <w:ind w:right="94"/>
              <w:spacing w:after="0" w:line="182" w:lineRule="exact"/>
              <w:rPr>
                <w:sz w:val="20"/>
                <w:szCs w:val="20"/>
                <w:color w:val="auto"/>
              </w:rPr>
            </w:pPr>
            <w:r>
              <w:rPr>
                <w:rFonts w:ascii="Arial" w:cs="Arial" w:eastAsia="Arial" w:hAnsi="Arial"/>
                <w:sz w:val="18"/>
                <w:szCs w:val="18"/>
                <w:color w:val="auto"/>
              </w:rPr>
              <w:t>11,353,057</w:t>
            </w:r>
          </w:p>
        </w:tc>
        <w:tc>
          <w:tcPr>
            <w:tcW w:w="3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ind w:right="157"/>
              <w:spacing w:after="0" w:line="182" w:lineRule="exact"/>
              <w:rPr>
                <w:sz w:val="20"/>
                <w:szCs w:val="20"/>
                <w:color w:val="auto"/>
              </w:rPr>
            </w:pPr>
            <w:r>
              <w:rPr>
                <w:rFonts w:ascii="Arial" w:cs="Arial" w:eastAsia="Arial" w:hAnsi="Arial"/>
                <w:sz w:val="18"/>
                <w:szCs w:val="18"/>
                <w:color w:val="auto"/>
              </w:rPr>
              <w:t>10.28</w:t>
            </w:r>
          </w:p>
        </w:tc>
        <w:tc>
          <w:tcPr>
            <w:tcW w:w="1420" w:type="dxa"/>
            <w:vAlign w:val="bottom"/>
            <w:tcBorders>
              <w:bottom w:val="single" w:sz="8" w:color="auto"/>
            </w:tcBorders>
            <w:shd w:val="clear" w:color="auto" w:fill="CFF0FC"/>
          </w:tcPr>
          <w:p>
            <w:pPr>
              <w:jc w:val="right"/>
              <w:ind w:right="58"/>
              <w:spacing w:after="0" w:line="182" w:lineRule="exact"/>
              <w:rPr>
                <w:sz w:val="20"/>
                <w:szCs w:val="20"/>
                <w:color w:val="auto"/>
              </w:rPr>
            </w:pPr>
            <w:r>
              <w:rPr>
                <w:rFonts w:ascii="Arial" w:cs="Arial" w:eastAsia="Arial" w:hAnsi="Arial"/>
                <w:sz w:val="18"/>
                <w:szCs w:val="18"/>
                <w:color w:val="auto"/>
              </w:rPr>
              <w:t>6.37</w:t>
            </w:r>
          </w:p>
        </w:tc>
        <w:tc>
          <w:tcPr>
            <w:tcW w:w="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7"/>
              <w:spacing w:after="0" w:line="182" w:lineRule="exact"/>
              <w:rPr>
                <w:sz w:val="20"/>
                <w:szCs w:val="20"/>
                <w:color w:val="auto"/>
              </w:rPr>
            </w:pPr>
            <w:r>
              <w:rPr>
                <w:rFonts w:ascii="Arial" w:cs="Arial" w:eastAsia="Arial" w:hAnsi="Arial"/>
                <w:sz w:val="18"/>
                <w:szCs w:val="18"/>
                <w:color w:val="auto"/>
              </w:rPr>
              <w:t>7,519</w:t>
            </w:r>
          </w:p>
        </w:tc>
      </w:tr>
      <w:tr>
        <w:trPr>
          <w:trHeight w:val="183"/>
        </w:trPr>
        <w:tc>
          <w:tcPr>
            <w:tcW w:w="5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vested and exercisable as of December 31, 2024</w:t>
            </w:r>
          </w:p>
        </w:tc>
        <w:tc>
          <w:tcPr>
            <w:tcW w:w="148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6,376,793</w:t>
            </w: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9.41</w:t>
            </w:r>
          </w:p>
        </w:tc>
        <w:tc>
          <w:tcPr>
            <w:tcW w:w="1420" w:type="dxa"/>
            <w:vAlign w:val="bottom"/>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5.05</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5,958</w:t>
            </w:r>
          </w:p>
        </w:tc>
      </w:tr>
      <w:tr>
        <w:trPr>
          <w:trHeight w:val="203"/>
        </w:trPr>
        <w:tc>
          <w:tcPr>
            <w:tcW w:w="51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Options expected to vest as of December 31, 2024</w:t>
            </w:r>
          </w:p>
        </w:tc>
        <w:tc>
          <w:tcPr>
            <w:tcW w:w="148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4,976,264</w:t>
            </w:r>
          </w:p>
        </w:tc>
        <w:tc>
          <w:tcPr>
            <w:tcW w:w="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11.40</w:t>
            </w:r>
          </w:p>
        </w:tc>
        <w:tc>
          <w:tcPr>
            <w:tcW w:w="142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color w:val="auto"/>
              </w:rPr>
              <w:t>8.05</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1,561</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4"/>
          <w:szCs w:val="14"/>
          <w:color w:val="231F20"/>
        </w:rPr>
      </w:pPr>
      <w:r>
        <w:rPr>
          <w:rFonts w:ascii="Arial" w:cs="Arial" w:eastAsia="Arial" w:hAnsi="Arial"/>
          <w:sz w:val="14"/>
          <w:szCs w:val="14"/>
          <w:color w:val="231F20"/>
        </w:rPr>
        <w:t>Exercised amount includes shares returned for taxes withheld for exercise and net transactions.</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weighted-average grant-date fair value per share of options granted during the years ended December 31, 2024 and 2023 was $10.40 and $4.37, respectively. For the years ended December 31, 2024 and 2023, there were 2,213,715 and 2,329,483 shares vested, respectively. The weighted-average grant date fair value per share of options vested during the years ended December 31, 2024 and 2023 was $6.58 and $6.97, respectively. The total fair value of options vested during the years ended December 31, 2024 and 2023 was $14.6 million and $16.2 million, respectively. The aggregate intrinsic value of options exercised during the years ended December 31, 2024 and 2023 was $3.3 million and $3.5 million, respectively.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2024, the total unrecognized compensation expense related to unvested options was $34.5 million, which the Company expects to recognize over an estimated weighted average period of 2.61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restricted stock awards (the RSAs) activity under the 2014 Plan during the year ended December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Borders>
              <w:top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Number of Shares</w:t>
            </w:r>
          </w:p>
        </w:tc>
        <w:tc>
          <w:tcPr>
            <w:tcW w:w="182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restricted stock as of December 31, 2023</w:t>
            </w:r>
          </w:p>
        </w:tc>
        <w:tc>
          <w:tcPr>
            <w:tcW w:w="1680" w:type="dxa"/>
            <w:vAlign w:val="bottom"/>
            <w:shd w:val="clear" w:color="auto" w:fill="CFF0FC"/>
          </w:tcPr>
          <w:p>
            <w:pPr>
              <w:jc w:val="right"/>
              <w:ind w:right="113"/>
              <w:spacing w:after="0" w:line="196" w:lineRule="exact"/>
              <w:rPr>
                <w:sz w:val="20"/>
                <w:szCs w:val="20"/>
                <w:color w:val="auto"/>
              </w:rPr>
            </w:pPr>
            <w:r>
              <w:rPr>
                <w:rFonts w:ascii="Arial" w:cs="Arial" w:eastAsia="Arial" w:hAnsi="Arial"/>
                <w:sz w:val="18"/>
                <w:szCs w:val="18"/>
                <w:color w:val="auto"/>
              </w:rPr>
              <w:t>92,659</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2.40</w:t>
            </w:r>
          </w:p>
        </w:tc>
      </w:tr>
      <w:tr>
        <w:trPr>
          <w:trHeight w:val="203"/>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(92,659 )</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231F20"/>
            </w:tcBorders>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231F20"/>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236"/>
        </w:trPr>
        <w:tc>
          <w:tcPr>
            <w:tcW w:w="77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restricted stock as of December 31, 2024</w:t>
            </w:r>
          </w:p>
        </w:tc>
        <w:tc>
          <w:tcPr>
            <w:tcW w:w="1680" w:type="dxa"/>
            <w:vAlign w:val="bottom"/>
            <w:tcBorders>
              <w:bottom w:val="single" w:sz="8" w:color="auto"/>
            </w:tcBorders>
            <w:shd w:val="clear" w:color="auto" w:fill="CFF0FC"/>
          </w:tcPr>
          <w:p>
            <w:pPr>
              <w:jc w:val="right"/>
              <w:ind w:right="113"/>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total grant date fair value of the RSAs vested during the year ended December 31, 2024, was $0.2 million. As of December 31, 2024, the was no unrecognized compensation expense related to the RSAs. The Company recorded stock-based compensation expense of $0.2 million related to the vested shares of restricted stock awards for the year ended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 Awards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November 2022, the Company granted to certain employees 710,000 shares of performance-based restricted stock unit awards (the PSUs) under the 2020 Plan as consideration for services subject to performance conditions with a fair value based on the closing price of the underlying common stock on the date of grant. Pursuant to the terms of the PSUs, 65% of each PSU vests upon certification by the Compensation Committee of the Company of achieving a pre-determined performance goal by June 30, 2024, and 35% of each PSU vests upon certification by the Compensation Committee of the Company of achieving a pre-determined performance goal by June 30, 2024. The performance goal related to the 35% tranche of the PSUs was met and related stock-based compensation expense was recorded in 2023. In June 2024, pursuant to the terms of the PSUs, the Compensation Committee of the Company approved an extension of the achievement of the performance goal related to the 65% tranche of the PSUs from June 30, 2024 to December 31, 2024.</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Expense recognition for PSUs commences when it is determined that attainment of the performance goal is met. As of December 31, 2024, the performance goal related to the 65% tranche of the PSUs was met and related stock-based compensation expense of $1.4 million was recorded. As of December 31, 2023, the performance goal related to the 35% tranche of the PSUs was met and related stock-based compensation expense of $0.7 million was recorded.</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performance-based restricted stock activity under the 2020 plan during the year ended December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Borders>
              <w:top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Number of Shares</w:t>
            </w:r>
          </w:p>
        </w:tc>
        <w:tc>
          <w:tcPr>
            <w:tcW w:w="182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performance-based restricted stock as of December 31, 2023</w:t>
            </w:r>
          </w:p>
        </w:tc>
        <w:tc>
          <w:tcPr>
            <w:tcW w:w="1680" w:type="dxa"/>
            <w:vAlign w:val="bottom"/>
            <w:shd w:val="clear" w:color="auto" w:fill="CFF0FC"/>
          </w:tcPr>
          <w:p>
            <w:pPr>
              <w:jc w:val="right"/>
              <w:ind w:right="113"/>
              <w:spacing w:after="0" w:line="196" w:lineRule="exact"/>
              <w:rPr>
                <w:sz w:val="20"/>
                <w:szCs w:val="20"/>
                <w:color w:val="auto"/>
              </w:rPr>
            </w:pPr>
            <w:r>
              <w:rPr>
                <w:rFonts w:ascii="Arial" w:cs="Arial" w:eastAsia="Arial" w:hAnsi="Arial"/>
                <w:sz w:val="18"/>
                <w:szCs w:val="18"/>
                <w:color w:val="auto"/>
              </w:rPr>
              <w:t>403,000</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3.38</w:t>
            </w:r>
          </w:p>
        </w:tc>
      </w:tr>
      <w:tr>
        <w:trPr>
          <w:trHeight w:val="203"/>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77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(403,000 )</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3.38</w:t>
            </w:r>
          </w:p>
        </w:tc>
      </w:tr>
      <w:tr>
        <w:trPr>
          <w:trHeight w:val="203"/>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231F20"/>
            </w:tcBorders>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231F20"/>
            </w:tcBorders>
          </w:tcPr>
          <w:p>
            <w:pPr>
              <w:spacing w:after="0"/>
              <w:rPr>
                <w:sz w:val="17"/>
                <w:szCs w:val="17"/>
                <w:color w:val="auto"/>
              </w:rPr>
            </w:pPr>
          </w:p>
        </w:tc>
        <w:tc>
          <w:tcPr>
            <w:tcW w:w="1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36"/>
        </w:trPr>
        <w:tc>
          <w:tcPr>
            <w:tcW w:w="77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performance-based restricted stock as of December 31, 2024</w:t>
            </w:r>
          </w:p>
        </w:tc>
        <w:tc>
          <w:tcPr>
            <w:tcW w:w="1680" w:type="dxa"/>
            <w:vAlign w:val="bottom"/>
            <w:tcBorders>
              <w:bottom w:val="single" w:sz="8" w:color="auto"/>
            </w:tcBorders>
            <w:shd w:val="clear" w:color="auto" w:fill="CFF0FC"/>
          </w:tcPr>
          <w:p>
            <w:pPr>
              <w:jc w:val="right"/>
              <w:ind w:right="113"/>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Employee Stock Purchase Plan (ESPP)</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Board in the offering. A total of 430,416 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 shares of common stock, or (iii) a lesser number of shares determined by the Board no later than December 31 of the preceding calendar year.</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$0.6 million and $0.5 million for the years ended December 31, 2024 and 2023,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Stock-based compensation expense related to awards granted under the 2014 Plan, the 2020 Plan, the ESPP and the 2022 Inducement Plan was classified in the consolidated statements of operations and comprehensive loss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40" w:type="dxa"/>
            <w:vAlign w:val="bottom"/>
            <w:tcBorders>
              <w:top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280" w:type="dxa"/>
            <w:vAlign w:val="bottom"/>
            <w:tcBorders>
              <w:top w:val="single" w:sz="8" w:color="auto"/>
              <w:bottom w:val="single" w:sz="8" w:color="auto"/>
            </w:tcBorders>
          </w:tcPr>
          <w:p>
            <w:pPr>
              <w:spacing w:after="0"/>
              <w:rPr>
                <w:sz w:val="15"/>
                <w:szCs w:val="15"/>
                <w:color w:val="auto"/>
              </w:rPr>
            </w:pPr>
          </w:p>
        </w:tc>
      </w:tr>
      <w:tr>
        <w:trPr>
          <w:trHeight w:val="156"/>
        </w:trPr>
        <w:tc>
          <w:tcPr>
            <w:tcW w:w="6840" w:type="dxa"/>
            <w:vAlign w:val="bottom"/>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35"/>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jc w:val="right"/>
              <w:ind w:right="956"/>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5"/>
              <w:spacing w:after="0" w:line="196" w:lineRule="exact"/>
              <w:rPr>
                <w:sz w:val="20"/>
                <w:szCs w:val="20"/>
                <w:color w:val="auto"/>
              </w:rPr>
            </w:pPr>
            <w:r>
              <w:rPr>
                <w:rFonts w:ascii="Arial" w:cs="Arial" w:eastAsia="Arial" w:hAnsi="Arial"/>
                <w:sz w:val="18"/>
                <w:szCs w:val="18"/>
                <w:color w:val="auto"/>
              </w:rPr>
              <w:t>16,543</w:t>
            </w:r>
          </w:p>
        </w:tc>
        <w:tc>
          <w:tcPr>
            <w:tcW w:w="940" w:type="dxa"/>
            <w:vAlign w:val="bottom"/>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11,769</w:t>
            </w:r>
          </w:p>
        </w:tc>
      </w:tr>
      <w:tr>
        <w:trPr>
          <w:trHeight w:val="203"/>
        </w:trPr>
        <w:tc>
          <w:tcPr>
            <w:tcW w:w="68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115"/>
              <w:spacing w:after="0" w:line="202" w:lineRule="exact"/>
              <w:rPr>
                <w:sz w:val="20"/>
                <w:szCs w:val="20"/>
                <w:color w:val="auto"/>
              </w:rPr>
            </w:pPr>
            <w:r>
              <w:rPr>
                <w:rFonts w:ascii="Arial" w:cs="Arial" w:eastAsia="Arial" w:hAnsi="Arial"/>
                <w:sz w:val="18"/>
                <w:szCs w:val="18"/>
                <w:color w:val="auto"/>
              </w:rPr>
              <w:t>6,039</w:t>
            </w:r>
          </w:p>
        </w:tc>
        <w:tc>
          <w:tcPr>
            <w:tcW w:w="94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ind w:right="35"/>
              <w:spacing w:after="0" w:line="202" w:lineRule="exact"/>
              <w:rPr>
                <w:sz w:val="20"/>
                <w:szCs w:val="20"/>
                <w:color w:val="auto"/>
              </w:rPr>
            </w:pPr>
            <w:r>
              <w:rPr>
                <w:rFonts w:ascii="Arial" w:cs="Arial" w:eastAsia="Arial" w:hAnsi="Arial"/>
                <w:sz w:val="18"/>
                <w:szCs w:val="18"/>
                <w:color w:val="auto"/>
              </w:rPr>
              <w:t>5,487</w:t>
            </w:r>
          </w:p>
        </w:tc>
      </w:tr>
      <w:tr>
        <w:trPr>
          <w:trHeight w:val="236"/>
        </w:trPr>
        <w:tc>
          <w:tcPr>
            <w:tcW w:w="68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FF0FC"/>
          </w:tcPr>
          <w:p>
            <w:pPr>
              <w:jc w:val="right"/>
              <w:ind w:right="956"/>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15"/>
              <w:spacing w:after="0" w:line="196" w:lineRule="exact"/>
              <w:rPr>
                <w:sz w:val="20"/>
                <w:szCs w:val="20"/>
                <w:color w:val="auto"/>
              </w:rPr>
            </w:pPr>
            <w:r>
              <w:rPr>
                <w:rFonts w:ascii="Arial" w:cs="Arial" w:eastAsia="Arial" w:hAnsi="Arial"/>
                <w:sz w:val="18"/>
                <w:szCs w:val="18"/>
                <w:color w:val="auto"/>
              </w:rPr>
              <w:t>22,582</w:t>
            </w:r>
          </w:p>
        </w:tc>
        <w:tc>
          <w:tcPr>
            <w:tcW w:w="9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17,256</w:t>
            </w:r>
          </w:p>
        </w:tc>
      </w:tr>
    </w:tbl>
    <w:p>
      <w:pPr>
        <w:spacing w:after="0" w:line="2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9.</w:t>
        <w:tab/>
        <w:t>Income Taxes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reconciliation of the Federal statutory income tax (provision) benefit to the Company’s effective income tax provision is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Years Ended December 31,</w:t>
            </w:r>
          </w:p>
        </w:tc>
      </w:tr>
      <w:tr>
        <w:trPr>
          <w:trHeight w:val="196"/>
        </w:trPr>
        <w:tc>
          <w:tcPr>
            <w:tcW w:w="7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18"/>
                <w:szCs w:val="18"/>
                <w:b w:val="1"/>
                <w:bCs w:val="1"/>
                <w:color w:val="auto"/>
              </w:rPr>
              <w:t>2024</w:t>
            </w: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income tax</w:t>
            </w:r>
          </w:p>
        </w:tc>
        <w:tc>
          <w:tcPr>
            <w:tcW w:w="36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27,309</w:t>
            </w:r>
          </w:p>
        </w:tc>
        <w:tc>
          <w:tcPr>
            <w:tcW w:w="4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20,060</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federal tax benefit</w:t>
            </w:r>
          </w:p>
        </w:tc>
        <w:tc>
          <w:tcPr>
            <w:tcW w:w="360" w:type="dxa"/>
            <w:vAlign w:val="bottom"/>
          </w:tcPr>
          <w:p>
            <w:pPr>
              <w:spacing w:after="0"/>
              <w:rPr>
                <w:sz w:val="17"/>
                <w:szCs w:val="17"/>
                <w:color w:val="auto"/>
              </w:rPr>
            </w:pP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8,550</w:t>
            </w:r>
          </w:p>
        </w:tc>
        <w:tc>
          <w:tcPr>
            <w:tcW w:w="460" w:type="dxa"/>
            <w:vAlign w:val="bottom"/>
          </w:tcPr>
          <w:p>
            <w:pPr>
              <w:spacing w:after="0"/>
              <w:rPr>
                <w:sz w:val="17"/>
                <w:szCs w:val="17"/>
                <w:color w:val="auto"/>
              </w:rPr>
            </w:pP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6,133</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research and development tax credit</w:t>
            </w: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2,210</w:t>
            </w:r>
          </w:p>
        </w:tc>
        <w:tc>
          <w:tcPr>
            <w:tcW w:w="4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1,411</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differences in non-tax-deductible executive compensation</w:t>
            </w:r>
          </w:p>
        </w:tc>
        <w:tc>
          <w:tcPr>
            <w:tcW w:w="360" w:type="dxa"/>
            <w:vAlign w:val="bottom"/>
          </w:tcPr>
          <w:p>
            <w:pPr>
              <w:spacing w:after="0"/>
              <w:rPr>
                <w:sz w:val="17"/>
                <w:szCs w:val="17"/>
                <w:color w:val="auto"/>
              </w:rPr>
            </w:pP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(3,348 )</w:t>
            </w:r>
          </w:p>
        </w:tc>
        <w:tc>
          <w:tcPr>
            <w:tcW w:w="4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(2,842 )</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Permanent differences in foreign jurisdiction</w:t>
            </w: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(1,650 )</w:t>
            </w:r>
          </w:p>
        </w:tc>
        <w:tc>
          <w:tcPr>
            <w:tcW w:w="4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(1,013 )</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differences others</w:t>
            </w:r>
          </w:p>
        </w:tc>
        <w:tc>
          <w:tcPr>
            <w:tcW w:w="360" w:type="dxa"/>
            <w:vAlign w:val="bottom"/>
          </w:tcPr>
          <w:p>
            <w:pPr>
              <w:spacing w:after="0"/>
              <w:rPr>
                <w:sz w:val="17"/>
                <w:szCs w:val="17"/>
                <w:color w:val="auto"/>
              </w:rPr>
            </w:pP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(469 )</w:t>
            </w:r>
          </w:p>
        </w:tc>
        <w:tc>
          <w:tcPr>
            <w:tcW w:w="460" w:type="dxa"/>
            <w:vAlign w:val="bottom"/>
          </w:tcPr>
          <w:p>
            <w:pPr>
              <w:spacing w:after="0"/>
              <w:rPr>
                <w:sz w:val="17"/>
                <w:szCs w:val="17"/>
                <w:color w:val="auto"/>
              </w:rPr>
            </w:pP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323</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deferred items</w:t>
            </w: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351</w:t>
            </w:r>
          </w:p>
        </w:tc>
        <w:tc>
          <w:tcPr>
            <w:tcW w:w="4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Rate changes</w:t>
            </w:r>
          </w:p>
        </w:tc>
        <w:tc>
          <w:tcPr>
            <w:tcW w:w="360" w:type="dxa"/>
            <w:vAlign w:val="bottom"/>
          </w:tcPr>
          <w:p>
            <w:pPr>
              <w:spacing w:after="0"/>
              <w:rPr>
                <w:sz w:val="17"/>
                <w:szCs w:val="17"/>
                <w:color w:val="auto"/>
              </w:rPr>
            </w:pP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(90 )</w:t>
            </w:r>
          </w:p>
        </w:tc>
        <w:tc>
          <w:tcPr>
            <w:tcW w:w="4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(63 )</w:t>
            </w:r>
          </w:p>
        </w:tc>
      </w:tr>
      <w:tr>
        <w:trPr>
          <w:trHeight w:val="203"/>
        </w:trPr>
        <w:tc>
          <w:tcPr>
            <w:tcW w:w="7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(32,865 )</w:t>
            </w:r>
          </w:p>
        </w:tc>
        <w:tc>
          <w:tcPr>
            <w:tcW w:w="4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(24,761 )</w:t>
            </w:r>
          </w:p>
        </w:tc>
      </w:tr>
      <w:tr>
        <w:trPr>
          <w:trHeight w:val="196"/>
        </w:trPr>
        <w:tc>
          <w:tcPr>
            <w:tcW w:w="76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expense for income taxes</w:t>
            </w:r>
          </w:p>
        </w:tc>
        <w:tc>
          <w:tcPr>
            <w:tcW w:w="3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(2 )</w:t>
            </w:r>
          </w:p>
        </w:tc>
        <w:tc>
          <w:tcPr>
            <w:tcW w:w="4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(2 )</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The Company’s deferred income tax assets and liabilities at December 31, 2024 and 2023 comprised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top w:val="single" w:sz="8" w:color="auto"/>
              <w:bottom w:val="single" w:sz="8" w:color="auto"/>
            </w:tcBorders>
          </w:tcPr>
          <w:p>
            <w:pPr>
              <w:spacing w:after="0"/>
              <w:rPr>
                <w:sz w:val="15"/>
                <w:szCs w:val="15"/>
                <w:color w:val="auto"/>
              </w:rPr>
            </w:pPr>
          </w:p>
        </w:tc>
      </w:tr>
      <w:tr>
        <w:trPr>
          <w:trHeight w:val="155"/>
        </w:trPr>
        <w:tc>
          <w:tcPr>
            <w:tcW w:w="7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53"/>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Net operating loss carryforwards</w:t>
            </w:r>
          </w:p>
        </w:tc>
        <w:tc>
          <w:tcPr>
            <w:tcW w:w="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60,600</w:t>
            </w:r>
          </w:p>
        </w:tc>
        <w:tc>
          <w:tcPr>
            <w:tcW w:w="6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44,705</w:t>
            </w:r>
          </w:p>
        </w:tc>
      </w:tr>
      <w:tr>
        <w:trPr>
          <w:trHeight w:val="203"/>
        </w:trPr>
        <w:tc>
          <w:tcPr>
            <w:tcW w:w="7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Capitalized research and development</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color w:val="auto"/>
              </w:rPr>
              <w:t>35,639</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20,562</w:t>
            </w: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Equity compensation</w:t>
            </w:r>
          </w:p>
        </w:tc>
        <w:tc>
          <w:tcPr>
            <w:tcW w:w="400" w:type="dxa"/>
            <w:vAlign w:val="bottom"/>
          </w:tcPr>
          <w:p>
            <w:pPr>
              <w:spacing w:after="0"/>
              <w:rPr>
                <w:sz w:val="17"/>
                <w:szCs w:val="17"/>
                <w:color w:val="auto"/>
              </w:rPr>
            </w:pPr>
          </w:p>
        </w:tc>
        <w:tc>
          <w:tcPr>
            <w:tcW w:w="14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6,963</w:t>
            </w:r>
          </w:p>
        </w:tc>
        <w:tc>
          <w:tcPr>
            <w:tcW w:w="68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5,105</w:t>
            </w:r>
          </w:p>
        </w:tc>
      </w:tr>
      <w:tr>
        <w:trPr>
          <w:trHeight w:val="203"/>
        </w:trPr>
        <w:tc>
          <w:tcPr>
            <w:tcW w:w="7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Lease Liability</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color w:val="auto"/>
              </w:rPr>
              <w:t>405</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682</w:t>
            </w: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1,482</w:t>
            </w: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1,452</w:t>
            </w:r>
          </w:p>
        </w:tc>
      </w:tr>
      <w:tr>
        <w:trPr>
          <w:trHeight w:val="236"/>
        </w:trPr>
        <w:tc>
          <w:tcPr>
            <w:tcW w:w="7600" w:type="dxa"/>
            <w:vAlign w:val="bottom"/>
            <w:tcBorders>
              <w:bottom w:val="single" w:sz="8" w:color="CFF0FC"/>
            </w:tcBorders>
            <w:shd w:val="clear" w:color="auto" w:fill="CFF0FC"/>
          </w:tcPr>
          <w:p>
            <w:pPr>
              <w:ind w:left="520"/>
              <w:spacing w:after="0" w:line="182" w:lineRule="exact"/>
              <w:rPr>
                <w:sz w:val="20"/>
                <w:szCs w:val="20"/>
                <w:color w:val="auto"/>
              </w:rPr>
            </w:pPr>
            <w:r>
              <w:rPr>
                <w:rFonts w:ascii="Arial" w:cs="Arial" w:eastAsia="Arial" w:hAnsi="Arial"/>
                <w:sz w:val="18"/>
                <w:szCs w:val="18"/>
                <w:color w:val="auto"/>
              </w:rPr>
              <w:t>Total deferred tax assets</w:t>
            </w:r>
          </w:p>
        </w:tc>
        <w:tc>
          <w:tcPr>
            <w:tcW w:w="40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ind w:right="113"/>
              <w:spacing w:after="0" w:line="182" w:lineRule="exact"/>
              <w:rPr>
                <w:sz w:val="20"/>
                <w:szCs w:val="20"/>
                <w:color w:val="auto"/>
              </w:rPr>
            </w:pPr>
            <w:r>
              <w:rPr>
                <w:rFonts w:ascii="Arial" w:cs="Arial" w:eastAsia="Arial" w:hAnsi="Arial"/>
                <w:sz w:val="18"/>
                <w:szCs w:val="18"/>
                <w:color w:val="auto"/>
              </w:rPr>
              <w:t>105,089</w:t>
            </w:r>
          </w:p>
        </w:tc>
        <w:tc>
          <w:tcPr>
            <w:tcW w:w="68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72,506</w:t>
            </w: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7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Fixed assets</w:t>
            </w:r>
          </w:p>
        </w:tc>
        <w:tc>
          <w:tcPr>
            <w:tcW w:w="4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(215 )</w:t>
            </w:r>
          </w:p>
        </w:tc>
        <w:tc>
          <w:tcPr>
            <w:tcW w:w="68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(281 )</w:t>
            </w: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Right-of-use assets</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(372 )</w:t>
            </w:r>
          </w:p>
        </w:tc>
        <w:tc>
          <w:tcPr>
            <w:tcW w:w="68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(646 )</w:t>
            </w:r>
          </w:p>
        </w:tc>
      </w:tr>
      <w:tr>
        <w:trPr>
          <w:trHeight w:val="196"/>
        </w:trPr>
        <w:tc>
          <w:tcPr>
            <w:tcW w:w="76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deferred tax liabilities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(587 )</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(927 )</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(104,502 )</w:t>
            </w: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(71,579 )</w:t>
            </w:r>
          </w:p>
        </w:tc>
      </w:tr>
      <w:tr>
        <w:trPr>
          <w:trHeight w:val="236"/>
        </w:trPr>
        <w:tc>
          <w:tcPr>
            <w:tcW w:w="7600" w:type="dxa"/>
            <w:vAlign w:val="bottom"/>
            <w:tcBorders>
              <w:bottom w:val="single" w:sz="8" w:color="auto"/>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Net deferred tax assets</w:t>
            </w:r>
          </w:p>
        </w:tc>
        <w:tc>
          <w:tcPr>
            <w:tcW w:w="40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ind w:right="113"/>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w:t>
            </w:r>
          </w:p>
        </w:tc>
      </w:tr>
    </w:tbl>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the level of historical operating results and the uncertainty of the economic conditions, the Company has recorded a valuation allowance of $104.5 million and $71.6 million at December 31, 2024 and 2023, respectively. The change in the valuation allowance for the year end December 31, 2024 was an increase of $32.9 million.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December 31, 2024 and 2023, the Company had Federal net operating losses (NOLs) of approximately $190.2 million and $150.8 million, and state NOLs of $296.7 million and $187.0 million, respectively. As a result of the Tax Act, as modified by the CARES Act, for U.S. income tax purposes, NOLs generated in tax years beginning before January 1, 2018 can still be carried forward for up to 20 years, but net operating losses generated for tax years beginning after December 31, 2017 are carryforward indefinitely and can be used to offset taxable income, but the deductibility of such Federal NOLs may be limited to 80% of current year taxable income for tax years beginning on or after December 31, 2024. Of the total Federal NOLs of $190.2 million, $3.3 million will begin to expire in 2032 and $186.9 million will not expire. The state NOL carryover of $296.7 million will begin to expire in 2032.</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 that has occurred or may occur in the future. Any adjustment to the Company’s tax attributes as a result of an ownership change will result in a corresponding decrease to the valuation allowance recorded against the Company’s deferred tax assets.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valuation allowance increased during the years ended December 31, 2024 and 2023 due primarily to the generation of net operating losses,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3500" w:type="dxa"/>
            <w:vAlign w:val="bottom"/>
            <w:tcBorders>
              <w:top w:val="single" w:sz="8" w:color="auto"/>
              <w:bottom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allowance at beginning of year</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71,579</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47,427</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Increase recorded to provision for income taxes</w:t>
            </w:r>
          </w:p>
        </w:tc>
        <w:tc>
          <w:tcPr>
            <w:tcW w:w="140" w:type="dxa"/>
            <w:vAlign w:val="bottom"/>
          </w:tcPr>
          <w:p>
            <w:pPr>
              <w:spacing w:after="0"/>
              <w:rPr>
                <w:sz w:val="17"/>
                <w:szCs w:val="17"/>
                <w:color w:val="auto"/>
              </w:rPr>
            </w:pPr>
          </w:p>
        </w:tc>
        <w:tc>
          <w:tcPr>
            <w:tcW w:w="158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32,923</w:t>
            </w:r>
          </w:p>
        </w:tc>
        <w:tc>
          <w:tcPr>
            <w:tcW w:w="320" w:type="dxa"/>
            <w:vAlign w:val="bottom"/>
          </w:tcPr>
          <w:p>
            <w:pPr>
              <w:spacing w:after="0"/>
              <w:rPr>
                <w:sz w:val="17"/>
                <w:szCs w:val="17"/>
                <w:color w:val="auto"/>
              </w:rPr>
            </w:pPr>
          </w:p>
        </w:tc>
        <w:tc>
          <w:tcPr>
            <w:tcW w:w="160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24,152</w:t>
            </w:r>
          </w:p>
        </w:tc>
      </w:tr>
      <w:tr>
        <w:trPr>
          <w:trHeight w:val="236"/>
        </w:trPr>
        <w:tc>
          <w:tcPr>
            <w:tcW w:w="76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allowance at end of year</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104,502</w:t>
            </w:r>
          </w:p>
        </w:tc>
        <w:tc>
          <w:tcPr>
            <w:tcW w:w="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71,579</w:t>
            </w: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not incurred any material interest or penalties as of the current reporting date with respect to income tax matters. The Company is subject to U.S. Federal and state income taxes. The Federal and state income tax returns for tax years prior to 2024 may remain open to examination as carry-forward attributes generated prior may be adjusted upon examination.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10.  Net Loss Per Common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common share was calculated as follows (in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3240" w:type="dxa"/>
            <w:vAlign w:val="bottom"/>
            <w:tcBorders>
              <w:top w:val="single" w:sz="8" w:color="auto"/>
              <w:bottom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57"/>
              <w:spacing w:after="0" w:line="155" w:lineRule="exact"/>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Net loss</w:t>
            </w:r>
          </w:p>
        </w:tc>
        <w:tc>
          <w:tcPr>
            <w:tcW w:w="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(129,474 )</w:t>
            </w:r>
          </w:p>
        </w:tc>
        <w:tc>
          <w:tcPr>
            <w:tcW w:w="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(96,655 )</w:t>
            </w: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Weighted average shares used to compute net loss per share, basic and diluted*</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58,743,522</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45,247,098</w:t>
            </w:r>
          </w:p>
        </w:tc>
      </w:tr>
      <w:tr>
        <w:trPr>
          <w:trHeight w:val="236"/>
        </w:trPr>
        <w:tc>
          <w:tcPr>
            <w:tcW w:w="76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40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(2.20 )</w:t>
            </w:r>
          </w:p>
        </w:tc>
        <w:tc>
          <w:tcPr>
            <w:tcW w:w="4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(2.14 )</w:t>
            </w:r>
          </w:p>
        </w:tc>
      </w:tr>
    </w:tbl>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reflects the weighted average effect of the pre-funded warrants issued on December 4, 2024 for basic and diluted net loss per share.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Borders>
              <w:top w:val="single" w:sz="8" w:color="auto"/>
            </w:tcBorders>
          </w:tcPr>
          <w:p>
            <w:pPr>
              <w:spacing w:after="0"/>
              <w:rPr>
                <w:sz w:val="15"/>
                <w:szCs w:val="15"/>
                <w:color w:val="auto"/>
              </w:rPr>
            </w:pPr>
          </w:p>
        </w:tc>
        <w:tc>
          <w:tcPr>
            <w:tcW w:w="3400" w:type="dxa"/>
            <w:vAlign w:val="bottom"/>
            <w:tcBorders>
              <w:top w:val="single" w:sz="8" w:color="auto"/>
              <w:bottom w:val="single" w:sz="8" w:color="auto"/>
            </w:tcBorders>
            <w:gridSpan w:val="2"/>
          </w:tcPr>
          <w:p>
            <w:pPr>
              <w:jc w:val="right"/>
              <w:ind w:right="753"/>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840" w:type="dxa"/>
            <w:vAlign w:val="bottom"/>
          </w:tcPr>
          <w:p>
            <w:pPr>
              <w:spacing w:after="0"/>
              <w:rPr>
                <w:sz w:val="13"/>
                <w:szCs w:val="13"/>
                <w:color w:val="auto"/>
              </w:rPr>
            </w:pPr>
          </w:p>
        </w:tc>
        <w:tc>
          <w:tcPr>
            <w:tcW w:w="1940" w:type="dxa"/>
            <w:vAlign w:val="bottom"/>
            <w:tcBorders>
              <w:bottom w:val="single" w:sz="8" w:color="auto"/>
            </w:tcBorders>
          </w:tcPr>
          <w:p>
            <w:pPr>
              <w:jc w:val="right"/>
              <w:ind w:right="935"/>
              <w:spacing w:after="0" w:line="155" w:lineRule="exact"/>
              <w:rPr>
                <w:sz w:val="20"/>
                <w:szCs w:val="20"/>
                <w:color w:val="auto"/>
              </w:rPr>
            </w:pPr>
            <w:r>
              <w:rPr>
                <w:rFonts w:ascii="Arial" w:cs="Arial" w:eastAsia="Arial" w:hAnsi="Arial"/>
                <w:sz w:val="14"/>
                <w:szCs w:val="14"/>
                <w:b w:val="1"/>
                <w:bCs w:val="1"/>
                <w:color w:val="auto"/>
              </w:rPr>
              <w:t>2024</w:t>
            </w:r>
          </w:p>
        </w:tc>
        <w:tc>
          <w:tcPr>
            <w:tcW w:w="1460" w:type="dxa"/>
            <w:vAlign w:val="bottom"/>
            <w:tcBorders>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to purchase common stock</w:t>
            </w:r>
          </w:p>
        </w:tc>
        <w:tc>
          <w:tcPr>
            <w:tcW w:w="1940" w:type="dxa"/>
            <w:vAlign w:val="bottom"/>
            <w:shd w:val="clear" w:color="auto" w:fill="CFF0FC"/>
          </w:tcPr>
          <w:p>
            <w:pPr>
              <w:jc w:val="right"/>
              <w:ind w:right="335"/>
              <w:spacing w:after="0" w:line="196" w:lineRule="exact"/>
              <w:rPr>
                <w:sz w:val="20"/>
                <w:szCs w:val="20"/>
                <w:color w:val="auto"/>
              </w:rPr>
            </w:pPr>
            <w:r>
              <w:rPr>
                <w:rFonts w:ascii="Arial" w:cs="Arial" w:eastAsia="Arial" w:hAnsi="Arial"/>
                <w:sz w:val="18"/>
                <w:szCs w:val="18"/>
                <w:color w:val="auto"/>
              </w:rPr>
              <w:t>11,353,057</w:t>
            </w:r>
          </w:p>
        </w:tc>
        <w:tc>
          <w:tcPr>
            <w:tcW w:w="14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8,670,742</w:t>
            </w:r>
          </w:p>
        </w:tc>
      </w:tr>
      <w:tr>
        <w:trPr>
          <w:trHeight w:val="202"/>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Unvested performance-based restricted stock units</w:t>
            </w:r>
          </w:p>
        </w:tc>
        <w:tc>
          <w:tcPr>
            <w:tcW w:w="1940" w:type="dxa"/>
            <w:vAlign w:val="bottom"/>
          </w:tcPr>
          <w:p>
            <w:pPr>
              <w:jc w:val="right"/>
              <w:ind w:right="335"/>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403,000</w:t>
            </w: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restricted common stock</w:t>
            </w:r>
          </w:p>
        </w:tc>
        <w:tc>
          <w:tcPr>
            <w:tcW w:w="1940" w:type="dxa"/>
            <w:vAlign w:val="bottom"/>
            <w:shd w:val="clear" w:color="auto" w:fill="CFF0FC"/>
          </w:tcPr>
          <w:p>
            <w:pPr>
              <w:jc w:val="right"/>
              <w:ind w:right="335"/>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80,703</w:t>
            </w: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Employee stock purchase plan contingently issuable</w:t>
            </w:r>
          </w:p>
        </w:tc>
        <w:tc>
          <w:tcPr>
            <w:tcW w:w="1940" w:type="dxa"/>
            <w:vAlign w:val="bottom"/>
            <w:tcBorders>
              <w:bottom w:val="single" w:sz="8" w:color="auto"/>
            </w:tcBorders>
          </w:tcPr>
          <w:p>
            <w:pPr>
              <w:jc w:val="right"/>
              <w:ind w:right="335"/>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13,988</w:t>
            </w:r>
          </w:p>
        </w:tc>
      </w:tr>
      <w:tr>
        <w:trPr>
          <w:trHeight w:val="236"/>
        </w:trPr>
        <w:tc>
          <w:tcPr>
            <w:tcW w:w="7840" w:type="dxa"/>
            <w:vAlign w:val="bottom"/>
            <w:tcBorders>
              <w:bottom w:val="single" w:sz="8" w:color="auto"/>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ind w:right="335"/>
              <w:spacing w:after="0" w:line="196" w:lineRule="exact"/>
              <w:rPr>
                <w:sz w:val="20"/>
                <w:szCs w:val="20"/>
                <w:color w:val="auto"/>
              </w:rPr>
            </w:pPr>
            <w:r>
              <w:rPr>
                <w:rFonts w:ascii="Arial" w:cs="Arial" w:eastAsia="Arial" w:hAnsi="Arial"/>
                <w:sz w:val="18"/>
                <w:szCs w:val="18"/>
                <w:color w:val="auto"/>
              </w:rPr>
              <w:t>11,353,057</w:t>
            </w:r>
          </w:p>
        </w:tc>
        <w:tc>
          <w:tcPr>
            <w:tcW w:w="14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9,168,433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11.  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certain of its facilities under non-cancellable operating leases expiring at various dates through 2026.</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and lab space in San Francisco, California (the Laboratory Lease Agreement). The Laboratory Lease Agreement is for a period of five years commencing approximately February 1, 2021 and ending January 31, 2026. According to the terms of the Laboratory Lease Agreement, the Company paid a $0.4 million security deposit and is required to pay monthly rent and common area charges.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August 17, 2023, the Company entered into a sublease agreement with Dropbox, Inc. to sublease approximately 6,713 square feet of office space in San Francisco, California (the Dropbox Sublease Agreement). The Dropbox Sublease Agreement is for a period of two years commencing on September 5, 2023 and ending December 31, 2025. According to the terms of the Dropbox Sublease Agreement, the Company paid a $0.1 million security deposit and is required to pay monthly rent and common area charges. The sublease was accounted for under Topic 842 and the Company recorded ROU asset and lease liability of $0.2 million and $0.2 million, respectively, in the accompanying consolidated financial statements.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August 23, 2023, the Company entered into a lease agreement with The Cambridge Redevelopment Authority to lease approximately 4,020 square feet of office space in Cambridge, Massachusetts (the Cambridge Lease Agreement). The Cambridge Lease Agreement is for a period of three years commencing on September 15, 2023 and ending September 14, 2026. According to the terms of the Cambridge Lease Agreement, the Company paid a less than $0.1 million security deposit and is required to pay monthly rent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common area charges. The lease was accounted for under Topic 842 and the Company recorded ROU asset and lease liability of $0.7 million and $0.7 million, respectively, in the accompanying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lease expense during the years ended December 31, 2024 and 2023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Years Ended December 31,</w:t>
            </w:r>
          </w:p>
        </w:tc>
        <w:tc>
          <w:tcPr>
            <w:tcW w:w="1460" w:type="dxa"/>
            <w:vAlign w:val="bottom"/>
            <w:tcBorders>
              <w:top w:val="single" w:sz="8" w:color="auto"/>
            </w:tcBorders>
          </w:tcPr>
          <w:p>
            <w:pPr>
              <w:spacing w:after="0"/>
              <w:rPr>
                <w:sz w:val="15"/>
                <w:szCs w:val="15"/>
                <w:color w:val="auto"/>
              </w:rPr>
            </w:pPr>
          </w:p>
        </w:tc>
      </w:tr>
      <w:tr>
        <w:trPr>
          <w:trHeight w:val="156"/>
        </w:trPr>
        <w:tc>
          <w:tcPr>
            <w:tcW w:w="638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98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95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Straight-line operating lease expense</w:t>
            </w:r>
          </w:p>
        </w:tc>
        <w:tc>
          <w:tcPr>
            <w:tcW w:w="1360" w:type="dxa"/>
            <w:vAlign w:val="bottom"/>
            <w:shd w:val="clear" w:color="auto" w:fill="CFF0FC"/>
          </w:tcPr>
          <w:p>
            <w:pPr>
              <w:jc w:val="right"/>
              <w:ind w:right="1156"/>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1,150</w:t>
            </w:r>
          </w:p>
        </w:tc>
        <w:tc>
          <w:tcPr>
            <w:tcW w:w="1060" w:type="dxa"/>
            <w:vAlign w:val="bottom"/>
            <w:gridSpan w:val="2"/>
            <w:shd w:val="clear" w:color="auto" w:fill="CFF0FC"/>
          </w:tcPr>
          <w:p>
            <w:pPr>
              <w:jc w:val="right"/>
              <w:ind w:right="7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1,297</w:t>
            </w: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expense</w:t>
            </w:r>
          </w:p>
        </w:tc>
        <w:tc>
          <w:tcPr>
            <w:tcW w:w="1360" w:type="dxa"/>
            <w:vAlign w:val="bottom"/>
          </w:tcPr>
          <w:p>
            <w:pPr>
              <w:spacing w:after="0"/>
              <w:rPr>
                <w:sz w:val="17"/>
                <w:szCs w:val="17"/>
                <w:color w:val="auto"/>
              </w:rPr>
            </w:pP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164</w:t>
            </w:r>
          </w:p>
        </w:tc>
      </w:tr>
      <w:tr>
        <w:trPr>
          <w:trHeight w:val="203"/>
        </w:trPr>
        <w:tc>
          <w:tcPr>
            <w:tcW w:w="63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lease expense</w:t>
            </w:r>
          </w:p>
        </w:tc>
        <w:tc>
          <w:tcPr>
            <w:tcW w:w="13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382</w:t>
            </w: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140</w:t>
            </w:r>
          </w:p>
        </w:tc>
      </w:tr>
      <w:tr>
        <w:trPr>
          <w:trHeight w:val="196"/>
        </w:trPr>
        <w:tc>
          <w:tcPr>
            <w:tcW w:w="63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1360" w:type="dxa"/>
            <w:vAlign w:val="bottom"/>
            <w:tcBorders>
              <w:bottom w:val="single" w:sz="8" w:color="auto"/>
            </w:tcBorders>
          </w:tcPr>
          <w:p>
            <w:pPr>
              <w:jc w:val="right"/>
              <w:ind w:right="1156"/>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1,532</w:t>
            </w:r>
          </w:p>
        </w:tc>
        <w:tc>
          <w:tcPr>
            <w:tcW w:w="1060" w:type="dxa"/>
            <w:vAlign w:val="bottom"/>
            <w:tcBorders>
              <w:bottom w:val="single" w:sz="8" w:color="auto"/>
            </w:tcBorders>
            <w:gridSpan w:val="2"/>
          </w:tcPr>
          <w:p>
            <w:pPr>
              <w:jc w:val="right"/>
              <w:ind w:right="72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1,601</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-680720</wp:posOffset>
            </wp:positionV>
            <wp:extent cx="170815"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0815" cy="14541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cash flow information during the year ended December 31, 2024 and 2023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6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top w:val="single" w:sz="8" w:color="auto"/>
            </w:tcBorders>
          </w:tcPr>
          <w:p>
            <w:pPr>
              <w:spacing w:after="0"/>
              <w:rPr>
                <w:sz w:val="15"/>
                <w:szCs w:val="15"/>
                <w:color w:val="auto"/>
              </w:rPr>
            </w:pPr>
          </w:p>
        </w:tc>
      </w:tr>
      <w:tr>
        <w:trPr>
          <w:trHeight w:val="156"/>
        </w:trPr>
        <w:tc>
          <w:tcPr>
            <w:tcW w:w="716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spacing w:after="0"/>
              <w:rPr>
                <w:sz w:val="13"/>
                <w:szCs w:val="13"/>
                <w:color w:val="auto"/>
              </w:rPr>
            </w:pPr>
          </w:p>
        </w:tc>
      </w:tr>
      <w:tr>
        <w:trPr>
          <w:trHeight w:val="196"/>
        </w:trPr>
        <w:tc>
          <w:tcPr>
            <w:tcW w:w="7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amounts included measurement of lease liabilities:</w:t>
            </w:r>
          </w:p>
        </w:tc>
        <w:tc>
          <w:tcPr>
            <w:tcW w:w="1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03"/>
        </w:trPr>
        <w:tc>
          <w:tcPr>
            <w:tcW w:w="7160" w:type="dxa"/>
            <w:vAlign w:val="bottom"/>
          </w:tcPr>
          <w:p>
            <w:pPr>
              <w:ind w:left="28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240" w:type="dxa"/>
            <w:vAlign w:val="bottom"/>
          </w:tcPr>
          <w:p>
            <w:pPr>
              <w:jc w:val="right"/>
              <w:ind w:right="1042"/>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1,162</w:t>
            </w:r>
          </w:p>
        </w:tc>
        <w:tc>
          <w:tcPr>
            <w:tcW w:w="1380" w:type="dxa"/>
            <w:vAlign w:val="bottom"/>
            <w:gridSpan w:val="2"/>
          </w:tcPr>
          <w:p>
            <w:pPr>
              <w:jc w:val="right"/>
              <w:ind w:right="1008"/>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1,231</w:t>
            </w:r>
          </w:p>
        </w:tc>
      </w:tr>
      <w:tr>
        <w:trPr>
          <w:trHeight w:val="184"/>
        </w:trPr>
        <w:tc>
          <w:tcPr>
            <w:tcW w:w="71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Supplemental noncash information on lease liability arising from obtaining a right-use-</w:t>
            </w:r>
          </w:p>
        </w:tc>
        <w:tc>
          <w:tcPr>
            <w:tcW w:w="1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r>
      <w:tr>
        <w:trPr>
          <w:trHeight w:val="261"/>
        </w:trPr>
        <w:tc>
          <w:tcPr>
            <w:tcW w:w="7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asset</w:t>
            </w:r>
          </w:p>
        </w:tc>
        <w:tc>
          <w:tcPr>
            <w:tcW w:w="12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-671830</wp:posOffset>
            </wp:positionV>
            <wp:extent cx="145415"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December 31,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2025</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1,245</w:t>
            </w:r>
          </w:p>
        </w:tc>
      </w:tr>
      <w:tr>
        <w:trPr>
          <w:trHeight w:val="203"/>
        </w:trPr>
        <w:tc>
          <w:tcPr>
            <w:tcW w:w="91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263</w:t>
            </w:r>
          </w:p>
        </w:tc>
      </w:tr>
      <w:tr>
        <w:trPr>
          <w:trHeight w:val="196"/>
        </w:trPr>
        <w:tc>
          <w:tcPr>
            <w:tcW w:w="9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1,508</w:t>
            </w:r>
          </w:p>
        </w:tc>
      </w:tr>
      <w:tr>
        <w:trPr>
          <w:trHeight w:val="203"/>
        </w:trPr>
        <w:tc>
          <w:tcPr>
            <w:tcW w:w="9160" w:type="dxa"/>
            <w:vAlign w:val="bottom"/>
          </w:tcPr>
          <w:p>
            <w:pPr>
              <w:ind w:left="20"/>
              <w:spacing w:after="0" w:line="202" w:lineRule="exact"/>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(79 )</w:t>
            </w:r>
          </w:p>
        </w:tc>
      </w:tr>
      <w:tr>
        <w:trPr>
          <w:trHeight w:val="196"/>
        </w:trPr>
        <w:tc>
          <w:tcPr>
            <w:tcW w:w="9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liabilities at present value</w:t>
            </w:r>
          </w:p>
        </w:tc>
        <w:tc>
          <w:tcPr>
            <w:tcW w:w="18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1,429</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180" w:type="dxa"/>
            <w:vAlign w:val="bottom"/>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1,172</w:t>
            </w:r>
          </w:p>
        </w:tc>
      </w:tr>
      <w:tr>
        <w:trPr>
          <w:trHeight w:val="276"/>
        </w:trPr>
        <w:tc>
          <w:tcPr>
            <w:tcW w:w="9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Lease liabilities, non-current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257</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lease term and discount rate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140" w:type="dxa"/>
            <w:vAlign w:val="bottom"/>
            <w:tcBorders>
              <w:top w:val="single" w:sz="8" w:color="auto"/>
              <w:bottom w:val="single" w:sz="8" w:color="auto"/>
            </w:tcBorders>
          </w:tcPr>
          <w:p>
            <w:pPr>
              <w:jc w:val="right"/>
              <w:ind w:right="928"/>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81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78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1.27</w:t>
            </w:r>
          </w:p>
        </w:tc>
        <w:tc>
          <w:tcPr>
            <w:tcW w:w="2320" w:type="dxa"/>
            <w:vAlign w:val="bottom"/>
            <w:gridSpan w:val="2"/>
            <w:shd w:val="clear" w:color="auto" w:fill="CFF0FC"/>
          </w:tcPr>
          <w:p>
            <w:pPr>
              <w:ind w:left="1760"/>
              <w:spacing w:after="0" w:line="196" w:lineRule="exact"/>
              <w:rPr>
                <w:sz w:val="20"/>
                <w:szCs w:val="20"/>
                <w:color w:val="auto"/>
              </w:rPr>
            </w:pPr>
            <w:r>
              <w:rPr>
                <w:rFonts w:ascii="Arial" w:cs="Arial" w:eastAsia="Arial" w:hAnsi="Arial"/>
                <w:sz w:val="18"/>
                <w:szCs w:val="18"/>
                <w:color w:val="auto"/>
              </w:rPr>
              <w:t>2.25</w:t>
            </w:r>
          </w:p>
        </w:tc>
      </w:tr>
      <w:tr>
        <w:trPr>
          <w:trHeight w:val="203"/>
        </w:trPr>
        <w:tc>
          <w:tcPr>
            <w:tcW w:w="814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Weighted-average discount rate</w:t>
            </w:r>
          </w:p>
        </w:tc>
        <w:tc>
          <w:tcPr>
            <w:tcW w:w="78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w w:val="96"/>
              </w:rPr>
              <w:t>9.00 %</w:t>
            </w:r>
          </w:p>
        </w:tc>
        <w:tc>
          <w:tcPr>
            <w:tcW w:w="2320" w:type="dxa"/>
            <w:vAlign w:val="bottom"/>
            <w:tcBorders>
              <w:bottom w:val="single" w:sz="8" w:color="auto"/>
            </w:tcBorders>
            <w:gridSpan w:val="2"/>
          </w:tcPr>
          <w:p>
            <w:pPr>
              <w:ind w:left="1760"/>
              <w:spacing w:after="0" w:line="202" w:lineRule="exact"/>
              <w:rPr>
                <w:sz w:val="20"/>
                <w:szCs w:val="20"/>
                <w:color w:val="auto"/>
              </w:rPr>
            </w:pPr>
            <w:r>
              <w:rPr>
                <w:rFonts w:ascii="Arial" w:cs="Arial" w:eastAsia="Arial" w:hAnsi="Arial"/>
                <w:sz w:val="18"/>
                <w:szCs w:val="18"/>
                <w:color w:val="auto"/>
                <w:w w:val="96"/>
              </w:rPr>
              <w:t>9.00 %</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12.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Collaboration and Supply Agreement with Novartis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November 29, 2024, the Company entered into a Clinical Trial Collaboration and Supply Agreement (the Novartis Pharma Agreement) with Novartis Pharma AG (Novartis). Pursuant to the Agreement, Novartis will provide the Company with ribociclib drug supply for the Company’s planned Phase 3 OPERA-02 trial of palazestrant in combination with ribociclib in ER+/HER2- frontline advanced or metastatic breast cancer (the "OPERA-02 trial").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Agreement, the Company will supply (including manufacturing, packaging and labeling) palazestrant and letrozole for the OPERA-02 trial. Novartis will manufacture and supply (including primary packaging) the Company with a specified amount of ribociclib, which amount is expected to be sufficient for the OPERA-02 trial.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Any inventions developed in the performance of the clinical studies for the combined therapies (other than those specific to each component study drug) are jointly owned by the parties. Except as otherwise specified below, the Novartis Pharma Agreement does not grant any right of first negotiation to participate in future clinical trials, and each party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and with third parties.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granted Novartis a right of first negotiation with respect to (a) the grant to any person or entity any right, license or sublicense to exploit palazestrant, in any field or territory, other than to third party service providers, or (b) the sale or other transfer to any person or entity of palazestrant and any related assets (each referred to herein as an Olema Compound Transaction). If the Company desires to or does, at any time, (a) solicit or entertain any third party proposal or indication of interest with respect to an Olema Compound Transaction, or</w:t>
      </w:r>
    </w:p>
    <w:p>
      <w:pPr>
        <w:jc w:val="both"/>
        <w:ind w:firstLine="8"/>
        <w:spacing w:after="0" w:line="239" w:lineRule="auto"/>
        <w:tabs>
          <w:tab w:leader="none" w:pos="2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negotiate (including in response to any proposal or indication of interest received by the Company), enter into or perform under, in each case, any written definitive agreement with a third party with respect to or that contemplates an Olema Compound Transaction, then the Company must provide written notice to Novartis regarding such Olema Compound Transaction, along with certain other specified information. Novartis will have 30 days after receipt of such notice to elect to enter into exclusive good faith negotiations with respect to such Olema Compound Transaction for a period of up to 120 days.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Company’s board of directors (or a duly authorized board committee) determines that the Company should pursue or explore a change of control of the Company or sale of all or substantially all of its assets (an Olema Change of Control), other than in response to an unsolicited bona fide acquisition proposal (a Proposed Sale), the Company must promptly notify Novartis of such determination. In the event Novartis elects to engage in negotiations with the Company in respect of such Proposed Sale, then from the date such notice is given until 45 days after the later of (a) the date on which the foregoing notice is given to Novartis, (b) the date on which Novartis is given notice that a data room has been populated as required by the Novartis Pharma Agreement, and (c) entry by the Company and Novartis into a customary nondisclosure agreement, Novartis will have the exclusive right (but no obligation) to conduct due diligence on the Company and its business and negotiate with the Company and its representatives the definitive terms and conditions of the Proposed Sale.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the Company or its affiliates receive an unsolicited bona fide acquisition proposal from a third party, the Company must promptly notify its board of directors (or a duly authorized board committee) of the receipt thereof and request that they consider the merits of such acquisition proposal. If, after such consideration, the Company’s board of directors (or authorized committee) authorizes the Company to engage in negotiations with regard to such acquisition proposal, then the Company must notify Novartis in writing within 24 hours of receipt of such authorization. To the extent possible in light of any confidentiality obligations, such notice must include a summary of the key structural, non-financial terms of such acquisition proposal.</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of an Olema Compound Transaction or Olema Change of Control involving a third party other than Novartis (the first to occur, a Repayment Trigger Event), the Company must promptly pay, or procure the payment of, the Repayment Amount (as defined below) to Novartis. Notwithstanding the foregoing, if the Novartis Pharma Agreement is terminated as a result of certain patient safety issues, lack of product efficacy, regulatory issues or clinical hold issues prior to the consummation of the Olema Compound Transaction or Olema Change of Control, then the Company shall not be obligated to pay the Repayment Amount unless (a) the Olema Change of Control or Olema Compound Transaction occurs after such termination and (b) prior to the fifth anniversary of such Olema Change of Control or Olema Compound Transaction (as applicable), the Company or its affiliates (or the applicable acquirer, successor, licensee or optionholder of the Company or its affiliates) enrolls a subject in any clinical study involving the combination of palazestrant and ribociclib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Olema Combination) or submits any filing with any regulatory authority relating to the Olema Combination. The “Repayment Amount” is the proportion of approximately $275 million that is represented by the number of units of ribociclib actually supplied to the Company under the Supply Agreement as of immediately prior to the Repayment Trigger Event as compared to the total number of units that could be supplied under the Novartis Pharma Agreement.</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foregoing rights of first negotiation, first offer and notice and repayment obligations remain in effect until the first to occur of: (a) the date that is 120 days after filing of the New Drug Application for the Olema Combination, (b) one year after any expiration or termination of the Novartis Pharma Agreement, and (c) such time as the Novartis Pharma Agreement is terminated by the Company due to Novartis’ material breach. However, in the event the Novartis Pharma Agreement is terminated due to certain patient safety issues, lack of product efficacy, regulatory issues or clinical hold issues prior to the consummation of an Olema Change of Control or Olema Compound Transaction, then the Repayment Obligation shall survive until the fifth anniversary of such Olema Change of Control or Olema Compound Transaction (as applicable) or, if payment of the Repayment Amount is required, until the next business day after the Repayment Amount has been received by Novartis.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Novartis Pharma Agreement will terminate on the fifth anniversary of the date on which the first dose of palazestrant is administered to the first study subject. Either party may terminate the Novartis Pharma Agreement for the uncured material breach or insolvency of the other party, for failure to comply with certain anti-corruption obligations, in the event of a change of control of the other party, if it reasonably deems it necessary in order to protect the safety, health or welfare of subjects enrolled in the clinical studies for the combined therapies due to the existence of a material safety issue, if the parties jointly decide that the Olema Combination is not achieving sufficiently superior levels of efficacy, if any regulatory authority action prevents a party (or the Letrozole supplier) from supplying its product, in the event of an unresolved force majeure event, or in certain circumstances for an unresolved clinical hold with respect to ribociclib, palazestrant or letrozole (or the combination of ribociclib and palazestrant or ribociclib and letrozole). In addition, Novartis may terminate the Novartis Pharma Agreement if the Company has failed to commence the OPERA-02 trial on or prior to March 31, 2026 or if the Company consummates an Olema Compound Transaction, and the Company may terminate the Novartis Pharma Agreement if the Company terminates the OPERA-02 trial other than due to a material safety issue, efficacy issue, regulatory action or upon a clinical hold.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September 5, 2023, the Company entered into the Original Loan Agreement by and between the Company and the Bank. The Original Loan Agreement provided for a four-year senior secured credit facility in an aggregate principal amount of up to $50.0 million (the Original Credit Facility), of which $25.0 million became available upon the closing of the 2023 Private Placement, and the remaining $25.0 million could have been made available upon approval of the Bank in its discretion. The Original Credit Facility was to mature on August 1, 2027 (the Original Maturity Date).</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June 28, 2024, the Company entered into a First Amendment to Loan and Security Agreement (the Amendment), by and between the Company and the Bank, which amends the terms of the Original Loan Agreement (the Original Loan Agreement, as amended, the "Loan Agreement"), in order to, among other things, (i) increase the aggregate principal amount of the Original Credit Facility from up to $50 million to up to $100 million, of which $25 million is currently available, an additional $25 million will become available upon the Company achieving certain milestones related to execution of a first line pivotal Phase 3 clinical trial of palazestrant in combination with ribociclib, and an additional $50 million which may be made available upon approval of the Bank (the Original Credit Facility, as amended, the Credit Facility), and (ii) extend the Original Maturity Date to July 1, 2028. As of December 31, 2024, the Company had not drawn down from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Loan Agreement are secured by substantially all of the assets of the Company, subject to limited exceptions.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term of the Credit Facility, interest will accrue on any outstanding balance due under the Credit Facility at a floating rate per annum equal to the higher of (i) 8.0%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 and an unused commitment fee of 1.5% on the portion of Credit Facility that remains undrawn as of June 30, 2025, as well as certain other fees and expenses of the Bank.</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Collaboration and Supply Agreement with Novartis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On January 13, 2022, the Company entered into an amended and restated clinical collaboration and supply agreement with Novartis, and on October 9, 2023, the Company and Novartis entered into the amendment no. 1 (the "Novartis Amendment") to the amended and restated clinical collaboration and supply agreement (as amended, the Novartis Agreement). The collaboration is focused on the evaluation of the safety, tolerability and efficacy of palazestrant in combination with Novartis’ proprietary CDK4/6 inhibitor Kisqali® (ribociclib) and/or Novartis’ proprietary phosphatidylinositol 3-kinase ("PI3K</w:t>
      </w:r>
      <w:r>
        <w:rPr>
          <w:rFonts w:ascii="Times New Roman" w:cs="Times New Roman" w:eastAsia="Times New Roman" w:hAnsi="Times New Roman"/>
          <w:sz w:val="18"/>
          <w:szCs w:val="18"/>
          <w:color w:val="auto"/>
        </w:rPr>
        <w:t>a</w:t>
      </w:r>
      <w:r>
        <w:rPr>
          <w:rFonts w:ascii="Arial" w:cs="Arial" w:eastAsia="Arial" w:hAnsi="Arial"/>
          <w:sz w:val="18"/>
          <w:szCs w:val="18"/>
          <w:color w:val="auto"/>
        </w:rPr>
        <w:t>") Inhibitor Piqray® (alpelisib) (collectively the "Novartis Study Drugs") as part of the Company’s Phase 1b/2 clinical study of palazestrant in patients with metastatic estrogen receptor-positive breast cancer. The Novartis Amendment, among other things, expanded the Company's clinical collaboration with Novartis, increasing the size of the ongoing Phase 1/2 clinical study testing palazestrant in combination with ribociclib to approximately 60 patients.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Costs associated with research activities performed under the agreement are included in research and development expenses in the accompanying consolidated financial statements, with any reimbursable costs from Novartis reflected as a reduction of such expenses. For the years ended December 31, 2024 and 2023, costs reimbursable from Novartis were zero and $2.0 million, respectively. As of December 31, 2023, the receivable due from Novartis was $1.5 million, which is recorded under prepaid expenses and other current assets in the accompanying consolidated balance sheets. This balance was fully collected in cash during the year ended December 31,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Agreement</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consolidated statements of operations and comprehensive loss for the years ended December 31, 2024, and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terms of the Aurigene Agreement, Aurigene will provide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as percentages of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$8.0 million upfront payment was incurred in June 2022.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The $5.0 million milestone payment related to initiation of the first IND-enabling safety study was incurred and recorded as research and development expenses in 2024. There was no other milestone met for the year ended December 31,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 Agreements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December 31, 2024, the Company did not have material contractual commitments with respect to these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December 31, 2024 and 2023, the Company had not incurred any material costs as a result of such indemnifications.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spacing w:after="0" w:line="208" w:lineRule="exact"/>
        <w:rPr>
          <w:sz w:val="20"/>
          <w:szCs w:val="20"/>
          <w:color w:val="auto"/>
        </w:rPr>
      </w:pPr>
      <w:r>
        <w:rPr>
          <w:rFonts w:ascii="Arial" w:cs="Arial" w:eastAsia="Arial" w:hAnsi="Arial"/>
          <w:sz w:val="18"/>
          <w:szCs w:val="18"/>
          <w:color w:val="auto"/>
        </w:rPr>
        <w:t>As of December 31, 2024, management, with the participation of our Chief Executive Officer and Chief Financial Officer, performed an evaluation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2024, the design and operation of our disclosure controls and procedures were effective at a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firstLine="8"/>
        <w:spacing w:after="0"/>
        <w:tabs>
          <w:tab w:leader="none" w:pos="2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Operating and Financial Officer (principal financial officer), assessed the effectiveness of our internal control over financial reporting as of December 31, 2024.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2024 based on those criteria.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fourth quarter ended December 31, 2024 that has materially affected, or is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Information required by this item regarding directors and director nominees, executive officers, the board of directors and its committees, and certain corporate governance matters is incorporated by reference to the information set forth under the captions “Proposal No. 1—Election of Directors,” “Corporate Governance and Board of Directors Matters” and “Executive Officers” in our Proxy Statement for our 2024 Annual Meeting of Stockholders. Information required by this item regarding compliance with Section 16(a) of the Exchange Act, if applicable, is incorporated by reference to the information set forth under the caption “Delinquent Section 16(a) Reports” in our Proxy Statement.</w:t>
      </w:r>
    </w:p>
    <w:p>
      <w:pPr>
        <w:spacing w:after="0" w:line="176"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https://www.olema.com/ in the Investors &amp; Media section under “Corporate Governance.”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Information contained in, or that can be accessed through, our website is not incorporated by reference herein, and you should not consider information on our website to be part of this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Information required by this item regarding executive compensation is incorporated by reference to the information set forth under the captions “Executive Compensation” and “Director Compensation” in our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required by this item regarding security ownership of certain beneficial owners and management is incorporated by reference to the information set forth under the caption “Security Ownership of Certain Beneficial Owners and Management” and “Equity Compensation Plan Information” in our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our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Information required by this item regarding principal accounting fees and services is incorporated by reference to the information set forth under the caption “Proposal No. 4—Ratification of Selection of Independent Registered Public Accounting Firm” in our Proxy Statement.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IV</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12"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6"/>
          <w:szCs w:val="16"/>
          <w:color w:val="auto"/>
        </w:rPr>
      </w:pPr>
      <w:r>
        <w:rPr>
          <w:rFonts w:ascii="Arial" w:cs="Arial" w:eastAsia="Arial" w:hAnsi="Arial"/>
          <w:sz w:val="18"/>
          <w:szCs w:val="18"/>
          <w:color w:val="auto"/>
        </w:rPr>
        <w:t>The following documents are filed as part of this Annual Report:</w:t>
      </w:r>
    </w:p>
    <w:p>
      <w:pPr>
        <w:spacing w:after="0" w:line="211" w:lineRule="exact"/>
        <w:rPr>
          <w:rFonts w:ascii="Arial" w:cs="Arial" w:eastAsia="Arial" w:hAnsi="Arial"/>
          <w:sz w:val="16"/>
          <w:szCs w:val="16"/>
          <w:color w:val="auto"/>
        </w:rPr>
      </w:pPr>
    </w:p>
    <w:p>
      <w:pPr>
        <w:ind w:left="760" w:hanging="378"/>
        <w:spacing w:after="0"/>
        <w:tabs>
          <w:tab w:leader="none" w:pos="760" w:val="left"/>
        </w:tabs>
        <w:numPr>
          <w:ilvl w:val="1"/>
          <w:numId w:val="59"/>
        </w:numPr>
        <w:rPr>
          <w:rFonts w:ascii="Arial" w:cs="Arial" w:eastAsia="Arial" w:hAnsi="Arial"/>
          <w:sz w:val="16"/>
          <w:szCs w:val="16"/>
          <w:color w:val="auto"/>
        </w:rPr>
      </w:pP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See Index to Consolidated Financial Statements in Part II Item 8 of this Annual Report.</w:t>
      </w:r>
    </w:p>
    <w:p>
      <w:pPr>
        <w:spacing w:after="0" w:line="211" w:lineRule="exact"/>
        <w:rPr>
          <w:rFonts w:ascii="Arial" w:cs="Arial" w:eastAsia="Arial" w:hAnsi="Arial"/>
          <w:sz w:val="16"/>
          <w:szCs w:val="16"/>
          <w:color w:val="auto"/>
        </w:rPr>
      </w:pPr>
    </w:p>
    <w:p>
      <w:pPr>
        <w:ind w:left="760" w:hanging="378"/>
        <w:spacing w:after="0" w:line="271" w:lineRule="auto"/>
        <w:tabs>
          <w:tab w:leader="none" w:pos="760" w:val="left"/>
        </w:tabs>
        <w:numPr>
          <w:ilvl w:val="1"/>
          <w:numId w:val="59"/>
        </w:numPr>
        <w:rPr>
          <w:rFonts w:ascii="Arial" w:cs="Arial" w:eastAsia="Arial" w:hAnsi="Arial"/>
          <w:sz w:val="16"/>
          <w:szCs w:val="16"/>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 None. All financial statement schedules are omitted because they are not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not required under the instructions, or the requested information is included in the financial statements or notes thereto.</w:t>
      </w:r>
    </w:p>
    <w:p>
      <w:pPr>
        <w:spacing w:after="0" w:line="153" w:lineRule="exact"/>
        <w:rPr>
          <w:rFonts w:ascii="Arial" w:cs="Arial" w:eastAsia="Arial" w:hAnsi="Arial"/>
          <w:sz w:val="16"/>
          <w:szCs w:val="16"/>
          <w:color w:val="auto"/>
        </w:rPr>
      </w:pPr>
    </w:p>
    <w:p>
      <w:pPr>
        <w:ind w:left="760" w:hanging="378"/>
        <w:spacing w:after="0"/>
        <w:tabs>
          <w:tab w:leader="none" w:pos="760" w:val="left"/>
        </w:tabs>
        <w:numPr>
          <w:ilvl w:val="1"/>
          <w:numId w:val="59"/>
        </w:numPr>
        <w:rPr>
          <w:rFonts w:ascii="Arial" w:cs="Arial" w:eastAsia="Arial" w:hAnsi="Arial"/>
          <w:sz w:val="16"/>
          <w:szCs w:val="16"/>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is a list of exhibits filed with this Annual Report or incorporated herein by reference: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16"/>
            <w:vMerge w:val="restart"/>
          </w:tcPr>
          <w:p>
            <w:pPr>
              <w:jc w:val="center"/>
              <w:ind w:right="860"/>
              <w:spacing w:after="0"/>
              <w:rPr>
                <w:sz w:val="20"/>
                <w:szCs w:val="20"/>
                <w:color w:val="auto"/>
              </w:rPr>
            </w:pPr>
            <w:r>
              <w:rPr>
                <w:rFonts w:ascii="Arial" w:cs="Arial" w:eastAsia="Arial" w:hAnsi="Arial"/>
                <w:sz w:val="18"/>
                <w:szCs w:val="18"/>
                <w:b w:val="1"/>
                <w:bCs w:val="1"/>
                <w:color w:val="auto"/>
                <w:w w:val="99"/>
              </w:rPr>
              <w:t>Exhibit</w:t>
            </w:r>
          </w:p>
        </w:tc>
        <w:tc>
          <w:tcPr>
            <w:tcW w:w="9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9"/>
              </w:rPr>
              <w:t>Incorporation by Reference</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gridSpan w:val="16"/>
            <w:vMerge w:val="continue"/>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16"/>
          </w:tcPr>
          <w:p>
            <w:pPr>
              <w:jc w:val="center"/>
              <w:ind w:right="840"/>
              <w:spacing w:after="0"/>
              <w:rPr>
                <w:sz w:val="20"/>
                <w:szCs w:val="20"/>
                <w:color w:val="auto"/>
              </w:rPr>
            </w:pPr>
            <w:r>
              <w:rPr>
                <w:rFonts w:ascii="Arial" w:cs="Arial" w:eastAsia="Arial" w:hAnsi="Arial"/>
                <w:sz w:val="18"/>
                <w:szCs w:val="18"/>
                <w:b w:val="1"/>
                <w:bCs w:val="1"/>
                <w:color w:val="auto"/>
                <w:w w:val="98"/>
              </w:rPr>
              <w:t>Description</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File No.</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4100" w:type="dxa"/>
            <w:vAlign w:val="bottom"/>
            <w:gridSpan w:val="20"/>
          </w:tcPr>
          <w:p>
            <w:pPr>
              <w:spacing w:after="0"/>
              <w:rPr>
                <w:rFonts w:ascii="Arial" w:cs="Arial" w:eastAsia="Arial" w:hAnsi="Arial"/>
                <w:sz w:val="18"/>
                <w:szCs w:val="18"/>
                <w:color w:val="0000FF"/>
              </w:rPr>
            </w:pPr>
            <w:hyperlink r:id="rId202">
              <w:r>
                <w:rPr>
                  <w:rFonts w:ascii="Arial" w:cs="Arial" w:eastAsia="Arial" w:hAnsi="Arial"/>
                  <w:sz w:val="18"/>
                  <w:szCs w:val="18"/>
                  <w:color w:val="0000FF"/>
                </w:rPr>
                <w:t>Sales Agreement by and between Registrant and</w:t>
              </w:r>
            </w:hyperlink>
          </w:p>
        </w:tc>
        <w:tc>
          <w:tcPr>
            <w:tcW w:w="9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333-28414</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1.1</w:t>
            </w:r>
          </w:p>
        </w:tc>
        <w:tc>
          <w:tcPr>
            <w:tcW w:w="392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8"/>
              </w:rPr>
            </w:pPr>
            <w:hyperlink r:id="rId202">
              <w:r>
                <w:rPr>
                  <w:rFonts w:ascii="Arial" w:cs="Arial" w:eastAsia="Arial" w:hAnsi="Arial"/>
                  <w:sz w:val="18"/>
                  <w:szCs w:val="18"/>
                  <w:color w:val="0000FF"/>
                  <w:w w:val="98"/>
                </w:rPr>
                <w:t>TD Securities (USA) LLC, dated January 6, 2025.</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w w:val="99"/>
              </w:rPr>
              <w:t>S-3</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1060" w:type="dxa"/>
            <w:vAlign w:val="bottom"/>
          </w:tcPr>
          <w:p>
            <w:pPr>
              <w:jc w:val="center"/>
              <w:spacing w:after="0" w:line="182" w:lineRule="exact"/>
              <w:rPr>
                <w:sz w:val="20"/>
                <w:szCs w:val="20"/>
                <w:color w:val="auto"/>
              </w:rPr>
            </w:pPr>
            <w:r>
              <w:rPr>
                <w:rFonts w:ascii="Arial" w:cs="Arial" w:eastAsia="Arial" w:hAnsi="Arial"/>
                <w:sz w:val="18"/>
                <w:szCs w:val="18"/>
                <w:color w:val="auto"/>
                <w:w w:val="95"/>
              </w:rPr>
              <w:t>1.2</w:t>
            </w:r>
          </w:p>
        </w:tc>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1/6/2025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4100" w:type="dxa"/>
            <w:vAlign w:val="bottom"/>
            <w:gridSpan w:val="20"/>
          </w:tcPr>
          <w:p>
            <w:pPr>
              <w:spacing w:after="0"/>
              <w:rPr>
                <w:rFonts w:ascii="Arial" w:cs="Arial" w:eastAsia="Arial" w:hAnsi="Arial"/>
                <w:sz w:val="18"/>
                <w:szCs w:val="18"/>
                <w:color w:val="0000FF"/>
                <w:w w:val="99"/>
              </w:rPr>
            </w:pPr>
            <w:hyperlink r:id="rId203">
              <w:r>
                <w:rPr>
                  <w:rFonts w:ascii="Arial" w:cs="Arial" w:eastAsia="Arial" w:hAnsi="Arial"/>
                  <w:sz w:val="18"/>
                  <w:szCs w:val="18"/>
                  <w:color w:val="0000FF"/>
                  <w:w w:val="99"/>
                </w:rPr>
                <w:t>Amended and Restated Certificate of Incorporation.</w:t>
              </w:r>
            </w:hyperlink>
          </w:p>
        </w:tc>
        <w:tc>
          <w:tcPr>
            <w:tcW w:w="98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11/23/2020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4100" w:type="dxa"/>
            <w:vAlign w:val="bottom"/>
            <w:gridSpan w:val="20"/>
          </w:tcPr>
          <w:p>
            <w:pPr>
              <w:spacing w:after="0"/>
              <w:rPr>
                <w:rFonts w:ascii="Arial" w:cs="Arial" w:eastAsia="Arial" w:hAnsi="Arial"/>
                <w:sz w:val="18"/>
                <w:szCs w:val="18"/>
                <w:color w:val="0000FF"/>
              </w:rPr>
            </w:pPr>
            <w:hyperlink r:id="rId204">
              <w:r>
                <w:rPr>
                  <w:rFonts w:ascii="Arial" w:cs="Arial" w:eastAsia="Arial" w:hAnsi="Arial"/>
                  <w:sz w:val="18"/>
                  <w:szCs w:val="18"/>
                  <w:color w:val="0000FF"/>
                </w:rPr>
                <w:t>Amended and Restated Certificate of Bylaws.</w:t>
              </w:r>
            </w:hyperlink>
          </w:p>
        </w:tc>
        <w:tc>
          <w:tcPr>
            <w:tcW w:w="9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12/16/2022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4.1</w:t>
            </w:r>
          </w:p>
        </w:tc>
        <w:tc>
          <w:tcPr>
            <w:tcW w:w="4100" w:type="dxa"/>
            <w:vAlign w:val="bottom"/>
            <w:gridSpan w:val="20"/>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Common Stock Certificate.</w:t>
              </w:r>
            </w:hyperlink>
          </w:p>
        </w:tc>
        <w:tc>
          <w:tcPr>
            <w:tcW w:w="9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4.2</w:t>
            </w:r>
          </w:p>
        </w:tc>
        <w:tc>
          <w:tcPr>
            <w:tcW w:w="4100" w:type="dxa"/>
            <w:vAlign w:val="bottom"/>
            <w:gridSpan w:val="20"/>
          </w:tcPr>
          <w:p>
            <w:pPr>
              <w:spacing w:after="0"/>
              <w:rPr>
                <w:rFonts w:ascii="Arial" w:cs="Arial" w:eastAsia="Arial" w:hAnsi="Arial"/>
                <w:sz w:val="18"/>
                <w:szCs w:val="18"/>
                <w:color w:val="0000FF"/>
              </w:rPr>
            </w:pPr>
            <w:hyperlink r:id="rId206">
              <w:r>
                <w:rPr>
                  <w:rFonts w:ascii="Arial" w:cs="Arial" w:eastAsia="Arial" w:hAnsi="Arial"/>
                  <w:sz w:val="18"/>
                  <w:szCs w:val="18"/>
                  <w:color w:val="0000FF"/>
                </w:rPr>
                <w:t>Description of Capital Stock.</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40" w:type="dxa"/>
            <w:vAlign w:val="bottom"/>
            <w:vMerge w:val="continue"/>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3/17/2021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4.3</w:t>
            </w:r>
          </w:p>
        </w:tc>
        <w:tc>
          <w:tcPr>
            <w:tcW w:w="4100" w:type="dxa"/>
            <w:vAlign w:val="bottom"/>
            <w:gridSpan w:val="20"/>
          </w:tcPr>
          <w:p>
            <w:pPr>
              <w:spacing w:after="0"/>
              <w:rPr>
                <w:rFonts w:ascii="Arial" w:cs="Arial" w:eastAsia="Arial" w:hAnsi="Arial"/>
                <w:sz w:val="18"/>
                <w:szCs w:val="18"/>
                <w:color w:val="0000FF"/>
              </w:rPr>
            </w:pPr>
            <w:hyperlink r:id="rId207">
              <w:r>
                <w:rPr>
                  <w:rFonts w:ascii="Arial" w:cs="Arial" w:eastAsia="Arial" w:hAnsi="Arial"/>
                  <w:sz w:val="18"/>
                  <w:szCs w:val="18"/>
                  <w:color w:val="0000FF"/>
                </w:rPr>
                <w:t>Form of Pre-Funded and Exchange</w:t>
              </w:r>
            </w:hyperlink>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12/2/2024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800" w:type="dxa"/>
            <w:vAlign w:val="bottom"/>
            <w:gridSpan w:val="8"/>
          </w:tcPr>
          <w:p>
            <w:pPr>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Warrant</w:t>
              </w:r>
            </w:hyperlink>
          </w:p>
        </w:tc>
        <w:tc>
          <w:tcPr>
            <w:tcW w:w="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4.4</w:t>
            </w:r>
          </w:p>
        </w:tc>
        <w:tc>
          <w:tcPr>
            <w:tcW w:w="4100" w:type="dxa"/>
            <w:vAlign w:val="bottom"/>
            <w:gridSpan w:val="20"/>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Form of Exchange Warrant</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001-39712</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1/10/2025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4100" w:type="dxa"/>
            <w:vAlign w:val="bottom"/>
            <w:gridSpan w:val="20"/>
          </w:tcPr>
          <w:p>
            <w:pPr>
              <w:spacing w:after="0"/>
              <w:rPr>
                <w:rFonts w:ascii="Arial" w:cs="Arial" w:eastAsia="Arial" w:hAnsi="Arial"/>
                <w:sz w:val="18"/>
                <w:szCs w:val="18"/>
                <w:color w:val="0000FF"/>
              </w:rPr>
            </w:pPr>
            <w:hyperlink r:id="rId209">
              <w:r>
                <w:rPr>
                  <w:rFonts w:ascii="Arial" w:cs="Arial" w:eastAsia="Arial" w:hAnsi="Arial"/>
                  <w:sz w:val="18"/>
                  <w:szCs w:val="18"/>
                  <w:color w:val="0000FF"/>
                </w:rPr>
                <w:t>Olema Pharmaceuticals, Inc. 2014 Stock Plan, as</w:t>
              </w:r>
            </w:hyperlink>
          </w:p>
        </w:tc>
        <w:tc>
          <w:tcPr>
            <w:tcW w:w="98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7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4"/>
              </w:rPr>
            </w:pPr>
            <w:hyperlink r:id="rId209">
              <w:r>
                <w:rPr>
                  <w:rFonts w:ascii="Arial" w:cs="Arial" w:eastAsia="Arial" w:hAnsi="Arial"/>
                  <w:sz w:val="18"/>
                  <w:szCs w:val="18"/>
                  <w:color w:val="0000FF"/>
                  <w:w w:val="94"/>
                </w:rPr>
                <w:t>amended.</w:t>
              </w:r>
            </w:hyperlink>
          </w:p>
        </w:tc>
        <w:tc>
          <w:tcPr>
            <w:tcW w:w="20" w:type="dxa"/>
            <w:vAlign w:val="bottom"/>
            <w:tcBorders>
              <w:top w:val="single" w:sz="8" w:color="0000FF"/>
              <w:bottom w:val="single" w:sz="8" w:color="0000EE"/>
            </w:tcBorders>
          </w:tcPr>
          <w:p>
            <w:pPr>
              <w:spacing w:after="0"/>
              <w:rPr>
                <w:sz w:val="15"/>
                <w:szCs w:val="15"/>
                <w:color w:val="auto"/>
              </w:rPr>
            </w:pPr>
          </w:p>
        </w:tc>
        <w:tc>
          <w:tcPr>
            <w:tcW w:w="318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10.2#</w:t>
            </w:r>
          </w:p>
        </w:tc>
        <w:tc>
          <w:tcPr>
            <w:tcW w:w="4100" w:type="dxa"/>
            <w:vAlign w:val="bottom"/>
            <w:gridSpan w:val="20"/>
          </w:tcPr>
          <w:p>
            <w:pPr>
              <w:spacing w:after="0"/>
              <w:rPr>
                <w:rFonts w:ascii="Arial" w:cs="Arial" w:eastAsia="Arial" w:hAnsi="Arial"/>
                <w:sz w:val="18"/>
                <w:szCs w:val="18"/>
                <w:color w:val="0000FF"/>
              </w:rPr>
            </w:pPr>
            <w:hyperlink r:id="rId210">
              <w:r>
                <w:rPr>
                  <w:rFonts w:ascii="Arial" w:cs="Arial" w:eastAsia="Arial" w:hAnsi="Arial"/>
                  <w:sz w:val="18"/>
                  <w:szCs w:val="18"/>
                  <w:color w:val="0000FF"/>
                </w:rPr>
                <w:t>Forms of Stock Option Grant Notice, Stock Option</w:t>
              </w:r>
            </w:hyperlink>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Agreement, Early Exercise Stock Purchase</w:t>
              </w:r>
            </w:hyperlink>
          </w:p>
        </w:tc>
        <w:tc>
          <w:tcPr>
            <w:tcW w:w="540" w:type="dxa"/>
            <w:vAlign w:val="bottom"/>
            <w:tcBorders>
              <w:top w:val="single" w:sz="8" w:color="0000FF"/>
            </w:tcBorders>
            <w:gridSpan w:val="7"/>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100" w:type="dxa"/>
            <w:vAlign w:val="bottom"/>
            <w:gridSpan w:val="20"/>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Agreement and Notice of Exercise and Restricted</w:t>
              </w:r>
            </w:hyperlink>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Stock Award Grant Notice and Restricted Stock</w:t>
              </w:r>
            </w:hyperlink>
          </w:p>
        </w:tc>
        <w:tc>
          <w:tcPr>
            <w:tcW w:w="160" w:type="dxa"/>
            <w:vAlign w:val="bottom"/>
            <w:tcBorders>
              <w:top w:val="single" w:sz="8" w:color="0000FF"/>
            </w:tcBorders>
            <w:gridSpan w:val="3"/>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00" w:type="dxa"/>
            <w:vAlign w:val="bottom"/>
            <w:gridSpan w:val="13"/>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Award Agreement under the Olema</w:t>
              </w:r>
            </w:hyperlink>
          </w:p>
        </w:tc>
        <w:tc>
          <w:tcPr>
            <w:tcW w:w="2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10.2</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4100" w:type="dxa"/>
            <w:vAlign w:val="bottom"/>
            <w:gridSpan w:val="20"/>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Pharmaceuticals, Inc. 2014 Stock Plan.</w:t>
              </w:r>
            </w:hyperlink>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gridSpan w:val="9"/>
            <w:shd w:val="clear" w:color="auto" w:fill="0000FF"/>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10.3#</w:t>
            </w:r>
          </w:p>
        </w:tc>
        <w:tc>
          <w:tcPr>
            <w:tcW w:w="4100" w:type="dxa"/>
            <w:vAlign w:val="bottom"/>
            <w:gridSpan w:val="20"/>
          </w:tcPr>
          <w:p>
            <w:pPr>
              <w:spacing w:after="0"/>
              <w:rPr>
                <w:rFonts w:ascii="Arial" w:cs="Arial" w:eastAsia="Arial" w:hAnsi="Arial"/>
                <w:sz w:val="18"/>
                <w:szCs w:val="18"/>
                <w:color w:val="0000FF"/>
              </w:rPr>
            </w:pPr>
            <w:hyperlink r:id="rId211">
              <w:r>
                <w:rPr>
                  <w:rFonts w:ascii="Arial" w:cs="Arial" w:eastAsia="Arial" w:hAnsi="Arial"/>
                  <w:sz w:val="18"/>
                  <w:szCs w:val="18"/>
                  <w:color w:val="0000FF"/>
                </w:rPr>
                <w:t>Olema Pharmaceuticals, Inc. 2020 Equity Incentive</w:t>
              </w:r>
            </w:hyperlink>
          </w:p>
        </w:tc>
        <w:tc>
          <w:tcPr>
            <w:tcW w:w="98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10.3</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211">
              <w:r>
                <w:rPr>
                  <w:rFonts w:ascii="Arial" w:cs="Arial" w:eastAsia="Arial" w:hAnsi="Arial"/>
                  <w:sz w:val="18"/>
                  <w:szCs w:val="18"/>
                  <w:color w:val="0000FF"/>
                </w:rPr>
                <w:t>Plan.</w:t>
              </w:r>
            </w:hyperlink>
          </w:p>
        </w:tc>
        <w:tc>
          <w:tcPr>
            <w:tcW w:w="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18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163</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23"/>
            <w:vMerge w:val="restart"/>
          </w:tcPr>
          <w:p>
            <w:pPr>
              <w:jc w:val="center"/>
              <w:ind w:right="1680"/>
              <w:spacing w:after="0"/>
              <w:rPr>
                <w:sz w:val="20"/>
                <w:szCs w:val="20"/>
                <w:color w:val="auto"/>
              </w:rPr>
            </w:pPr>
            <w:r>
              <w:rPr>
                <w:rFonts w:ascii="Arial" w:cs="Arial" w:eastAsia="Arial" w:hAnsi="Arial"/>
                <w:sz w:val="18"/>
                <w:szCs w:val="18"/>
                <w:b w:val="1"/>
                <w:bCs w:val="1"/>
                <w:color w:val="auto"/>
                <w:w w:val="99"/>
              </w:rPr>
              <w:t>Exhibit</w:t>
            </w:r>
          </w:p>
        </w:tc>
        <w:tc>
          <w:tcPr>
            <w:tcW w:w="96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9"/>
              </w:rPr>
              <w:t>Incorporation by Reference</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23"/>
            <w:vMerge w:val="continue"/>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4"/>
          </w:tcPr>
          <w:p>
            <w:pPr>
              <w:jc w:val="center"/>
              <w:ind w:right="1500"/>
              <w:spacing w:after="0"/>
              <w:rPr>
                <w:sz w:val="20"/>
                <w:szCs w:val="20"/>
                <w:color w:val="auto"/>
              </w:rPr>
            </w:pPr>
            <w:r>
              <w:rPr>
                <w:rFonts w:ascii="Arial" w:cs="Arial" w:eastAsia="Arial" w:hAnsi="Arial"/>
                <w:sz w:val="18"/>
                <w:szCs w:val="18"/>
                <w:b w:val="1"/>
                <w:bCs w:val="1"/>
                <w:color w:val="auto"/>
                <w:w w:val="98"/>
              </w:rPr>
              <w:t>Description</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File No.</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4120" w:type="dxa"/>
            <w:vAlign w:val="bottom"/>
            <w:gridSpan w:val="31"/>
          </w:tcPr>
          <w:p>
            <w:pPr>
              <w:spacing w:after="0"/>
              <w:rPr>
                <w:rFonts w:ascii="Arial" w:cs="Arial" w:eastAsia="Arial" w:hAnsi="Arial"/>
                <w:sz w:val="18"/>
                <w:szCs w:val="18"/>
                <w:color w:val="0000FF"/>
              </w:rPr>
            </w:pPr>
            <w:hyperlink r:id="rId214">
              <w:r>
                <w:rPr>
                  <w:rFonts w:ascii="Arial" w:cs="Arial" w:eastAsia="Arial" w:hAnsi="Arial"/>
                  <w:sz w:val="18"/>
                  <w:szCs w:val="18"/>
                  <w:color w:val="0000FF"/>
                </w:rPr>
                <w:t>Forms of Stock Option Grant Notice and Stock</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7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Option Agreement under the Olema</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10.4</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288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Pharmaceuticals, Inc. 2020 Equity</w:t>
              </w:r>
            </w:hyperlink>
          </w:p>
        </w:tc>
        <w:tc>
          <w:tcPr>
            <w:tcW w:w="1240" w:type="dxa"/>
            <w:vAlign w:val="bottom"/>
            <w:gridSpan w:val="19"/>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Incentive Plan.</w:t>
              </w:r>
            </w:hyperlink>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10.5#</w:t>
            </w:r>
          </w:p>
        </w:tc>
        <w:tc>
          <w:tcPr>
            <w:tcW w:w="4120" w:type="dxa"/>
            <w:vAlign w:val="bottom"/>
            <w:gridSpan w:val="31"/>
          </w:tcPr>
          <w:p>
            <w:pPr>
              <w:spacing w:after="0"/>
              <w:rPr>
                <w:rFonts w:ascii="Arial" w:cs="Arial" w:eastAsia="Arial" w:hAnsi="Arial"/>
                <w:sz w:val="18"/>
                <w:szCs w:val="18"/>
                <w:color w:val="0000FF"/>
              </w:rPr>
            </w:pPr>
            <w:hyperlink r:id="rId215">
              <w:r>
                <w:rPr>
                  <w:rFonts w:ascii="Arial" w:cs="Arial" w:eastAsia="Arial" w:hAnsi="Arial"/>
                  <w:sz w:val="18"/>
                  <w:szCs w:val="18"/>
                  <w:color w:val="0000FF"/>
                </w:rPr>
                <w:t>Forms of Restricted Stock Unit Grant Notice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4120" w:type="dxa"/>
            <w:vAlign w:val="bottom"/>
            <w:gridSpan w:val="31"/>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Restricted Stock Unit Award Agreement under the</w:t>
              </w:r>
            </w:hyperlink>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8"/>
              </w:rPr>
            </w:pPr>
            <w:hyperlink r:id="rId215">
              <w:r>
                <w:rPr>
                  <w:rFonts w:ascii="Arial" w:cs="Arial" w:eastAsia="Arial" w:hAnsi="Arial"/>
                  <w:sz w:val="18"/>
                  <w:szCs w:val="18"/>
                  <w:color w:val="0000FF"/>
                  <w:w w:val="98"/>
                </w:rPr>
                <w:t>Olema Pharmaceuticals, Inc. 2020 Equity Incentive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10.5</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100" w:type="dxa"/>
            <w:vAlign w:val="bottom"/>
            <w:gridSpan w:val="30"/>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Plan.</w:t>
              </w:r>
            </w:hyperlink>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10.6#</w:t>
            </w:r>
          </w:p>
        </w:tc>
        <w:tc>
          <w:tcPr>
            <w:tcW w:w="4120" w:type="dxa"/>
            <w:vAlign w:val="bottom"/>
            <w:gridSpan w:val="31"/>
          </w:tcPr>
          <w:p>
            <w:pPr>
              <w:spacing w:after="0"/>
              <w:rPr>
                <w:rFonts w:ascii="Arial" w:cs="Arial" w:eastAsia="Arial" w:hAnsi="Arial"/>
                <w:sz w:val="18"/>
                <w:szCs w:val="18"/>
                <w:color w:val="0000FF"/>
                <w:w w:val="99"/>
              </w:rPr>
            </w:pPr>
            <w:hyperlink r:id="rId216">
              <w:r>
                <w:rPr>
                  <w:rFonts w:ascii="Arial" w:cs="Arial" w:eastAsia="Arial" w:hAnsi="Arial"/>
                  <w:sz w:val="18"/>
                  <w:szCs w:val="18"/>
                  <w:color w:val="0000FF"/>
                  <w:w w:val="99"/>
                </w:rPr>
                <w:t>Olema Pharmaceuticals, Inc. 2020 Employee Stock</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10.6</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2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6"/>
              </w:rPr>
            </w:pPr>
            <w:hyperlink r:id="rId216">
              <w:r>
                <w:rPr>
                  <w:rFonts w:ascii="Arial" w:cs="Arial" w:eastAsia="Arial" w:hAnsi="Arial"/>
                  <w:sz w:val="18"/>
                  <w:szCs w:val="18"/>
                  <w:color w:val="0000FF"/>
                  <w:w w:val="96"/>
                </w:rPr>
                <w:t>Purchase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2880" w:type="dxa"/>
            <w:vAlign w:val="bottom"/>
            <w:tcBorders>
              <w:top w:val="single" w:sz="8" w:color="0000FF"/>
            </w:tcBorders>
            <w:gridSpan w:val="25"/>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10.7#</w:t>
            </w:r>
          </w:p>
        </w:tc>
        <w:tc>
          <w:tcPr>
            <w:tcW w:w="4120" w:type="dxa"/>
            <w:vAlign w:val="bottom"/>
            <w:gridSpan w:val="31"/>
          </w:tcPr>
          <w:p>
            <w:pPr>
              <w:spacing w:after="0"/>
              <w:rPr>
                <w:rFonts w:ascii="Arial" w:cs="Arial" w:eastAsia="Arial" w:hAnsi="Arial"/>
                <w:sz w:val="18"/>
                <w:szCs w:val="18"/>
                <w:color w:val="0000FF"/>
              </w:rPr>
            </w:pPr>
            <w:hyperlink r:id="rId217">
              <w:r>
                <w:rPr>
                  <w:rFonts w:ascii="Arial" w:cs="Arial" w:eastAsia="Arial" w:hAnsi="Arial"/>
                  <w:sz w:val="18"/>
                  <w:szCs w:val="18"/>
                  <w:color w:val="0000FF"/>
                </w:rPr>
                <w:t>Olema Pharmaceuticals, Inc. 2020 Non-Employee</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10.7</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24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8"/>
              </w:rPr>
            </w:pPr>
            <w:hyperlink r:id="rId217">
              <w:r>
                <w:rPr>
                  <w:rFonts w:ascii="Arial" w:cs="Arial" w:eastAsia="Arial" w:hAnsi="Arial"/>
                  <w:sz w:val="18"/>
                  <w:szCs w:val="18"/>
                  <w:color w:val="0000FF"/>
                  <w:w w:val="98"/>
                </w:rPr>
                <w:t>Director Compensation Policy.</w:t>
              </w:r>
            </w:hyperlink>
          </w:p>
        </w:tc>
        <w:tc>
          <w:tcPr>
            <w:tcW w:w="20" w:type="dxa"/>
            <w:vAlign w:val="bottom"/>
            <w:tcBorders>
              <w:top w:val="single" w:sz="8" w:color="0000FF"/>
              <w:bottom w:val="single" w:sz="8" w:color="0000EE"/>
            </w:tcBorders>
          </w:tcPr>
          <w:p>
            <w:pPr>
              <w:spacing w:after="0"/>
              <w:rPr>
                <w:sz w:val="15"/>
                <w:szCs w:val="15"/>
                <w:color w:val="auto"/>
              </w:rPr>
            </w:pPr>
          </w:p>
        </w:tc>
        <w:tc>
          <w:tcPr>
            <w:tcW w:w="16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10.8#</w:t>
            </w:r>
          </w:p>
        </w:tc>
        <w:tc>
          <w:tcPr>
            <w:tcW w:w="4120" w:type="dxa"/>
            <w:vAlign w:val="bottom"/>
            <w:gridSpan w:val="31"/>
          </w:tcPr>
          <w:p>
            <w:pPr>
              <w:spacing w:after="0"/>
              <w:rPr>
                <w:rFonts w:ascii="Arial" w:cs="Arial" w:eastAsia="Arial" w:hAnsi="Arial"/>
                <w:sz w:val="18"/>
                <w:szCs w:val="18"/>
                <w:color w:val="0000FF"/>
              </w:rPr>
            </w:pPr>
            <w:hyperlink r:id="rId218">
              <w:r>
                <w:rPr>
                  <w:rFonts w:ascii="Arial" w:cs="Arial" w:eastAsia="Arial" w:hAnsi="Arial"/>
                  <w:sz w:val="18"/>
                  <w:szCs w:val="18"/>
                  <w:color w:val="0000FF"/>
                </w:rPr>
                <w:t>Form of Indemnification Agreement by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42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6"/>
              </w:rPr>
            </w:pPr>
            <w:hyperlink r:id="rId218">
              <w:r>
                <w:rPr>
                  <w:rFonts w:ascii="Arial" w:cs="Arial" w:eastAsia="Arial" w:hAnsi="Arial"/>
                  <w:sz w:val="18"/>
                  <w:szCs w:val="18"/>
                  <w:color w:val="0000FF"/>
                  <w:w w:val="96"/>
                </w:rPr>
                <w:t>between the Registrant and its directors and</w:t>
              </w:r>
            </w:hyperlink>
          </w:p>
        </w:tc>
        <w:tc>
          <w:tcPr>
            <w:tcW w:w="4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10.8</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420" w:type="dxa"/>
            <w:vAlign w:val="bottom"/>
            <w:tcBorders>
              <w:bottom w:val="single" w:sz="8" w:color="0000FF"/>
            </w:tcBorders>
            <w:gridSpan w:val="6"/>
          </w:tcPr>
          <w:p>
            <w:pPr>
              <w:spacing w:after="0" w:line="182" w:lineRule="exact"/>
              <w:rPr>
                <w:rFonts w:ascii="Arial" w:cs="Arial" w:eastAsia="Arial" w:hAnsi="Arial"/>
                <w:sz w:val="18"/>
                <w:szCs w:val="18"/>
                <w:color w:val="0000FF"/>
                <w:w w:val="97"/>
              </w:rPr>
            </w:pPr>
            <w:hyperlink r:id="rId218">
              <w:r>
                <w:rPr>
                  <w:rFonts w:ascii="Arial" w:cs="Arial" w:eastAsia="Arial" w:hAnsi="Arial"/>
                  <w:sz w:val="18"/>
                  <w:szCs w:val="18"/>
                  <w:color w:val="0000FF"/>
                  <w:w w:val="97"/>
                </w:rPr>
                <w:t>executive officers.</w:t>
              </w:r>
            </w:hyperlink>
          </w:p>
        </w:tc>
        <w:tc>
          <w:tcPr>
            <w:tcW w:w="20" w:type="dxa"/>
            <w:vAlign w:val="bottom"/>
            <w:tcBorders>
              <w:bottom w:val="single" w:sz="8" w:color="0000EE"/>
            </w:tcBorders>
          </w:tcPr>
          <w:p>
            <w:pPr>
              <w:spacing w:after="0"/>
              <w:rPr>
                <w:sz w:val="15"/>
                <w:szCs w:val="15"/>
                <w:color w:val="auto"/>
              </w:rPr>
            </w:pPr>
          </w:p>
        </w:tc>
        <w:tc>
          <w:tcPr>
            <w:tcW w:w="2100" w:type="dxa"/>
            <w:vAlign w:val="bottom"/>
            <w:gridSpan w:val="9"/>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10.9#</w:t>
            </w:r>
          </w:p>
        </w:tc>
        <w:tc>
          <w:tcPr>
            <w:tcW w:w="4120" w:type="dxa"/>
            <w:vAlign w:val="bottom"/>
            <w:gridSpan w:val="31"/>
          </w:tcPr>
          <w:p>
            <w:pPr>
              <w:spacing w:after="0"/>
              <w:rPr>
                <w:rFonts w:ascii="Arial" w:cs="Arial" w:eastAsia="Arial" w:hAnsi="Arial"/>
                <w:sz w:val="18"/>
                <w:szCs w:val="18"/>
                <w:color w:val="0000FF"/>
              </w:rPr>
            </w:pPr>
            <w:hyperlink r:id="rId219">
              <w:r>
                <w:rPr>
                  <w:rFonts w:ascii="Arial" w:cs="Arial" w:eastAsia="Arial" w:hAnsi="Arial"/>
                  <w:sz w:val="18"/>
                  <w:szCs w:val="18"/>
                  <w:color w:val="0000FF"/>
                </w:rPr>
                <w:t>Amended and Restated Offer Letter by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4120" w:type="dxa"/>
            <w:vAlign w:val="bottom"/>
            <w:gridSpan w:val="31"/>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between the Registrant and Sean Bohen, dated</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10.9</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November 13, 2020.</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10.10#</w:t>
            </w:r>
          </w:p>
        </w:tc>
        <w:tc>
          <w:tcPr>
            <w:tcW w:w="4120" w:type="dxa"/>
            <w:vAlign w:val="bottom"/>
            <w:gridSpan w:val="31"/>
          </w:tcPr>
          <w:p>
            <w:pPr>
              <w:spacing w:after="0"/>
              <w:rPr>
                <w:rFonts w:ascii="Arial" w:cs="Arial" w:eastAsia="Arial" w:hAnsi="Arial"/>
                <w:sz w:val="18"/>
                <w:szCs w:val="18"/>
                <w:color w:val="0000FF"/>
              </w:rPr>
            </w:pPr>
            <w:hyperlink r:id="rId220">
              <w:r>
                <w:rPr>
                  <w:rFonts w:ascii="Arial" w:cs="Arial" w:eastAsia="Arial" w:hAnsi="Arial"/>
                  <w:sz w:val="18"/>
                  <w:szCs w:val="18"/>
                  <w:color w:val="0000FF"/>
                </w:rPr>
                <w:t>Amended and Restated Offer Letter by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460" w:type="dxa"/>
            <w:vAlign w:val="bottom"/>
            <w:tcBorders>
              <w:top w:val="single" w:sz="8" w:color="0000FF"/>
            </w:tcBorders>
            <w:gridSpan w:val="15"/>
          </w:tcPr>
          <w:p>
            <w:pPr>
              <w:spacing w:after="0" w:line="182" w:lineRule="exact"/>
              <w:rPr>
                <w:rFonts w:ascii="Arial" w:cs="Arial" w:eastAsia="Arial" w:hAnsi="Arial"/>
                <w:sz w:val="18"/>
                <w:szCs w:val="18"/>
                <w:color w:val="0000FF"/>
                <w:w w:val="99"/>
              </w:rPr>
            </w:pPr>
            <w:hyperlink r:id="rId220">
              <w:r>
                <w:rPr>
                  <w:rFonts w:ascii="Arial" w:cs="Arial" w:eastAsia="Arial" w:hAnsi="Arial"/>
                  <w:sz w:val="18"/>
                  <w:szCs w:val="18"/>
                  <w:color w:val="0000FF"/>
                  <w:w w:val="99"/>
                </w:rPr>
                <w:t>between the Registrant and Shane Kovacs,</w:t>
              </w:r>
            </w:hyperlink>
          </w:p>
        </w:tc>
        <w:tc>
          <w:tcPr>
            <w:tcW w:w="660" w:type="dxa"/>
            <w:vAlign w:val="bottom"/>
            <w:gridSpan w:val="16"/>
          </w:tcPr>
          <w:p>
            <w:pPr>
              <w:jc w:val="center"/>
              <w:ind w:right="160"/>
              <w:spacing w:after="0" w:line="182" w:lineRule="exact"/>
              <w:rPr>
                <w:rFonts w:ascii="Arial" w:cs="Arial" w:eastAsia="Arial" w:hAnsi="Arial"/>
                <w:sz w:val="18"/>
                <w:szCs w:val="18"/>
                <w:color w:val="0000FF"/>
              </w:rPr>
            </w:pPr>
            <w:hyperlink r:id="rId220">
              <w:r>
                <w:rPr>
                  <w:rFonts w:ascii="Arial" w:cs="Arial" w:eastAsia="Arial" w:hAnsi="Arial"/>
                  <w:sz w:val="18"/>
                  <w:szCs w:val="18"/>
                  <w:color w:val="0000FF"/>
                </w:rPr>
                <w:t>dated</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7"/>
              </w:rPr>
              <w:t>10.12</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9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220">
              <w:r>
                <w:rPr>
                  <w:rFonts w:ascii="Arial" w:cs="Arial" w:eastAsia="Arial" w:hAnsi="Arial"/>
                  <w:sz w:val="18"/>
                  <w:szCs w:val="18"/>
                  <w:color w:val="0000FF"/>
                </w:rPr>
                <w:t>November 13, 2020.</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10.11#</w:t>
            </w:r>
          </w:p>
        </w:tc>
        <w:tc>
          <w:tcPr>
            <w:tcW w:w="4120" w:type="dxa"/>
            <w:vAlign w:val="bottom"/>
            <w:gridSpan w:val="31"/>
          </w:tcPr>
          <w:p>
            <w:pPr>
              <w:spacing w:after="0"/>
              <w:rPr>
                <w:rFonts w:ascii="Arial" w:cs="Arial" w:eastAsia="Arial" w:hAnsi="Arial"/>
                <w:sz w:val="18"/>
                <w:szCs w:val="18"/>
                <w:color w:val="0000FF"/>
              </w:rPr>
            </w:pPr>
            <w:hyperlink r:id="rId221">
              <w:r>
                <w:rPr>
                  <w:rFonts w:ascii="Arial" w:cs="Arial" w:eastAsia="Arial" w:hAnsi="Arial"/>
                  <w:sz w:val="18"/>
                  <w:szCs w:val="18"/>
                  <w:color w:val="0000FF"/>
                </w:rPr>
                <w:t>Amended and Restated Offer Letter by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gridSpan w:val="6"/>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4120" w:type="dxa"/>
            <w:vAlign w:val="bottom"/>
            <w:gridSpan w:val="31"/>
          </w:tcPr>
          <w:p>
            <w:pPr>
              <w:spacing w:after="0" w:line="182" w:lineRule="exact"/>
              <w:rPr>
                <w:rFonts w:ascii="Arial" w:cs="Arial" w:eastAsia="Arial" w:hAnsi="Arial"/>
                <w:sz w:val="18"/>
                <w:szCs w:val="18"/>
                <w:color w:val="0000FF"/>
              </w:rPr>
            </w:pPr>
            <w:hyperlink r:id="rId221">
              <w:r>
                <w:rPr>
                  <w:rFonts w:ascii="Arial" w:cs="Arial" w:eastAsia="Arial" w:hAnsi="Arial"/>
                  <w:sz w:val="18"/>
                  <w:szCs w:val="18"/>
                  <w:color w:val="0000FF"/>
                </w:rPr>
                <w:t>between the Registrant and David Myles, dated</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7"/>
              </w:rPr>
              <w:t>10.14</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0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221">
              <w:r>
                <w:rPr>
                  <w:rFonts w:ascii="Arial" w:cs="Arial" w:eastAsia="Arial" w:hAnsi="Arial"/>
                  <w:sz w:val="18"/>
                  <w:szCs w:val="18"/>
                  <w:color w:val="0000FF"/>
                </w:rPr>
                <w:t>November 13,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10.12¥</w:t>
            </w:r>
          </w:p>
        </w:tc>
        <w:tc>
          <w:tcPr>
            <w:tcW w:w="4120" w:type="dxa"/>
            <w:vAlign w:val="bottom"/>
            <w:gridSpan w:val="31"/>
          </w:tcPr>
          <w:p>
            <w:pPr>
              <w:spacing w:after="0"/>
              <w:rPr>
                <w:rFonts w:ascii="Arial" w:cs="Arial" w:eastAsia="Arial" w:hAnsi="Arial"/>
                <w:sz w:val="18"/>
                <w:szCs w:val="18"/>
                <w:color w:val="0000FF"/>
              </w:rPr>
            </w:pPr>
            <w:hyperlink r:id="rId222">
              <w:r>
                <w:rPr>
                  <w:rFonts w:ascii="Arial" w:cs="Arial" w:eastAsia="Arial" w:hAnsi="Arial"/>
                  <w:sz w:val="18"/>
                  <w:szCs w:val="18"/>
                  <w:color w:val="0000FF"/>
                </w:rPr>
                <w:t>Amended and Restated Clinical Collaboration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gridSpan w:val="6"/>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4040" w:type="dxa"/>
            <w:vAlign w:val="bottom"/>
            <w:gridSpan w:val="27"/>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Supply Agreement by and between the Registrant</w:t>
              </w:r>
            </w:hyperlink>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and Novartis Institutes for BioMedical Research,</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5/9/2023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Inc., dated January 13, 2022.</w:t>
              </w:r>
            </w:hyperlink>
          </w:p>
        </w:tc>
        <w:tc>
          <w:tcPr>
            <w:tcW w:w="20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gridSpan w:val="6"/>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10.13</w:t>
            </w:r>
          </w:p>
        </w:tc>
        <w:tc>
          <w:tcPr>
            <w:tcW w:w="4120" w:type="dxa"/>
            <w:vAlign w:val="bottom"/>
            <w:gridSpan w:val="31"/>
          </w:tcPr>
          <w:p>
            <w:pPr>
              <w:spacing w:after="0"/>
              <w:rPr>
                <w:rFonts w:ascii="Arial" w:cs="Arial" w:eastAsia="Arial" w:hAnsi="Arial"/>
                <w:sz w:val="18"/>
                <w:szCs w:val="18"/>
                <w:color w:val="0000FF"/>
              </w:rPr>
            </w:pPr>
            <w:hyperlink r:id="rId223">
              <w:r>
                <w:rPr>
                  <w:rFonts w:ascii="Arial" w:cs="Arial" w:eastAsia="Arial" w:hAnsi="Arial"/>
                  <w:sz w:val="18"/>
                  <w:szCs w:val="18"/>
                  <w:color w:val="0000FF"/>
                </w:rPr>
                <w:t>Amendment No. 1 to Amended and Restated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500" w:type="dxa"/>
            <w:vAlign w:val="bottom"/>
            <w:gridSpan w:val="14"/>
            <w:vMerge w:val="restart"/>
          </w:tcPr>
          <w:p>
            <w:pPr>
              <w:jc w:val="center"/>
              <w:ind w:right="340"/>
              <w:spacing w:after="0" w:line="202" w:lineRule="exact"/>
              <w:rPr>
                <w:rFonts w:ascii="Arial" w:cs="Arial" w:eastAsia="Arial" w:hAnsi="Arial"/>
                <w:sz w:val="18"/>
                <w:szCs w:val="18"/>
                <w:color w:val="0000FF"/>
                <w:w w:val="83"/>
              </w:rPr>
            </w:pPr>
            <w:hyperlink r:id="rId223">
              <w:r>
                <w:rPr>
                  <w:rFonts w:ascii="Arial" w:cs="Arial" w:eastAsia="Arial" w:hAnsi="Arial"/>
                  <w:sz w:val="18"/>
                  <w:szCs w:val="18"/>
                  <w:color w:val="0000FF"/>
                  <w:w w:val="83"/>
                </w:rPr>
                <w:t>by</w:t>
              </w:r>
            </w:hyperlink>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3620" w:type="dxa"/>
            <w:vAlign w:val="bottom"/>
            <w:gridSpan w:val="17"/>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Clinical Collaboration and Supply Agreement</w:t>
              </w:r>
            </w:hyperlink>
          </w:p>
        </w:tc>
        <w:tc>
          <w:tcPr>
            <w:tcW w:w="500" w:type="dxa"/>
            <w:vAlign w:val="bottom"/>
            <w:gridSpan w:val="14"/>
            <w:vMerge w:val="continue"/>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4"/>
              </w:rPr>
            </w:pPr>
            <w:hyperlink r:id="rId223">
              <w:r>
                <w:rPr>
                  <w:rFonts w:ascii="Arial" w:cs="Arial" w:eastAsia="Arial" w:hAnsi="Arial"/>
                  <w:sz w:val="18"/>
                  <w:szCs w:val="18"/>
                  <w:color w:val="0000FF"/>
                  <w:w w:val="94"/>
                </w:rPr>
                <w:t>and between the Registrant and Novartis Institutes</w:t>
              </w:r>
            </w:hyperlink>
          </w:p>
        </w:tc>
        <w:tc>
          <w:tcPr>
            <w:tcW w:w="240" w:type="dxa"/>
            <w:vAlign w:val="bottom"/>
            <w:tcBorders>
              <w:bottom w:val="single" w:sz="8" w:color="0000FF"/>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80" w:type="dxa"/>
            <w:vAlign w:val="bottom"/>
            <w:gridSpan w:val="29"/>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for BioMedical Research, Inc., dated October 9,</w:t>
              </w:r>
            </w:hyperlink>
          </w:p>
        </w:tc>
        <w:tc>
          <w:tcPr>
            <w:tcW w:w="40" w:type="dxa"/>
            <w:vAlign w:val="bottom"/>
            <w:gridSpan w:val="2"/>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10/10/2023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8"/>
              </w:rPr>
            </w:pPr>
            <w:hyperlink r:id="rId223">
              <w:r>
                <w:rPr>
                  <w:rFonts w:ascii="Arial" w:cs="Arial" w:eastAsia="Arial" w:hAnsi="Arial"/>
                  <w:sz w:val="18"/>
                  <w:szCs w:val="18"/>
                  <w:color w:val="0000FF"/>
                  <w:w w:val="88"/>
                </w:rPr>
                <w:t>2023.</w:t>
              </w:r>
            </w:hyperlink>
          </w:p>
        </w:tc>
        <w:tc>
          <w:tcPr>
            <w:tcW w:w="20" w:type="dxa"/>
            <w:vAlign w:val="bottom"/>
            <w:tcBorders>
              <w:top w:val="single" w:sz="8" w:color="0000FF"/>
              <w:bottom w:val="single" w:sz="8" w:color="0000EE"/>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10.14#</w:t>
            </w:r>
          </w:p>
        </w:tc>
        <w:tc>
          <w:tcPr>
            <w:tcW w:w="4120" w:type="dxa"/>
            <w:vAlign w:val="bottom"/>
            <w:gridSpan w:val="31"/>
          </w:tcPr>
          <w:p>
            <w:pPr>
              <w:spacing w:after="0"/>
              <w:rPr>
                <w:sz w:val="20"/>
                <w:szCs w:val="20"/>
                <w:color w:val="auto"/>
              </w:rPr>
            </w:pPr>
            <w:r>
              <w:rPr>
                <w:rFonts w:ascii="Arial" w:cs="Arial" w:eastAsia="Arial" w:hAnsi="Arial"/>
                <w:sz w:val="18"/>
                <w:szCs w:val="18"/>
                <w:color w:val="0000FF"/>
              </w:rPr>
              <w:t>Olema Pharmaceuticals, Inc. 2022 Inducement</w:t>
            </w: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37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Plan, as amended December 5, 2024.</w:t>
            </w:r>
          </w:p>
        </w:tc>
        <w:tc>
          <w:tcPr>
            <w:tcW w:w="360" w:type="dxa"/>
            <w:vAlign w:val="bottom"/>
            <w:gridSpan w:val="12"/>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18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164</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4"/>
            <w:vMerge w:val="restart"/>
          </w:tcPr>
          <w:p>
            <w:pPr>
              <w:jc w:val="center"/>
              <w:ind w:right="1780"/>
              <w:spacing w:after="0"/>
              <w:rPr>
                <w:sz w:val="20"/>
                <w:szCs w:val="20"/>
                <w:color w:val="auto"/>
              </w:rPr>
            </w:pPr>
            <w:r>
              <w:rPr>
                <w:rFonts w:ascii="Arial" w:cs="Arial" w:eastAsia="Arial" w:hAnsi="Arial"/>
                <w:sz w:val="18"/>
                <w:szCs w:val="18"/>
                <w:b w:val="1"/>
                <w:bCs w:val="1"/>
                <w:color w:val="auto"/>
                <w:w w:val="99"/>
              </w:rPr>
              <w:t>Exhibit</w:t>
            </w:r>
          </w:p>
        </w:tc>
        <w:tc>
          <w:tcPr>
            <w:tcW w:w="100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9"/>
              </w:rPr>
              <w:t>Incorporation by Reference</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24"/>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60" w:type="dxa"/>
            <w:vAlign w:val="bottom"/>
          </w:tcPr>
          <w:p>
            <w:pPr>
              <w:jc w:val="center"/>
              <w:ind w:left="10"/>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5"/>
          </w:tcPr>
          <w:p>
            <w:pPr>
              <w:jc w:val="center"/>
              <w:ind w:right="1540"/>
              <w:spacing w:after="0"/>
              <w:rPr>
                <w:sz w:val="20"/>
                <w:szCs w:val="20"/>
                <w:color w:val="auto"/>
              </w:rPr>
            </w:pPr>
            <w:r>
              <w:rPr>
                <w:rFonts w:ascii="Arial" w:cs="Arial" w:eastAsia="Arial" w:hAnsi="Arial"/>
                <w:sz w:val="18"/>
                <w:szCs w:val="18"/>
                <w:b w:val="1"/>
                <w:bCs w:val="1"/>
                <w:color w:val="auto"/>
                <w:w w:val="98"/>
              </w:rPr>
              <w:t>Description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File No.</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10.15#</w:t>
            </w:r>
          </w:p>
        </w:tc>
        <w:tc>
          <w:tcPr>
            <w:tcW w:w="4100" w:type="dxa"/>
            <w:vAlign w:val="bottom"/>
            <w:gridSpan w:val="29"/>
          </w:tcPr>
          <w:p>
            <w:pPr>
              <w:spacing w:after="0"/>
              <w:rPr>
                <w:rFonts w:ascii="Arial" w:cs="Arial" w:eastAsia="Arial" w:hAnsi="Arial"/>
                <w:sz w:val="18"/>
                <w:szCs w:val="18"/>
                <w:color w:val="0000FF"/>
              </w:rPr>
            </w:pPr>
            <w:hyperlink r:id="rId226">
              <w:r>
                <w:rPr>
                  <w:rFonts w:ascii="Arial" w:cs="Arial" w:eastAsia="Arial" w:hAnsi="Arial"/>
                  <w:sz w:val="18"/>
                  <w:szCs w:val="18"/>
                  <w:color w:val="0000FF"/>
                </w:rPr>
                <w:t>Form of Stock Option Agreement and Option Grant</w:t>
              </w:r>
            </w:hyperlink>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7"/>
              </w:rPr>
              <w:t>10.18</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2/28/2022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Notice under the Inducement Plan.</w:t>
              </w:r>
            </w:hyperlink>
          </w:p>
        </w:tc>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10.16#</w:t>
            </w:r>
          </w:p>
        </w:tc>
        <w:tc>
          <w:tcPr>
            <w:tcW w:w="4100" w:type="dxa"/>
            <w:vAlign w:val="bottom"/>
            <w:gridSpan w:val="29"/>
          </w:tcPr>
          <w:p>
            <w:pPr>
              <w:spacing w:after="0"/>
              <w:rPr>
                <w:rFonts w:ascii="Arial" w:cs="Arial" w:eastAsia="Arial" w:hAnsi="Arial"/>
                <w:sz w:val="18"/>
                <w:szCs w:val="18"/>
                <w:color w:val="0000FF"/>
              </w:rPr>
            </w:pPr>
            <w:hyperlink r:id="rId227">
              <w:r>
                <w:rPr>
                  <w:rFonts w:ascii="Arial" w:cs="Arial" w:eastAsia="Arial" w:hAnsi="Arial"/>
                  <w:sz w:val="18"/>
                  <w:szCs w:val="18"/>
                  <w:color w:val="0000FF"/>
                </w:rPr>
                <w:t>Offer Letter by and between the Registrant and</w:t>
              </w:r>
            </w:hyperlink>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7"/>
              </w:rPr>
              <w:t>10.19</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2/28/2022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7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Naseem Zojwalla, dated December 15, 2021.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10.17¥</w:t>
            </w:r>
          </w:p>
        </w:tc>
        <w:tc>
          <w:tcPr>
            <w:tcW w:w="4100" w:type="dxa"/>
            <w:vAlign w:val="bottom"/>
            <w:gridSpan w:val="29"/>
          </w:tcPr>
          <w:p>
            <w:pPr>
              <w:spacing w:after="0"/>
              <w:rPr>
                <w:rFonts w:ascii="Arial" w:cs="Arial" w:eastAsia="Arial" w:hAnsi="Arial"/>
                <w:sz w:val="18"/>
                <w:szCs w:val="18"/>
                <w:color w:val="0000FF"/>
              </w:rPr>
            </w:pPr>
            <w:hyperlink r:id="rId228">
              <w:r>
                <w:rPr>
                  <w:rFonts w:ascii="Arial" w:cs="Arial" w:eastAsia="Arial" w:hAnsi="Arial"/>
                  <w:sz w:val="18"/>
                  <w:szCs w:val="18"/>
                  <w:color w:val="0000FF"/>
                </w:rPr>
                <w:t>Drug Discovery Collaboration and License</w:t>
              </w:r>
            </w:hyperlink>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380" w:type="dxa"/>
            <w:vAlign w:val="bottom"/>
            <w:tcBorders>
              <w:top w:val="single" w:sz="8" w:color="0000FF"/>
            </w:tcBorders>
            <w:gridSpan w:val="20"/>
          </w:tcPr>
          <w:p>
            <w:pPr>
              <w:spacing w:after="0" w:line="182" w:lineRule="exact"/>
              <w:rPr>
                <w:rFonts w:ascii="Arial" w:cs="Arial" w:eastAsia="Arial" w:hAnsi="Arial"/>
                <w:sz w:val="18"/>
                <w:szCs w:val="18"/>
                <w:color w:val="0000FF"/>
                <w:w w:val="99"/>
              </w:rPr>
            </w:pPr>
            <w:hyperlink r:id="rId228">
              <w:r>
                <w:rPr>
                  <w:rFonts w:ascii="Arial" w:cs="Arial" w:eastAsia="Arial" w:hAnsi="Arial"/>
                  <w:sz w:val="18"/>
                  <w:szCs w:val="18"/>
                  <w:color w:val="0000FF"/>
                  <w:w w:val="99"/>
                </w:rPr>
                <w:t>Agreement by and between the Registrant</w:t>
              </w:r>
            </w:hyperlink>
          </w:p>
        </w:tc>
        <w:tc>
          <w:tcPr>
            <w:tcW w:w="720" w:type="dxa"/>
            <w:vAlign w:val="bottom"/>
            <w:gridSpan w:val="9"/>
          </w:tcPr>
          <w:p>
            <w:pPr>
              <w:ind w:left="20"/>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and</w:t>
              </w:r>
            </w:hyperlink>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74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w w:val="96"/>
              </w:rPr>
            </w:pPr>
            <w:hyperlink r:id="rId228">
              <w:r>
                <w:rPr>
                  <w:rFonts w:ascii="Arial" w:cs="Arial" w:eastAsia="Arial" w:hAnsi="Arial"/>
                  <w:sz w:val="18"/>
                  <w:szCs w:val="18"/>
                  <w:color w:val="0000FF"/>
                  <w:w w:val="96"/>
                </w:rPr>
                <w:t>Aurigene Discovery Technologies Limited, dated</w:t>
              </w:r>
            </w:hyperlink>
          </w:p>
        </w:tc>
        <w:tc>
          <w:tcPr>
            <w:tcW w:w="80" w:type="dxa"/>
            <w:vAlign w:val="bottom"/>
            <w:tcBorders>
              <w:bottom w:val="single" w:sz="8" w:color="0000FF"/>
            </w:tcBorders>
            <w:gridSpan w:val="2"/>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8/9/2022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80" w:type="dxa"/>
            <w:vAlign w:val="bottom"/>
            <w:gridSpan w:val="26"/>
          </w:tcPr>
          <w:p>
            <w:pPr>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June 7, 2022.</w:t>
              </w:r>
            </w:hyperlink>
          </w:p>
        </w:tc>
        <w:tc>
          <w:tcPr>
            <w:tcW w:w="1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10.18#</w:t>
            </w:r>
          </w:p>
        </w:tc>
        <w:tc>
          <w:tcPr>
            <w:tcW w:w="4100" w:type="dxa"/>
            <w:vAlign w:val="bottom"/>
            <w:gridSpan w:val="29"/>
          </w:tcPr>
          <w:p>
            <w:pPr>
              <w:spacing w:after="0"/>
              <w:rPr>
                <w:sz w:val="20"/>
                <w:szCs w:val="20"/>
                <w:color w:val="auto"/>
              </w:rPr>
            </w:pPr>
            <w:r>
              <w:rPr>
                <w:rFonts w:ascii="Arial" w:cs="Arial" w:eastAsia="Arial" w:hAnsi="Arial"/>
                <w:sz w:val="18"/>
                <w:szCs w:val="18"/>
                <w:color w:val="0000FF"/>
              </w:rPr>
              <w:t>Offer Letter by and between the Registrant and</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78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Shawnte Mitchell, dated January 27, 2025</w:t>
            </w: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10.19</w:t>
            </w:r>
          </w:p>
        </w:tc>
        <w:tc>
          <w:tcPr>
            <w:tcW w:w="4100" w:type="dxa"/>
            <w:vAlign w:val="bottom"/>
            <w:gridSpan w:val="29"/>
          </w:tcPr>
          <w:p>
            <w:pPr>
              <w:spacing w:after="0"/>
              <w:rPr>
                <w:rFonts w:ascii="Arial" w:cs="Arial" w:eastAsia="Arial" w:hAnsi="Arial"/>
                <w:sz w:val="18"/>
                <w:szCs w:val="18"/>
                <w:color w:val="0000FF"/>
              </w:rPr>
            </w:pPr>
            <w:hyperlink r:id="rId229">
              <w:r>
                <w:rPr>
                  <w:rFonts w:ascii="Arial" w:cs="Arial" w:eastAsia="Arial" w:hAnsi="Arial"/>
                  <w:sz w:val="18"/>
                  <w:szCs w:val="18"/>
                  <w:color w:val="0000FF"/>
                </w:rPr>
                <w:t>Stock Purchase Agreement by and among the</w:t>
              </w:r>
            </w:hyperlink>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70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9"/>
              </w:rPr>
            </w:pPr>
            <w:hyperlink r:id="rId229">
              <w:r>
                <w:rPr>
                  <w:rFonts w:ascii="Arial" w:cs="Arial" w:eastAsia="Arial" w:hAnsi="Arial"/>
                  <w:sz w:val="18"/>
                  <w:szCs w:val="18"/>
                  <w:color w:val="0000FF"/>
                  <w:w w:val="99"/>
                </w:rPr>
                <w:t>Registrant and the Purchasers named therein,</w:t>
              </w:r>
            </w:hyperlink>
          </w:p>
        </w:tc>
        <w:tc>
          <w:tcPr>
            <w:tcW w:w="12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9/5/2023</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700" w:type="dxa"/>
            <w:vAlign w:val="bottom"/>
            <w:gridSpan w:val="22"/>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dated September 5, 2023</w:t>
              </w:r>
              <w:r>
                <w:rPr>
                  <w:rFonts w:ascii="Arial" w:cs="Arial" w:eastAsia="Arial" w:hAnsi="Arial"/>
                  <w:sz w:val="18"/>
                  <w:szCs w:val="18"/>
                  <w:color w:val="000000"/>
                </w:rPr>
                <w:t>.</w:t>
              </w:r>
            </w:hyperlink>
          </w:p>
        </w:tc>
        <w:tc>
          <w:tcPr>
            <w:tcW w:w="12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10.20</w:t>
            </w:r>
          </w:p>
        </w:tc>
        <w:tc>
          <w:tcPr>
            <w:tcW w:w="4100" w:type="dxa"/>
            <w:vAlign w:val="bottom"/>
            <w:gridSpan w:val="29"/>
          </w:tcPr>
          <w:p>
            <w:pPr>
              <w:spacing w:after="0"/>
              <w:rPr>
                <w:rFonts w:ascii="Arial" w:cs="Arial" w:eastAsia="Arial" w:hAnsi="Arial"/>
                <w:sz w:val="18"/>
                <w:szCs w:val="18"/>
                <w:color w:val="0000FF"/>
              </w:rPr>
            </w:pPr>
            <w:hyperlink r:id="rId230">
              <w:r>
                <w:rPr>
                  <w:rFonts w:ascii="Arial" w:cs="Arial" w:eastAsia="Arial" w:hAnsi="Arial"/>
                  <w:sz w:val="18"/>
                  <w:szCs w:val="18"/>
                  <w:color w:val="0000FF"/>
                </w:rPr>
                <w:t>Loan and Security Agreement by and between the</w:t>
              </w:r>
            </w:hyperlink>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Registrant and Silicon Valley Bank, a division of</w:t>
              </w:r>
            </w:hyperlink>
          </w:p>
        </w:tc>
        <w:tc>
          <w:tcPr>
            <w:tcW w:w="8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2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First-Citizens Bank &amp; Trust Company, dated</w:t>
              </w:r>
            </w:hyperlink>
          </w:p>
        </w:tc>
        <w:tc>
          <w:tcPr>
            <w:tcW w:w="280" w:type="dxa"/>
            <w:vAlign w:val="bottom"/>
            <w:gridSpan w:val="4"/>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10.2</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9/5/2023</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58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September 5, 2023</w:t>
              </w:r>
              <w:r>
                <w:rPr>
                  <w:rFonts w:ascii="Arial" w:cs="Arial" w:eastAsia="Arial" w:hAnsi="Arial"/>
                  <w:sz w:val="18"/>
                  <w:szCs w:val="18"/>
                  <w:color w:val="000000"/>
                </w:rPr>
                <w:t>.</w:t>
              </w:r>
            </w:hyperlink>
          </w:p>
        </w:tc>
        <w:tc>
          <w:tcPr>
            <w:tcW w:w="520" w:type="dxa"/>
            <w:vAlign w:val="bottom"/>
            <w:gridSpan w:val="8"/>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10.21</w:t>
            </w:r>
          </w:p>
        </w:tc>
        <w:tc>
          <w:tcPr>
            <w:tcW w:w="4100" w:type="dxa"/>
            <w:vAlign w:val="bottom"/>
            <w:gridSpan w:val="29"/>
          </w:tcPr>
          <w:p>
            <w:pPr>
              <w:spacing w:after="0"/>
              <w:rPr>
                <w:rFonts w:ascii="Arial" w:cs="Arial" w:eastAsia="Arial" w:hAnsi="Arial"/>
                <w:sz w:val="18"/>
                <w:szCs w:val="18"/>
                <w:color w:val="0000FF"/>
              </w:rPr>
            </w:pPr>
            <w:hyperlink r:id="rId231">
              <w:r>
                <w:rPr>
                  <w:rFonts w:ascii="Arial" w:cs="Arial" w:eastAsia="Arial" w:hAnsi="Arial"/>
                  <w:sz w:val="18"/>
                  <w:szCs w:val="18"/>
                  <w:color w:val="0000FF"/>
                </w:rPr>
                <w:t>Amendment No. 2 to Amended and</w:t>
              </w:r>
            </w:hyperlink>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gridSpan w:val="11"/>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840" w:type="dxa"/>
            <w:vAlign w:val="bottom"/>
            <w:gridSpan w:val="15"/>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Restated Clinical Collaboration and</w:t>
              </w:r>
            </w:hyperlink>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180" w:type="dxa"/>
            <w:vAlign w:val="bottom"/>
            <w:gridSpan w:val="11"/>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gridSpan w:val="11"/>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820" w:type="dxa"/>
            <w:vAlign w:val="bottom"/>
            <w:gridSpan w:val="14"/>
          </w:tcPr>
          <w:p>
            <w:pPr>
              <w:spacing w:after="0" w:line="182" w:lineRule="exact"/>
              <w:rPr>
                <w:rFonts w:ascii="Arial" w:cs="Arial" w:eastAsia="Arial" w:hAnsi="Arial"/>
                <w:sz w:val="18"/>
                <w:szCs w:val="18"/>
                <w:color w:val="0000FF"/>
                <w:w w:val="99"/>
              </w:rPr>
            </w:pPr>
            <w:hyperlink r:id="rId231">
              <w:r>
                <w:rPr>
                  <w:rFonts w:ascii="Arial" w:cs="Arial" w:eastAsia="Arial" w:hAnsi="Arial"/>
                  <w:sz w:val="18"/>
                  <w:szCs w:val="18"/>
                  <w:color w:val="0000FF"/>
                  <w:w w:val="99"/>
                </w:rPr>
                <w:t>Supply Agreement by and between</w:t>
              </w:r>
            </w:hyperlink>
          </w:p>
        </w:tc>
        <w:tc>
          <w:tcPr>
            <w:tcW w:w="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180" w:type="dxa"/>
            <w:vAlign w:val="bottom"/>
            <w:gridSpan w:val="11"/>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gridSpan w:val="11"/>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800" w:type="dxa"/>
            <w:vAlign w:val="bottom"/>
            <w:gridSpan w:val="13"/>
          </w:tcPr>
          <w:p>
            <w:pPr>
              <w:spacing w:after="0" w:line="182" w:lineRule="exact"/>
              <w:rPr>
                <w:rFonts w:ascii="Arial" w:cs="Arial" w:eastAsia="Arial" w:hAnsi="Arial"/>
                <w:sz w:val="18"/>
                <w:szCs w:val="18"/>
                <w:color w:val="0000FF"/>
                <w:w w:val="93"/>
              </w:rPr>
            </w:pPr>
            <w:hyperlink r:id="rId231">
              <w:r>
                <w:rPr>
                  <w:rFonts w:ascii="Arial" w:cs="Arial" w:eastAsia="Arial" w:hAnsi="Arial"/>
                  <w:sz w:val="18"/>
                  <w:szCs w:val="18"/>
                  <w:color w:val="0000FF"/>
                  <w:w w:val="93"/>
                </w:rPr>
                <w:t>the Registrant and Novartis Institutes</w:t>
              </w:r>
            </w:hyperlink>
          </w:p>
        </w:tc>
        <w:tc>
          <w:tcPr>
            <w:tcW w:w="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180" w:type="dxa"/>
            <w:vAlign w:val="bottom"/>
            <w:gridSpan w:val="11"/>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11"/>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920" w:type="dxa"/>
            <w:vAlign w:val="bottom"/>
            <w:gridSpan w:val="18"/>
          </w:tcPr>
          <w:p>
            <w:pPr>
              <w:spacing w:after="0" w:line="182" w:lineRule="exact"/>
              <w:rPr>
                <w:rFonts w:ascii="Arial" w:cs="Arial" w:eastAsia="Arial" w:hAnsi="Arial"/>
                <w:sz w:val="18"/>
                <w:szCs w:val="18"/>
                <w:color w:val="0000FF"/>
                <w:w w:val="99"/>
              </w:rPr>
            </w:pPr>
            <w:hyperlink r:id="rId231">
              <w:r>
                <w:rPr>
                  <w:rFonts w:ascii="Arial" w:cs="Arial" w:eastAsia="Arial" w:hAnsi="Arial"/>
                  <w:sz w:val="18"/>
                  <w:szCs w:val="18"/>
                  <w:color w:val="0000FF"/>
                  <w:w w:val="99"/>
                </w:rPr>
                <w:t>for BioMedical Research, Inc., dated</w:t>
              </w:r>
            </w:hyperlink>
          </w:p>
        </w:tc>
        <w:tc>
          <w:tcPr>
            <w:tcW w:w="1180" w:type="dxa"/>
            <w:vAlign w:val="bottom"/>
            <w:gridSpan w:val="11"/>
            <w:vMerge w:val="continue"/>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5/8/2024</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12"/>
            <w:vMerge w:val="restart"/>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880" w:type="dxa"/>
            <w:vAlign w:val="bottom"/>
            <w:gridSpan w:val="16"/>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March 22, 2024.</w:t>
              </w:r>
            </w:hyperlink>
          </w:p>
        </w:tc>
        <w:tc>
          <w:tcPr>
            <w:tcW w:w="20" w:type="dxa"/>
            <w:vAlign w:val="bottom"/>
            <w:vMerge w:val="continue"/>
          </w:tcPr>
          <w:p>
            <w:pPr>
              <w:spacing w:after="0"/>
              <w:rPr>
                <w:sz w:val="15"/>
                <w:szCs w:val="15"/>
                <w:color w:val="auto"/>
              </w:rPr>
            </w:pPr>
          </w:p>
        </w:tc>
        <w:tc>
          <w:tcPr>
            <w:tcW w:w="1200" w:type="dxa"/>
            <w:vAlign w:val="bottom"/>
            <w:gridSpan w:val="1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10.22</w:t>
            </w:r>
          </w:p>
        </w:tc>
        <w:tc>
          <w:tcPr>
            <w:tcW w:w="4100" w:type="dxa"/>
            <w:vAlign w:val="bottom"/>
            <w:gridSpan w:val="29"/>
          </w:tcPr>
          <w:p>
            <w:pPr>
              <w:spacing w:after="0"/>
              <w:rPr>
                <w:rFonts w:ascii="Arial" w:cs="Arial" w:eastAsia="Arial" w:hAnsi="Arial"/>
                <w:sz w:val="18"/>
                <w:szCs w:val="18"/>
                <w:color w:val="0000FF"/>
              </w:rPr>
            </w:pPr>
            <w:hyperlink r:id="rId232">
              <w:r>
                <w:rPr>
                  <w:rFonts w:ascii="Arial" w:cs="Arial" w:eastAsia="Arial" w:hAnsi="Arial"/>
                  <w:sz w:val="18"/>
                  <w:szCs w:val="18"/>
                  <w:color w:val="0000FF"/>
                </w:rPr>
                <w:t>First Amendment to Loan and</w:t>
              </w:r>
            </w:hyperlink>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60" w:type="dxa"/>
            <w:vAlign w:val="bottom"/>
            <w:gridSpan w:val="19"/>
            <w:vMerge w:val="restart"/>
          </w:tcPr>
          <w:p>
            <w:pPr>
              <w:spacing w:after="0" w:line="202" w:lineRule="exact"/>
              <w:rPr>
                <w:rFonts w:ascii="Arial" w:cs="Arial" w:eastAsia="Arial" w:hAnsi="Arial"/>
                <w:sz w:val="18"/>
                <w:szCs w:val="18"/>
                <w:color w:val="0000FF"/>
              </w:rPr>
            </w:pPr>
            <w:hyperlink r:id="rId232">
              <w:r>
                <w:rPr>
                  <w:rFonts w:ascii="Arial" w:cs="Arial" w:eastAsia="Arial" w:hAnsi="Arial"/>
                  <w:sz w:val="18"/>
                  <w:szCs w:val="18"/>
                  <w:color w:val="0000FF"/>
                </w:rPr>
                <w:t>between</w:t>
              </w:r>
            </w:hyperlink>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340" w:type="dxa"/>
            <w:vAlign w:val="bottom"/>
            <w:gridSpan w:val="10"/>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Security Agreement by and</w:t>
              </w:r>
            </w:hyperlink>
          </w:p>
        </w:tc>
        <w:tc>
          <w:tcPr>
            <w:tcW w:w="1760" w:type="dxa"/>
            <w:vAlign w:val="bottom"/>
            <w:gridSpan w:val="19"/>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4100" w:type="dxa"/>
            <w:vAlign w:val="bottom"/>
            <w:gridSpan w:val="29"/>
          </w:tcPr>
          <w:p>
            <w:pPr>
              <w:spacing w:after="0" w:line="182" w:lineRule="exact"/>
              <w:rPr>
                <w:rFonts w:ascii="Arial" w:cs="Arial" w:eastAsia="Arial" w:hAnsi="Arial"/>
                <w:sz w:val="18"/>
                <w:szCs w:val="18"/>
                <w:color w:val="0000FF"/>
                <w:w w:val="99"/>
              </w:rPr>
            </w:pPr>
            <w:hyperlink r:id="rId232">
              <w:r>
                <w:rPr>
                  <w:rFonts w:ascii="Arial" w:cs="Arial" w:eastAsia="Arial" w:hAnsi="Arial"/>
                  <w:sz w:val="18"/>
                  <w:szCs w:val="18"/>
                  <w:color w:val="0000FF"/>
                  <w:w w:val="99"/>
                </w:rPr>
                <w:t>the Registrant and Silicon Valley Bank, a division of</w:t>
              </w:r>
            </w:hyperlink>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First-Citizens Bank</w:t>
              </w:r>
            </w:hyperlink>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2600" w:type="dxa"/>
            <w:vAlign w:val="bottom"/>
            <w:gridSpan w:val="25"/>
            <w:vMerge w:val="restart"/>
          </w:tcPr>
          <w:p>
            <w:pPr>
              <w:spacing w:after="0" w:line="202" w:lineRule="exact"/>
              <w:rPr>
                <w:rFonts w:ascii="Arial" w:cs="Arial" w:eastAsia="Arial" w:hAnsi="Arial"/>
                <w:sz w:val="18"/>
                <w:szCs w:val="18"/>
                <w:color w:val="0000FF"/>
              </w:rPr>
            </w:pPr>
            <w:hyperlink r:id="rId232">
              <w:r>
                <w:rPr>
                  <w:rFonts w:ascii="Arial" w:cs="Arial" w:eastAsia="Arial" w:hAnsi="Arial"/>
                  <w:sz w:val="18"/>
                  <w:szCs w:val="18"/>
                  <w:color w:val="0000FF"/>
                </w:rPr>
                <w:t>dated June 28,</w:t>
              </w:r>
            </w:hyperlink>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500" w:type="dxa"/>
            <w:vAlign w:val="bottom"/>
            <w:gridSpan w:val="4"/>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&amp; Trust Company,</w:t>
              </w:r>
            </w:hyperlink>
          </w:p>
        </w:tc>
        <w:tc>
          <w:tcPr>
            <w:tcW w:w="2600" w:type="dxa"/>
            <w:vAlign w:val="bottom"/>
            <w:gridSpan w:val="25"/>
            <w:vMerge w:val="continue"/>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8/6/2024</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440" w:type="dxa"/>
            <w:vAlign w:val="bottom"/>
          </w:tcPr>
          <w:p>
            <w:pPr>
              <w:spacing w:after="0" w:line="182" w:lineRule="exact"/>
              <w:rPr>
                <w:rFonts w:ascii="Arial" w:cs="Arial" w:eastAsia="Arial" w:hAnsi="Arial"/>
                <w:sz w:val="18"/>
                <w:szCs w:val="18"/>
                <w:color w:val="0000FF"/>
                <w:w w:val="88"/>
              </w:rPr>
            </w:pPr>
            <w:hyperlink r:id="rId232">
              <w:r>
                <w:rPr>
                  <w:rFonts w:ascii="Arial" w:cs="Arial" w:eastAsia="Arial" w:hAnsi="Arial"/>
                  <w:sz w:val="18"/>
                  <w:szCs w:val="18"/>
                  <w:color w:val="0000FF"/>
                  <w:w w:val="88"/>
                </w:rPr>
                <w:t>2024.</w:t>
              </w:r>
            </w:hyperlink>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20" w:type="dxa"/>
            <w:vAlign w:val="bottom"/>
            <w:gridSpan w:val="2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10.23#</w:t>
            </w:r>
          </w:p>
        </w:tc>
        <w:tc>
          <w:tcPr>
            <w:tcW w:w="4100" w:type="dxa"/>
            <w:vAlign w:val="bottom"/>
            <w:gridSpan w:val="29"/>
          </w:tcPr>
          <w:p>
            <w:pPr>
              <w:spacing w:after="0"/>
              <w:rPr>
                <w:rFonts w:ascii="Arial" w:cs="Arial" w:eastAsia="Arial" w:hAnsi="Arial"/>
                <w:sz w:val="18"/>
                <w:szCs w:val="18"/>
                <w:color w:val="0000FF"/>
              </w:rPr>
            </w:pPr>
            <w:hyperlink r:id="rId233">
              <w:r>
                <w:rPr>
                  <w:rFonts w:ascii="Arial" w:cs="Arial" w:eastAsia="Arial" w:hAnsi="Arial"/>
                  <w:sz w:val="18"/>
                  <w:szCs w:val="18"/>
                  <w:color w:val="0000FF"/>
                </w:rPr>
                <w:t>Olema Pharmaceuticals, Inc.</w:t>
              </w:r>
            </w:hyperlink>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20" w:type="dxa"/>
            <w:vAlign w:val="bottom"/>
            <w:gridSpan w:val="20"/>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280" w:type="dxa"/>
            <w:vAlign w:val="bottom"/>
            <w:gridSpan w:val="9"/>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Amended and Restated</w:t>
              </w:r>
            </w:hyperlink>
          </w:p>
        </w:tc>
        <w:tc>
          <w:tcPr>
            <w:tcW w:w="1820" w:type="dxa"/>
            <w:vAlign w:val="bottom"/>
            <w:gridSpan w:val="20"/>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gridSpan w:val="22"/>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860" w:type="dxa"/>
            <w:vAlign w:val="bottom"/>
            <w:gridSpan w:val="7"/>
          </w:tcPr>
          <w:p>
            <w:pPr>
              <w:spacing w:after="0" w:line="182" w:lineRule="exact"/>
              <w:rPr>
                <w:rFonts w:ascii="Arial" w:cs="Arial" w:eastAsia="Arial" w:hAnsi="Arial"/>
                <w:sz w:val="18"/>
                <w:szCs w:val="18"/>
                <w:color w:val="0000FF"/>
                <w:w w:val="98"/>
              </w:rPr>
            </w:pPr>
            <w:hyperlink r:id="rId233">
              <w:r>
                <w:rPr>
                  <w:rFonts w:ascii="Arial" w:cs="Arial" w:eastAsia="Arial" w:hAnsi="Arial"/>
                  <w:sz w:val="18"/>
                  <w:szCs w:val="18"/>
                  <w:color w:val="0000FF"/>
                  <w:w w:val="98"/>
                </w:rPr>
                <w:t>Non-Employee Director</w:t>
              </w:r>
            </w:hyperlink>
          </w:p>
        </w:tc>
        <w:tc>
          <w:tcPr>
            <w:tcW w:w="2240" w:type="dxa"/>
            <w:vAlign w:val="bottom"/>
            <w:gridSpan w:val="22"/>
            <w:vMerge w:val="continue"/>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10.2</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8/6/2024</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gridSpan w:val="23"/>
            <w:vMerge w:val="restart"/>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840" w:type="dxa"/>
            <w:vAlign w:val="bottom"/>
            <w:gridSpan w:val="6"/>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Compensation Policy.</w:t>
              </w:r>
            </w:hyperlink>
          </w:p>
        </w:tc>
        <w:tc>
          <w:tcPr>
            <w:tcW w:w="2260" w:type="dxa"/>
            <w:vAlign w:val="bottom"/>
            <w:gridSpan w:val="2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18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165</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60" w:type="dxa"/>
            <w:vAlign w:val="bottom"/>
            <w:gridSpan w:val="22"/>
            <w:vMerge w:val="restart"/>
          </w:tcPr>
          <w:p>
            <w:pPr>
              <w:jc w:val="center"/>
              <w:ind w:right="1400"/>
              <w:spacing w:after="0"/>
              <w:rPr>
                <w:sz w:val="20"/>
                <w:szCs w:val="20"/>
                <w:color w:val="auto"/>
              </w:rPr>
            </w:pPr>
            <w:r>
              <w:rPr>
                <w:rFonts w:ascii="Arial" w:cs="Arial" w:eastAsia="Arial" w:hAnsi="Arial"/>
                <w:sz w:val="18"/>
                <w:szCs w:val="18"/>
                <w:b w:val="1"/>
                <w:bCs w:val="1"/>
                <w:color w:val="auto"/>
                <w:w w:val="99"/>
              </w:rPr>
              <w:t>Exhibit</w:t>
            </w:r>
          </w:p>
        </w:tc>
        <w:tc>
          <w:tcPr>
            <w:tcW w:w="100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9"/>
              </w:rPr>
              <w:t>Incorporation by Reference</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60" w:type="dxa"/>
            <w:vAlign w:val="bottom"/>
            <w:gridSpan w:val="22"/>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60" w:type="dxa"/>
            <w:vAlign w:val="bottom"/>
          </w:tcPr>
          <w:p>
            <w:pPr>
              <w:jc w:val="center"/>
              <w:ind w:left="10"/>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22"/>
          </w:tcPr>
          <w:p>
            <w:pPr>
              <w:jc w:val="center"/>
              <w:ind w:right="1380"/>
              <w:spacing w:after="0"/>
              <w:rPr>
                <w:sz w:val="20"/>
                <w:szCs w:val="20"/>
                <w:color w:val="auto"/>
              </w:rPr>
            </w:pPr>
            <w:r>
              <w:rPr>
                <w:rFonts w:ascii="Arial" w:cs="Arial" w:eastAsia="Arial" w:hAnsi="Arial"/>
                <w:sz w:val="18"/>
                <w:szCs w:val="18"/>
                <w:b w:val="1"/>
                <w:bCs w:val="1"/>
                <w:color w:val="auto"/>
                <w:w w:val="98"/>
              </w:rPr>
              <w:t>Description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File No.</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10.24</w:t>
            </w:r>
          </w:p>
        </w:tc>
        <w:tc>
          <w:tcPr>
            <w:tcW w:w="4100" w:type="dxa"/>
            <w:vAlign w:val="bottom"/>
            <w:gridSpan w:val="24"/>
          </w:tcPr>
          <w:p>
            <w:pPr>
              <w:spacing w:after="0"/>
              <w:rPr>
                <w:rFonts w:ascii="Arial" w:cs="Arial" w:eastAsia="Arial" w:hAnsi="Arial"/>
                <w:sz w:val="18"/>
                <w:szCs w:val="18"/>
                <w:color w:val="0000FF"/>
              </w:rPr>
            </w:pPr>
            <w:hyperlink r:id="rId236">
              <w:r>
                <w:rPr>
                  <w:rFonts w:ascii="Arial" w:cs="Arial" w:eastAsia="Arial" w:hAnsi="Arial"/>
                  <w:sz w:val="18"/>
                  <w:szCs w:val="18"/>
                  <w:color w:val="0000FF"/>
                </w:rPr>
                <w:t>Form of Securities Purchase</w:t>
              </w:r>
            </w:hyperlink>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4100" w:type="dxa"/>
            <w:vAlign w:val="bottom"/>
            <w:gridSpan w:val="24"/>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Agreement by and among the</w:t>
              </w:r>
            </w:hyperlink>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700" w:type="dxa"/>
            <w:vAlign w:val="bottom"/>
            <w:gridSpan w:val="17"/>
            <w:vMerge w:val="restart"/>
          </w:tcPr>
          <w:p>
            <w:pPr>
              <w:jc w:val="center"/>
              <w:ind w:right="1040"/>
              <w:spacing w:after="0" w:line="202" w:lineRule="exact"/>
              <w:rPr>
                <w:rFonts w:ascii="Arial" w:cs="Arial" w:eastAsia="Arial" w:hAnsi="Arial"/>
                <w:sz w:val="18"/>
                <w:szCs w:val="18"/>
                <w:color w:val="0000FF"/>
                <w:w w:val="98"/>
              </w:rPr>
            </w:pPr>
            <w:hyperlink r:id="rId236">
              <w:r>
                <w:rPr>
                  <w:rFonts w:ascii="Arial" w:cs="Arial" w:eastAsia="Arial" w:hAnsi="Arial"/>
                  <w:sz w:val="18"/>
                  <w:szCs w:val="18"/>
                  <w:color w:val="0000FF"/>
                  <w:w w:val="98"/>
                </w:rPr>
                <w:t>named</w:t>
              </w:r>
            </w:hyperlink>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360" w:type="dxa"/>
            <w:vAlign w:val="bottom"/>
            <w:gridSpan w:val="6"/>
          </w:tcPr>
          <w:p>
            <w:pPr>
              <w:spacing w:after="0" w:line="182" w:lineRule="exact"/>
              <w:rPr>
                <w:rFonts w:ascii="Arial" w:cs="Arial" w:eastAsia="Arial" w:hAnsi="Arial"/>
                <w:sz w:val="18"/>
                <w:szCs w:val="18"/>
                <w:color w:val="0000FF"/>
                <w:w w:val="95"/>
              </w:rPr>
            </w:pPr>
            <w:hyperlink r:id="rId236">
              <w:r>
                <w:rPr>
                  <w:rFonts w:ascii="Arial" w:cs="Arial" w:eastAsia="Arial" w:hAnsi="Arial"/>
                  <w:sz w:val="18"/>
                  <w:szCs w:val="18"/>
                  <w:color w:val="0000FF"/>
                  <w:w w:val="95"/>
                </w:rPr>
                <w:t>Registrant and the Purchasers</w:t>
              </w:r>
            </w:hyperlink>
          </w:p>
        </w:tc>
        <w:tc>
          <w:tcPr>
            <w:tcW w:w="40" w:type="dxa"/>
            <w:vAlign w:val="bottom"/>
            <w:vMerge w:val="continue"/>
          </w:tcPr>
          <w:p>
            <w:pPr>
              <w:spacing w:after="0"/>
              <w:rPr>
                <w:sz w:val="15"/>
                <w:szCs w:val="15"/>
                <w:color w:val="auto"/>
              </w:rPr>
            </w:pPr>
          </w:p>
        </w:tc>
        <w:tc>
          <w:tcPr>
            <w:tcW w:w="1700" w:type="dxa"/>
            <w:vAlign w:val="bottom"/>
            <w:gridSpan w:val="17"/>
            <w:vMerge w:val="continue"/>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12/2/2024</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3000" w:type="dxa"/>
            <w:vAlign w:val="bottom"/>
            <w:gridSpan w:val="11"/>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therein, dated November 29, 2024.</w:t>
              </w:r>
            </w:hyperlink>
          </w:p>
        </w:tc>
        <w:tc>
          <w:tcPr>
            <w:tcW w:w="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10.25¥</w:t>
            </w:r>
          </w:p>
        </w:tc>
        <w:tc>
          <w:tcPr>
            <w:tcW w:w="4100" w:type="dxa"/>
            <w:vAlign w:val="bottom"/>
            <w:gridSpan w:val="24"/>
          </w:tcPr>
          <w:p>
            <w:pPr>
              <w:spacing w:after="0"/>
              <w:rPr>
                <w:sz w:val="20"/>
                <w:szCs w:val="20"/>
                <w:color w:val="auto"/>
              </w:rPr>
            </w:pPr>
            <w:r>
              <w:rPr>
                <w:rFonts w:ascii="Arial" w:cs="Arial" w:eastAsia="Arial" w:hAnsi="Arial"/>
                <w:sz w:val="18"/>
                <w:szCs w:val="18"/>
                <w:color w:val="0000FF"/>
              </w:rPr>
              <w:t>Clinical Trial Collaboration and Supply</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3020" w:type="dxa"/>
            <w:vAlign w:val="bottom"/>
            <w:gridSpan w:val="12"/>
          </w:tcPr>
          <w:p>
            <w:pPr>
              <w:spacing w:after="0" w:line="182" w:lineRule="exact"/>
              <w:rPr>
                <w:sz w:val="20"/>
                <w:szCs w:val="20"/>
                <w:color w:val="auto"/>
              </w:rPr>
            </w:pPr>
            <w:r>
              <w:rPr>
                <w:rFonts w:ascii="Arial" w:cs="Arial" w:eastAsia="Arial" w:hAnsi="Arial"/>
                <w:sz w:val="18"/>
                <w:szCs w:val="18"/>
                <w:color w:val="0000FF"/>
              </w:rPr>
              <w:t>Agreement by and between the</w:t>
            </w:r>
          </w:p>
        </w:tc>
        <w:tc>
          <w:tcPr>
            <w:tcW w:w="3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gridSpan w:val="16"/>
            <w:vMerge w:val="restart"/>
          </w:tcPr>
          <w:p>
            <w:pPr>
              <w:jc w:val="center"/>
              <w:ind w:right="1120"/>
              <w:spacing w:after="0" w:line="202" w:lineRule="exact"/>
              <w:rPr>
                <w:sz w:val="20"/>
                <w:szCs w:val="20"/>
                <w:color w:val="auto"/>
              </w:rPr>
            </w:pPr>
            <w:r>
              <w:rPr>
                <w:rFonts w:ascii="Arial" w:cs="Arial" w:eastAsia="Arial" w:hAnsi="Arial"/>
                <w:sz w:val="18"/>
                <w:szCs w:val="18"/>
                <w:color w:val="0000FF"/>
              </w:rPr>
              <w:t>AG,</w:t>
            </w: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500" w:type="dxa"/>
            <w:vAlign w:val="bottom"/>
            <w:gridSpan w:val="8"/>
          </w:tcPr>
          <w:p>
            <w:pPr>
              <w:spacing w:after="0" w:line="182" w:lineRule="exact"/>
              <w:rPr>
                <w:sz w:val="20"/>
                <w:szCs w:val="20"/>
                <w:color w:val="auto"/>
              </w:rPr>
            </w:pPr>
            <w:r>
              <w:rPr>
                <w:rFonts w:ascii="Arial" w:cs="Arial" w:eastAsia="Arial" w:hAnsi="Arial"/>
                <w:sz w:val="18"/>
                <w:szCs w:val="18"/>
                <w:color w:val="0000FF"/>
                <w:w w:val="96"/>
              </w:rPr>
              <w:t>Registrant and Novartis Pharma</w:t>
            </w:r>
          </w:p>
        </w:tc>
        <w:tc>
          <w:tcPr>
            <w:tcW w:w="1600" w:type="dxa"/>
            <w:vAlign w:val="bottom"/>
            <w:gridSpan w:val="16"/>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2900" w:type="dxa"/>
            <w:vAlign w:val="bottom"/>
            <w:gridSpan w:val="10"/>
          </w:tcPr>
          <w:p>
            <w:pPr>
              <w:spacing w:after="0" w:line="182" w:lineRule="exact"/>
              <w:rPr>
                <w:sz w:val="20"/>
                <w:szCs w:val="20"/>
                <w:color w:val="auto"/>
              </w:rPr>
            </w:pPr>
            <w:r>
              <w:rPr>
                <w:rFonts w:ascii="Arial" w:cs="Arial" w:eastAsia="Arial" w:hAnsi="Arial"/>
                <w:sz w:val="18"/>
                <w:szCs w:val="18"/>
                <w:color w:val="0000FF"/>
              </w:rPr>
              <w:t>dated November 29, 2024.</w:t>
            </w:r>
          </w:p>
        </w:tc>
        <w:tc>
          <w:tcPr>
            <w:tcW w:w="4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10.26¥</w:t>
            </w:r>
          </w:p>
        </w:tc>
        <w:tc>
          <w:tcPr>
            <w:tcW w:w="4100" w:type="dxa"/>
            <w:vAlign w:val="bottom"/>
            <w:gridSpan w:val="24"/>
          </w:tcPr>
          <w:p>
            <w:pPr>
              <w:spacing w:after="0"/>
              <w:rPr>
                <w:sz w:val="20"/>
                <w:szCs w:val="20"/>
                <w:color w:val="auto"/>
              </w:rPr>
            </w:pPr>
            <w:r>
              <w:rPr>
                <w:rFonts w:ascii="Arial" w:cs="Arial" w:eastAsia="Arial" w:hAnsi="Arial"/>
                <w:sz w:val="18"/>
                <w:szCs w:val="18"/>
                <w:color w:val="0000FF"/>
              </w:rPr>
              <w:t>Amendment Number No. 1 to the Drug Discovery</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94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Collaboration and License Agreement by and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620" w:type="dxa"/>
            <w:vAlign w:val="bottom"/>
            <w:tcBorders>
              <w:top w:val="single" w:sz="8" w:color="0000FF"/>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5"/>
              </w:rPr>
              <w:t>between the Registrant and Aurigene Oncology</w:t>
            </w: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00" w:type="dxa"/>
            <w:vAlign w:val="bottom"/>
            <w:gridSpan w:val="20"/>
          </w:tcPr>
          <w:p>
            <w:pPr>
              <w:spacing w:after="0" w:line="182" w:lineRule="exact"/>
              <w:rPr>
                <w:sz w:val="20"/>
                <w:szCs w:val="20"/>
                <w:color w:val="auto"/>
              </w:rPr>
            </w:pPr>
            <w:r>
              <w:rPr>
                <w:rFonts w:ascii="Arial" w:cs="Arial" w:eastAsia="Arial" w:hAnsi="Arial"/>
                <w:sz w:val="18"/>
                <w:szCs w:val="18"/>
                <w:color w:val="0000FF"/>
              </w:rPr>
              <w:t>Limited, dated May 2, 2024</w:t>
            </w: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10.27¥</w:t>
            </w:r>
          </w:p>
        </w:tc>
        <w:tc>
          <w:tcPr>
            <w:tcW w:w="4100" w:type="dxa"/>
            <w:vAlign w:val="bottom"/>
            <w:gridSpan w:val="24"/>
          </w:tcPr>
          <w:p>
            <w:pPr>
              <w:spacing w:after="0"/>
              <w:rPr>
                <w:sz w:val="20"/>
                <w:szCs w:val="20"/>
                <w:color w:val="auto"/>
              </w:rPr>
            </w:pPr>
            <w:r>
              <w:rPr>
                <w:rFonts w:ascii="Arial" w:cs="Arial" w:eastAsia="Arial" w:hAnsi="Arial"/>
                <w:sz w:val="18"/>
                <w:szCs w:val="18"/>
                <w:color w:val="0000FF"/>
              </w:rPr>
              <w:t>Amendment Number No. 2 to the Drug Discovery</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94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Collaboration and License Agreement by and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62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5"/>
              </w:rPr>
              <w:t>between the Registrant and Aurigene Oncology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278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Limited, dated November 15, 2024</w:t>
            </w:r>
          </w:p>
        </w:tc>
        <w:tc>
          <w:tcPr>
            <w:tcW w:w="1020" w:type="dxa"/>
            <w:vAlign w:val="bottom"/>
            <w:tcBorders>
              <w:top w:val="single" w:sz="8" w:color="0000FF"/>
            </w:tcBorders>
            <w:gridSpan w:val="11"/>
          </w:tcPr>
          <w:p>
            <w:pPr>
              <w:spacing w:after="0"/>
              <w:rPr>
                <w:sz w:val="15"/>
                <w:szCs w:val="15"/>
                <w:color w:val="auto"/>
              </w:rPr>
            </w:pP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19.1</w:t>
            </w:r>
          </w:p>
        </w:tc>
        <w:tc>
          <w:tcPr>
            <w:tcW w:w="4100" w:type="dxa"/>
            <w:vAlign w:val="bottom"/>
            <w:gridSpan w:val="24"/>
          </w:tcPr>
          <w:p>
            <w:pPr>
              <w:spacing w:after="0"/>
              <w:rPr>
                <w:sz w:val="20"/>
                <w:szCs w:val="20"/>
                <w:color w:val="auto"/>
              </w:rPr>
            </w:pPr>
            <w:r>
              <w:rPr>
                <w:rFonts w:ascii="Arial" w:cs="Arial" w:eastAsia="Arial" w:hAnsi="Arial"/>
                <w:sz w:val="18"/>
                <w:szCs w:val="18"/>
                <w:color w:val="0000FF"/>
                <w:w w:val="99"/>
              </w:rPr>
              <w:t>Olema Pharmaceuticals, Inc. Insider Trading Policy</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5"/>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21.1</w:t>
            </w:r>
          </w:p>
        </w:tc>
        <w:tc>
          <w:tcPr>
            <w:tcW w:w="4100" w:type="dxa"/>
            <w:vAlign w:val="bottom"/>
            <w:gridSpan w:val="24"/>
          </w:tcPr>
          <w:p>
            <w:pPr>
              <w:spacing w:after="0"/>
              <w:rPr>
                <w:rFonts w:ascii="Arial" w:cs="Arial" w:eastAsia="Arial" w:hAnsi="Arial"/>
                <w:sz w:val="18"/>
                <w:szCs w:val="18"/>
                <w:color w:val="0000FF"/>
              </w:rPr>
            </w:pPr>
            <w:hyperlink r:id="rId237">
              <w:r>
                <w:rPr>
                  <w:rFonts w:ascii="Arial" w:cs="Arial" w:eastAsia="Arial" w:hAnsi="Arial"/>
                  <w:sz w:val="18"/>
                  <w:szCs w:val="18"/>
                  <w:color w:val="0000FF"/>
                </w:rPr>
                <w:t>Subsidiaries of the Registrant.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tcPr>
          <w:p>
            <w:pPr>
              <w:jc w:val="center"/>
              <w:spacing w:after="0"/>
              <w:rPr>
                <w:sz w:val="20"/>
                <w:szCs w:val="20"/>
                <w:color w:val="auto"/>
              </w:rPr>
            </w:pPr>
            <w:r>
              <w:rPr>
                <w:rFonts w:ascii="Arial" w:cs="Arial" w:eastAsia="Arial" w:hAnsi="Arial"/>
                <w:sz w:val="18"/>
                <w:szCs w:val="18"/>
                <w:color w:val="auto"/>
              </w:rPr>
              <w:t>21.1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3/11/2024</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5"/>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23.1</w:t>
            </w:r>
          </w:p>
        </w:tc>
        <w:tc>
          <w:tcPr>
            <w:tcW w:w="4100" w:type="dxa"/>
            <w:vAlign w:val="bottom"/>
            <w:gridSpan w:val="24"/>
          </w:tcPr>
          <w:p>
            <w:pPr>
              <w:spacing w:after="0"/>
              <w:rPr>
                <w:sz w:val="20"/>
                <w:szCs w:val="20"/>
                <w:color w:val="auto"/>
              </w:rPr>
            </w:pPr>
            <w:r>
              <w:rPr>
                <w:rFonts w:ascii="Arial" w:cs="Arial" w:eastAsia="Arial" w:hAnsi="Arial"/>
                <w:sz w:val="18"/>
                <w:szCs w:val="18"/>
                <w:color w:val="0000FF"/>
              </w:rPr>
              <w:t>Consent of Independent Registered Public</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42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Accounting Firm.</w:t>
            </w:r>
          </w:p>
        </w:tc>
        <w:tc>
          <w:tcPr>
            <w:tcW w:w="10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24.1</w:t>
            </w:r>
          </w:p>
        </w:tc>
        <w:tc>
          <w:tcPr>
            <w:tcW w:w="4100" w:type="dxa"/>
            <w:vAlign w:val="bottom"/>
            <w:gridSpan w:val="24"/>
          </w:tcPr>
          <w:p>
            <w:pPr>
              <w:spacing w:after="0"/>
              <w:rPr>
                <w:sz w:val="20"/>
                <w:szCs w:val="20"/>
                <w:color w:val="auto"/>
              </w:rPr>
            </w:pPr>
            <w:r>
              <w:rPr>
                <w:rFonts w:ascii="Arial" w:cs="Arial" w:eastAsia="Arial" w:hAnsi="Arial"/>
                <w:sz w:val="18"/>
                <w:szCs w:val="18"/>
                <w:color w:val="0000FF"/>
              </w:rPr>
              <w:t>Power of Attorney (included on the Signatures</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380" w:type="dxa"/>
            <w:vAlign w:val="bottom"/>
            <w:tcBorders>
              <w:top w:val="single" w:sz="8" w:color="0000FF"/>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9"/>
              </w:rPr>
              <w:t>page of this Annual Report on Form 10</w:t>
            </w:r>
            <w:r>
              <w:rPr>
                <w:rFonts w:ascii="MS PGothic" w:cs="MS PGothic" w:eastAsia="MS PGothic" w:hAnsi="MS PGothic"/>
                <w:sz w:val="18"/>
                <w:szCs w:val="18"/>
                <w:color w:val="0000FF"/>
                <w:w w:val="99"/>
              </w:rPr>
              <w:t>‑</w:t>
            </w:r>
            <w:r>
              <w:rPr>
                <w:rFonts w:ascii="Arial" w:cs="Arial" w:eastAsia="Arial" w:hAnsi="Arial"/>
                <w:sz w:val="18"/>
                <w:szCs w:val="18"/>
                <w:color w:val="0000FF"/>
                <w:w w:val="99"/>
              </w:rPr>
              <w:t>K).</w:t>
            </w:r>
          </w:p>
        </w:tc>
        <w:tc>
          <w:tcPr>
            <w:tcW w:w="20" w:type="dxa"/>
            <w:vAlign w:val="bottom"/>
            <w:tcBorders>
              <w:top w:val="single" w:sz="8" w:color="0000FF"/>
              <w:bottom w:val="single" w:sz="8" w:color="0000EE"/>
            </w:tcBorders>
          </w:tcPr>
          <w:p>
            <w:pPr>
              <w:spacing w:after="0"/>
              <w:rPr>
                <w:sz w:val="15"/>
                <w:szCs w:val="15"/>
                <w:color w:val="auto"/>
              </w:rPr>
            </w:pPr>
          </w:p>
        </w:tc>
        <w:tc>
          <w:tcPr>
            <w:tcW w:w="300" w:type="dxa"/>
            <w:vAlign w:val="bottom"/>
            <w:tcBorders>
              <w:top w:val="single" w:sz="8" w:color="0000FF"/>
            </w:tcBorders>
            <w:gridSpan w:val="5"/>
          </w:tcPr>
          <w:p>
            <w:pPr>
              <w:spacing w:after="0"/>
              <w:rPr>
                <w:sz w:val="15"/>
                <w:szCs w:val="15"/>
                <w:color w:val="auto"/>
              </w:rPr>
            </w:pPr>
          </w:p>
        </w:tc>
        <w:tc>
          <w:tcPr>
            <w:tcW w:w="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4100" w:type="dxa"/>
            <w:vAlign w:val="bottom"/>
            <w:gridSpan w:val="24"/>
          </w:tcPr>
          <w:p>
            <w:pPr>
              <w:spacing w:after="0"/>
              <w:rPr>
                <w:sz w:val="20"/>
                <w:szCs w:val="20"/>
                <w:color w:val="auto"/>
              </w:rPr>
            </w:pPr>
            <w:r>
              <w:rPr>
                <w:rFonts w:ascii="Arial" w:cs="Arial" w:eastAsia="Arial" w:hAnsi="Arial"/>
                <w:sz w:val="18"/>
                <w:szCs w:val="18"/>
                <w:color w:val="0000FF"/>
              </w:rPr>
              <w:t>Certification of Principal Executive Officer Pursuant</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8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to Rules 13a</w:t>
            </w:r>
            <w:r>
              <w:rPr>
                <w:rFonts w:ascii="MS PGothic" w:cs="MS PGothic" w:eastAsia="MS PGothic" w:hAnsi="MS PGothic"/>
                <w:sz w:val="18"/>
                <w:szCs w:val="18"/>
                <w:color w:val="0000FF"/>
              </w:rPr>
              <w:t>‑</w:t>
            </w:r>
            <w:r>
              <w:rPr>
                <w:rFonts w:ascii="Arial" w:cs="Arial" w:eastAsia="Arial" w:hAnsi="Arial"/>
                <w:sz w:val="18"/>
                <w:szCs w:val="18"/>
                <w:color w:val="0000FF"/>
              </w:rPr>
              <w:t>14(a) and 15d</w:t>
            </w:r>
            <w:r>
              <w:rPr>
                <w:rFonts w:ascii="MS PGothic" w:cs="MS PGothic" w:eastAsia="MS PGothic" w:hAnsi="MS PGothic"/>
                <w:sz w:val="18"/>
                <w:szCs w:val="18"/>
                <w:color w:val="0000FF"/>
              </w:rPr>
              <w:t>‑</w:t>
            </w:r>
            <w:r>
              <w:rPr>
                <w:rFonts w:ascii="Arial" w:cs="Arial" w:eastAsia="Arial" w:hAnsi="Arial"/>
                <w:sz w:val="18"/>
                <w:szCs w:val="18"/>
                <w:color w:val="0000FF"/>
              </w:rPr>
              <w:t>14(a) under the</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520" w:type="dxa"/>
            <w:vAlign w:val="bottom"/>
            <w:tcBorders>
              <w:top w:val="single" w:sz="8" w:color="0000FF"/>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6"/>
              </w:rPr>
              <w:t>Securities Exchange Act of 1934, as Adopted</w:t>
            </w:r>
          </w:p>
        </w:tc>
        <w:tc>
          <w:tcPr>
            <w:tcW w:w="120" w:type="dxa"/>
            <w:vAlign w:val="bottom"/>
            <w:tcBorders>
              <w:bottom w:val="single" w:sz="8" w:color="0000FF"/>
            </w:tcBorders>
            <w:gridSpan w:val="2"/>
          </w:tcPr>
          <w:p>
            <w:pPr>
              <w:spacing w:after="0"/>
              <w:rPr>
                <w:sz w:val="15"/>
                <w:szCs w:val="15"/>
                <w:color w:val="auto"/>
              </w:rPr>
            </w:pPr>
          </w:p>
        </w:tc>
        <w:tc>
          <w:tcPr>
            <w:tcW w:w="4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640" w:type="dxa"/>
            <w:vAlign w:val="bottom"/>
            <w:gridSpan w:val="18"/>
          </w:tcPr>
          <w:p>
            <w:pPr>
              <w:spacing w:after="0" w:line="182" w:lineRule="exact"/>
              <w:rPr>
                <w:sz w:val="20"/>
                <w:szCs w:val="20"/>
                <w:color w:val="auto"/>
              </w:rPr>
            </w:pPr>
            <w:r>
              <w:rPr>
                <w:rFonts w:ascii="Arial" w:cs="Arial" w:eastAsia="Arial" w:hAnsi="Arial"/>
                <w:sz w:val="18"/>
                <w:szCs w:val="18"/>
                <w:color w:val="0000FF"/>
                <w:w w:val="96"/>
              </w:rPr>
              <w:t>Pursuant to Section 302 of the Sarbanes-Oxley</w:t>
            </w:r>
          </w:p>
        </w:tc>
        <w:tc>
          <w:tcPr>
            <w:tcW w:w="460" w:type="dxa"/>
            <w:vAlign w:val="bottom"/>
            <w:gridSpan w:val="6"/>
          </w:tcPr>
          <w:p>
            <w:pPr>
              <w:ind w:left="140"/>
              <w:spacing w:after="0" w:line="182" w:lineRule="exact"/>
              <w:rPr>
                <w:sz w:val="20"/>
                <w:szCs w:val="20"/>
                <w:color w:val="auto"/>
              </w:rPr>
            </w:pPr>
            <w:r>
              <w:rPr>
                <w:rFonts w:ascii="Arial" w:cs="Arial" w:eastAsia="Arial" w:hAnsi="Arial"/>
                <w:sz w:val="18"/>
                <w:szCs w:val="18"/>
                <w:color w:val="0000FF"/>
              </w:rPr>
              <w:t>Act</w:t>
            </w: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8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of 2002.</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4100" w:type="dxa"/>
            <w:vAlign w:val="bottom"/>
            <w:gridSpan w:val="24"/>
          </w:tcPr>
          <w:p>
            <w:pPr>
              <w:spacing w:after="0"/>
              <w:rPr>
                <w:sz w:val="20"/>
                <w:szCs w:val="20"/>
                <w:color w:val="auto"/>
              </w:rPr>
            </w:pPr>
            <w:r>
              <w:rPr>
                <w:rFonts w:ascii="Arial" w:cs="Arial" w:eastAsia="Arial" w:hAnsi="Arial"/>
                <w:sz w:val="18"/>
                <w:szCs w:val="18"/>
                <w:color w:val="0000FF"/>
              </w:rPr>
              <w:t>Certification of Principal Financial Officer Pursuant</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6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to Rules 13a</w:t>
            </w:r>
            <w:r>
              <w:rPr>
                <w:rFonts w:ascii="MS PGothic" w:cs="MS PGothic" w:eastAsia="MS PGothic" w:hAnsi="MS PGothic"/>
                <w:sz w:val="18"/>
                <w:szCs w:val="18"/>
                <w:color w:val="0000FF"/>
              </w:rPr>
              <w:t>‑</w:t>
            </w:r>
            <w:r>
              <w:rPr>
                <w:rFonts w:ascii="Arial" w:cs="Arial" w:eastAsia="Arial" w:hAnsi="Arial"/>
                <w:sz w:val="18"/>
                <w:szCs w:val="18"/>
                <w:color w:val="0000FF"/>
              </w:rPr>
              <w:t>14(a) and 15d</w:t>
            </w:r>
            <w:r>
              <w:rPr>
                <w:rFonts w:ascii="MS PGothic" w:cs="MS PGothic" w:eastAsia="MS PGothic" w:hAnsi="MS PGothic"/>
                <w:sz w:val="18"/>
                <w:szCs w:val="18"/>
                <w:color w:val="0000FF"/>
              </w:rPr>
              <w:t>‑</w:t>
            </w:r>
            <w:r>
              <w:rPr>
                <w:rFonts w:ascii="Arial" w:cs="Arial" w:eastAsia="Arial" w:hAnsi="Arial"/>
                <w:sz w:val="18"/>
                <w:szCs w:val="18"/>
                <w:color w:val="0000FF"/>
              </w:rPr>
              <w:t>14(a) under the</w:t>
            </w:r>
          </w:p>
        </w:tc>
        <w:tc>
          <w:tcPr>
            <w:tcW w:w="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52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6"/>
              </w:rPr>
              <w:t>Securities Exchange Act of 1934, as Adopted</w:t>
            </w:r>
          </w:p>
        </w:tc>
        <w:tc>
          <w:tcPr>
            <w:tcW w:w="580" w:type="dxa"/>
            <w:vAlign w:val="bottom"/>
            <w:gridSpan w:val="8"/>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64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6"/>
              </w:rPr>
              <w:t>Pursuant to Section 302 of the Sarbanes-Oxley</w:t>
            </w:r>
          </w:p>
        </w:tc>
        <w:tc>
          <w:tcPr>
            <w:tcW w:w="460" w:type="dxa"/>
            <w:vAlign w:val="bottom"/>
            <w:gridSpan w:val="6"/>
          </w:tcPr>
          <w:p>
            <w:pPr>
              <w:ind w:left="140"/>
              <w:spacing w:after="0" w:line="182" w:lineRule="exact"/>
              <w:rPr>
                <w:sz w:val="20"/>
                <w:szCs w:val="20"/>
                <w:color w:val="auto"/>
              </w:rPr>
            </w:pPr>
            <w:r>
              <w:rPr>
                <w:rFonts w:ascii="Arial" w:cs="Arial" w:eastAsia="Arial" w:hAnsi="Arial"/>
                <w:sz w:val="18"/>
                <w:szCs w:val="18"/>
                <w:color w:val="0000FF"/>
              </w:rPr>
              <w:t>Act</w:t>
            </w: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8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of 2002.</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61"/>
        </w:trPr>
        <w:tc>
          <w:tcPr>
            <w:tcW w:w="11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166</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4100" w:type="dxa"/>
            <w:vAlign w:val="bottom"/>
            <w:gridSpan w:val="6"/>
            <w:vMerge w:val="restart"/>
          </w:tcPr>
          <w:p>
            <w:pPr>
              <w:jc w:val="center"/>
              <w:ind w:right="60"/>
              <w:spacing w:after="0"/>
              <w:rPr>
                <w:sz w:val="20"/>
                <w:szCs w:val="20"/>
                <w:color w:val="auto"/>
              </w:rPr>
            </w:pPr>
            <w:r>
              <w:rPr>
                <w:rFonts w:ascii="Arial" w:cs="Arial" w:eastAsia="Arial" w:hAnsi="Arial"/>
                <w:sz w:val="18"/>
                <w:szCs w:val="18"/>
                <w:b w:val="1"/>
                <w:bCs w:val="1"/>
                <w:color w:val="auto"/>
                <w:w w:val="99"/>
              </w:rPr>
              <w:t>Exhibit</w:t>
            </w:r>
          </w:p>
        </w:tc>
        <w:tc>
          <w:tcPr>
            <w:tcW w:w="12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9"/>
              </w:rPr>
              <w:t>Incorporation by Reference</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vMerge w:val="continue"/>
          </w:tcPr>
          <w:p>
            <w:pPr>
              <w:spacing w:after="0"/>
              <w:rPr>
                <w:sz w:val="15"/>
                <w:szCs w:val="15"/>
                <w:color w:val="auto"/>
              </w:rPr>
            </w:pPr>
          </w:p>
        </w:tc>
        <w:tc>
          <w:tcPr>
            <w:tcW w:w="4100" w:type="dxa"/>
            <w:vAlign w:val="bottom"/>
            <w:gridSpan w:val="6"/>
            <w:vMerge w:val="continue"/>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41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b w:val="1"/>
                <w:bCs w:val="1"/>
                <w:color w:val="auto"/>
                <w:w w:val="98"/>
              </w:rPr>
              <w:t>Description</w:t>
            </w: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rPr>
              <w:t>Form</w:t>
            </w:r>
          </w:p>
        </w:tc>
        <w:tc>
          <w:tcPr>
            <w:tcW w:w="12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rPr>
              <w:t>File No.</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1180" w:type="dxa"/>
            <w:vAlign w:val="bottom"/>
          </w:tcPr>
          <w:p>
            <w:pPr>
              <w:ind w:left="20"/>
              <w:spacing w:after="0" w:line="169" w:lineRule="exact"/>
              <w:rPr>
                <w:sz w:val="20"/>
                <w:szCs w:val="20"/>
                <w:color w:val="auto"/>
              </w:rPr>
            </w:pPr>
            <w:r>
              <w:rPr>
                <w:rFonts w:ascii="Arial" w:cs="Arial" w:eastAsia="Arial" w:hAnsi="Arial"/>
                <w:sz w:val="15"/>
                <w:szCs w:val="15"/>
                <w:color w:val="auto"/>
              </w:rPr>
              <w:t>32.1</w:t>
            </w:r>
            <w:r>
              <w:rPr>
                <w:rFonts w:ascii="Arial" w:cs="Arial" w:eastAsia="Arial" w:hAnsi="Arial"/>
                <w:sz w:val="19"/>
                <w:szCs w:val="19"/>
                <w:color w:val="auto"/>
                <w:vertAlign w:val="superscript"/>
              </w:rPr>
              <w:t>†</w:t>
            </w:r>
          </w:p>
        </w:tc>
        <w:tc>
          <w:tcPr>
            <w:tcW w:w="4100" w:type="dxa"/>
            <w:vAlign w:val="bottom"/>
            <w:gridSpan w:val="6"/>
          </w:tcPr>
          <w:p>
            <w:pPr>
              <w:spacing w:after="0" w:line="169" w:lineRule="exact"/>
              <w:rPr>
                <w:sz w:val="20"/>
                <w:szCs w:val="20"/>
                <w:color w:val="auto"/>
              </w:rPr>
            </w:pPr>
            <w:r>
              <w:rPr>
                <w:rFonts w:ascii="Arial" w:cs="Arial" w:eastAsia="Arial" w:hAnsi="Arial"/>
                <w:sz w:val="18"/>
                <w:szCs w:val="18"/>
                <w:color w:val="0000FF"/>
              </w:rPr>
              <w:t>Certification of Principal Executive Officer Pursuant</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to 18 U.S.C. Section 1350, as Adopted Pursuant to</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78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Section 906 of the Sarbanes-Oxley Act of 2002.</w:t>
            </w:r>
          </w:p>
        </w:tc>
        <w:tc>
          <w:tcPr>
            <w:tcW w:w="20" w:type="dxa"/>
            <w:vAlign w:val="bottom"/>
            <w:tcBorders>
              <w:bottom w:val="single" w:sz="8" w:color="0000EE"/>
            </w:tcBorders>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4"/>
                <w:szCs w:val="24"/>
                <w:color w:val="auto"/>
                <w:vertAlign w:val="superscript"/>
              </w:rPr>
              <w:t>†</w:t>
            </w:r>
          </w:p>
        </w:tc>
        <w:tc>
          <w:tcPr>
            <w:tcW w:w="4100" w:type="dxa"/>
            <w:vAlign w:val="bottom"/>
            <w:gridSpan w:val="6"/>
          </w:tcPr>
          <w:p>
            <w:pPr>
              <w:spacing w:after="0"/>
              <w:rPr>
                <w:sz w:val="20"/>
                <w:szCs w:val="20"/>
                <w:color w:val="auto"/>
              </w:rPr>
            </w:pPr>
            <w:r>
              <w:rPr>
                <w:rFonts w:ascii="Arial" w:cs="Arial" w:eastAsia="Arial" w:hAnsi="Arial"/>
                <w:sz w:val="18"/>
                <w:szCs w:val="18"/>
                <w:color w:val="0000FF"/>
              </w:rPr>
              <w:t>Certification of Principal Financial Officer Pursuant</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4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8"/>
              </w:rPr>
              <w:t>to 18 U.S.C. Section 1350, as Adopted Pursuant to</w:t>
            </w:r>
          </w:p>
        </w:tc>
        <w:tc>
          <w:tcPr>
            <w:tcW w:w="6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78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Section 906 of the Sarbanes-Oxley Act of 2002.</w:t>
            </w:r>
          </w:p>
        </w:tc>
        <w:tc>
          <w:tcPr>
            <w:tcW w:w="30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80" w:type="dxa"/>
            <w:vAlign w:val="bottom"/>
          </w:tcPr>
          <w:p>
            <w:pPr>
              <w:ind w:left="20"/>
              <w:spacing w:after="0"/>
              <w:rPr>
                <w:sz w:val="20"/>
                <w:szCs w:val="20"/>
                <w:color w:val="auto"/>
              </w:rPr>
            </w:pPr>
            <w:r>
              <w:rPr>
                <w:rFonts w:ascii="Arial" w:cs="Arial" w:eastAsia="Arial" w:hAnsi="Arial"/>
                <w:sz w:val="18"/>
                <w:szCs w:val="18"/>
                <w:color w:val="auto"/>
              </w:rPr>
              <w:t>97.1</w:t>
            </w:r>
          </w:p>
        </w:tc>
        <w:tc>
          <w:tcPr>
            <w:tcW w:w="4100" w:type="dxa"/>
            <w:vAlign w:val="bottom"/>
            <w:gridSpan w:val="6"/>
          </w:tcPr>
          <w:p>
            <w:pPr>
              <w:spacing w:after="0"/>
              <w:rPr>
                <w:rFonts w:ascii="Arial" w:cs="Arial" w:eastAsia="Arial" w:hAnsi="Arial"/>
                <w:sz w:val="18"/>
                <w:szCs w:val="18"/>
                <w:color w:val="0000FF"/>
              </w:rPr>
            </w:pPr>
            <w:hyperlink r:id="rId240">
              <w:r>
                <w:rPr>
                  <w:rFonts w:ascii="Arial" w:cs="Arial" w:eastAsia="Arial" w:hAnsi="Arial"/>
                  <w:sz w:val="18"/>
                  <w:szCs w:val="18"/>
                  <w:color w:val="0000FF"/>
                </w:rPr>
                <w:t>Incentive Compensation Recoupment Policy.</w:t>
              </w:r>
            </w:hyperlink>
          </w:p>
        </w:tc>
        <w:tc>
          <w:tcPr>
            <w:tcW w:w="12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001-39712</w:t>
            </w:r>
          </w:p>
        </w:tc>
        <w:tc>
          <w:tcPr>
            <w:tcW w:w="1000" w:type="dxa"/>
            <w:vAlign w:val="bottom"/>
          </w:tcPr>
          <w:p>
            <w:pPr>
              <w:jc w:val="center"/>
              <w:spacing w:after="0"/>
              <w:rPr>
                <w:sz w:val="20"/>
                <w:szCs w:val="20"/>
                <w:color w:val="auto"/>
              </w:rPr>
            </w:pPr>
            <w:r>
              <w:rPr>
                <w:rFonts w:ascii="Arial" w:cs="Arial" w:eastAsia="Arial" w:hAnsi="Arial"/>
                <w:sz w:val="18"/>
                <w:szCs w:val="18"/>
                <w:color w:val="auto"/>
              </w:rPr>
              <w:t>97.1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3/11/2024</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EE"/>
            </w:tcBorders>
            <w:shd w:val="clear" w:color="auto" w:fill="0000FF"/>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896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rPr>
              <w:t>its XBRL tags are embedded within the Inline XBRL Document</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5"/>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66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5"/>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5340" w:type="dxa"/>
            <w:vAlign w:val="bottom"/>
            <w:gridSpan w:val="7"/>
          </w:tcPr>
          <w:p>
            <w:pPr>
              <w:spacing w:after="0"/>
              <w:rPr>
                <w:sz w:val="20"/>
                <w:szCs w:val="20"/>
                <w:color w:val="auto"/>
              </w:rPr>
            </w:pPr>
            <w:r>
              <w:rPr>
                <w:rFonts w:ascii="Arial" w:cs="Arial" w:eastAsia="Arial" w:hAnsi="Arial"/>
                <w:sz w:val="18"/>
                <w:szCs w:val="18"/>
                <w:color w:val="auto"/>
              </w:rPr>
              <w:t>Cover Page formatted as Inline XBRL and contained in Exhibit 101</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3742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4"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jc w:val="both"/>
        <w:ind w:left="380" w:hanging="372"/>
        <w:spacing w:after="0" w:line="247" w:lineRule="auto"/>
        <w:tabs>
          <w:tab w:leader="none" w:pos="3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74" w:lineRule="exact"/>
        <w:rPr>
          <w:sz w:val="20"/>
          <w:szCs w:val="20"/>
          <w:color w:val="auto"/>
        </w:rPr>
      </w:pPr>
    </w:p>
    <w:p>
      <w:pPr>
        <w:ind w:left="380" w:hanging="372"/>
        <w:spacing w:after="0" w:line="271" w:lineRule="auto"/>
        <w:tabs>
          <w:tab w:leader="none" w:pos="4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Pursuant to Item 601(b)(10) of Regulation S-K, portions of this exhibit have been omitted as the Registrant has determined that the omitted information is the type that the Registrant customarily and actually treats as private or confidential and is not material.</w:t>
      </w:r>
    </w:p>
    <w:p>
      <w:pPr>
        <w:spacing w:after="0" w:line="11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Item 16. Form 10</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Olema Pharmaceuticals,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640" w:val="left"/>
          <w:tab w:leader="none" w:pos="6080" w:val="left"/>
        </w:tabs>
        <w:rPr>
          <w:sz w:val="20"/>
          <w:szCs w:val="20"/>
          <w:color w:val="auto"/>
        </w:rPr>
      </w:pPr>
      <w:r>
        <w:rPr>
          <w:rFonts w:ascii="Arial" w:cs="Arial" w:eastAsia="Arial" w:hAnsi="Arial"/>
          <w:sz w:val="18"/>
          <w:szCs w:val="18"/>
          <w:color w:val="auto"/>
        </w:rPr>
        <w:t>Date: March 18,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Sean Bohen, M.D., Ph.D.</w:t>
      </w:r>
    </w:p>
    <w:p>
      <w:pPr>
        <w:ind w:left="61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Olema Pharmaceuticals,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640" w:val="left"/>
          <w:tab w:leader="none" w:pos="6080" w:val="left"/>
        </w:tabs>
        <w:rPr>
          <w:sz w:val="20"/>
          <w:szCs w:val="20"/>
          <w:color w:val="auto"/>
        </w:rPr>
      </w:pPr>
      <w:r>
        <w:rPr>
          <w:rFonts w:ascii="Arial" w:cs="Arial" w:eastAsia="Arial" w:hAnsi="Arial"/>
          <w:sz w:val="18"/>
          <w:szCs w:val="18"/>
          <w:color w:val="auto"/>
        </w:rPr>
        <w:t>Date: March 18,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Shane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Shane Kovacs</w:t>
      </w:r>
    </w:p>
    <w:p>
      <w:pPr>
        <w:ind w:left="6100"/>
        <w:spacing w:after="0"/>
        <w:rPr>
          <w:sz w:val="20"/>
          <w:szCs w:val="20"/>
          <w:color w:val="auto"/>
        </w:rPr>
      </w:pPr>
      <w:r>
        <w:rPr>
          <w:rFonts w:ascii="Arial" w:cs="Arial" w:eastAsia="Arial" w:hAnsi="Arial"/>
          <w:sz w:val="18"/>
          <w:szCs w:val="18"/>
          <w:i w:val="1"/>
          <w:iCs w:val="1"/>
          <w:color w:val="auto"/>
        </w:rPr>
        <w:t>Chief Operating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KNOW ALL PERSONS BY THESE PRESENTS, that each person whose signature appears below constitutes and appoints Sean Bohen, M.D., Ph.D., Shane Kovacs and Shawnte Mitchell,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w:t>
            </w:r>
          </w:p>
        </w:tc>
        <w:tc>
          <w:tcPr>
            <w:tcW w:w="260" w:type="dxa"/>
            <w:vAlign w:val="bottom"/>
          </w:tcPr>
          <w:p>
            <w:pPr>
              <w:spacing w:after="0"/>
              <w:rPr>
                <w:sz w:val="14"/>
                <w:szCs w:val="14"/>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w:t>
            </w:r>
          </w:p>
        </w:tc>
        <w:tc>
          <w:tcPr>
            <w:tcW w:w="26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r>
      <w:tr>
        <w:trPr>
          <w:trHeight w:val="39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Sean Bohen, M.D., Ph.D.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Sean Bohen, M.D., Ph.D.</w:t>
            </w:r>
          </w:p>
        </w:tc>
        <w:tc>
          <w:tcPr>
            <w:tcW w:w="2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Shane Kovacs</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Chief Operating and Financial Officer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170"/>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40" w:type="dxa"/>
            <w:vAlign w:val="bottom"/>
          </w:tcPr>
          <w:p>
            <w:pPr>
              <w:jc w:val="center"/>
              <w:spacing w:after="0" w:line="170" w:lineRule="exact"/>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Financial Officer and Principal Accounting</w:t>
            </w:r>
          </w:p>
        </w:tc>
        <w:tc>
          <w:tcPr>
            <w:tcW w:w="2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5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Shane Kovacs</w:t>
            </w:r>
          </w:p>
        </w:tc>
        <w:tc>
          <w:tcPr>
            <w:tcW w:w="260" w:type="dxa"/>
            <w:vAlign w:val="bottom"/>
          </w:tcPr>
          <w:p>
            <w:pPr>
              <w:spacing w:after="0"/>
              <w:rPr>
                <w:sz w:val="21"/>
                <w:szCs w:val="21"/>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8"/>
              </w:rPr>
              <w:t>Officer</w:t>
            </w:r>
            <w:r>
              <w:rPr>
                <w:rFonts w:ascii="Arial" w:cs="Arial" w:eastAsia="Arial" w:hAnsi="Arial"/>
                <w:sz w:val="18"/>
                <w:szCs w:val="18"/>
                <w:color w:val="auto"/>
                <w:w w:val="98"/>
              </w:rPr>
              <w:t>)</w:t>
            </w:r>
          </w:p>
        </w:tc>
        <w:tc>
          <w:tcPr>
            <w:tcW w:w="26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37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Ian Clark</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Ian Clark</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Cynthia Butitta</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rPr>
              <w:t>Cynthia Butitta</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Cyrus L. Harmon</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Cyrus L. Harmon</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Sandra J. Horning, M.D.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rPr>
              <w:t>Sandra J. Horning, M.D.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Gorjan Hrustanovic, Ph.D.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rPr>
              <w:t>Gorjan Hrustanovic, Ph.D.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Yi Larson</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Yi Larson</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Andrew Rappaport</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Andrew Rappaport</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Graham Walmsley, M.D., Ph.D.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Graham Walmsley, M.D., Ph.D.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Garland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18, 2025</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Scott Garland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832"/>
        </w:trPr>
        <w:tc>
          <w:tcPr>
            <w:tcW w:w="3700" w:type="dxa"/>
            <w:vAlign w:val="bottom"/>
          </w:tcPr>
          <w:p>
            <w:pPr>
              <w:spacing w:after="0"/>
              <w:rPr>
                <w:sz w:val="24"/>
                <w:szCs w:val="24"/>
                <w:color w:val="auto"/>
              </w:rPr>
            </w:pPr>
          </w:p>
        </w:tc>
        <w:tc>
          <w:tcPr>
            <w:tcW w:w="4900" w:type="dxa"/>
            <w:vAlign w:val="bottom"/>
            <w:gridSpan w:val="2"/>
          </w:tcPr>
          <w:p>
            <w:pPr>
              <w:jc w:val="right"/>
              <w:ind w:right="2731"/>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746"/>
        </w:trPr>
        <w:tc>
          <w:tcPr>
            <w:tcW w:w="3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Exhibit 1.1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OLEMA PHARMACEUTICALS, INC.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$100,000,000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SALES AGREEMENT</w:t>
      </w:r>
    </w:p>
    <w:p>
      <w:pPr>
        <w:spacing w:after="0" w:line="235" w:lineRule="exact"/>
        <w:rPr>
          <w:sz w:val="20"/>
          <w:szCs w:val="20"/>
          <w:color w:val="auto"/>
        </w:rPr>
      </w:pPr>
    </w:p>
    <w:p>
      <w:pPr>
        <w:ind w:left="9860"/>
        <w:spacing w:after="0"/>
        <w:rPr>
          <w:sz w:val="20"/>
          <w:szCs w:val="20"/>
          <w:color w:val="auto"/>
        </w:rPr>
      </w:pPr>
      <w:r>
        <w:rPr>
          <w:rFonts w:ascii="Arial" w:cs="Arial" w:eastAsia="Arial" w:hAnsi="Arial"/>
          <w:sz w:val="21"/>
          <w:szCs w:val="21"/>
          <w:color w:val="auto"/>
        </w:rPr>
        <w:t>March 9, 2023</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Oppenheimer &amp; Co. Inc.</w:t>
      </w:r>
    </w:p>
    <w:p>
      <w:pPr>
        <w:spacing w:after="0"/>
        <w:rPr>
          <w:sz w:val="20"/>
          <w:szCs w:val="20"/>
          <w:color w:val="auto"/>
        </w:rPr>
      </w:pPr>
      <w:r>
        <w:rPr>
          <w:rFonts w:ascii="Arial" w:cs="Arial" w:eastAsia="Arial" w:hAnsi="Arial"/>
          <w:sz w:val="22"/>
          <w:szCs w:val="22"/>
          <w:color w:val="auto"/>
        </w:rPr>
        <w:t>85 Broad Street</w:t>
      </w:r>
    </w:p>
    <w:p>
      <w:pPr>
        <w:spacing w:after="0"/>
        <w:rPr>
          <w:sz w:val="20"/>
          <w:szCs w:val="20"/>
          <w:color w:val="auto"/>
        </w:rPr>
      </w:pPr>
      <w:r>
        <w:rPr>
          <w:rFonts w:ascii="Arial" w:cs="Arial" w:eastAsia="Arial" w:hAnsi="Arial"/>
          <w:sz w:val="22"/>
          <w:szCs w:val="22"/>
          <w:color w:val="auto"/>
        </w:rPr>
        <w:t>New York, New York 10004</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21"/>
          <w:szCs w:val="21"/>
          <w:color w:val="auto"/>
        </w:rPr>
        <w:t>Olema Pharmaceuticals, Inc.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confirms its agreement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with Oppenheimer</w:t>
      </w:r>
    </w:p>
    <w:p>
      <w:pPr>
        <w:spacing w:after="0" w:line="24"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 Inc. (the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 as follows:</w:t>
      </w:r>
    </w:p>
    <w:p>
      <w:pPr>
        <w:spacing w:after="0" w:line="186" w:lineRule="exact"/>
        <w:rPr>
          <w:rFonts w:ascii="Arial" w:cs="Arial" w:eastAsia="Arial" w:hAnsi="Arial"/>
          <w:sz w:val="22"/>
          <w:szCs w:val="22"/>
          <w:color w:val="auto"/>
        </w:rPr>
      </w:pPr>
    </w:p>
    <w:p>
      <w:pPr>
        <w:jc w:val="both"/>
        <w:ind w:firstLine="757"/>
        <w:spacing w:after="0" w:line="245" w:lineRule="auto"/>
        <w:tabs>
          <w:tab w:leader="none" w:pos="1043"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Issuance and Sale of Shares</w:t>
      </w:r>
      <w:r>
        <w:rPr>
          <w:rFonts w:ascii="Arial" w:cs="Arial" w:eastAsia="Arial" w:hAnsi="Arial"/>
          <w:sz w:val="21"/>
          <w:szCs w:val="21"/>
          <w:color w:val="auto"/>
        </w:rPr>
        <w:t>. The Company agrees that, from time to time during the term of this Agreement, on the terms and subject to the conditions set forth herein, it may issue and sell through the Agent, acting as agent and/or principal, shares (the “</w:t>
      </w:r>
      <w:r>
        <w:rPr>
          <w:rFonts w:ascii="Arial" w:cs="Arial" w:eastAsia="Arial" w:hAnsi="Arial"/>
          <w:sz w:val="21"/>
          <w:szCs w:val="21"/>
          <w:b w:val="1"/>
          <w:bCs w:val="1"/>
          <w:u w:val="single" w:color="auto"/>
          <w:color w:val="auto"/>
        </w:rPr>
        <w:t>Placement Shares</w:t>
      </w:r>
      <w:r>
        <w:rPr>
          <w:rFonts w:ascii="Arial" w:cs="Arial" w:eastAsia="Arial" w:hAnsi="Arial"/>
          <w:sz w:val="21"/>
          <w:szCs w:val="21"/>
          <w:color w:val="auto"/>
        </w:rPr>
        <w:t>”) of the Company’s common stock, par value $0.0001 per share (the “</w:t>
      </w:r>
      <w:r>
        <w:rPr>
          <w:rFonts w:ascii="Arial" w:cs="Arial" w:eastAsia="Arial" w:hAnsi="Arial"/>
          <w:sz w:val="21"/>
          <w:szCs w:val="21"/>
          <w:b w:val="1"/>
          <w:bCs w:val="1"/>
          <w:u w:val="single" w:color="auto"/>
          <w:color w:val="auto"/>
        </w:rPr>
        <w:t>Common Stock</w:t>
      </w:r>
      <w:r>
        <w:rPr>
          <w:rFonts w:ascii="Arial" w:cs="Arial" w:eastAsia="Arial" w:hAnsi="Arial"/>
          <w:sz w:val="21"/>
          <w:szCs w:val="21"/>
          <w:color w:val="auto"/>
        </w:rPr>
        <w:t>”), having an aggregate offering price of up to $100,000,000.00 (the “</w:t>
      </w:r>
      <w:r>
        <w:rPr>
          <w:rFonts w:ascii="Arial" w:cs="Arial" w:eastAsia="Arial" w:hAnsi="Arial"/>
          <w:sz w:val="21"/>
          <w:szCs w:val="21"/>
          <w:b w:val="1"/>
          <w:bCs w:val="1"/>
          <w:u w:val="single" w:color="auto"/>
          <w:color w:val="auto"/>
        </w:rPr>
        <w:t>Maximum</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Amount</w:t>
      </w:r>
      <w:r>
        <w:rPr>
          <w:rFonts w:ascii="Arial" w:cs="Arial" w:eastAsia="Arial" w:hAnsi="Arial"/>
          <w:sz w:val="21"/>
          <w:szCs w:val="21"/>
          <w:color w:val="auto"/>
        </w:rPr>
        <w:t>”). Notwithstanding anything to the contrary contained herein, the parties hereto agree that compliance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limitation set forth in this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on the number of shares of Common Stock issued and sold under this Agreement shall be the sole responsibility of the Company, and the Agent shall have no obligation in connection with such compliance. The issuance and sale of the Placement Shares through the Agent will be effected pursuant to the Registration Statement (as defined below) filed by the Company and declared effective by the Securities and Exchange Commission (the “</w:t>
      </w:r>
      <w:r>
        <w:rPr>
          <w:rFonts w:ascii="Arial" w:cs="Arial" w:eastAsia="Arial" w:hAnsi="Arial"/>
          <w:sz w:val="21"/>
          <w:szCs w:val="21"/>
          <w:b w:val="1"/>
          <w:bCs w:val="1"/>
          <w:u w:val="single" w:color="auto"/>
          <w:color w:val="auto"/>
        </w:rPr>
        <w:t>Commission</w:t>
      </w:r>
      <w:r>
        <w:rPr>
          <w:rFonts w:ascii="Arial" w:cs="Arial" w:eastAsia="Arial" w:hAnsi="Arial"/>
          <w:sz w:val="21"/>
          <w:szCs w:val="21"/>
          <w:color w:val="auto"/>
        </w:rPr>
        <w:t>”), although nothing in this Agreement shall be construed as requiring the Company to use the Registration Statement (as defined below) to issue the Placement Shares.</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Company has prepared and filed, in accordance with the provisions of the Securities Act of 1933, as amended, and the rules and regulations thereunder (collectively, the “</w:t>
      </w:r>
      <w:r>
        <w:rPr>
          <w:rFonts w:ascii="Arial" w:cs="Arial" w:eastAsia="Arial" w:hAnsi="Arial"/>
          <w:sz w:val="22"/>
          <w:szCs w:val="22"/>
          <w:b w:val="1"/>
          <w:bCs w:val="1"/>
          <w:u w:val="single" w:color="auto"/>
          <w:color w:val="auto"/>
        </w:rPr>
        <w:t>Securities Act</w:t>
      </w:r>
      <w:r>
        <w:rPr>
          <w:rFonts w:ascii="Arial" w:cs="Arial" w:eastAsia="Arial" w:hAnsi="Arial"/>
          <w:sz w:val="22"/>
          <w:szCs w:val="22"/>
          <w:color w:val="auto"/>
        </w:rPr>
        <w:t>”), with the Commission a registration statement on Form S-3 (File No. 333-263117), including a base prospectus (the “</w:t>
      </w:r>
      <w:r>
        <w:rPr>
          <w:rFonts w:ascii="Arial" w:cs="Arial" w:eastAsia="Arial" w:hAnsi="Arial"/>
          <w:sz w:val="22"/>
          <w:szCs w:val="22"/>
          <w:b w:val="1"/>
          <w:bCs w:val="1"/>
          <w:u w:val="single" w:color="auto"/>
          <w:color w:val="auto"/>
        </w:rPr>
        <w:t>Base Prospectus</w:t>
      </w:r>
      <w:r>
        <w:rPr>
          <w:rFonts w:ascii="Arial" w:cs="Arial" w:eastAsia="Arial" w:hAnsi="Arial"/>
          <w:sz w:val="22"/>
          <w:szCs w:val="22"/>
          <w:color w:val="auto"/>
        </w:rPr>
        <w:t>”),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22"/>
          <w:szCs w:val="22"/>
          <w:b w:val="1"/>
          <w:bCs w:val="1"/>
          <w:u w:val="single" w:color="auto"/>
          <w:color w:val="auto"/>
        </w:rPr>
        <w:t>Exchange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The Company has prepared a prospectus supplement specifically relating to the Placement Shares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Prospectus Supplement</w:t>
      </w:r>
      <w:r>
        <w:rPr>
          <w:rFonts w:ascii="Arial" w:cs="Arial" w:eastAsia="Arial" w:hAnsi="Arial"/>
          <w:sz w:val="22"/>
          <w:szCs w:val="22"/>
          <w:color w:val="auto"/>
        </w:rPr>
        <w:t>”) to the Base Prospectus included as part of such registration statement. The Company has furnished to the Agent, for use by the Agent,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71" w:name="page172"/>
    <w:bookmarkEnd w:id="171"/>
    <w:p>
      <w:pPr>
        <w:jc w:val="both"/>
        <w:spacing w:after="0" w:line="232" w:lineRule="auto"/>
        <w:rPr>
          <w:sz w:val="20"/>
          <w:szCs w:val="20"/>
          <w:color w:val="auto"/>
        </w:rPr>
      </w:pPr>
      <w:r>
        <w:rPr>
          <w:rFonts w:ascii="Arial" w:cs="Arial" w:eastAsia="Arial" w:hAnsi="Arial"/>
          <w:sz w:val="22"/>
          <w:szCs w:val="22"/>
          <w:color w:val="auto"/>
        </w:rPr>
        <w:t>Prospectus (as defined below) subsequently filed with the Commission pursuant to Rule 424(b) under the Securities Act or deemed to be a part of such registration statement pursuant to Rule 430B or Rule 462(b) of the Securities Act, or any subsequent registration statement on Form S-3 filed pursuant to Rule 415(a)(6) under the Securities Act by the Company with respect to the Placement Shares, is herein called the “</w:t>
      </w:r>
      <w:r>
        <w:rPr>
          <w:rFonts w:ascii="Arial" w:cs="Arial" w:eastAsia="Arial" w:hAnsi="Arial"/>
          <w:sz w:val="22"/>
          <w:szCs w:val="22"/>
          <w:b w:val="1"/>
          <w:bCs w:val="1"/>
          <w:u w:val="single" w:color="auto"/>
          <w:color w:val="auto"/>
        </w:rPr>
        <w:t>Registration Statement.</w:t>
      </w:r>
      <w:r>
        <w:rPr>
          <w:rFonts w:ascii="Arial" w:cs="Arial" w:eastAsia="Arial" w:hAnsi="Arial"/>
          <w:sz w:val="22"/>
          <w:szCs w:val="22"/>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of the Securities Act (“</w:t>
      </w:r>
      <w:r>
        <w:rPr>
          <w:rFonts w:ascii="Arial" w:cs="Arial" w:eastAsia="Arial" w:hAnsi="Arial"/>
          <w:sz w:val="22"/>
          <w:szCs w:val="22"/>
          <w:b w:val="1"/>
          <w:bCs w:val="1"/>
          <w:u w:val="single" w:color="auto"/>
          <w:color w:val="auto"/>
        </w:rPr>
        <w:t>Rule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433</w:t>
      </w:r>
      <w:r>
        <w:rPr>
          <w:rFonts w:ascii="Arial" w:cs="Arial" w:eastAsia="Arial" w:hAnsi="Arial"/>
          <w:sz w:val="22"/>
          <w:szCs w:val="22"/>
          <w:color w:val="auto"/>
        </w:rPr>
        <w:t>”), relating to the Placement Shares that (i) is consented to by the Agent, hereinafter referred to as a “</w:t>
      </w:r>
      <w:r>
        <w:rPr>
          <w:rFonts w:ascii="Arial" w:cs="Arial" w:eastAsia="Arial" w:hAnsi="Arial"/>
          <w:sz w:val="22"/>
          <w:szCs w:val="22"/>
          <w:b w:val="1"/>
          <w:bCs w:val="1"/>
          <w:u w:val="single" w:color="auto"/>
          <w:color w:val="auto"/>
        </w:rPr>
        <w:t>Permitted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Free Writing Prospectus</w:t>
      </w:r>
      <w:r>
        <w:rPr>
          <w:rFonts w:ascii="Arial" w:cs="Arial" w:eastAsia="Arial" w:hAnsi="Arial"/>
          <w:sz w:val="22"/>
          <w:szCs w:val="22"/>
          <w:color w:val="auto"/>
        </w:rPr>
        <w:t>,” (ii) is required to be filed with the Commission by the Company or (iii) is exempt from</w:t>
      </w:r>
      <w:r>
        <w:rPr>
          <w:rFonts w:ascii="Arial" w:cs="Arial" w:eastAsia="Arial" w:hAnsi="Arial"/>
          <w:sz w:val="22"/>
          <w:szCs w:val="22"/>
          <w:b w:val="1"/>
          <w:bCs w:val="1"/>
          <w:color w:val="auto"/>
        </w:rPr>
        <w:t xml:space="preserve"> </w:t>
      </w:r>
      <w:r>
        <w:rPr>
          <w:rFonts w:ascii="Arial" w:cs="Arial" w:eastAsia="Arial" w:hAnsi="Arial"/>
          <w:sz w:val="22"/>
          <w:szCs w:val="22"/>
          <w:color w:val="auto"/>
        </w:rPr>
        <w:t>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22"/>
          <w:szCs w:val="22"/>
          <w:b w:val="1"/>
          <w:bCs w:val="1"/>
          <w:u w:val="single" w:color="auto"/>
          <w:color w:val="auto"/>
        </w:rPr>
        <w:t>Prospectus</w:t>
      </w:r>
      <w:r>
        <w:rPr>
          <w:rFonts w:ascii="Arial" w:cs="Arial" w:eastAsia="Arial" w:hAnsi="Arial"/>
          <w:sz w:val="22"/>
          <w:szCs w:val="22"/>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Arial" w:cs="Arial" w:eastAsia="Arial" w:hAnsi="Arial"/>
          <w:sz w:val="22"/>
          <w:szCs w:val="22"/>
          <w:b w:val="1"/>
          <w:bCs w:val="1"/>
          <w:u w:val="single" w:color="auto"/>
          <w:color w:val="auto"/>
        </w:rPr>
        <w:t>EDGAR</w:t>
      </w:r>
      <w:r>
        <w:rPr>
          <w:rFonts w:ascii="Arial" w:cs="Arial" w:eastAsia="Arial" w:hAnsi="Arial"/>
          <w:sz w:val="22"/>
          <w:szCs w:val="22"/>
          <w:color w:val="auto"/>
        </w:rPr>
        <w:t>”). The Company’s obligations under this Agreement to furnish, provide, deliver or make available (and all other similar references) copies of any document shall be deemed satisfied if the same is filed with the Commission through EDGAR.</w:t>
      </w:r>
    </w:p>
    <w:p>
      <w:pPr>
        <w:spacing w:after="0" w:line="209" w:lineRule="exact"/>
        <w:rPr>
          <w:sz w:val="20"/>
          <w:szCs w:val="20"/>
          <w:color w:val="auto"/>
        </w:rPr>
      </w:pPr>
    </w:p>
    <w:p>
      <w:pPr>
        <w:jc w:val="both"/>
        <w:ind w:firstLine="757"/>
        <w:spacing w:after="0" w:line="232" w:lineRule="auto"/>
        <w:tabs>
          <w:tab w:leader="none" w:pos="101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Placements</w:t>
      </w:r>
      <w:r>
        <w:rPr>
          <w:rFonts w:ascii="Arial" w:cs="Arial" w:eastAsia="Arial" w:hAnsi="Arial"/>
          <w:sz w:val="22"/>
          <w:szCs w:val="22"/>
          <w:color w:val="auto"/>
        </w:rPr>
        <w:t>. Each time that the Company wishes to issue and sell any Placement Shares through the Agent hereunder (each, a “</w:t>
      </w:r>
      <w:r>
        <w:rPr>
          <w:rFonts w:ascii="Arial" w:cs="Arial" w:eastAsia="Arial" w:hAnsi="Arial"/>
          <w:sz w:val="22"/>
          <w:szCs w:val="22"/>
          <w:b w:val="1"/>
          <w:bCs w:val="1"/>
          <w:u w:val="single" w:color="auto"/>
          <w:color w:val="auto"/>
        </w:rPr>
        <w:t>Placement</w:t>
      </w:r>
      <w:r>
        <w:rPr>
          <w:rFonts w:ascii="Arial" w:cs="Arial" w:eastAsia="Arial" w:hAnsi="Arial"/>
          <w:sz w:val="22"/>
          <w:szCs w:val="22"/>
          <w:color w:val="auto"/>
        </w:rPr>
        <w:t>”), it will notify the Agent by email notice (or other method mutually agreed to in writing by the parties) (each such notice, a “</w:t>
      </w:r>
      <w:r>
        <w:rPr>
          <w:rFonts w:ascii="Arial" w:cs="Arial" w:eastAsia="Arial" w:hAnsi="Arial"/>
          <w:sz w:val="22"/>
          <w:szCs w:val="22"/>
          <w:b w:val="1"/>
          <w:bCs w:val="1"/>
          <w:u w:val="single" w:color="auto"/>
          <w:color w:val="auto"/>
        </w:rPr>
        <w:t>Placement Notice</w:t>
      </w:r>
      <w:r>
        <w:rPr>
          <w:rFonts w:ascii="Arial" w:cs="Arial" w:eastAsia="Arial" w:hAnsi="Arial"/>
          <w:sz w:val="22"/>
          <w:szCs w:val="22"/>
          <w:color w:val="auto"/>
        </w:rPr>
        <w:t xml:space="preserve">”) containing the parameters in accordance with which it desires the Placement Shares to be sold, which shall at a minimum include the number or amount of Placement Shares to be issued, the time period during which sales are requested to be made, any limitation on the number of Placement Shares that may be sold in any one Trading Day (as defined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and any minimum price below which sales may not be made, a form of which containing such minimum sales parameters necessary is attached hereto as </w:t>
      </w:r>
      <w:r>
        <w:rPr>
          <w:rFonts w:ascii="Arial" w:cs="Arial" w:eastAsia="Arial" w:hAnsi="Arial"/>
          <w:sz w:val="22"/>
          <w:szCs w:val="22"/>
          <w:b w:val="1"/>
          <w:bCs w:val="1"/>
          <w:u w:val="single" w:color="auto"/>
          <w:color w:val="auto"/>
        </w:rPr>
        <w:t>Schedule 1</w:t>
      </w:r>
      <w:r>
        <w:rPr>
          <w:rFonts w:ascii="Arial" w:cs="Arial" w:eastAsia="Arial" w:hAnsi="Arial"/>
          <w:sz w:val="22"/>
          <w:szCs w:val="22"/>
          <w:color w:val="auto"/>
        </w:rPr>
        <w:t xml:space="preserve">. The Placement Notice shall originate from any of the individuals from the Company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(with a copy to each of the other individuals from the Company listed on such schedule), and shall be addressed to each of the individuals from the Agent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as such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may be amended from time to time. The Placement Notice shall be effective upon receipt by the Agent unless and until (i) in accordance with the notice requirements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the Agent declines to accept the terms contained therein for any reason, in its sole discretion, (ii) the entire amount of the Placement Shares have been sold, (iii) in accordance with the notice requirements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the Company suspends or terminates the Placement Notice, which it may do for any reason, in its sole discretion, (iv) the Company issues a subsequent Placement Notice, which it may do for any reason, in its sole discretion, with parameters superseding those in the earlier dated Placement Notice, or (v) this Agreement has been terminated under the provisions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Arial" w:cs="Arial" w:eastAsia="Arial" w:hAnsi="Arial"/>
          <w:sz w:val="22"/>
          <w:szCs w:val="22"/>
          <w:b w:val="1"/>
          <w:bCs w:val="1"/>
          <w:u w:val="single" w:color="auto"/>
          <w:color w:val="auto"/>
        </w:rPr>
        <w:t>Schedule 3</w:t>
      </w:r>
      <w:r>
        <w:rPr>
          <w:rFonts w:ascii="Arial" w:cs="Arial" w:eastAsia="Arial" w:hAnsi="Arial"/>
          <w:sz w:val="22"/>
          <w:szCs w:val="22"/>
          <w:b w:val="1"/>
          <w:bCs w:val="1"/>
          <w:color w:val="auto"/>
        </w:rPr>
        <w:t>.</w:t>
      </w:r>
      <w:r>
        <w:rPr>
          <w:rFonts w:ascii="Arial" w:cs="Arial" w:eastAsia="Arial" w:hAnsi="Arial"/>
          <w:sz w:val="22"/>
          <w:szCs w:val="22"/>
          <w:color w:val="auto"/>
        </w:rPr>
        <w:t xml:space="preserve"> It is expressly acknowledged and agreed that neither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5580" w:hanging="116"/>
        <w:spacing w:after="0"/>
        <w:tabs>
          <w:tab w:leader="none" w:pos="5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2" w:name="page173"/>
    <w:bookmarkEnd w:id="172"/>
    <w:p>
      <w:pPr>
        <w:jc w:val="both"/>
        <w:spacing w:after="0" w:line="238" w:lineRule="auto"/>
        <w:rPr>
          <w:sz w:val="20"/>
          <w:szCs w:val="20"/>
          <w:color w:val="auto"/>
        </w:rPr>
      </w:pPr>
      <w:r>
        <w:rPr>
          <w:rFonts w:ascii="Arial" w:cs="Arial" w:eastAsia="Arial" w:hAnsi="Arial"/>
          <w:sz w:val="22"/>
          <w:szCs w:val="22"/>
          <w:color w:val="auto"/>
        </w:rPr>
        <w:t>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77" w:lineRule="exact"/>
        <w:rPr>
          <w:sz w:val="20"/>
          <w:szCs w:val="20"/>
          <w:color w:val="auto"/>
        </w:rPr>
      </w:pPr>
    </w:p>
    <w:p>
      <w:pPr>
        <w:jc w:val="both"/>
        <w:ind w:firstLine="757"/>
        <w:spacing w:after="0" w:line="242" w:lineRule="auto"/>
        <w:tabs>
          <w:tab w:leader="none" w:pos="1016" w:val="left"/>
        </w:tabs>
        <w:numPr>
          <w:ilvl w:val="1"/>
          <w:numId w:val="65"/>
        </w:numPr>
        <w:rPr>
          <w:rFonts w:ascii="Arial" w:cs="Arial" w:eastAsia="Arial" w:hAnsi="Arial"/>
          <w:sz w:val="21"/>
          <w:szCs w:val="21"/>
          <w:color w:val="auto"/>
        </w:rPr>
      </w:pPr>
      <w:r>
        <w:rPr>
          <w:rFonts w:ascii="Arial" w:cs="Arial" w:eastAsia="Arial" w:hAnsi="Arial"/>
          <w:sz w:val="21"/>
          <w:szCs w:val="21"/>
          <w:u w:val="single" w:color="auto"/>
          <w:color w:val="auto"/>
        </w:rPr>
        <w:t>Sale of Placement Shares by the Agent.</w:t>
      </w:r>
      <w:r>
        <w:rPr>
          <w:rFonts w:ascii="Arial" w:cs="Arial" w:eastAsia="Arial" w:hAnsi="Arial"/>
          <w:sz w:val="21"/>
          <w:szCs w:val="21"/>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Arial" w:cs="Arial" w:eastAsia="Arial" w:hAnsi="Arial"/>
          <w:sz w:val="21"/>
          <w:szCs w:val="21"/>
          <w:b w:val="1"/>
          <w:bCs w:val="1"/>
          <w:u w:val="single" w:color="auto"/>
          <w:color w:val="auto"/>
        </w:rPr>
        <w:t>Nasdaq</w:t>
      </w:r>
      <w:r>
        <w:rPr>
          <w:rFonts w:ascii="Arial" w:cs="Arial" w:eastAsia="Arial" w:hAnsi="Arial"/>
          <w:sz w:val="21"/>
          <w:szCs w:val="21"/>
          <w:color w:val="auto"/>
        </w:rPr>
        <w:t xml:space="preserve">”) to sell such Placement Shares up to the amount specified,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21"/>
          <w:szCs w:val="21"/>
          <w:b w:val="1"/>
          <w:bCs w:val="1"/>
          <w:u w:val="single" w:color="auto"/>
          <w:color w:val="auto"/>
        </w:rPr>
        <w:t>Schedule 2</w:t>
      </w:r>
      <w:r>
        <w:rPr>
          <w:rFonts w:ascii="Arial" w:cs="Arial" w:eastAsia="Arial" w:hAnsi="Arial"/>
          <w:sz w:val="21"/>
          <w:szCs w:val="21"/>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the Agent for a sale of Placement Shares that would constitute a “block” within the meaning of Rule 10b-18(a)(5) under the Exchange Act (a “</w:t>
      </w:r>
      <w:r>
        <w:rPr>
          <w:rFonts w:ascii="Arial" w:cs="Arial" w:eastAsia="Arial" w:hAnsi="Arial"/>
          <w:sz w:val="21"/>
          <w:szCs w:val="21"/>
          <w:b w:val="1"/>
          <w:bCs w:val="1"/>
          <w:u w:val="single" w:color="auto"/>
          <w:color w:val="auto"/>
        </w:rPr>
        <w:t>Block Sale</w:t>
      </w:r>
      <w:r>
        <w:rPr>
          <w:rFonts w:ascii="Arial" w:cs="Arial" w:eastAsia="Arial" w:hAnsi="Arial"/>
          <w:sz w:val="21"/>
          <w:szCs w:val="21"/>
          <w:color w:val="auto"/>
        </w:rPr>
        <w:t xml:space="preserve">”), the Company will provide the Agent, at the Agent’s request and upon reasonable advance notice to the Company, on or prior to the Settlement Date (as defined below), the opinions of counsel, accountant’s letter and officers’ certificates set forth in </w:t>
      </w:r>
      <w:r>
        <w:rPr>
          <w:rFonts w:ascii="Arial" w:cs="Arial" w:eastAsia="Arial" w:hAnsi="Arial"/>
          <w:sz w:val="21"/>
          <w:szCs w:val="21"/>
          <w:u w:val="single" w:color="auto"/>
          <w:color w:val="auto"/>
        </w:rPr>
        <w:t>Section 8</w:t>
      </w:r>
      <w:r>
        <w:rPr>
          <w:rFonts w:ascii="Arial" w:cs="Arial" w:eastAsia="Arial" w:hAnsi="Arial"/>
          <w:sz w:val="21"/>
          <w:szCs w:val="21"/>
          <w:color w:val="auto"/>
        </w:rPr>
        <w:t>‎. hereof, each dated the Settlement Date, and such other documents and information as the Agent shall reasonably request. The Agent may sell Placement Shares by any method permitted by law deemed to be an “at the market” offering as defined in Rule 415 of the Securities Act, including without limitation sales made directly on or through Nasdaq, or on any other existing trading market for the Common Stock or to or through a market maker. If expressly authorized by the Company (including in a Placement Notice), the Agent may also sell Placement Shares in negotiated transactions. The Agent shall not purchase Placement Shares for its own account as principal unless expressly authorized to do so by the Company in a Placement Notice. The Company acknowledges and agrees that</w:t>
      </w:r>
    </w:p>
    <w:p>
      <w:pPr>
        <w:spacing w:after="0" w:line="8" w:lineRule="exact"/>
        <w:rPr>
          <w:rFonts w:ascii="Arial" w:cs="Arial" w:eastAsia="Arial" w:hAnsi="Arial"/>
          <w:sz w:val="21"/>
          <w:szCs w:val="21"/>
          <w:color w:val="auto"/>
        </w:rPr>
      </w:pPr>
    </w:p>
    <w:p>
      <w:pPr>
        <w:jc w:val="both"/>
        <w:ind w:firstLine="8"/>
        <w:spacing w:after="0" w:line="232" w:lineRule="auto"/>
        <w:tabs>
          <w:tab w:leader="none" w:pos="273"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there can be no assurance that the Agent will be successful in selling Placement Shares, and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to sell such Placement Shares as required under this Section 3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Arial" w:cs="Arial" w:eastAsia="Arial" w:hAnsi="Arial"/>
          <w:sz w:val="22"/>
          <w:szCs w:val="22"/>
          <w:b w:val="1"/>
          <w:bCs w:val="1"/>
          <w:u w:val="single" w:color="auto"/>
          <w:color w:val="auto"/>
        </w:rPr>
        <w:t>Trading Day</w:t>
      </w:r>
      <w:r>
        <w:rPr>
          <w:rFonts w:ascii="Arial" w:cs="Arial" w:eastAsia="Arial" w:hAnsi="Arial"/>
          <w:sz w:val="22"/>
          <w:szCs w:val="22"/>
          <w:color w:val="auto"/>
        </w:rPr>
        <w:t>” means any day on which the Company’s Common Stock is purchased and sold on the principal market on which the Common Stock is listed or quoted.</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any other provision of this Agreement, the Company shall not offer, sell or deliver, or request the offer or sale, of any Placement Shares pursuant to this Agreement and, by notice to the Agent given by telephone (confirmed promptly by email), shall cancel any instructions for the offer or sale of any Placement Shares, and the Agent shall not be obligated to offer or sell any Placement Shares, (i) during any period in which the Company is, or could be deemed to be, in possession of material non-public information, or (ii) at any time from and including the date on which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3" w:name="page174"/>
    <w:bookmarkEnd w:id="173"/>
    <w:p>
      <w:pPr>
        <w:jc w:val="both"/>
        <w:spacing w:after="0"/>
        <w:rPr>
          <w:sz w:val="20"/>
          <w:szCs w:val="20"/>
          <w:color w:val="auto"/>
        </w:rPr>
      </w:pPr>
      <w:r>
        <w:rPr>
          <w:rFonts w:ascii="Arial" w:cs="Arial" w:eastAsia="Arial" w:hAnsi="Arial"/>
          <w:sz w:val="22"/>
          <w:szCs w:val="22"/>
          <w:color w:val="auto"/>
        </w:rPr>
        <w:t>shall issue a press release containing, or shall otherwise publicly announce, its earnings, revenues or other results of operations (an “</w:t>
      </w:r>
      <w:r>
        <w:rPr>
          <w:rFonts w:ascii="Arial" w:cs="Arial" w:eastAsia="Arial" w:hAnsi="Arial"/>
          <w:sz w:val="22"/>
          <w:szCs w:val="22"/>
          <w:b w:val="1"/>
          <w:bCs w:val="1"/>
          <w:u w:val="single" w:color="auto"/>
          <w:color w:val="auto"/>
        </w:rPr>
        <w:t>Earnings Announcement</w:t>
      </w:r>
      <w:r>
        <w:rPr>
          <w:rFonts w:ascii="Arial" w:cs="Arial" w:eastAsia="Arial" w:hAnsi="Arial"/>
          <w:sz w:val="22"/>
          <w:szCs w:val="22"/>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76" w:lineRule="exact"/>
        <w:rPr>
          <w:sz w:val="20"/>
          <w:szCs w:val="20"/>
          <w:color w:val="auto"/>
        </w:rPr>
      </w:pPr>
    </w:p>
    <w:p>
      <w:pPr>
        <w:ind w:left="1000" w:hanging="243"/>
        <w:spacing w:after="0"/>
        <w:tabs>
          <w:tab w:leader="none" w:pos="10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Suspension of Sales</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33" w:lineRule="auto"/>
        <w:tabs>
          <w:tab w:leader="none" w:pos="11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suspend any sale of Placement Shares;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such suspension shall not affect or impair either party’s obligations with respect to any Placement Shares sold hereunder prior to the receipt of such notice. While a suspension is in effect, any obligation under Section 7(m), 7(n), 7(o) and 7(p) with respect to delivery of certificates, opinions, negative assurance letters or comfort letters to Agent, shall be waived;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certificates, opinions, negative assurance letters or comfort letters shall be delivered to the Agent prior to the resumption of sales of any Placement Shares. Each of the parties agrees that no such notice under this Section 4 shall be effective against the other unless it is made to one of the individuals named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hereto as such schedule may be amended from time to time.</w:t>
      </w:r>
    </w:p>
    <w:p>
      <w:pPr>
        <w:spacing w:after="0" w:line="184" w:lineRule="exact"/>
        <w:rPr>
          <w:rFonts w:ascii="Arial" w:cs="Arial" w:eastAsia="Arial" w:hAnsi="Arial"/>
          <w:sz w:val="22"/>
          <w:szCs w:val="22"/>
          <w:color w:val="auto"/>
        </w:rPr>
      </w:pPr>
    </w:p>
    <w:p>
      <w:pPr>
        <w:jc w:val="both"/>
        <w:ind w:firstLine="757"/>
        <w:spacing w:after="0"/>
        <w:tabs>
          <w:tab w:leader="none" w:pos="1089"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either the Agent or the Company has reason to believe that the exemptive provisions set forth in Rule 101(c)(1) of Regulation M under the Exchange Act are not satisfied with respect to the Common Stock, it shall promptly notify the other party, and the Agent may, at its sole discretion, suspend sales of the Placement Shares under this Agreement.</w:t>
      </w:r>
    </w:p>
    <w:p>
      <w:pPr>
        <w:spacing w:after="0" w:line="203" w:lineRule="exact"/>
        <w:rPr>
          <w:rFonts w:ascii="Arial" w:cs="Arial" w:eastAsia="Arial" w:hAnsi="Arial"/>
          <w:sz w:val="22"/>
          <w:szCs w:val="22"/>
          <w:color w:val="auto"/>
        </w:rPr>
      </w:pPr>
    </w:p>
    <w:p>
      <w:pPr>
        <w:jc w:val="both"/>
        <w:ind w:firstLine="757"/>
        <w:spacing w:after="0" w:line="236" w:lineRule="auto"/>
        <w:tabs>
          <w:tab w:leader="none" w:pos="1077"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Registration Statement was declared effective by the Commission on May 2, 2022. Notwithstanding any other provision of this Agreement, during any period in which the Registration Statement is no longer effective under the Securities Act, the Company shall promptly notify the Agent, the Company shall not request the sale of any Placement Shares, and the Agent shall not be obligated to sell or offer to sell any Placement Shares. The requirement to promptly notify the Agent pursuant to this Section 4(c) shall be waived during any period in which no Placement Notice is pending.</w:t>
      </w:r>
    </w:p>
    <w:p>
      <w:pPr>
        <w:spacing w:after="0" w:line="209" w:lineRule="exact"/>
        <w:rPr>
          <w:sz w:val="20"/>
          <w:szCs w:val="20"/>
          <w:color w:val="auto"/>
        </w:rPr>
      </w:pPr>
    </w:p>
    <w:p>
      <w:pPr>
        <w:ind w:left="1000" w:hanging="243"/>
        <w:spacing w:after="0"/>
        <w:tabs>
          <w:tab w:leader="none" w:pos="10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Settlement.</w:t>
      </w:r>
    </w:p>
    <w:p>
      <w:pPr>
        <w:spacing w:after="0" w:line="206" w:lineRule="exact"/>
        <w:rPr>
          <w:sz w:val="20"/>
          <w:szCs w:val="20"/>
          <w:color w:val="auto"/>
        </w:rPr>
      </w:pPr>
    </w:p>
    <w:p>
      <w:pPr>
        <w:jc w:val="both"/>
        <w:ind w:firstLine="757"/>
        <w:spacing w:after="0" w:line="229" w:lineRule="auto"/>
        <w:tabs>
          <w:tab w:leader="none" w:pos="11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Settlement of Placement Shares</w:t>
      </w:r>
      <w:r>
        <w:rPr>
          <w:rFonts w:ascii="Arial" w:cs="Arial" w:eastAsia="Arial" w:hAnsi="Arial"/>
          <w:sz w:val="22"/>
          <w:szCs w:val="22"/>
          <w:color w:val="auto"/>
        </w:rPr>
        <w:t>. Unless otherwise specified in the applicable Placement Notice, settlement for sales of Placement Shares will occur on the second (2</w:t>
      </w:r>
      <w:r>
        <w:rPr>
          <w:rFonts w:ascii="Arial" w:cs="Arial" w:eastAsia="Arial" w:hAnsi="Arial"/>
          <w:sz w:val="28"/>
          <w:szCs w:val="28"/>
          <w:color w:val="auto"/>
          <w:vertAlign w:val="superscript"/>
        </w:rPr>
        <w:t>nd</w:t>
      </w:r>
      <w:r>
        <w:rPr>
          <w:rFonts w:ascii="Arial" w:cs="Arial" w:eastAsia="Arial" w:hAnsi="Arial"/>
          <w:sz w:val="22"/>
          <w:szCs w:val="22"/>
          <w:color w:val="auto"/>
        </w:rPr>
        <w:t>) Trading Day (or such earlier day as is industry practice or as is required for regular-way trading) following the date on which such sales are made (each, a “</w:t>
      </w:r>
      <w:r>
        <w:rPr>
          <w:rFonts w:ascii="Arial" w:cs="Arial" w:eastAsia="Arial" w:hAnsi="Arial"/>
          <w:sz w:val="22"/>
          <w:szCs w:val="22"/>
          <w:b w:val="1"/>
          <w:bCs w:val="1"/>
          <w:u w:val="single" w:color="auto"/>
          <w:color w:val="auto"/>
        </w:rPr>
        <w:t>Settlement Date</w:t>
      </w:r>
      <w:r>
        <w:rPr>
          <w:rFonts w:ascii="Arial" w:cs="Arial" w:eastAsia="Arial" w:hAnsi="Arial"/>
          <w:sz w:val="22"/>
          <w:szCs w:val="22"/>
          <w:color w:val="auto"/>
        </w:rPr>
        <w:t>” and the first such settlement date, the “</w:t>
      </w:r>
      <w:r>
        <w:rPr>
          <w:rFonts w:ascii="Arial" w:cs="Arial" w:eastAsia="Arial" w:hAnsi="Arial"/>
          <w:sz w:val="22"/>
          <w:szCs w:val="22"/>
          <w:b w:val="1"/>
          <w:bCs w:val="1"/>
          <w:u w:val="single" w:color="auto"/>
          <w:color w:val="auto"/>
        </w:rPr>
        <w:t>First Delivery Date</w:t>
      </w:r>
      <w:r>
        <w:rPr>
          <w:rFonts w:ascii="Arial" w:cs="Arial" w:eastAsia="Arial" w:hAnsi="Arial"/>
          <w:sz w:val="22"/>
          <w:szCs w:val="22"/>
          <w:color w:val="auto"/>
        </w:rPr>
        <w:t>”). The amount of proceeds to be delivered to the Company on a Settlement Date against receipt of the Placement Shares sold (the “</w:t>
      </w:r>
      <w:r>
        <w:rPr>
          <w:rFonts w:ascii="Arial" w:cs="Arial" w:eastAsia="Arial" w:hAnsi="Arial"/>
          <w:sz w:val="22"/>
          <w:szCs w:val="22"/>
          <w:b w:val="1"/>
          <w:bCs w:val="1"/>
          <w:u w:val="single" w:color="auto"/>
          <w:color w:val="auto"/>
        </w:rPr>
        <w:t>Net Proceeds</w:t>
      </w:r>
      <w:r>
        <w:rPr>
          <w:rFonts w:ascii="Arial" w:cs="Arial" w:eastAsia="Arial" w:hAnsi="Arial"/>
          <w:sz w:val="22"/>
          <w:szCs w:val="22"/>
          <w:color w:val="auto"/>
        </w:rPr>
        <w:t xml:space="preserve">”) will be equal to the aggregate gross sales price received by the Agent at which such Placement Shares were sold, after deduction for (i) the Agent’s commission, discount or other compensation for such sales payable by the Company pursuant to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hereof, (ii) any other amounts due and payable by the Company to the Agent hereunder pursuant to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(Expenses) hereof, and (iii) any transaction fees imposed by any governmental or self-regulatory organization in respect of such sales that are payable by the Agent.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left="5580" w:hanging="116"/>
        <w:spacing w:after="0"/>
        <w:tabs>
          <w:tab w:leader="none" w:pos="5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4" w:name="page175"/>
    <w:bookmarkEnd w:id="174"/>
    <w:p>
      <w:pPr>
        <w:jc w:val="both"/>
        <w:ind w:left="-757" w:firstLine="757"/>
        <w:spacing w:after="0" w:line="233" w:lineRule="auto"/>
        <w:tabs>
          <w:tab w:leader="none" w:pos="343"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Delivery of Placement Shares</w:t>
      </w:r>
      <w:r>
        <w:rPr>
          <w:rFonts w:ascii="Arial" w:cs="Arial" w:eastAsia="Arial" w:hAnsi="Arial"/>
          <w:sz w:val="22"/>
          <w:szCs w:val="22"/>
          <w:color w:val="auto"/>
        </w:rPr>
        <w:t>.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(1) Trading Day prior to the Settlement Date) at The Depository Trust Company through its Deposit and Withdrawal at Custodian System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through no fault of the Agent, the Company agrees that in addition to and in no way limiting the rights and obligations set forth in Section 9(a)‎ (Company Indemnification) hereto, it will (i) hold the Agent harmless against any loss, claim, damage, or reasonable and documented expense (including reasonable and documented legal fees and expenses), as incurred, arising out of or in connection with such default by the Company or its transfer agent (if applicable) and (iii) pay to the Agent any commission, discount or other compensation to which it would otherwise have been entitled absent such default.</w:t>
      </w:r>
    </w:p>
    <w:p>
      <w:pPr>
        <w:spacing w:after="0" w:line="177" w:lineRule="exact"/>
        <w:rPr>
          <w:sz w:val="20"/>
          <w:szCs w:val="20"/>
          <w:color w:val="auto"/>
        </w:rPr>
      </w:pPr>
    </w:p>
    <w:p>
      <w:pPr>
        <w:jc w:val="both"/>
        <w:ind w:left="-757" w:right="20" w:firstLine="757"/>
        <w:spacing w:after="0" w:line="243" w:lineRule="auto"/>
        <w:tabs>
          <w:tab w:leader="none" w:pos="24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the Agent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Arial" w:cs="Arial" w:eastAsia="Arial" w:hAnsi="Arial"/>
          <w:sz w:val="22"/>
          <w:szCs w:val="22"/>
          <w:b w:val="1"/>
          <w:bCs w:val="1"/>
          <w:u w:val="single" w:color="auto"/>
          <w:color w:val="auto"/>
        </w:rPr>
        <w:t>Representation Date</w:t>
      </w:r>
      <w:r>
        <w:rPr>
          <w:rFonts w:ascii="Arial" w:cs="Arial" w:eastAsia="Arial" w:hAnsi="Arial"/>
          <w:sz w:val="22"/>
          <w:szCs w:val="22"/>
          <w:color w:val="auto"/>
        </w:rPr>
        <w:t>”):</w:t>
      </w:r>
    </w:p>
    <w:p>
      <w:pPr>
        <w:spacing w:after="0" w:line="163" w:lineRule="exact"/>
        <w:rPr>
          <w:sz w:val="20"/>
          <w:szCs w:val="20"/>
          <w:color w:val="auto"/>
        </w:rPr>
      </w:pPr>
    </w:p>
    <w:p>
      <w:pPr>
        <w:jc w:val="both"/>
        <w:ind w:left="-757" w:firstLine="757"/>
        <w:spacing w:after="0" w:line="249" w:lineRule="exact"/>
        <w:tabs>
          <w:tab w:leader="none" w:pos="42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Compliance with Registration Requirements</w:t>
      </w:r>
      <w:r>
        <w:rPr>
          <w:rFonts w:ascii="Arial" w:cs="Arial" w:eastAsia="Arial" w:hAnsi="Arial"/>
          <w:sz w:val="22"/>
          <w:szCs w:val="22"/>
          <w:color w:val="auto"/>
        </w:rPr>
        <w:t>. The Registration Statement and any Rule 462(b) Registration Statement have been declared effective by the Commission under the Securities Act. The Company has complied to the Commission’s satisfaction with all requests of the Commission for additional or supplemental information related to the Registration Statement or the Prospectus or any Rule 462(b) Registration Statement. No stop order suspending the effectiveness of the Registration Statement or any Rule 462(b) Registration Statement is in effect and no proceedings for such purpose have been instituted or are pending or, to the knowledge of the Company, threatened by the Commission. The Company meets the requirements for use of Form S</w:t>
      </w:r>
      <w:r>
        <w:rPr>
          <w:rFonts w:ascii="MS PGothic" w:cs="MS PGothic" w:eastAsia="MS PGothic" w:hAnsi="MS PGothic"/>
          <w:sz w:val="22"/>
          <w:szCs w:val="22"/>
          <w:color w:val="auto"/>
        </w:rPr>
        <w:t>‑</w:t>
      </w:r>
      <w:r>
        <w:rPr>
          <w:rFonts w:ascii="Arial" w:cs="Arial" w:eastAsia="Arial" w:hAnsi="Arial"/>
          <w:sz w:val="22"/>
          <w:szCs w:val="22"/>
          <w:color w:val="auto"/>
        </w:rPr>
        <w:t>3 under the Securities Act. The sale of the Placement Shares hereunder meets the requirements of General Instruction I.B.1 of Form S-3.</w:t>
      </w:r>
    </w:p>
    <w:p>
      <w:pPr>
        <w:spacing w:after="0" w:line="177" w:lineRule="exact"/>
        <w:rPr>
          <w:rFonts w:ascii="Arial" w:cs="Arial" w:eastAsia="Arial" w:hAnsi="Arial"/>
          <w:sz w:val="22"/>
          <w:szCs w:val="22"/>
          <w:color w:val="auto"/>
        </w:rPr>
      </w:pPr>
    </w:p>
    <w:p>
      <w:pPr>
        <w:jc w:val="both"/>
        <w:ind w:left="-757" w:firstLine="757"/>
        <w:spacing w:after="0" w:line="233" w:lineRule="auto"/>
        <w:tabs>
          <w:tab w:leader="none" w:pos="316"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No Misstatement or Omission</w:t>
      </w:r>
      <w:r>
        <w:rPr>
          <w:rFonts w:ascii="Arial" w:cs="Arial" w:eastAsia="Arial" w:hAnsi="Arial"/>
          <w:sz w:val="22"/>
          <w:szCs w:val="22"/>
          <w:color w:val="auto"/>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1" w:lineRule="exact"/>
        <w:rPr>
          <w:rFonts w:ascii="Arial" w:cs="Arial" w:eastAsia="Arial" w:hAnsi="Arial"/>
          <w:sz w:val="22"/>
          <w:szCs w:val="22"/>
          <w:color w:val="auto"/>
        </w:rPr>
      </w:pPr>
    </w:p>
    <w:p>
      <w:pPr>
        <w:ind w:left="4823" w:hanging="116"/>
        <w:spacing w:after="0"/>
        <w:tabs>
          <w:tab w:leader="none" w:pos="4823" w:val="left"/>
        </w:tabs>
        <w:numPr>
          <w:ilvl w:val="1"/>
          <w:numId w:val="73"/>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64" w:right="339" w:bottom="1440" w:gutter="0" w:footer="0" w:header="0"/>
        </w:sectPr>
      </w:pPr>
    </w:p>
    <w:bookmarkStart w:id="175" w:name="page176"/>
    <w:bookmarkEnd w:id="175"/>
    <w:p>
      <w:pPr>
        <w:jc w:val="both"/>
        <w:spacing w:after="0" w:line="238" w:lineRule="auto"/>
        <w:rPr>
          <w:sz w:val="20"/>
          <w:szCs w:val="20"/>
          <w:color w:val="auto"/>
        </w:rPr>
      </w:pPr>
      <w:r>
        <w:rPr>
          <w:rFonts w:ascii="Arial" w:cs="Arial" w:eastAsia="Arial" w:hAnsi="Arial"/>
          <w:sz w:val="22"/>
          <w:szCs w:val="22"/>
          <w:color w:val="auto"/>
        </w:rPr>
        <w:t>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Arial" w:cs="Arial" w:eastAsia="Arial" w:hAnsi="Arial"/>
          <w:sz w:val="22"/>
          <w:szCs w:val="22"/>
          <w:b w:val="1"/>
          <w:bCs w:val="1"/>
          <w:u w:val="single" w:color="auto"/>
          <w:color w:val="auto"/>
        </w:rPr>
        <w:t>Time of Sale</w:t>
      </w:r>
      <w:r>
        <w:rPr>
          <w:rFonts w:ascii="Arial" w:cs="Arial" w:eastAsia="Arial" w:hAnsi="Arial"/>
          <w:sz w:val="22"/>
          <w:szCs w:val="22"/>
          <w:color w:val="auto"/>
        </w:rPr>
        <w:t>” means with respect to each offering of Placement Shares pursuant to this Agreement, the time of the Agent’s initial entry into contracts with purchasers for the sale of such Placement Shares.</w:t>
      </w:r>
    </w:p>
    <w:p>
      <w:pPr>
        <w:spacing w:after="0" w:line="177" w:lineRule="exact"/>
        <w:rPr>
          <w:sz w:val="20"/>
          <w:szCs w:val="20"/>
          <w:color w:val="auto"/>
        </w:rPr>
      </w:pPr>
    </w:p>
    <w:p>
      <w:pPr>
        <w:jc w:val="both"/>
        <w:ind w:firstLine="757"/>
        <w:spacing w:after="0" w:line="247" w:lineRule="auto"/>
        <w:tabs>
          <w:tab w:leader="none" w:pos="1061"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Offering Materials Furnished to the Agent</w:t>
      </w:r>
      <w:r>
        <w:rPr>
          <w:rFonts w:ascii="Arial" w:cs="Arial" w:eastAsia="Arial" w:hAnsi="Arial"/>
          <w:sz w:val="21"/>
          <w:szCs w:val="21"/>
          <w:color w:val="auto"/>
        </w:rPr>
        <w:t>. The Company has delivered to the Agent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the Agent has reasonably requested. The Registration Statement, the Prospectus and any Permitted Free Writing Prospectus (to the extent any such Permitted Free Writing Prospectus was required to be filed with the Commission) delivered to the Agent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71" w:lineRule="exact"/>
        <w:rPr>
          <w:rFonts w:ascii="Arial" w:cs="Arial" w:eastAsia="Arial" w:hAnsi="Arial"/>
          <w:sz w:val="21"/>
          <w:szCs w:val="21"/>
          <w:color w:val="auto"/>
        </w:rPr>
      </w:pPr>
    </w:p>
    <w:p>
      <w:pPr>
        <w:jc w:val="both"/>
        <w:ind w:firstLine="757"/>
        <w:spacing w:after="0" w:line="245" w:lineRule="auto"/>
        <w:tabs>
          <w:tab w:leader="none" w:pos="1073"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Not an Ineligible Issuer</w:t>
      </w:r>
      <w:r>
        <w:rPr>
          <w:rFonts w:ascii="Arial" w:cs="Arial" w:eastAsia="Arial" w:hAnsi="Arial"/>
          <w:sz w:val="22"/>
          <w:szCs w:val="22"/>
          <w:color w:val="auto"/>
        </w:rPr>
        <w:t>. The Company currently is not an “ineligible issuer,” as defined in Rule 405 under the Securities Act. The Company agrees to notify the Agent promptly upon the Company becoming an “ineligible issuer.”</w:t>
      </w:r>
    </w:p>
    <w:p>
      <w:pPr>
        <w:spacing w:after="0" w:line="170" w:lineRule="exact"/>
        <w:rPr>
          <w:rFonts w:ascii="Arial" w:cs="Arial" w:eastAsia="Arial" w:hAnsi="Arial"/>
          <w:sz w:val="22"/>
          <w:szCs w:val="22"/>
          <w:color w:val="auto"/>
        </w:rPr>
      </w:pPr>
    </w:p>
    <w:p>
      <w:pPr>
        <w:ind w:left="1080" w:hanging="323"/>
        <w:spacing w:after="0"/>
        <w:tabs>
          <w:tab w:leader="none" w:pos="108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757"/>
        <w:spacing w:after="0" w:line="262" w:lineRule="auto"/>
        <w:tabs>
          <w:tab w:leader="none" w:pos="1013"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Distribution of Offering Material By the Company</w:t>
      </w:r>
      <w:r>
        <w:rPr>
          <w:rFonts w:ascii="Arial" w:cs="Arial" w:eastAsia="Arial" w:hAnsi="Arial"/>
          <w:sz w:val="21"/>
          <w:szCs w:val="21"/>
          <w:color w:val="auto"/>
        </w:rPr>
        <w:t>. The Company has not distributed and will not distribute, prior to the completion of the Agent’s distribution of the Placement Shares, any offering material in connection with the offer and sale of the Placement Shares other than the Prospectus or the Registration Statement.</w:t>
      </w:r>
    </w:p>
    <w:p>
      <w:pPr>
        <w:spacing w:after="0" w:line="154" w:lineRule="exact"/>
        <w:rPr>
          <w:rFonts w:ascii="Arial" w:cs="Arial" w:eastAsia="Arial" w:hAnsi="Arial"/>
          <w:sz w:val="21"/>
          <w:szCs w:val="21"/>
          <w:color w:val="auto"/>
        </w:rPr>
      </w:pPr>
    </w:p>
    <w:p>
      <w:pPr>
        <w:jc w:val="both"/>
        <w:ind w:right="20" w:firstLine="757"/>
        <w:spacing w:after="0"/>
        <w:tabs>
          <w:tab w:leader="none" w:pos="1073"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Due Authorization.</w:t>
      </w:r>
      <w:r>
        <w:rPr>
          <w:rFonts w:ascii="Arial" w:cs="Arial" w:eastAsia="Arial" w:hAnsi="Arial"/>
          <w:sz w:val="22"/>
          <w:szCs w:val="22"/>
          <w:color w:val="auto"/>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76" w:lineRule="exact"/>
        <w:rPr>
          <w:rFonts w:ascii="Arial" w:cs="Arial" w:eastAsia="Arial" w:hAnsi="Arial"/>
          <w:sz w:val="22"/>
          <w:szCs w:val="22"/>
          <w:color w:val="auto"/>
        </w:rPr>
      </w:pPr>
    </w:p>
    <w:p>
      <w:pPr>
        <w:jc w:val="both"/>
        <w:ind w:firstLine="757"/>
        <w:spacing w:after="0" w:line="236" w:lineRule="auto"/>
        <w:tabs>
          <w:tab w:leader="none" w:pos="1127"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The Sales Agreement.</w:t>
      </w:r>
      <w:r>
        <w:rPr>
          <w:rFonts w:ascii="Arial" w:cs="Arial" w:eastAsia="Arial" w:hAnsi="Arial"/>
          <w:sz w:val="22"/>
          <w:szCs w:val="22"/>
          <w:color w:val="auto"/>
        </w:rPr>
        <w:t xml:space="preserve"> This Agreement has been duly authorized, executed and delivered by, and, assuming the due authorization, execution and delivery by the Agent,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81" w:lineRule="exact"/>
        <w:rPr>
          <w:rFonts w:ascii="Arial" w:cs="Arial" w:eastAsia="Arial" w:hAnsi="Arial"/>
          <w:sz w:val="22"/>
          <w:szCs w:val="22"/>
          <w:color w:val="auto"/>
        </w:rPr>
      </w:pPr>
    </w:p>
    <w:p>
      <w:pPr>
        <w:jc w:val="both"/>
        <w:ind w:firstLine="757"/>
        <w:spacing w:after="0" w:line="236" w:lineRule="auto"/>
        <w:tabs>
          <w:tab w:leader="none" w:pos="1041"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Authorization of the Common Stock</w:t>
      </w:r>
      <w:r>
        <w:rPr>
          <w:rFonts w:ascii="Arial" w:cs="Arial" w:eastAsia="Arial" w:hAnsi="Arial"/>
          <w:sz w:val="22"/>
          <w:szCs w:val="22"/>
          <w:color w:val="auto"/>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and will conform in all material respects to the descriptions thereof in the Registration Statement and the Prospectus; and the issuance of the Placement Shares is not subject to any preemptive or similar rights that have not been duly waived or satisfied.</w:t>
      </w:r>
    </w:p>
    <w:p>
      <w:pPr>
        <w:spacing w:after="0" w:line="181" w:lineRule="exact"/>
        <w:rPr>
          <w:rFonts w:ascii="Arial" w:cs="Arial" w:eastAsia="Arial" w:hAnsi="Arial"/>
          <w:sz w:val="22"/>
          <w:szCs w:val="22"/>
          <w:color w:val="auto"/>
        </w:rPr>
      </w:pPr>
    </w:p>
    <w:p>
      <w:pPr>
        <w:jc w:val="both"/>
        <w:ind w:firstLine="757"/>
        <w:spacing w:after="0" w:line="245" w:lineRule="auto"/>
        <w:tabs>
          <w:tab w:leader="none" w:pos="1014"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Capitalization.</w:t>
      </w:r>
      <w:r>
        <w:rPr>
          <w:rFonts w:ascii="Arial" w:cs="Arial" w:eastAsia="Arial" w:hAnsi="Arial"/>
          <w:sz w:val="22"/>
          <w:szCs w:val="22"/>
          <w:color w:val="auto"/>
        </w:rPr>
        <w:t xml:space="preserve"> The Company has an authorized capitalization as set forth or incorporated by reference in the Registration Statement and the Prospectus as of the date specified therein; all the outstanding shares of capital stock of the Company have been duly and validly authorized and issued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80" w:hanging="116"/>
        <w:spacing w:after="0"/>
        <w:tabs>
          <w:tab w:leader="none" w:pos="55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6" w:name="page177"/>
    <w:bookmarkEnd w:id="176"/>
    <w:p>
      <w:pPr>
        <w:jc w:val="both"/>
        <w:spacing w:after="0" w:line="233" w:lineRule="auto"/>
        <w:rPr>
          <w:sz w:val="20"/>
          <w:szCs w:val="20"/>
          <w:color w:val="auto"/>
        </w:rPr>
      </w:pPr>
      <w:r>
        <w:rPr>
          <w:rFonts w:ascii="Arial" w:cs="Arial" w:eastAsia="Arial" w:hAnsi="Arial"/>
          <w:sz w:val="22"/>
          <w:szCs w:val="22"/>
          <w:color w:val="auto"/>
        </w:rPr>
        <w:t>and are fully paid and non-assessable and are not subject to any pre-emptive or similar rights that have not been duly waived or satisfied; except as described in or expressly contemplated by the Registration Statement and the Prospectus,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183" w:lineRule="exact"/>
        <w:rPr>
          <w:sz w:val="20"/>
          <w:szCs w:val="20"/>
          <w:color w:val="auto"/>
        </w:rPr>
      </w:pPr>
    </w:p>
    <w:p>
      <w:pPr>
        <w:jc w:val="both"/>
        <w:ind w:firstLine="757"/>
        <w:spacing w:after="0" w:line="233" w:lineRule="auto"/>
        <w:tabs>
          <w:tab w:leader="none" w:pos="108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 xml:space="preserve"> With respect to the stock options (the “</w:t>
      </w:r>
      <w:r>
        <w:rPr>
          <w:rFonts w:ascii="Arial" w:cs="Arial" w:eastAsia="Arial" w:hAnsi="Arial"/>
          <w:sz w:val="22"/>
          <w:szCs w:val="22"/>
          <w:b w:val="1"/>
          <w:bCs w:val="1"/>
          <w:u w:val="single" w:color="auto"/>
          <w:color w:val="auto"/>
        </w:rPr>
        <w:t>Stock Options</w:t>
      </w:r>
      <w:r>
        <w:rPr>
          <w:rFonts w:ascii="Arial" w:cs="Arial" w:eastAsia="Arial" w:hAnsi="Arial"/>
          <w:sz w:val="22"/>
          <w:szCs w:val="22"/>
          <w:color w:val="auto"/>
        </w:rPr>
        <w:t>”) granted pursuant to the stock-based compensation plans of the Company and its subsidiaries (the “</w:t>
      </w:r>
      <w:r>
        <w:rPr>
          <w:rFonts w:ascii="Arial" w:cs="Arial" w:eastAsia="Arial" w:hAnsi="Arial"/>
          <w:sz w:val="22"/>
          <w:szCs w:val="22"/>
          <w:b w:val="1"/>
          <w:bCs w:val="1"/>
          <w:u w:val="single" w:color="auto"/>
          <w:color w:val="auto"/>
        </w:rPr>
        <w:t>Company Stock Plans</w:t>
      </w:r>
      <w:r>
        <w:rPr>
          <w:rFonts w:ascii="Arial" w:cs="Arial" w:eastAsia="Arial" w:hAnsi="Arial"/>
          <w:sz w:val="22"/>
          <w:szCs w:val="22"/>
          <w:color w:val="auto"/>
        </w:rPr>
        <w:t>”), except to the extent not material, (i) each Stock Option intended to qualify as an “incentive stock option” under Section 422 of the Code (as defined below) so qualifies, (ii) each grant of a Stock Option was duly authorized no later than the date on which the grant of such Stock Option was by its terms to be effective (the “</w:t>
      </w:r>
      <w:r>
        <w:rPr>
          <w:rFonts w:ascii="Arial" w:cs="Arial" w:eastAsia="Arial" w:hAnsi="Arial"/>
          <w:sz w:val="22"/>
          <w:szCs w:val="22"/>
          <w:b w:val="1"/>
          <w:bCs w:val="1"/>
          <w:u w:val="single" w:color="auto"/>
          <w:color w:val="auto"/>
        </w:rPr>
        <w:t>Grant Date</w:t>
      </w:r>
      <w:r>
        <w:rPr>
          <w:rFonts w:ascii="Arial" w:cs="Arial" w:eastAsia="Arial" w:hAnsi="Arial"/>
          <w:sz w:val="22"/>
          <w:szCs w:val="22"/>
          <w:color w:val="auto"/>
        </w:rPr>
        <w:t>”)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applicable rules of Nasdaq, and (iv) each such grant was properly accounted for in accordance with GAAP (as defined below)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179" w:lineRule="exact"/>
        <w:rPr>
          <w:rFonts w:ascii="Arial" w:cs="Arial" w:eastAsia="Arial" w:hAnsi="Arial"/>
          <w:sz w:val="22"/>
          <w:szCs w:val="22"/>
          <w:color w:val="auto"/>
        </w:rPr>
      </w:pPr>
    </w:p>
    <w:p>
      <w:pPr>
        <w:jc w:val="both"/>
        <w:ind w:firstLine="757"/>
        <w:spacing w:after="0" w:line="245" w:lineRule="auto"/>
        <w:tabs>
          <w:tab w:leader="none" w:pos="1001"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 Applicable Registration or Other Similar Rights</w:t>
      </w:r>
      <w:r>
        <w:rPr>
          <w:rFonts w:ascii="Arial" w:cs="Arial" w:eastAsia="Arial" w:hAnsi="Arial"/>
          <w:sz w:val="22"/>
          <w:szCs w:val="22"/>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70" w:lineRule="exact"/>
        <w:rPr>
          <w:rFonts w:ascii="Arial" w:cs="Arial" w:eastAsia="Arial" w:hAnsi="Arial"/>
          <w:sz w:val="22"/>
          <w:szCs w:val="22"/>
          <w:color w:val="auto"/>
        </w:rPr>
      </w:pPr>
    </w:p>
    <w:p>
      <w:pPr>
        <w:jc w:val="both"/>
        <w:ind w:firstLine="757"/>
        <w:spacing w:after="0" w:line="234" w:lineRule="auto"/>
        <w:tabs>
          <w:tab w:leader="none" w:pos="11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Since the date of the most recent financial statements of the Company included or incorporated by reference in the Prospectus, (i) there has not been any change in the capital stock (other than the issuance of shares of Common Stock upon exercise of stock options and vesting and settlement of restricted stock units described as outstanding in, and the grant of options and awards under existing equity incentive plans described in, the Registration Statement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left="5580" w:hanging="116"/>
        <w:spacing w:after="0"/>
        <w:tabs>
          <w:tab w:leader="none" w:pos="55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7" w:name="page178"/>
    <w:bookmarkEnd w:id="177"/>
    <w:p>
      <w:pPr>
        <w:jc w:val="both"/>
        <w:spacing w:after="0" w:line="236" w:lineRule="auto"/>
        <w:rPr>
          <w:sz w:val="20"/>
          <w:szCs w:val="20"/>
          <w:color w:val="auto"/>
        </w:rPr>
      </w:pPr>
      <w:r>
        <w:rPr>
          <w:rFonts w:ascii="Arial" w:cs="Arial" w:eastAsia="Arial" w:hAnsi="Arial"/>
          <w:sz w:val="22"/>
          <w:szCs w:val="22"/>
          <w:color w:val="auto"/>
        </w:rPr>
        <w:t>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Prospectus.</w:t>
      </w:r>
    </w:p>
    <w:p>
      <w:pPr>
        <w:spacing w:after="0" w:line="176" w:lineRule="exact"/>
        <w:rPr>
          <w:sz w:val="20"/>
          <w:szCs w:val="20"/>
          <w:color w:val="auto"/>
        </w:rPr>
      </w:pPr>
    </w:p>
    <w:p>
      <w:pPr>
        <w:jc w:val="both"/>
        <w:ind w:firstLine="757"/>
        <w:spacing w:after="0" w:line="238" w:lineRule="auto"/>
        <w:tabs>
          <w:tab w:leader="none" w:pos="112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Independent Accountants</w:t>
      </w:r>
      <w:r>
        <w:rPr>
          <w:rFonts w:ascii="Arial" w:cs="Arial" w:eastAsia="Arial" w:hAnsi="Arial"/>
          <w:sz w:val="22"/>
          <w:szCs w:val="22"/>
          <w:color w:val="auto"/>
        </w:rPr>
        <w:t>. Ernst &amp; Young LLP, who has expressed its opinion with respect to the consolidated financial statements (which term as used in this Agreement includes the related notes thereto) and supporting schedules filed with the Commission or incorporated by reference as a part of the Registration Statement and the Prospectus, is an independent registered public accounting firm as required by the Securities Act and the Exchange Act.</w:t>
      </w:r>
    </w:p>
    <w:p>
      <w:pPr>
        <w:spacing w:after="0" w:line="176" w:lineRule="exact"/>
        <w:rPr>
          <w:rFonts w:ascii="Arial" w:cs="Arial" w:eastAsia="Arial" w:hAnsi="Arial"/>
          <w:sz w:val="22"/>
          <w:szCs w:val="22"/>
          <w:color w:val="auto"/>
        </w:rPr>
      </w:pPr>
    </w:p>
    <w:p>
      <w:pPr>
        <w:jc w:val="both"/>
        <w:ind w:firstLine="757"/>
        <w:spacing w:after="0" w:line="232" w:lineRule="auto"/>
        <w:tabs>
          <w:tab w:leader="none" w:pos="108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Preparation of the Financial Statements</w:t>
      </w:r>
      <w:r>
        <w:rPr>
          <w:rFonts w:ascii="Arial" w:cs="Arial" w:eastAsia="Arial" w:hAnsi="Arial"/>
          <w:sz w:val="22"/>
          <w:szCs w:val="22"/>
          <w:color w:val="auto"/>
        </w:rPr>
        <w:t>. The financial statements (including the related notes thereto) of the Company and its consolidated subsidiaries included or incorporated by reference in the Registration Statement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w:t>
      </w:r>
      <w:r>
        <w:rPr>
          <w:rFonts w:ascii="Arial" w:cs="Arial" w:eastAsia="Arial" w:hAnsi="Arial"/>
          <w:sz w:val="22"/>
          <w:szCs w:val="22"/>
          <w:b w:val="1"/>
          <w:bCs w:val="1"/>
          <w:u w:val="single" w:color="auto"/>
          <w:color w:val="auto"/>
        </w:rPr>
        <w:t>GAAP</w:t>
      </w:r>
      <w:r>
        <w:rPr>
          <w:rFonts w:ascii="Arial" w:cs="Arial" w:eastAsia="Arial" w:hAnsi="Arial"/>
          <w:sz w:val="22"/>
          <w:szCs w:val="22"/>
          <w:color w:val="auto"/>
        </w:rPr>
        <w:t>”) in the United States applied on a consistent basis throughout the periods covered thereby, except in the case of unaudited interim financial statements, which are subject to normal year-end adjustments and do not contain certain footnotes as permitted by the applicable rules of the Commission, and any supporting schedules included or incorporated by reference in the Registration Statement and Prospectus present fairly in all material respects the information required to be stated therein; and the other financial information included in the Registration Statement and the Prospectus has been derived from the accounting records of the Company and its consolidated subsidiaries and presents fairly in all material respects the information shown thereby; and the pro forma financial information and the related notes thereto have been prepared in accordance with the applicable requirements of the Securities Act in all material respects, and the assumptions underlying such pro forma financial information are reasonable and are set forth in the Registration Statement and the Prospectus.</w:t>
      </w:r>
    </w:p>
    <w:p>
      <w:pPr>
        <w:spacing w:after="0" w:line="191" w:lineRule="exact"/>
        <w:rPr>
          <w:rFonts w:ascii="Arial" w:cs="Arial" w:eastAsia="Arial" w:hAnsi="Arial"/>
          <w:sz w:val="22"/>
          <w:szCs w:val="22"/>
          <w:color w:val="auto"/>
        </w:rPr>
      </w:pPr>
    </w:p>
    <w:p>
      <w:pPr>
        <w:jc w:val="both"/>
        <w:ind w:right="20" w:firstLine="757"/>
        <w:spacing w:after="0" w:line="245" w:lineRule="auto"/>
        <w:tabs>
          <w:tab w:leader="none" w:pos="1113"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XBRL</w:t>
      </w:r>
      <w:r>
        <w:rPr>
          <w:rFonts w:ascii="Arial" w:cs="Arial" w:eastAsia="Arial" w:hAnsi="Arial"/>
          <w:sz w:val="22"/>
          <w:szCs w:val="22"/>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0" w:lineRule="exact"/>
        <w:rPr>
          <w:rFonts w:ascii="Arial" w:cs="Arial" w:eastAsia="Arial" w:hAnsi="Arial"/>
          <w:sz w:val="22"/>
          <w:szCs w:val="22"/>
          <w:color w:val="auto"/>
        </w:rPr>
      </w:pPr>
    </w:p>
    <w:p>
      <w:pPr>
        <w:jc w:val="both"/>
        <w:ind w:firstLine="757"/>
        <w:spacing w:after="0" w:line="246" w:lineRule="auto"/>
        <w:tabs>
          <w:tab w:leader="none" w:pos="1100"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Incorporation and Good Standing of the Company and its Subsidiaries</w:t>
      </w:r>
      <w:r>
        <w:rPr>
          <w:rFonts w:ascii="Arial" w:cs="Arial" w:eastAsia="Arial" w:hAnsi="Arial"/>
          <w:sz w:val="21"/>
          <w:szCs w:val="21"/>
          <w:color w:val="auto"/>
        </w:rPr>
        <w:t>.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5580" w:hanging="116"/>
        <w:spacing w:after="0"/>
        <w:tabs>
          <w:tab w:leader="none" w:pos="55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8" w:name="page179"/>
    <w:bookmarkEnd w:id="178"/>
    <w:p>
      <w:pPr>
        <w:jc w:val="both"/>
        <w:spacing w:after="0" w:line="238" w:lineRule="auto"/>
        <w:rPr>
          <w:sz w:val="20"/>
          <w:szCs w:val="20"/>
          <w:color w:val="auto"/>
        </w:rPr>
      </w:pPr>
      <w:r>
        <w:rPr>
          <w:rFonts w:ascii="Arial" w:cs="Arial" w:eastAsia="Arial" w:hAnsi="Arial"/>
          <w:sz w:val="22"/>
          <w:szCs w:val="22"/>
          <w:color w:val="auto"/>
        </w:rPr>
        <w:t>this Agreement (a “</w:t>
      </w:r>
      <w:r>
        <w:rPr>
          <w:rFonts w:ascii="Arial" w:cs="Arial" w:eastAsia="Arial" w:hAnsi="Arial"/>
          <w:sz w:val="22"/>
          <w:szCs w:val="22"/>
          <w:b w:val="1"/>
          <w:bCs w:val="1"/>
          <w:u w:val="single" w:color="auto"/>
          <w:color w:val="auto"/>
        </w:rPr>
        <w:t>Material Adverse Change</w:t>
      </w:r>
      <w:r>
        <w:rPr>
          <w:rFonts w:ascii="Arial" w:cs="Arial" w:eastAsia="Arial" w:hAnsi="Arial"/>
          <w:sz w:val="22"/>
          <w:szCs w:val="22"/>
          <w:color w:val="auto"/>
        </w:rPr>
        <w:t>”).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79" w:lineRule="exact"/>
        <w:rPr>
          <w:sz w:val="20"/>
          <w:szCs w:val="20"/>
          <w:color w:val="auto"/>
        </w:rPr>
      </w:pPr>
    </w:p>
    <w:p>
      <w:pPr>
        <w:jc w:val="both"/>
        <w:ind w:firstLine="757"/>
        <w:spacing w:after="0" w:line="233" w:lineRule="auto"/>
        <w:tabs>
          <w:tab w:leader="none" w:pos="1038"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 Conflicts.</w:t>
      </w:r>
      <w:r>
        <w:rPr>
          <w:rFonts w:ascii="Arial" w:cs="Arial" w:eastAsia="Arial" w:hAnsi="Arial"/>
          <w:sz w:val="22"/>
          <w:szCs w:val="22"/>
          <w:color w:val="auto"/>
        </w:rPr>
        <w:t xml:space="preserve"> The execution, delivery and performance by the Company of this Agreement, the issuance and sale of the Placement Shares and the consummation by the Company of the transactions contemplated by this Agreement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result in a Material Adverse Change.</w:t>
      </w:r>
    </w:p>
    <w:p>
      <w:pPr>
        <w:spacing w:after="0" w:line="182" w:lineRule="exact"/>
        <w:rPr>
          <w:rFonts w:ascii="Arial" w:cs="Arial" w:eastAsia="Arial" w:hAnsi="Arial"/>
          <w:sz w:val="22"/>
          <w:szCs w:val="22"/>
          <w:color w:val="auto"/>
        </w:rPr>
      </w:pPr>
    </w:p>
    <w:p>
      <w:pPr>
        <w:jc w:val="both"/>
        <w:ind w:firstLine="757"/>
        <w:spacing w:after="0" w:line="236" w:lineRule="auto"/>
        <w:tabs>
          <w:tab w:leader="none" w:pos="1074"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 Consents Required.</w:t>
      </w:r>
      <w:r>
        <w:rPr>
          <w:rFonts w:ascii="Arial" w:cs="Arial" w:eastAsia="Arial" w:hAnsi="Arial"/>
          <w:sz w:val="22"/>
          <w:szCs w:val="22"/>
          <w:color w:val="auto"/>
        </w:rPr>
        <w:t xml:space="preserve"> No consent, approval, authorization, order, registration or qualification of or with any court or arbitrator or governmental or regulatory authority is required for the execution, delivery and performance by the Company of this Agreement, the issuance and sale of the Placement Shares and the consummation by the Company of the transactions contemplated by this Agreement, except for the registration of the Placement Shares under the Securities Act and such consents, approvals, authorizations, orders and registrations or qualifications as may be required by the Financial Industry Regulatory Authority, Inc.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and under applicable state securities or blue sky laws in connection with the sale of the Placement Shares by the Agent.</w:t>
      </w:r>
    </w:p>
    <w:p>
      <w:pPr>
        <w:spacing w:after="0" w:line="175" w:lineRule="exact"/>
        <w:rPr>
          <w:rFonts w:ascii="Arial" w:cs="Arial" w:eastAsia="Arial" w:hAnsi="Arial"/>
          <w:sz w:val="22"/>
          <w:szCs w:val="22"/>
          <w:color w:val="auto"/>
        </w:rPr>
      </w:pPr>
    </w:p>
    <w:p>
      <w:pPr>
        <w:jc w:val="both"/>
        <w:ind w:firstLine="757"/>
        <w:spacing w:after="0" w:line="234" w:lineRule="auto"/>
        <w:tabs>
          <w:tab w:leader="none" w:pos="1053"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Non-Contravention of Existing Instruments</w:t>
      </w:r>
      <w:r>
        <w:rPr>
          <w:rFonts w:ascii="Arial" w:cs="Arial" w:eastAsia="Arial" w:hAnsi="Arial"/>
          <w:sz w:val="22"/>
          <w:szCs w:val="22"/>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Change.</w:t>
      </w:r>
    </w:p>
    <w:p>
      <w:pPr>
        <w:spacing w:after="0" w:line="183" w:lineRule="exact"/>
        <w:rPr>
          <w:rFonts w:ascii="Arial" w:cs="Arial" w:eastAsia="Arial" w:hAnsi="Arial"/>
          <w:sz w:val="22"/>
          <w:szCs w:val="22"/>
          <w:color w:val="auto"/>
        </w:rPr>
      </w:pPr>
    </w:p>
    <w:p>
      <w:pPr>
        <w:jc w:val="both"/>
        <w:ind w:firstLine="757"/>
        <w:spacing w:after="0" w:line="236" w:lineRule="auto"/>
        <w:tabs>
          <w:tab w:leader="none" w:pos="1127"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 Material Actions or Proceedings</w:t>
      </w:r>
      <w:r>
        <w:rPr>
          <w:rFonts w:ascii="Arial" w:cs="Arial" w:eastAsia="Arial" w:hAnsi="Arial"/>
          <w:sz w:val="22"/>
          <w:szCs w:val="22"/>
          <w:color w:val="auto"/>
        </w:rPr>
        <w:t>. There are no legal, governmental or regulatory investigations, actions, demands, claims, suits, arbitrations, inquiries or proceedings (“</w:t>
      </w:r>
      <w:r>
        <w:rPr>
          <w:rFonts w:ascii="Arial" w:cs="Arial" w:eastAsia="Arial" w:hAnsi="Arial"/>
          <w:sz w:val="22"/>
          <w:szCs w:val="22"/>
          <w:b w:val="1"/>
          <w:bCs w:val="1"/>
          <w:color w:val="auto"/>
        </w:rPr>
        <w:t>Actions</w:t>
      </w:r>
      <w:r>
        <w:rPr>
          <w:rFonts w:ascii="Arial" w:cs="Arial" w:eastAsia="Arial" w:hAnsi="Arial"/>
          <w:sz w:val="22"/>
          <w:szCs w:val="22"/>
          <w:color w:val="auto"/>
        </w:rPr>
        <w:t>”) pending to which the Company or any of its subsidiaries is or may reasonably be expected to become a party or to which any property of the Company or any of its subsidiaries is or may be the subject that, individually or in the aggregate, if determined adversely to the Company or any of its subsidiaries, could reasonably be expected to result in a Material Adverse Change; to the knowledge of the Company, no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1" w:lineRule="exact"/>
        <w:rPr>
          <w:rFonts w:ascii="Arial" w:cs="Arial" w:eastAsia="Arial" w:hAnsi="Arial"/>
          <w:sz w:val="22"/>
          <w:szCs w:val="22"/>
          <w:color w:val="auto"/>
        </w:rPr>
      </w:pPr>
    </w:p>
    <w:p>
      <w:pPr>
        <w:ind w:left="5580" w:hanging="116"/>
        <w:spacing w:after="0"/>
        <w:tabs>
          <w:tab w:leader="none" w:pos="5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79" w:name="page180"/>
    <w:bookmarkEnd w:id="179"/>
    <w:p>
      <w:pPr>
        <w:jc w:val="both"/>
        <w:spacing w:after="0" w:line="236" w:lineRule="auto"/>
        <w:rPr>
          <w:sz w:val="20"/>
          <w:szCs w:val="20"/>
          <w:color w:val="auto"/>
        </w:rPr>
      </w:pPr>
      <w:r>
        <w:rPr>
          <w:rFonts w:ascii="Arial" w:cs="Arial" w:eastAsia="Arial" w:hAnsi="Arial"/>
          <w:sz w:val="22"/>
          <w:szCs w:val="22"/>
          <w:color w:val="auto"/>
        </w:rPr>
        <w:t>such Actions are threatened or contemplated by any governmental or regulatory authority or threatened by others; and (i) there are no current or pending Actions that are required under the Securities Act to be described in the Registration Statement or the Prospectus that are not so described in the Registration Statement and the Prospectus and (ii) there are no statutes, regulations or contracts or other documents that are required under the Securities Act to be filed as exhibits to the Registration Statement or described in the Registration Statement or the Prospectus that are not so filed as exhibits to the Registration Statement or described in the Registration Statement and the Prospectus.</w:t>
      </w:r>
    </w:p>
    <w:p>
      <w:pPr>
        <w:spacing w:after="0" w:line="176" w:lineRule="exact"/>
        <w:rPr>
          <w:sz w:val="20"/>
          <w:szCs w:val="20"/>
          <w:color w:val="auto"/>
        </w:rPr>
      </w:pPr>
    </w:p>
    <w:p>
      <w:pPr>
        <w:jc w:val="both"/>
        <w:ind w:firstLine="757"/>
        <w:spacing w:after="0" w:line="236" w:lineRule="auto"/>
        <w:tabs>
          <w:tab w:leader="none" w:pos="108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Title to Real and Personal Property.</w:t>
      </w:r>
      <w:r>
        <w:rPr>
          <w:rFonts w:ascii="Arial" w:cs="Arial" w:eastAsia="Arial" w:hAnsi="Arial"/>
          <w:sz w:val="22"/>
          <w:szCs w:val="22"/>
          <w:color w:val="auto"/>
        </w:rPr>
        <w:t xml:space="preserve"> The Company has good and marketable title in fee simple (in the case of real property)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result in a Material Adverse Change.</w:t>
      </w:r>
    </w:p>
    <w:p>
      <w:pPr>
        <w:spacing w:after="0" w:line="181" w:lineRule="exact"/>
        <w:rPr>
          <w:rFonts w:ascii="Arial" w:cs="Arial" w:eastAsia="Arial" w:hAnsi="Arial"/>
          <w:sz w:val="22"/>
          <w:szCs w:val="22"/>
          <w:color w:val="auto"/>
        </w:rPr>
      </w:pPr>
    </w:p>
    <w:p>
      <w:pPr>
        <w:jc w:val="both"/>
        <w:ind w:firstLine="757"/>
        <w:spacing w:after="0" w:line="245" w:lineRule="auto"/>
        <w:tabs>
          <w:tab w:leader="none" w:pos="112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Licenses and Permits.</w:t>
      </w:r>
      <w:r>
        <w:rPr>
          <w:rFonts w:ascii="Arial" w:cs="Arial" w:eastAsia="Arial" w:hAnsi="Arial"/>
          <w:sz w:val="21"/>
          <w:szCs w:val="21"/>
          <w:color w:val="auto"/>
        </w:rPr>
        <w:t xml:space="preserve">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and the Prospectus, including, without limitation, from the U.S. Food and Drug Administration (the “</w:t>
      </w:r>
      <w:r>
        <w:rPr>
          <w:rFonts w:ascii="Arial" w:cs="Arial" w:eastAsia="Arial" w:hAnsi="Arial"/>
          <w:sz w:val="21"/>
          <w:szCs w:val="21"/>
          <w:b w:val="1"/>
          <w:bCs w:val="1"/>
          <w:color w:val="auto"/>
        </w:rPr>
        <w:t>FDA</w:t>
      </w:r>
      <w:r>
        <w:rPr>
          <w:rFonts w:ascii="Arial" w:cs="Arial" w:eastAsia="Arial" w:hAnsi="Arial"/>
          <w:sz w:val="21"/>
          <w:szCs w:val="21"/>
          <w:color w:val="auto"/>
        </w:rPr>
        <w:t>”), except where the failure to possess or make the same would not, individually or in the aggregate, reasonably be expected to result in a Material Adverse Change; and except as described in each of the Registration Statement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as would not, individually or in the aggregate, reasonably be expected to result in a Material Adverse Change.</w:t>
      </w:r>
    </w:p>
    <w:p>
      <w:pPr>
        <w:spacing w:after="0" w:line="177" w:lineRule="exact"/>
        <w:rPr>
          <w:rFonts w:ascii="Arial" w:cs="Arial" w:eastAsia="Arial" w:hAnsi="Arial"/>
          <w:sz w:val="21"/>
          <w:szCs w:val="21"/>
          <w:color w:val="auto"/>
        </w:rPr>
      </w:pPr>
    </w:p>
    <w:p>
      <w:pPr>
        <w:jc w:val="both"/>
        <w:ind w:firstLine="757"/>
        <w:spacing w:after="0" w:line="236" w:lineRule="auto"/>
        <w:tabs>
          <w:tab w:leader="none" w:pos="107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 Labor Disputes.</w:t>
      </w:r>
      <w:r>
        <w:rPr>
          <w:rFonts w:ascii="Arial" w:cs="Arial" w:eastAsia="Arial" w:hAnsi="Arial"/>
          <w:sz w:val="22"/>
          <w:szCs w:val="22"/>
          <w:color w:val="auto"/>
        </w:rPr>
        <w:t xml:space="preserve"> (i) No labor disturbance by or dispute with employees of the Company or any of its subsidiaries exists or, to the knowledge of the Company, is contemplated or threatened, and (ii) the Company is not aware of any existing or imminent labor disturbance by, or dispute with, the employees of any of its or its subsidiaries’ principal suppliers, contractors or customers, except in the case of each of (i) and (ii) above, as would not, individually or in the aggregate, reasonably be expected to result in a Material Adverse Change. Neither the Company nor any of its subsidiaries is a party to any collective bargaining agreement.</w:t>
      </w:r>
    </w:p>
    <w:p>
      <w:pPr>
        <w:spacing w:after="0" w:line="181" w:lineRule="exact"/>
        <w:rPr>
          <w:rFonts w:ascii="Arial" w:cs="Arial" w:eastAsia="Arial" w:hAnsi="Arial"/>
          <w:sz w:val="22"/>
          <w:szCs w:val="22"/>
          <w:color w:val="auto"/>
        </w:rPr>
      </w:pPr>
    </w:p>
    <w:p>
      <w:pPr>
        <w:jc w:val="both"/>
        <w:ind w:firstLine="757"/>
        <w:spacing w:after="0" w:line="234" w:lineRule="auto"/>
        <w:tabs>
          <w:tab w:leader="none" w:pos="1061"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Tax Law Compliance</w:t>
      </w:r>
      <w:r>
        <w:rPr>
          <w:rFonts w:ascii="Arial" w:cs="Arial" w:eastAsia="Arial" w:hAnsi="Arial"/>
          <w:sz w:val="22"/>
          <w:szCs w:val="22"/>
          <w:color w:val="auto"/>
        </w:rPr>
        <w:t>. The Company and its subsidiaries have filed all U.S. federal, state, local and foreign taxes required to be filed through the date hereof (except where the failure to file would not, individually or in the aggregate, reasonably be expected to result in a Material Adverse Change) and have paid all taxes required to be paid thereon (except where the failure to pay would not reasonably be expected to result in a Material Adverse Change, and except as are currently being contested in good faith and for which reserves required by GAAP have been created in the financial statements of the Company); and except as otherwise disclosed in each of the Registration Statement and the Prospectus, there is no tax deficiency that has been determined adversely to the Company or any of its subsidiaries which has resulted in (nor does the Company nor any of its subsidiaries have any notice or knowledge of any tax deficiency which is expected to be determined adversely to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5520" w:hanging="106"/>
        <w:spacing w:after="0"/>
        <w:tabs>
          <w:tab w:leader="none" w:pos="5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Company or its subsidiaries and which could reasonably be expected to result in) a Material Adverse Change.</w:t>
      </w:r>
    </w:p>
    <w:p>
      <w:pPr>
        <w:spacing w:after="0" w:line="206" w:lineRule="exact"/>
        <w:rPr>
          <w:sz w:val="20"/>
          <w:szCs w:val="20"/>
          <w:color w:val="auto"/>
        </w:rPr>
      </w:pPr>
    </w:p>
    <w:p>
      <w:pPr>
        <w:jc w:val="both"/>
        <w:ind w:firstLine="757"/>
        <w:spacing w:after="0" w:line="231" w:lineRule="auto"/>
        <w:tabs>
          <w:tab w:leader="none" w:pos="1101"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Compliance with ERISA.</w:t>
      </w:r>
      <w:r>
        <w:rPr>
          <w:rFonts w:ascii="Arial" w:cs="Arial" w:eastAsia="Arial" w:hAnsi="Arial"/>
          <w:sz w:val="22"/>
          <w:szCs w:val="22"/>
          <w:color w:val="auto"/>
        </w:rPr>
        <w:t xml:space="preserve"> (i) Each employee benefit plan, within the meaning of Section 3(3) of the Employee Retirement Income Security Act of 1974, as amended (“</w:t>
      </w: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would have any liability (each, a “</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has received a favorable determination letter, or is entitled to rely on an opinion letter, from the Internal Revenue Service, and, to the knowledge of the Company,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reasonably be expected to result a Material Adverse Change.</w:t>
      </w:r>
    </w:p>
    <w:p>
      <w:pPr>
        <w:spacing w:after="0" w:line="200" w:lineRule="exact"/>
        <w:rPr>
          <w:sz w:val="20"/>
          <w:szCs w:val="20"/>
          <w:color w:val="auto"/>
        </w:rPr>
      </w:pPr>
    </w:p>
    <w:p>
      <w:pPr>
        <w:jc w:val="both"/>
        <w:ind w:firstLine="757"/>
        <w:spacing w:after="0"/>
        <w:tabs>
          <w:tab w:leader="none" w:pos="119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Company Not an “Investment Company</w:t>
      </w:r>
      <w:r>
        <w:rPr>
          <w:rFonts w:ascii="Arial" w:cs="Arial" w:eastAsia="Arial" w:hAnsi="Arial"/>
          <w:sz w:val="22"/>
          <w:szCs w:val="22"/>
          <w:color w:val="auto"/>
        </w:rPr>
        <w:t>”. The Company has been advised of the rules and requirements under the Investment Company Act of 1940, as amended (the “</w:t>
      </w:r>
      <w:r>
        <w:rPr>
          <w:rFonts w:ascii="Arial" w:cs="Arial" w:eastAsia="Arial" w:hAnsi="Arial"/>
          <w:sz w:val="22"/>
          <w:szCs w:val="22"/>
          <w:b w:val="1"/>
          <w:bCs w:val="1"/>
          <w:u w:val="single" w:color="auto"/>
          <w:color w:val="auto"/>
        </w:rPr>
        <w:t>Investment Company Act</w:t>
      </w:r>
      <w:r>
        <w:rPr>
          <w:rFonts w:ascii="Arial" w:cs="Arial" w:eastAsia="Arial" w:hAnsi="Arial"/>
          <w:sz w:val="22"/>
          <w:szCs w:val="22"/>
          <w:color w:val="auto"/>
        </w:rPr>
        <w:t>”). The Company is not, and after receipt of payment for the Placement Shares will not be, an “investment company” within the meaning of Investment Company Act.</w:t>
      </w:r>
    </w:p>
    <w:p>
      <w:pPr>
        <w:spacing w:after="0" w:line="176" w:lineRule="exact"/>
        <w:rPr>
          <w:rFonts w:ascii="Arial" w:cs="Arial" w:eastAsia="Arial" w:hAnsi="Arial"/>
          <w:sz w:val="22"/>
          <w:szCs w:val="22"/>
          <w:color w:val="auto"/>
        </w:rPr>
      </w:pPr>
    </w:p>
    <w:p>
      <w:pPr>
        <w:jc w:val="both"/>
        <w:ind w:firstLine="757"/>
        <w:spacing w:after="0" w:line="245" w:lineRule="auto"/>
        <w:tabs>
          <w:tab w:leader="none" w:pos="1247"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and its subsidiaries have insurance covering their respective properties, operations, personnel and businesses, including business interruption insurance, which insurance is in amounts and insures against such losses and risks as generally maintained by similarly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20" w:hanging="106"/>
        <w:spacing w:after="0"/>
        <w:tabs>
          <w:tab w:leader="none" w:pos="55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1" w:name="page182"/>
    <w:bookmarkEnd w:id="181"/>
    <w:p>
      <w:pPr>
        <w:jc w:val="both"/>
        <w:spacing w:after="0" w:line="236" w:lineRule="auto"/>
        <w:rPr>
          <w:sz w:val="20"/>
          <w:szCs w:val="20"/>
          <w:color w:val="auto"/>
        </w:rPr>
      </w:pPr>
      <w:r>
        <w:rPr>
          <w:rFonts w:ascii="Arial" w:cs="Arial" w:eastAsia="Arial" w:hAnsi="Arial"/>
          <w:sz w:val="22"/>
          <w:szCs w:val="22"/>
          <w:color w:val="auto"/>
        </w:rPr>
        <w:t>situated companies and which the Company believes are reasonably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2" w:lineRule="exact"/>
        <w:rPr>
          <w:sz w:val="20"/>
          <w:szCs w:val="20"/>
          <w:color w:val="auto"/>
        </w:rPr>
      </w:pPr>
    </w:p>
    <w:p>
      <w:pPr>
        <w:jc w:val="both"/>
        <w:ind w:firstLine="757"/>
        <w:spacing w:after="0"/>
        <w:tabs>
          <w:tab w:leader="none" w:pos="1223"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Price Stabilization or Manipulation</w:t>
      </w:r>
      <w:r>
        <w:rPr>
          <w:rFonts w:ascii="Arial" w:cs="Arial" w:eastAsia="Arial" w:hAnsi="Arial"/>
          <w:sz w:val="22"/>
          <w:szCs w:val="22"/>
          <w:color w:val="auto"/>
        </w:rPr>
        <w:t>. Neither the Company or any of its subsidiaries nor, to the Company’s knowledge, other affiliates has taken, directly or indirectly, any action designed to or that could be reasonably expected to cause or result in stabilization or manipulation of the price of any security of the Company to facilitate the sale or resale of the Placement Shares.</w:t>
      </w:r>
    </w:p>
    <w:p>
      <w:pPr>
        <w:spacing w:after="0" w:line="176" w:lineRule="exact"/>
        <w:rPr>
          <w:rFonts w:ascii="Arial" w:cs="Arial" w:eastAsia="Arial" w:hAnsi="Arial"/>
          <w:sz w:val="22"/>
          <w:szCs w:val="22"/>
          <w:color w:val="auto"/>
        </w:rPr>
      </w:pPr>
    </w:p>
    <w:p>
      <w:pPr>
        <w:jc w:val="both"/>
        <w:ind w:firstLine="757"/>
        <w:spacing w:after="0"/>
        <w:tabs>
          <w:tab w:leader="none" w:pos="1193"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the Prospectus that is not so described.</w:t>
      </w:r>
    </w:p>
    <w:p>
      <w:pPr>
        <w:spacing w:after="0" w:line="176" w:lineRule="exact"/>
        <w:rPr>
          <w:rFonts w:ascii="Arial" w:cs="Arial" w:eastAsia="Arial" w:hAnsi="Arial"/>
          <w:sz w:val="22"/>
          <w:szCs w:val="22"/>
          <w:color w:val="auto"/>
        </w:rPr>
      </w:pPr>
    </w:p>
    <w:p>
      <w:pPr>
        <w:jc w:val="both"/>
        <w:ind w:firstLine="757"/>
        <w:spacing w:after="0" w:line="238" w:lineRule="auto"/>
        <w:tabs>
          <w:tab w:leader="none" w:pos="1247"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Restrictions on Subsidiaries.</w:t>
      </w:r>
      <w:r>
        <w:rPr>
          <w:rFonts w:ascii="Arial" w:cs="Arial" w:eastAsia="Arial" w:hAnsi="Arial"/>
          <w:sz w:val="22"/>
          <w:szCs w:val="22"/>
          <w:color w:val="auto"/>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76" w:lineRule="exact"/>
        <w:rPr>
          <w:rFonts w:ascii="Arial" w:cs="Arial" w:eastAsia="Arial" w:hAnsi="Arial"/>
          <w:sz w:val="22"/>
          <w:szCs w:val="22"/>
          <w:color w:val="auto"/>
        </w:rPr>
      </w:pPr>
    </w:p>
    <w:p>
      <w:pPr>
        <w:jc w:val="both"/>
        <w:ind w:firstLine="757"/>
        <w:spacing w:after="0" w:line="236" w:lineRule="auto"/>
        <w:tabs>
          <w:tab w:leader="none" w:pos="1073"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Exchange Act Compliance</w:t>
      </w:r>
      <w:r>
        <w:rPr>
          <w:rFonts w:ascii="Arial" w:cs="Arial" w:eastAsia="Arial" w:hAnsi="Arial"/>
          <w:sz w:val="22"/>
          <w:szCs w:val="22"/>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1" w:lineRule="exact"/>
        <w:rPr>
          <w:rFonts w:ascii="Arial" w:cs="Arial" w:eastAsia="Arial" w:hAnsi="Arial"/>
          <w:sz w:val="22"/>
          <w:szCs w:val="22"/>
          <w:color w:val="auto"/>
        </w:rPr>
      </w:pPr>
    </w:p>
    <w:p>
      <w:pPr>
        <w:jc w:val="both"/>
        <w:ind w:firstLine="757"/>
        <w:spacing w:after="0" w:line="233" w:lineRule="auto"/>
        <w:tabs>
          <w:tab w:leader="none" w:pos="120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Unlawful Contributions or Other Payments</w:t>
      </w:r>
      <w:r>
        <w:rPr>
          <w:rFonts w:ascii="Arial" w:cs="Arial" w:eastAsia="Arial" w:hAnsi="Arial"/>
          <w:sz w:val="22"/>
          <w:szCs w:val="22"/>
          <w:color w:val="auto"/>
        </w:rPr>
        <w:t>.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520" w:hanging="106"/>
        <w:spacing w:after="0"/>
        <w:tabs>
          <w:tab w:leader="none" w:pos="55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2" w:name="page183"/>
    <w:bookmarkEnd w:id="182"/>
    <w:p>
      <w:pPr>
        <w:spacing w:after="0" w:line="259" w:lineRule="auto"/>
        <w:rPr>
          <w:sz w:val="20"/>
          <w:szCs w:val="20"/>
          <w:color w:val="auto"/>
        </w:rPr>
      </w:pPr>
      <w:r>
        <w:rPr>
          <w:rFonts w:ascii="Arial" w:cs="Arial" w:eastAsia="Arial" w:hAnsi="Arial"/>
          <w:sz w:val="22"/>
          <w:szCs w:val="22"/>
          <w:color w:val="auto"/>
        </w:rPr>
        <w:t>and enforce, and will continue to maintain and enforce policies and procedures designed to promote and ensure compliance with all applicable anti-bribery and anti-corruption laws.</w:t>
      </w:r>
    </w:p>
    <w:p>
      <w:pPr>
        <w:spacing w:after="0" w:line="156" w:lineRule="exact"/>
        <w:rPr>
          <w:sz w:val="20"/>
          <w:szCs w:val="20"/>
          <w:color w:val="auto"/>
        </w:rPr>
      </w:pPr>
    </w:p>
    <w:p>
      <w:pPr>
        <w:jc w:val="both"/>
        <w:ind w:firstLine="757"/>
        <w:spacing w:after="0" w:line="234" w:lineRule="auto"/>
        <w:tabs>
          <w:tab w:leader="none" w:pos="1193"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Compliance with Anti-Money Laundering Laws.</w:t>
      </w:r>
      <w:r>
        <w:rPr>
          <w:rFonts w:ascii="Arial" w:cs="Arial" w:eastAsia="Arial" w:hAnsi="Arial"/>
          <w:sz w:val="22"/>
          <w:szCs w:val="22"/>
          <w:color w:val="auto"/>
        </w:rPr>
        <w:t xml:space="preserve"> The operations of the Company and its subsidiaries are and have been conducted at all times in compliance with applicable financial recordkeeping and reporting requirements, including those of the Currency and Foreign Transactions Reporting Act of 1970, as amended, the U.S. Bank Secrecy Act, as amended by Title III of the Uniting and Strengthening America by Providing Appropriate Tools Required to Intercept and Obstruct Terrorism Act of 2001 (USA PATRIOT Act), and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Arial" w:cs="Arial" w:eastAsia="Arial" w:hAnsi="Arial"/>
          <w:sz w:val="22"/>
          <w:szCs w:val="22"/>
          <w:b w:val="1"/>
          <w:bCs w:val="1"/>
          <w:u w:val="single" w:color="auto"/>
          <w:color w:val="auto"/>
        </w:rPr>
        <w:t>Anti-Money Laundering Laws</w:t>
      </w:r>
      <w:r>
        <w:rPr>
          <w:rFonts w:ascii="Arial" w:cs="Arial" w:eastAsia="Arial" w:hAnsi="Arial"/>
          <w:sz w:val="22"/>
          <w:szCs w:val="22"/>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5" w:lineRule="exact"/>
        <w:rPr>
          <w:rFonts w:ascii="Arial" w:cs="Arial" w:eastAsia="Arial" w:hAnsi="Arial"/>
          <w:sz w:val="22"/>
          <w:szCs w:val="22"/>
          <w:color w:val="auto"/>
        </w:rPr>
      </w:pPr>
    </w:p>
    <w:p>
      <w:pPr>
        <w:jc w:val="both"/>
        <w:ind w:firstLine="757"/>
        <w:spacing w:after="0" w:line="232" w:lineRule="auto"/>
        <w:tabs>
          <w:tab w:leader="none" w:pos="1062"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No Conflicts with Sanctions Laws.</w:t>
      </w:r>
      <w:r>
        <w:rPr>
          <w:rFonts w:ascii="Arial" w:cs="Arial" w:eastAsia="Arial" w:hAnsi="Arial"/>
          <w:sz w:val="22"/>
          <w:szCs w:val="22"/>
          <w:color w:val="auto"/>
        </w:rPr>
        <w:t xml:space="preserve"> 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22"/>
          <w:szCs w:val="22"/>
          <w:b w:val="1"/>
          <w:bCs w:val="1"/>
          <w:u w:val="single" w:color="auto"/>
          <w:color w:val="auto"/>
        </w:rPr>
        <w:t>OFAC</w:t>
      </w:r>
      <w:r>
        <w:rPr>
          <w:rFonts w:ascii="Arial" w:cs="Arial" w:eastAsia="Arial" w:hAnsi="Arial"/>
          <w:sz w:val="22"/>
          <w:szCs w:val="22"/>
          <w:color w:val="auto"/>
        </w:rPr>
        <w:t>”) or the U.S. Department of State and including, without limitation, the designation as a “specially designated national” or “blocked person”), the United Nations Security Council (“</w:t>
      </w:r>
      <w:r>
        <w:rPr>
          <w:rFonts w:ascii="Arial" w:cs="Arial" w:eastAsia="Arial" w:hAnsi="Arial"/>
          <w:sz w:val="22"/>
          <w:szCs w:val="22"/>
          <w:b w:val="1"/>
          <w:bCs w:val="1"/>
          <w:u w:val="single" w:color="auto"/>
          <w:color w:val="auto"/>
        </w:rPr>
        <w:t>UNSC</w:t>
      </w:r>
      <w:r>
        <w:rPr>
          <w:rFonts w:ascii="Arial" w:cs="Arial" w:eastAsia="Arial" w:hAnsi="Arial"/>
          <w:sz w:val="22"/>
          <w:szCs w:val="22"/>
          <w:color w:val="auto"/>
        </w:rPr>
        <w:t>”), the European Union, HM Treasury (“</w:t>
      </w:r>
      <w:r>
        <w:rPr>
          <w:rFonts w:ascii="Arial" w:cs="Arial" w:eastAsia="Arial" w:hAnsi="Arial"/>
          <w:sz w:val="22"/>
          <w:szCs w:val="22"/>
          <w:b w:val="1"/>
          <w:bCs w:val="1"/>
          <w:u w:val="single" w:color="auto"/>
          <w:color w:val="auto"/>
        </w:rPr>
        <w:t>HMT</w:t>
      </w:r>
      <w:r>
        <w:rPr>
          <w:rFonts w:ascii="Arial" w:cs="Arial" w:eastAsia="Arial" w:hAnsi="Arial"/>
          <w:sz w:val="22"/>
          <w:szCs w:val="22"/>
          <w:color w:val="auto"/>
        </w:rPr>
        <w:t>”) or other relevant sanctions authority (collectively, “</w:t>
      </w:r>
      <w:r>
        <w:rPr>
          <w:rFonts w:ascii="Arial" w:cs="Arial" w:eastAsia="Arial" w:hAnsi="Arial"/>
          <w:sz w:val="22"/>
          <w:szCs w:val="22"/>
          <w:b w:val="1"/>
          <w:bCs w:val="1"/>
          <w:u w:val="single" w:color="auto"/>
          <w:color w:val="auto"/>
        </w:rPr>
        <w:t>Sanctions</w:t>
      </w:r>
      <w:r>
        <w:rPr>
          <w:rFonts w:ascii="Arial" w:cs="Arial" w:eastAsia="Arial" w:hAnsi="Arial"/>
          <w:sz w:val="22"/>
          <w:szCs w:val="22"/>
          <w:color w:val="auto"/>
        </w:rPr>
        <w:t>”), nor is the Company or any of its subsidiaries located, organized or resident in a country or territory that is the subject or target of Sanctions broadly prohibiting dealings with such country or territory, including, without limitation, Cuba, Iran, North Korea, Sudan, Syria, the so-called Donetsk People’s Republic, the so-called Luhansk People’s Republic, any other Covered Region of Ukraine identified pursuant to Executive Order 14065 and Crimea (each, a “</w:t>
      </w:r>
      <w:r>
        <w:rPr>
          <w:rFonts w:ascii="Arial" w:cs="Arial" w:eastAsia="Arial" w:hAnsi="Arial"/>
          <w:sz w:val="22"/>
          <w:szCs w:val="22"/>
          <w:b w:val="1"/>
          <w:bCs w:val="1"/>
          <w:u w:val="single" w:color="auto"/>
          <w:color w:val="auto"/>
        </w:rPr>
        <w:t>Sanctioned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Country</w:t>
      </w:r>
      <w:r>
        <w:rPr>
          <w:rFonts w:ascii="Arial" w:cs="Arial" w:eastAsia="Arial" w:hAnsi="Arial"/>
          <w:sz w:val="22"/>
          <w:szCs w:val="22"/>
          <w:color w:val="auto"/>
        </w:rPr>
        <w:t>”); and the Company will not directly or indirectly use the proceeds of the offering of the Placement Shares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except to the extent permitted for a Person required to comply with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prohibiting such dealing or transaction or with any Sanctioned Country.</w:t>
      </w:r>
    </w:p>
    <w:p>
      <w:pPr>
        <w:spacing w:after="0" w:line="183" w:lineRule="exact"/>
        <w:rPr>
          <w:rFonts w:ascii="Arial" w:cs="Arial" w:eastAsia="Arial" w:hAnsi="Arial"/>
          <w:sz w:val="22"/>
          <w:szCs w:val="22"/>
          <w:color w:val="auto"/>
        </w:rPr>
      </w:pPr>
    </w:p>
    <w:p>
      <w:pPr>
        <w:jc w:val="both"/>
        <w:ind w:firstLine="757"/>
        <w:spacing w:after="0" w:line="235" w:lineRule="auto"/>
        <w:tabs>
          <w:tab w:leader="none" w:pos="1049"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Accounting Controls</w:t>
      </w:r>
      <w:r>
        <w:rPr>
          <w:rFonts w:ascii="Arial" w:cs="Arial" w:eastAsia="Arial" w:hAnsi="Arial"/>
          <w:sz w:val="22"/>
          <w:szCs w:val="22"/>
          <w:color w:val="auto"/>
        </w:rPr>
        <w:t>. The Company and its subsidiaries maintain systems of “internal control over financial reporting” (as defined in Rule 13a-15(f) of the Exchange Act) that are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8" w:lineRule="exact"/>
        <w:rPr>
          <w:rFonts w:ascii="Arial" w:cs="Arial" w:eastAsia="Arial" w:hAnsi="Arial"/>
          <w:sz w:val="22"/>
          <w:szCs w:val="22"/>
          <w:color w:val="auto"/>
        </w:rPr>
      </w:pPr>
    </w:p>
    <w:p>
      <w:pPr>
        <w:ind w:left="5520" w:hanging="106"/>
        <w:spacing w:after="0"/>
        <w:tabs>
          <w:tab w:leader="none" w:pos="55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3" w:name="page184"/>
    <w:bookmarkEnd w:id="183"/>
    <w:p>
      <w:pPr>
        <w:jc w:val="both"/>
        <w:spacing w:after="0" w:line="234" w:lineRule="auto"/>
        <w:rPr>
          <w:sz w:val="20"/>
          <w:szCs w:val="20"/>
          <w:color w:val="auto"/>
        </w:rPr>
      </w:pPr>
      <w:r>
        <w:rPr>
          <w:rFonts w:ascii="Arial" w:cs="Arial" w:eastAsia="Arial" w:hAnsi="Arial"/>
          <w:sz w:val="22"/>
          <w:szCs w:val="22"/>
          <w:color w:val="auto"/>
        </w:rPr>
        <w:t>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76" w:lineRule="exact"/>
        <w:rPr>
          <w:sz w:val="20"/>
          <w:szCs w:val="20"/>
          <w:color w:val="auto"/>
        </w:rPr>
      </w:pPr>
    </w:p>
    <w:p>
      <w:pPr>
        <w:jc w:val="both"/>
        <w:ind w:firstLine="757"/>
        <w:spacing w:after="0" w:line="236" w:lineRule="auto"/>
        <w:tabs>
          <w:tab w:leader="none" w:pos="1209"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Disclosure Controls</w:t>
      </w:r>
      <w:r>
        <w:rPr>
          <w:rFonts w:ascii="Arial" w:cs="Arial" w:eastAsia="Arial" w:hAnsi="Arial"/>
          <w:sz w:val="22"/>
          <w:szCs w:val="22"/>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75" w:lineRule="exact"/>
        <w:rPr>
          <w:rFonts w:ascii="Arial" w:cs="Arial" w:eastAsia="Arial" w:hAnsi="Arial"/>
          <w:sz w:val="22"/>
          <w:szCs w:val="22"/>
          <w:color w:val="auto"/>
        </w:rPr>
      </w:pPr>
    </w:p>
    <w:p>
      <w:pPr>
        <w:jc w:val="both"/>
        <w:ind w:firstLine="757"/>
        <w:spacing w:after="0" w:line="232" w:lineRule="auto"/>
        <w:tabs>
          <w:tab w:leader="none" w:pos="1062"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Compliance with Environmental Laws</w:t>
      </w:r>
      <w:r>
        <w:rPr>
          <w:rFonts w:ascii="Arial" w:cs="Arial" w:eastAsia="Arial" w:hAnsi="Arial"/>
          <w:sz w:val="22"/>
          <w:szCs w:val="22"/>
          <w:color w:val="auto"/>
        </w:rPr>
        <w:t>. The Company and its subsidiaries (x) are in compliance with all, and have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Arial" w:cs="Arial" w:eastAsia="Arial" w:hAnsi="Arial"/>
          <w:sz w:val="22"/>
          <w:szCs w:val="22"/>
          <w:b w:val="1"/>
          <w:bCs w:val="1"/>
          <w:u w:val="single" w:color="auto"/>
          <w:color w:val="auto"/>
        </w:rPr>
        <w:t>Environmental Laws</w:t>
      </w:r>
      <w:r>
        <w:rPr>
          <w:rFonts w:ascii="Arial" w:cs="Arial" w:eastAsia="Arial" w:hAnsi="Arial"/>
          <w:sz w:val="22"/>
          <w:szCs w:val="22"/>
          <w:color w:val="auto"/>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result in a Material Adverse Change; and (iii) except as described in the Prospectus, (x) there is no proceeding that is pending, or that is known by the Company to be contemplated, against the Company or any of its subsidiaries under any Environmental Laws in which a governmental entity is also a party, other than such proceeding regarding which is the Company reasonably believes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result in a Material Adverse Change, and (z) none of the Company or its subsidiaries anticipates material capital expenditures relating to any Environmental Laws.</w:t>
      </w:r>
    </w:p>
    <w:p>
      <w:pPr>
        <w:spacing w:after="0" w:line="183" w:lineRule="exact"/>
        <w:rPr>
          <w:rFonts w:ascii="Arial" w:cs="Arial" w:eastAsia="Arial" w:hAnsi="Arial"/>
          <w:sz w:val="22"/>
          <w:szCs w:val="22"/>
          <w:color w:val="auto"/>
        </w:rPr>
      </w:pPr>
    </w:p>
    <w:p>
      <w:pPr>
        <w:ind w:firstLine="757"/>
        <w:spacing w:after="0" w:line="259" w:lineRule="auto"/>
        <w:tabs>
          <w:tab w:leader="none" w:pos="136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Except as otherwise described in the Prospectus (i) the Company and its subsidiaries own or have the right to use all patent applications, patents, trademarks, trademark</w:t>
      </w:r>
    </w:p>
    <w:p>
      <w:pPr>
        <w:spacing w:after="0" w:line="200" w:lineRule="exact"/>
        <w:rPr>
          <w:rFonts w:ascii="Arial" w:cs="Arial" w:eastAsia="Arial" w:hAnsi="Arial"/>
          <w:sz w:val="22"/>
          <w:szCs w:val="22"/>
          <w:color w:val="auto"/>
        </w:rPr>
      </w:pPr>
    </w:p>
    <w:p>
      <w:pPr>
        <w:spacing w:after="0" w:line="395" w:lineRule="exact"/>
        <w:rPr>
          <w:rFonts w:ascii="Arial" w:cs="Arial" w:eastAsia="Arial" w:hAnsi="Arial"/>
          <w:sz w:val="22"/>
          <w:szCs w:val="22"/>
          <w:color w:val="auto"/>
        </w:rPr>
      </w:pPr>
    </w:p>
    <w:p>
      <w:pPr>
        <w:ind w:left="5520" w:hanging="106"/>
        <w:spacing w:after="0"/>
        <w:tabs>
          <w:tab w:leader="none" w:pos="55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4" w:name="page185"/>
    <w:bookmarkEnd w:id="184"/>
    <w:p>
      <w:pPr>
        <w:jc w:val="both"/>
        <w:spacing w:after="0" w:line="243" w:lineRule="auto"/>
        <w:rPr>
          <w:sz w:val="20"/>
          <w:szCs w:val="20"/>
          <w:color w:val="auto"/>
        </w:rPr>
      </w:pPr>
      <w:r>
        <w:rPr>
          <w:rFonts w:ascii="Arial" w:cs="Arial" w:eastAsia="Arial" w:hAnsi="Arial"/>
          <w:sz w:val="21"/>
          <w:szCs w:val="21"/>
          <w:color w:val="auto"/>
        </w:rPr>
        <w:t>registrations, trademark applications, service marks, service mark registrations, service mark applications, trade names, service names, Internet domain names and other source indicators, copyrights, copyright registrations, copyrightable works, databases, formulae, know-how, trade secrets, systems, procedures, proprietary or confidential information and all other intellectual property, industrial property and proprietary rights (including other unpatented and/or unpatentable proprietary confidential information, systems, or procedures), and all goodwill associated with any of the foregoing (collectively, “</w:t>
      </w:r>
      <w:r>
        <w:rPr>
          <w:rFonts w:ascii="Arial" w:cs="Arial" w:eastAsia="Arial" w:hAnsi="Arial"/>
          <w:sz w:val="21"/>
          <w:szCs w:val="21"/>
          <w:b w:val="1"/>
          <w:bCs w:val="1"/>
          <w:u w:val="single" w:color="auto"/>
          <w:color w:val="auto"/>
        </w:rPr>
        <w:t>Intellectual Property</w:t>
      </w:r>
      <w:r>
        <w:rPr>
          <w:rFonts w:ascii="Arial" w:cs="Arial" w:eastAsia="Arial" w:hAnsi="Arial"/>
          <w:sz w:val="21"/>
          <w:szCs w:val="21"/>
          <w:color w:val="auto"/>
        </w:rPr>
        <w:t>”), in each case used or held for use in, or necessary for the conduct of their respective businesses as conducted or proposed to be conducted in the Prospectus; (ii) to the Company’s knowledge, the Company’s and its subsidiaries’ conduct of their respective businesses as currently conducted or as proposed to be conducted in the Prospectus does not infringe, misappropriate or otherwise violate, and has not infringed, misappropriated, or otherwise violated, any valid and enforceable Intellectual Property of any third party; (iii) there is no pending or, to the knowledge of the Company, threatened action, suit, proceeding or claim by any third party (A) alleging that the Company or any of its subsidiaries has infringed, misappropriated or otherwise violated the Intellectual Property rights of any third party, or (B) challenging the inventorship, ownership, validity, scope or enforceability of, or any rights of the Company or any of its subsidiaries in, any Intellectual Property owned by or licensed to the Company or any of its subsidiaries; (iv) no Intellectual Property owned by or exclusively licensed to the Company or any of its subsidiaries has been adjudged invalid or unenforceable and, to the Company’s knowledge, all such Intellectual Property is valid and enforceable; (v) to the knowledge of the Company, no third party has infringed, misappropriated or otherwise violated any Intellectual Property owned by or exclusively licensed to the Company or any of its subsidiaries; (vi) the Company and its subsidiaries have at all times taken reasonable steps in accordance with normal industry practice to maintain confidentiality of all Intellectual Property whose value to the Company or its subsidiaries is contingent upon maintaining the confidentiality thereof, including by requiring employees, contractors, consultants and other third parties who receive such Intellectual Property to execute appropriate agreements to maintain such confidentiality; and (vii) all current and former employees and consultants and other parties involved in the development of Intellectual Property for the Company or any of its subsidiaries have signed agreements with the Company or its subsidiaries, pursuant to which the Company or its subsidiaries either (A) have obtained ownership of and are the exclusive owners of such Intellectual Property, or (B) have obtained a valid right to exploit such Intellectual Property, sufficient for the conduct of their respective businesses as currently conducted or as proposed to be conducted in the Prospectus.</w:t>
      </w:r>
    </w:p>
    <w:p>
      <w:pPr>
        <w:spacing w:after="0" w:line="200" w:lineRule="exact"/>
        <w:rPr>
          <w:sz w:val="20"/>
          <w:szCs w:val="20"/>
          <w:color w:val="auto"/>
        </w:rPr>
      </w:pPr>
    </w:p>
    <w:p>
      <w:pPr>
        <w:spacing w:after="0" w:line="218" w:lineRule="exact"/>
        <w:rPr>
          <w:sz w:val="20"/>
          <w:szCs w:val="20"/>
          <w:color w:val="auto"/>
        </w:rPr>
      </w:pPr>
    </w:p>
    <w:p>
      <w:pPr>
        <w:jc w:val="both"/>
        <w:ind w:firstLine="757"/>
        <w:spacing w:after="0" w:line="234" w:lineRule="auto"/>
        <w:tabs>
          <w:tab w:leader="none" w:pos="124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Listing</w:t>
      </w:r>
      <w:r>
        <w:rPr>
          <w:rFonts w:ascii="Arial" w:cs="Arial" w:eastAsia="Arial" w:hAnsi="Arial"/>
          <w:sz w:val="22"/>
          <w:szCs w:val="22"/>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Placement Shares that have been or may be sold under this Agreement have been approved for listing on Nasdaq; the Company has taken all necessary actions to ensure that, upon and at all times after Nasdaq shall have approved the Placement Shares for listing, it will be in compliance with all applicable corporate governance requirements set forth in Nasdaq’s listing rules that are then in effect.</w:t>
      </w:r>
    </w:p>
    <w:p>
      <w:pPr>
        <w:spacing w:after="0" w:line="179" w:lineRule="exact"/>
        <w:rPr>
          <w:rFonts w:ascii="Arial" w:cs="Arial" w:eastAsia="Arial" w:hAnsi="Arial"/>
          <w:sz w:val="22"/>
          <w:szCs w:val="22"/>
          <w:color w:val="auto"/>
        </w:rPr>
      </w:pPr>
    </w:p>
    <w:p>
      <w:pPr>
        <w:jc w:val="both"/>
        <w:ind w:firstLine="757"/>
        <w:spacing w:after="0" w:line="245" w:lineRule="auto"/>
        <w:tabs>
          <w:tab w:leader="none" w:pos="1193"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Except for the Agent, there is no broker, finder or other party that is entitled to receive from the Company or any of its subsidiaries any brokerage or finder’s fee or other fee or commission as a result of any transactions contemplated by this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20" w:hanging="106"/>
        <w:spacing w:after="0"/>
        <w:tabs>
          <w:tab w:leader="none" w:pos="55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5" w:name="page186"/>
    <w:bookmarkEnd w:id="185"/>
    <w:p>
      <w:pPr>
        <w:jc w:val="both"/>
        <w:ind w:left="-757" w:firstLine="757"/>
        <w:spacing w:after="0"/>
        <w:tabs>
          <w:tab w:leader="none" w:pos="463"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No Outstanding Loans or Other Indebtedness</w:t>
      </w:r>
      <w:r>
        <w:rPr>
          <w:rFonts w:ascii="Arial" w:cs="Arial" w:eastAsia="Arial" w:hAnsi="Arial"/>
          <w:sz w:val="22"/>
          <w:szCs w:val="22"/>
          <w:color w:val="auto"/>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176" w:lineRule="exact"/>
        <w:rPr>
          <w:rFonts w:ascii="Arial" w:cs="Arial" w:eastAsia="Arial" w:hAnsi="Arial"/>
          <w:sz w:val="22"/>
          <w:szCs w:val="22"/>
          <w:color w:val="auto"/>
        </w:rPr>
      </w:pPr>
    </w:p>
    <w:p>
      <w:pPr>
        <w:ind w:left="-757" w:right="20" w:firstLine="757"/>
        <w:spacing w:after="0" w:line="259" w:lineRule="auto"/>
        <w:tabs>
          <w:tab w:leader="none" w:pos="45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No Reliance</w:t>
      </w:r>
      <w:r>
        <w:rPr>
          <w:rFonts w:ascii="Arial" w:cs="Arial" w:eastAsia="Arial" w:hAnsi="Arial"/>
          <w:sz w:val="22"/>
          <w:szCs w:val="22"/>
          <w:color w:val="auto"/>
        </w:rPr>
        <w:t>. The Company has not relied upon the Agent or legal counsel for the Agent for any legal, tax or accounting advice in connection with the offering and sale of the Placement Shares.</w:t>
      </w:r>
    </w:p>
    <w:p>
      <w:pPr>
        <w:spacing w:after="0" w:line="156" w:lineRule="exact"/>
        <w:rPr>
          <w:rFonts w:ascii="Arial" w:cs="Arial" w:eastAsia="Arial" w:hAnsi="Arial"/>
          <w:sz w:val="22"/>
          <w:szCs w:val="22"/>
          <w:color w:val="auto"/>
        </w:rPr>
      </w:pPr>
    </w:p>
    <w:p>
      <w:pPr>
        <w:jc w:val="both"/>
        <w:ind w:left="-757" w:firstLine="757"/>
        <w:spacing w:after="0" w:line="245" w:lineRule="auto"/>
        <w:tabs>
          <w:tab w:leader="none" w:pos="353"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FINRA Exemption</w:t>
      </w:r>
      <w:r>
        <w:rPr>
          <w:rFonts w:ascii="Arial" w:cs="Arial" w:eastAsia="Arial" w:hAnsi="Arial"/>
          <w:sz w:val="22"/>
          <w:szCs w:val="22"/>
          <w:color w:val="auto"/>
        </w:rPr>
        <w:t>. The Company qualifies as an “experienced issuer” (within the meaning of Financial Industry Regulatory Authority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Conduct Rule 5110(j)(6)) for purposes of the exemption from filing under FINRA Conduct Rule 5110(h)(1)(C).</w:t>
      </w:r>
    </w:p>
    <w:p>
      <w:pPr>
        <w:spacing w:after="0" w:line="170" w:lineRule="exact"/>
        <w:rPr>
          <w:rFonts w:ascii="Arial" w:cs="Arial" w:eastAsia="Arial" w:hAnsi="Arial"/>
          <w:sz w:val="22"/>
          <w:szCs w:val="22"/>
          <w:color w:val="auto"/>
        </w:rPr>
      </w:pPr>
    </w:p>
    <w:p>
      <w:pPr>
        <w:jc w:val="both"/>
        <w:ind w:left="-757" w:firstLine="757"/>
        <w:spacing w:after="0"/>
        <w:tabs>
          <w:tab w:leader="none" w:pos="425"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176" w:lineRule="exact"/>
        <w:rPr>
          <w:rFonts w:ascii="Arial" w:cs="Arial" w:eastAsia="Arial" w:hAnsi="Arial"/>
          <w:sz w:val="22"/>
          <w:szCs w:val="22"/>
          <w:color w:val="auto"/>
        </w:rPr>
      </w:pPr>
    </w:p>
    <w:p>
      <w:pPr>
        <w:jc w:val="both"/>
        <w:ind w:left="-757" w:firstLine="757"/>
        <w:spacing w:after="0" w:line="232" w:lineRule="auto"/>
        <w:tabs>
          <w:tab w:leader="none" w:pos="31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Privacy Laws</w:t>
      </w:r>
      <w:r>
        <w:rPr>
          <w:rFonts w:ascii="Arial" w:cs="Arial" w:eastAsia="Arial" w:hAnsi="Arial"/>
          <w:sz w:val="22"/>
          <w:szCs w:val="22"/>
          <w:color w:val="auto"/>
        </w:rPr>
        <w:t>. The Company and its subsidiaries are presently in compliance with and, to their knowledge have complied with, all applicable laws or statutes (including without limitation, to the extent applicable, the Health Insurance Portability and Accountability Act of 1996, as amended by the Health Information Technology for Economic and Clinical Health Act, the California Consumer Privacy Act and the European Union General Data Protection Regulation) and all applicable judgments, orders, rules and regulations of any court or arbitrator or governmental or regulatory authority, approved final versions of internal and external policies, and contractual obligations relating to the privacy and security of IT Systems and the collection, use, transfer, import, export, storage, disposal and disclosure of Personal Data and to the protection of such IT Systems and Personal Data from unauthorized use, access, misappropriation or modification (“</w:t>
      </w:r>
      <w:r>
        <w:rPr>
          <w:rFonts w:ascii="Arial" w:cs="Arial" w:eastAsia="Arial" w:hAnsi="Arial"/>
          <w:sz w:val="22"/>
          <w:szCs w:val="22"/>
          <w:b w:val="1"/>
          <w:bCs w:val="1"/>
          <w:color w:val="auto"/>
        </w:rPr>
        <w:t>Data Security Obligations</w:t>
      </w:r>
      <w:r>
        <w:rPr>
          <w:rFonts w:ascii="Arial" w:cs="Arial" w:eastAsia="Arial" w:hAnsi="Arial"/>
          <w:sz w:val="22"/>
          <w:szCs w:val="22"/>
          <w:color w:val="auto"/>
        </w:rPr>
        <w:t>”); (ii) neither the Company nor any of its subsidiaries have received any notification of or complaint regarding any non-compliance with any Data Security Obligation; (iii) there is no pending or, to the Company’s knowledge, threatened, action, suit or proceeding by or before any court or governmental agency, authority or body alleging non-compliance with any Data Security Obligation; and (iv) the Company and its subsidiaries have made all disclosures as required by applicable laws and regulatory rules or requirements in connection with such Data Security Obligations, and no such disclosures have been inaccurate or in violation of any applicable laws or regulatory rules and requirements, except in the case of each of (i)-(iv) above, for any such matter as would not, individually or in the aggregate, reasonably be expected to result a Material Adverse Change.</w:t>
      </w:r>
    </w:p>
    <w:p>
      <w:pPr>
        <w:spacing w:after="0" w:line="189" w:lineRule="exact"/>
        <w:rPr>
          <w:rFonts w:ascii="Arial" w:cs="Arial" w:eastAsia="Arial" w:hAnsi="Arial"/>
          <w:sz w:val="22"/>
          <w:szCs w:val="22"/>
          <w:color w:val="auto"/>
        </w:rPr>
      </w:pPr>
    </w:p>
    <w:p>
      <w:pPr>
        <w:jc w:val="both"/>
        <w:ind w:left="-757" w:firstLine="757"/>
        <w:spacing w:after="0" w:line="234" w:lineRule="auto"/>
        <w:tabs>
          <w:tab w:leader="none" w:pos="517"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IT Systems</w:t>
      </w:r>
      <w:r>
        <w:rPr>
          <w:rFonts w:ascii="Arial" w:cs="Arial" w:eastAsia="Arial" w:hAnsi="Arial"/>
          <w:sz w:val="22"/>
          <w:szCs w:val="22"/>
          <w:color w:val="auto"/>
        </w:rPr>
        <w:t>. The Company and its subsidiaries’ information technology assets and equipment, computers, systems, networks, hardware, software, websites, applications, and databases owned or used by the Company or its subsidiaries (collectively, “</w:t>
      </w:r>
      <w:r>
        <w:rPr>
          <w:rFonts w:ascii="Arial" w:cs="Arial" w:eastAsia="Arial" w:hAnsi="Arial"/>
          <w:sz w:val="22"/>
          <w:szCs w:val="22"/>
          <w:b w:val="1"/>
          <w:bCs w:val="1"/>
          <w:color w:val="auto"/>
        </w:rPr>
        <w:t>IT Systems</w:t>
      </w:r>
      <w:r>
        <w:rPr>
          <w:rFonts w:ascii="Arial" w:cs="Arial" w:eastAsia="Arial" w:hAnsi="Arial"/>
          <w:sz w:val="22"/>
          <w:szCs w:val="22"/>
          <w:color w:val="auto"/>
        </w:rPr>
        <w:t>”) are adequate for, and operate and perform in all material respects as required in connection with the operation of the business of the Company and its subsidiaries as currently conducted and as proposed to be conducted in the Registration Statement and the Prospectus,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22"/>
          <w:szCs w:val="22"/>
          <w:b w:val="1"/>
          <w:bCs w:val="1"/>
          <w:color w:val="auto"/>
        </w:rPr>
        <w:t>Personal Data</w:t>
      </w:r>
      <w:r>
        <w:rPr>
          <w:rFonts w:ascii="Arial" w:cs="Arial" w:eastAsia="Arial" w:hAnsi="Arial"/>
          <w:sz w:val="22"/>
          <w:szCs w:val="22"/>
          <w:color w:val="auto"/>
        </w:rPr>
        <w:t>”)) collected, used, stored or processed in connection with their businesses, and, to the Company’s knowledge, there have been no breaches,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left="4763" w:hanging="106"/>
        <w:spacing w:after="0"/>
        <w:tabs>
          <w:tab w:leader="none" w:pos="4763" w:val="left"/>
        </w:tabs>
        <w:numPr>
          <w:ilvl w:val="1"/>
          <w:numId w:val="85"/>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64" w:right="339" w:bottom="1440" w:gutter="0" w:footer="0" w:header="0"/>
        </w:sectPr>
      </w:pPr>
    </w:p>
    <w:bookmarkStart w:id="186" w:name="page187"/>
    <w:bookmarkEnd w:id="186"/>
    <w:p>
      <w:pPr>
        <w:jc w:val="both"/>
        <w:spacing w:after="0" w:line="245" w:lineRule="auto"/>
        <w:rPr>
          <w:sz w:val="20"/>
          <w:szCs w:val="20"/>
          <w:color w:val="auto"/>
        </w:rPr>
      </w:pPr>
      <w:r>
        <w:rPr>
          <w:rFonts w:ascii="Arial" w:cs="Arial" w:eastAsia="Arial" w:hAnsi="Arial"/>
          <w:sz w:val="22"/>
          <w:szCs w:val="22"/>
          <w:color w:val="auto"/>
        </w:rPr>
        <w:t>violations, outages or unauthorized uses of or accesses to same, except for those that have been remedied without material cost or liability or the duty to notify any other person or entity, nor any incidents under internal review or investigations relating to the same.</w:t>
      </w:r>
    </w:p>
    <w:p>
      <w:pPr>
        <w:spacing w:after="0" w:line="170" w:lineRule="exact"/>
        <w:rPr>
          <w:sz w:val="20"/>
          <w:szCs w:val="20"/>
          <w:color w:val="auto"/>
        </w:rPr>
      </w:pPr>
    </w:p>
    <w:p>
      <w:pPr>
        <w:jc w:val="both"/>
        <w:ind w:firstLine="757"/>
        <w:spacing w:after="0" w:line="233" w:lineRule="auto"/>
        <w:tabs>
          <w:tab w:leader="none" w:pos="1169"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Export and Import Laws</w:t>
      </w:r>
      <w:r>
        <w:rPr>
          <w:rFonts w:ascii="Arial" w:cs="Arial" w:eastAsia="Arial" w:hAnsi="Arial"/>
          <w:sz w:val="22"/>
          <w:szCs w:val="22"/>
          <w:color w:val="auto"/>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Arial" w:cs="Arial" w:eastAsia="Arial" w:hAnsi="Arial"/>
          <w:sz w:val="22"/>
          <w:szCs w:val="22"/>
          <w:b w:val="1"/>
          <w:bCs w:val="1"/>
          <w:u w:val="single" w:color="auto"/>
          <w:color w:val="auto"/>
        </w:rPr>
        <w:t>Export and Import Laws</w:t>
      </w:r>
      <w:r>
        <w:rPr>
          <w:rFonts w:ascii="Arial" w:cs="Arial" w:eastAsia="Arial" w:hAnsi="Arial"/>
          <w:sz w:val="22"/>
          <w:szCs w:val="22"/>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84" w:lineRule="exact"/>
        <w:rPr>
          <w:rFonts w:ascii="Arial" w:cs="Arial" w:eastAsia="Arial" w:hAnsi="Arial"/>
          <w:sz w:val="22"/>
          <w:szCs w:val="22"/>
          <w:color w:val="auto"/>
        </w:rPr>
      </w:pPr>
    </w:p>
    <w:p>
      <w:pPr>
        <w:jc w:val="both"/>
        <w:ind w:firstLine="757"/>
        <w:spacing w:after="0" w:line="245" w:lineRule="auto"/>
        <w:tabs>
          <w:tab w:leader="none" w:pos="1265"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Margin Rules.</w:t>
      </w:r>
      <w:r>
        <w:rPr>
          <w:rFonts w:ascii="Arial" w:cs="Arial" w:eastAsia="Arial" w:hAnsi="Arial"/>
          <w:sz w:val="22"/>
          <w:szCs w:val="22"/>
          <w:color w:val="auto"/>
        </w:rPr>
        <w:t xml:space="preserve"> Neither the issuance, sale and delivery of the Placement Shares nor the application of the proceeds thereof by the Company as described in the Prospectus will violate Regulation T, U or X of the Board of Governors of the Federal Reserve System or any other regulation of such Board of Governors.</w:t>
      </w:r>
    </w:p>
    <w:p>
      <w:pPr>
        <w:spacing w:after="0" w:line="170" w:lineRule="exact"/>
        <w:rPr>
          <w:rFonts w:ascii="Arial" w:cs="Arial" w:eastAsia="Arial" w:hAnsi="Arial"/>
          <w:sz w:val="22"/>
          <w:szCs w:val="22"/>
          <w:color w:val="auto"/>
        </w:rPr>
      </w:pPr>
    </w:p>
    <w:p>
      <w:pPr>
        <w:jc w:val="both"/>
        <w:ind w:firstLine="757"/>
        <w:spacing w:after="0" w:line="245" w:lineRule="auto"/>
        <w:tabs>
          <w:tab w:leader="none" w:pos="1182"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Forward-Looking Statements.</w:t>
      </w:r>
      <w:r>
        <w:rPr>
          <w:rFonts w:ascii="Arial" w:cs="Arial" w:eastAsia="Arial" w:hAnsi="Arial"/>
          <w:sz w:val="22"/>
          <w:szCs w:val="22"/>
          <w:color w:val="auto"/>
        </w:rPr>
        <w:t xml:space="preserve"> No forward-looking statement (within the meaning of Section 27A of the Securities Act and Section 21E of the Exchange Act) included in any of the Registration Statement or the Prospectus has been made or reaffirmed without a reasonable basis or has been disclosed other than in good faith.</w:t>
      </w:r>
    </w:p>
    <w:p>
      <w:pPr>
        <w:spacing w:after="0" w:line="170" w:lineRule="exact"/>
        <w:rPr>
          <w:rFonts w:ascii="Arial" w:cs="Arial" w:eastAsia="Arial" w:hAnsi="Arial"/>
          <w:sz w:val="22"/>
          <w:szCs w:val="22"/>
          <w:color w:val="auto"/>
        </w:rPr>
      </w:pPr>
    </w:p>
    <w:p>
      <w:pPr>
        <w:jc w:val="both"/>
        <w:ind w:firstLine="757"/>
        <w:spacing w:after="0" w:line="238" w:lineRule="auto"/>
        <w:tabs>
          <w:tab w:leader="none" w:pos="119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Statistical and Market Data.</w:t>
      </w:r>
      <w:r>
        <w:rPr>
          <w:rFonts w:ascii="Arial" w:cs="Arial" w:eastAsia="Arial" w:hAnsi="Arial"/>
          <w:sz w:val="22"/>
          <w:szCs w:val="22"/>
          <w:color w:val="auto"/>
        </w:rPr>
        <w:t xml:space="preserve"> Nothing has come to the attention of the Company that has caused the Company to believe that the statistical and market-related data included in or incorporated by reference in each of the Registration Statement and the Prospectus is not based on or derived from sources that are reliable and accurate in all material respects, and, to the extent required by such sources, the Company has obtained the written consent to the use of such data from such sources.</w:t>
      </w:r>
    </w:p>
    <w:p>
      <w:pPr>
        <w:spacing w:after="0" w:line="176" w:lineRule="exact"/>
        <w:rPr>
          <w:rFonts w:ascii="Arial" w:cs="Arial" w:eastAsia="Arial" w:hAnsi="Arial"/>
          <w:sz w:val="22"/>
          <w:szCs w:val="22"/>
          <w:color w:val="auto"/>
        </w:rPr>
      </w:pPr>
    </w:p>
    <w:p>
      <w:pPr>
        <w:jc w:val="both"/>
        <w:ind w:firstLine="757"/>
        <w:spacing w:after="0" w:line="243" w:lineRule="auto"/>
        <w:tabs>
          <w:tab w:leader="none" w:pos="1209"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Sarbanes-Oxley Act.</w:t>
      </w:r>
      <w:r>
        <w:rPr>
          <w:rFonts w:ascii="Arial" w:cs="Arial" w:eastAsia="Arial" w:hAnsi="Arial"/>
          <w:sz w:val="22"/>
          <w:szCs w:val="22"/>
          <w:color w:val="auto"/>
        </w:rPr>
        <w:t xml:space="preserve">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(the “</w:t>
      </w:r>
      <w:r>
        <w:rPr>
          <w:rFonts w:ascii="Arial" w:cs="Arial" w:eastAsia="Arial" w:hAnsi="Arial"/>
          <w:sz w:val="22"/>
          <w:szCs w:val="22"/>
          <w:b w:val="1"/>
          <w:bCs w:val="1"/>
          <w:u w:val="single" w:color="auto"/>
          <w:color w:val="auto"/>
        </w:rPr>
        <w:t>Sarbanes-Oxley Act</w:t>
      </w:r>
      <w:r>
        <w:rPr>
          <w:rFonts w:ascii="Arial" w:cs="Arial" w:eastAsia="Arial" w:hAnsi="Arial"/>
          <w:sz w:val="22"/>
          <w:szCs w:val="22"/>
          <w:color w:val="auto"/>
        </w:rPr>
        <w:t>”), including Section 402 related to loans and Sections 302 and 906 relating to certifications.</w:t>
      </w:r>
    </w:p>
    <w:p>
      <w:pPr>
        <w:spacing w:after="0" w:line="163" w:lineRule="exact"/>
        <w:rPr>
          <w:sz w:val="20"/>
          <w:szCs w:val="20"/>
          <w:color w:val="auto"/>
        </w:rPr>
      </w:pPr>
    </w:p>
    <w:p>
      <w:pPr>
        <w:jc w:val="both"/>
        <w:ind w:firstLine="757"/>
        <w:spacing w:after="0" w:line="247" w:lineRule="auto"/>
        <w:tabs>
          <w:tab w:leader="none" w:pos="134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Clinical Trials.</w:t>
      </w:r>
      <w:r>
        <w:rPr>
          <w:rFonts w:ascii="Arial" w:cs="Arial" w:eastAsia="Arial" w:hAnsi="Arial"/>
          <w:sz w:val="21"/>
          <w:szCs w:val="21"/>
          <w:color w:val="auto"/>
        </w:rPr>
        <w:t xml:space="preserve"> The clinical and pre-clinical trials conducted by or on behalf of or sponsored by the Company or any of its subsidiaries, or in which the Company or any of its subsidiaries has participated, that are described in the Registration Statement and the Prospectus, or the results of which are referred to in the Registration Statement and the Prospectus, as applicable, were, and if still pending are, being conducted in accordance with standard medical and scientific research standards and procedures and all applicable statutes, rules and regulations of the FDA and other applicable regulatory authorities (collectively, the “</w:t>
      </w:r>
      <w:r>
        <w:rPr>
          <w:rFonts w:ascii="Arial" w:cs="Arial" w:eastAsia="Arial" w:hAnsi="Arial"/>
          <w:sz w:val="21"/>
          <w:szCs w:val="21"/>
          <w:b w:val="1"/>
          <w:bCs w:val="1"/>
          <w:u w:val="single" w:color="auto"/>
          <w:color w:val="auto"/>
        </w:rPr>
        <w:t>Regulatory Authorities</w:t>
      </w:r>
      <w:r>
        <w:rPr>
          <w:rFonts w:ascii="Arial" w:cs="Arial" w:eastAsia="Arial" w:hAnsi="Arial"/>
          <w:sz w:val="21"/>
          <w:szCs w:val="21"/>
          <w:color w:val="auto"/>
        </w:rPr>
        <w:t>”) and current Good Clinical Practices and Good Laboratory Practices; the descriptions in the Registration Statement and the Prospectus of the results of such studies and tests are accurate and complete and fairly present the data derived from</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1" w:lineRule="exact"/>
        <w:rPr>
          <w:rFonts w:ascii="Arial" w:cs="Arial" w:eastAsia="Arial" w:hAnsi="Arial"/>
          <w:sz w:val="21"/>
          <w:szCs w:val="21"/>
          <w:color w:val="auto"/>
        </w:rPr>
      </w:pPr>
    </w:p>
    <w:p>
      <w:pPr>
        <w:ind w:left="5520" w:hanging="106"/>
        <w:spacing w:after="0"/>
        <w:tabs>
          <w:tab w:leader="none" w:pos="55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7" w:name="page188"/>
    <w:bookmarkEnd w:id="187"/>
    <w:p>
      <w:pPr>
        <w:jc w:val="both"/>
        <w:spacing w:after="0" w:line="246" w:lineRule="auto"/>
        <w:rPr>
          <w:sz w:val="20"/>
          <w:szCs w:val="20"/>
          <w:color w:val="auto"/>
        </w:rPr>
      </w:pPr>
      <w:r>
        <w:rPr>
          <w:rFonts w:ascii="Arial" w:cs="Arial" w:eastAsia="Arial" w:hAnsi="Arial"/>
          <w:sz w:val="21"/>
          <w:szCs w:val="21"/>
          <w:color w:val="auto"/>
        </w:rPr>
        <w:t>such trials; neither the Company nor any of its subsidiaries has any knowledge of any other trials, the results of which are inconsistent with or call into question the results described or referred to in the Registration Statement or the Prospectus; the Company and each of its subsidiaries have operated at all times and are currently in compliance in all material respects with all applicable statutes, rules and regulations of the Regulatory Authorities; neither the Company nor any of its subsidiaries has received any written notices, correspondence or other communications from the Regulatory Authorities or any other governmental agency requiring or threatening the termination, modification or suspension of any clinical or pre-clinical trials that are described in the Registration Statement and the Prospectus or the results of which are referred to in the Registration Statement and the Prospectus, and, to the knowledge of the Company and its subsidiaries, there are no reasonable grounds for the same.</w:t>
      </w:r>
    </w:p>
    <w:p>
      <w:pPr>
        <w:spacing w:after="0" w:line="175" w:lineRule="exact"/>
        <w:rPr>
          <w:sz w:val="20"/>
          <w:szCs w:val="20"/>
          <w:color w:val="auto"/>
        </w:rPr>
      </w:pPr>
    </w:p>
    <w:p>
      <w:pPr>
        <w:jc w:val="both"/>
        <w:ind w:firstLine="757"/>
        <w:spacing w:after="0" w:line="238" w:lineRule="auto"/>
        <w:tabs>
          <w:tab w:leader="none" w:pos="1313"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Regulatory Filings.</w:t>
      </w:r>
      <w:r>
        <w:rPr>
          <w:rFonts w:ascii="Arial" w:cs="Arial" w:eastAsia="Arial" w:hAnsi="Arial"/>
          <w:sz w:val="22"/>
          <w:szCs w:val="22"/>
          <w:color w:val="auto"/>
        </w:rPr>
        <w:t xml:space="preserve"> Neither the Company nor any of its subsidiaries has failed to file with the applicable Regulatory Authorities any required filing, declaration, listing, registration, report or submission;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Any certificate signed by an officer of the Company and delivered to the Agent or to counsel for the Agent pursuant to or in connection with this Agreement shall be deemed to be a representation and warranty by the Company to the Agent as to the matters set forth therein.</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The Company acknowledges that the Agent and, for purposes of the opinions to be delivered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hereof, counsel to the Company and counsel to the Agent, will rely upon the accuracy and truthfulness of the foregoing representations and hereby consents to such reliance.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 </w:t>
      </w: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with the Agent that:</w:t>
      </w:r>
    </w:p>
    <w:p>
      <w:pPr>
        <w:spacing w:after="0" w:line="206" w:lineRule="exact"/>
        <w:rPr>
          <w:sz w:val="20"/>
          <w:szCs w:val="20"/>
          <w:color w:val="auto"/>
        </w:rPr>
      </w:pPr>
    </w:p>
    <w:p>
      <w:pPr>
        <w:jc w:val="both"/>
        <w:ind w:firstLine="757"/>
        <w:spacing w:after="0" w:line="248" w:lineRule="auto"/>
        <w:tabs>
          <w:tab w:leader="none" w:pos="1086" w:val="left"/>
        </w:tabs>
        <w:numPr>
          <w:ilvl w:val="1"/>
          <w:numId w:val="89"/>
        </w:numPr>
        <w:rPr>
          <w:rFonts w:ascii="Arial" w:cs="Arial" w:eastAsia="Arial" w:hAnsi="Arial"/>
          <w:sz w:val="21"/>
          <w:szCs w:val="21"/>
          <w:color w:val="auto"/>
        </w:rPr>
      </w:pPr>
      <w:r>
        <w:rPr>
          <w:rFonts w:ascii="Arial" w:cs="Arial" w:eastAsia="Arial" w:hAnsi="Arial"/>
          <w:sz w:val="21"/>
          <w:szCs w:val="21"/>
          <w:u w:val="single" w:color="auto"/>
          <w:color w:val="auto"/>
        </w:rPr>
        <w:t>Registration Statement Amendments</w:t>
      </w:r>
      <w:r>
        <w:rPr>
          <w:rFonts w:ascii="Arial" w:cs="Arial" w:eastAsia="Arial" w:hAnsi="Arial"/>
          <w:sz w:val="21"/>
          <w:szCs w:val="21"/>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w:t>
      </w:r>
    </w:p>
    <w:p>
      <w:pPr>
        <w:jc w:val="both"/>
        <w:ind w:firstLine="8"/>
        <w:spacing w:after="0" w:line="231" w:lineRule="auto"/>
        <w:tabs>
          <w:tab w:leader="none" w:pos="289"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failure of the Agent to make such request shall not relieve the Company of any obligation or liability hereunder, or affect the Agent’s right to rely on the representations and warranties made by the Company in this Agreement,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further</w:t>
      </w:r>
      <w:r>
        <w:rPr>
          <w:rFonts w:ascii="Arial" w:cs="Arial" w:eastAsia="Arial" w:hAnsi="Arial"/>
          <w:sz w:val="22"/>
          <w:szCs w:val="22"/>
          <w:color w:val="auto"/>
        </w:rPr>
        <w:t>, that the only remedy the Agent shall have with respect to the failure by the Company to make such</w:t>
      </w:r>
      <w:r>
        <w:rPr>
          <w:rFonts w:ascii="Arial" w:cs="Arial" w:eastAsia="Arial" w:hAnsi="Arial"/>
          <w:sz w:val="22"/>
          <w:szCs w:val="22"/>
          <w:i w:val="1"/>
          <w:iCs w:val="1"/>
          <w:color w:val="auto"/>
        </w:rPr>
        <w:t xml:space="preserve"> </w:t>
      </w:r>
      <w:r>
        <w:rPr>
          <w:rFonts w:ascii="Arial" w:cs="Arial" w:eastAsia="Arial" w:hAnsi="Arial"/>
          <w:sz w:val="22"/>
          <w:szCs w:val="22"/>
          <w:color w:val="auto"/>
        </w:rPr>
        <w:t>a filing (other than the Agent’s rights under Section 9 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the Agent within a reasonable period of time before the filing and the Agent has not reasonably objected thereto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failure of the Agent to make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7" w:lineRule="exact"/>
        <w:rPr>
          <w:rFonts w:ascii="Arial" w:cs="Arial" w:eastAsia="Arial" w:hAnsi="Arial"/>
          <w:sz w:val="22"/>
          <w:szCs w:val="22"/>
          <w:color w:val="auto"/>
        </w:rPr>
      </w:pPr>
    </w:p>
    <w:p>
      <w:pPr>
        <w:ind w:left="5520" w:hanging="106"/>
        <w:spacing w:after="0"/>
        <w:tabs>
          <w:tab w:leader="none" w:pos="55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8" w:name="page189"/>
    <w:bookmarkEnd w:id="188"/>
    <w:p>
      <w:pPr>
        <w:jc w:val="both"/>
        <w:spacing w:after="0" w:line="244" w:lineRule="auto"/>
        <w:rPr>
          <w:sz w:val="20"/>
          <w:szCs w:val="20"/>
          <w:color w:val="auto"/>
        </w:rPr>
      </w:pPr>
      <w:r>
        <w:rPr>
          <w:rFonts w:ascii="Arial" w:cs="Arial" w:eastAsia="Arial" w:hAnsi="Arial"/>
          <w:sz w:val="21"/>
          <w:szCs w:val="21"/>
          <w:color w:val="auto"/>
        </w:rPr>
        <w:t>such objection shall not relieve the Company of any obligation or liability hereunder, or affect the Agent’s right to rely on the representations and warranties made by the Company in this Agreement) and the Company will furnish to the Agent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w:t>
      </w:r>
    </w:p>
    <w:p>
      <w:pPr>
        <w:spacing w:after="0" w:line="5" w:lineRule="exact"/>
        <w:rPr>
          <w:sz w:val="20"/>
          <w:szCs w:val="20"/>
          <w:color w:val="auto"/>
        </w:rPr>
      </w:pPr>
    </w:p>
    <w:p>
      <w:pPr>
        <w:jc w:val="both"/>
        <w:ind w:firstLine="8"/>
        <w:spacing w:after="0" w:line="235" w:lineRule="auto"/>
        <w:tabs>
          <w:tab w:leader="none" w:pos="355" w:val="left"/>
        </w:tabs>
        <w:numPr>
          <w:ilvl w:val="0"/>
          <w:numId w:val="91"/>
        </w:numPr>
        <w:rPr>
          <w:rFonts w:ascii="Arial" w:cs="Arial" w:eastAsia="Arial" w:hAnsi="Arial"/>
          <w:sz w:val="22"/>
          <w:szCs w:val="22"/>
          <w:color w:val="auto"/>
        </w:rPr>
      </w:pPr>
      <w:r>
        <w:rPr>
          <w:rFonts w:ascii="Arial" w:cs="Arial" w:eastAsia="Arial" w:hAnsi="Arial"/>
          <w:sz w:val="22"/>
          <w:szCs w:val="22"/>
          <w:color w:val="auto"/>
        </w:rPr>
        <w:t>prior to the termination of this Agreement, the Company will notify the Agent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177" w:lineRule="exact"/>
        <w:rPr>
          <w:rFonts w:ascii="Arial" w:cs="Arial" w:eastAsia="Arial" w:hAnsi="Arial"/>
          <w:sz w:val="22"/>
          <w:szCs w:val="22"/>
          <w:color w:val="auto"/>
        </w:rPr>
      </w:pPr>
    </w:p>
    <w:p>
      <w:pPr>
        <w:jc w:val="both"/>
        <w:ind w:firstLine="757"/>
        <w:spacing w:after="0" w:line="234" w:lineRule="auto"/>
        <w:tabs>
          <w:tab w:leader="none" w:pos="1086"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Notice of Commission Stop Orders</w:t>
      </w:r>
      <w:r>
        <w:rPr>
          <w:rFonts w:ascii="Arial" w:cs="Arial" w:eastAsia="Arial" w:hAnsi="Arial"/>
          <w:sz w:val="22"/>
          <w:szCs w:val="22"/>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83" w:lineRule="exact"/>
        <w:rPr>
          <w:rFonts w:ascii="Arial" w:cs="Arial" w:eastAsia="Arial" w:hAnsi="Arial"/>
          <w:sz w:val="22"/>
          <w:szCs w:val="22"/>
          <w:color w:val="auto"/>
        </w:rPr>
      </w:pPr>
    </w:p>
    <w:p>
      <w:pPr>
        <w:jc w:val="both"/>
        <w:ind w:firstLine="757"/>
        <w:spacing w:after="0" w:line="244" w:lineRule="auto"/>
        <w:tabs>
          <w:tab w:leader="none" w:pos="1088"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Delivery of Prospectus; Subsequent Changes</w:t>
      </w:r>
      <w:r>
        <w:rPr>
          <w:rFonts w:ascii="Arial" w:cs="Arial" w:eastAsia="Arial" w:hAnsi="Arial"/>
          <w:sz w:val="21"/>
          <w:szCs w:val="21"/>
          <w:color w:val="auto"/>
        </w:rPr>
        <w:t>. During any period in which a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183" w:lineRule="exact"/>
        <w:rPr>
          <w:rFonts w:ascii="Arial" w:cs="Arial" w:eastAsia="Arial" w:hAnsi="Arial"/>
          <w:sz w:val="21"/>
          <w:szCs w:val="21"/>
          <w:color w:val="auto"/>
        </w:rPr>
      </w:pPr>
    </w:p>
    <w:p>
      <w:pPr>
        <w:jc w:val="both"/>
        <w:ind w:firstLine="757"/>
        <w:spacing w:after="0" w:line="248" w:lineRule="auto"/>
        <w:tabs>
          <w:tab w:leader="none" w:pos="1073"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Listing of Placement Shares</w:t>
      </w:r>
      <w:r>
        <w:rPr>
          <w:rFonts w:ascii="Arial" w:cs="Arial" w:eastAsia="Arial" w:hAnsi="Arial"/>
          <w:sz w:val="21"/>
          <w:szCs w:val="21"/>
          <w:color w:val="auto"/>
        </w:rPr>
        <w:t xml:space="preserve">. During any period in which the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the Agent reasonably designates and to continue such qualifications in effect so long as required for the distribution of the Placement Shares;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Company shall not be required in connection therewith to qualify as a</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left="5520" w:hanging="106"/>
        <w:spacing w:after="0"/>
        <w:tabs>
          <w:tab w:leader="none" w:pos="55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foreign corporation or dealer in securities or file a general consent to service of process in any jurisdiction.</w:t>
      </w:r>
    </w:p>
    <w:p>
      <w:pPr>
        <w:spacing w:after="0" w:line="206" w:lineRule="exact"/>
        <w:rPr>
          <w:sz w:val="20"/>
          <w:szCs w:val="20"/>
          <w:color w:val="auto"/>
        </w:rPr>
      </w:pPr>
    </w:p>
    <w:p>
      <w:pPr>
        <w:jc w:val="both"/>
        <w:ind w:firstLine="757"/>
        <w:spacing w:after="0" w:line="234" w:lineRule="auto"/>
        <w:tabs>
          <w:tab w:leader="none" w:pos="1073"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Delivery of Registration Statement and Prospectus</w:t>
      </w:r>
      <w:r>
        <w:rPr>
          <w:rFonts w:ascii="Arial" w:cs="Arial" w:eastAsia="Arial" w:hAnsi="Arial"/>
          <w:sz w:val="22"/>
          <w:szCs w:val="22"/>
          <w:color w:val="auto"/>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the Company shall not be required to furnish any document (other than the Prospectus)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Agent to the extent such document is available on EDGAR.</w:t>
      </w:r>
    </w:p>
    <w:p>
      <w:pPr>
        <w:spacing w:after="0" w:line="179" w:lineRule="exact"/>
        <w:rPr>
          <w:rFonts w:ascii="Arial" w:cs="Arial" w:eastAsia="Arial" w:hAnsi="Arial"/>
          <w:sz w:val="22"/>
          <w:szCs w:val="22"/>
          <w:color w:val="auto"/>
        </w:rPr>
      </w:pPr>
    </w:p>
    <w:p>
      <w:pPr>
        <w:jc w:val="both"/>
        <w:ind w:firstLine="757"/>
        <w:spacing w:after="0"/>
        <w:tabs>
          <w:tab w:leader="none" w:pos="1067"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76" w:lineRule="exact"/>
        <w:rPr>
          <w:rFonts w:ascii="Arial" w:cs="Arial" w:eastAsia="Arial" w:hAnsi="Arial"/>
          <w:sz w:val="22"/>
          <w:szCs w:val="22"/>
          <w:color w:val="auto"/>
        </w:rPr>
      </w:pPr>
    </w:p>
    <w:p>
      <w:pPr>
        <w:jc w:val="both"/>
        <w:ind w:firstLine="757"/>
        <w:spacing w:after="0" w:line="243" w:lineRule="auto"/>
        <w:tabs>
          <w:tab w:leader="none" w:pos="1086"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The Company, whether or not the transactions contemplated hereunder are consummated or this Agreement is terminated, in accordance with the provisions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including any stamp duties, similar taxes or duties or other taxes, if any, incurred by the Agent in connection with issuance and sale of Placement Shares, (iii) the qualification of the Placement Shares under securities laws in accordance with the provisions of </w:t>
      </w:r>
      <w:r>
        <w:rPr>
          <w:rFonts w:ascii="Arial" w:cs="Arial" w:eastAsia="Arial" w:hAnsi="Arial"/>
          <w:sz w:val="21"/>
          <w:szCs w:val="21"/>
          <w:u w:val="single" w:color="auto"/>
          <w:color w:val="auto"/>
        </w:rPr>
        <w:t>Section 7(d)</w:t>
      </w:r>
      <w:r>
        <w:rPr>
          <w:rFonts w:ascii="Arial" w:cs="Arial" w:eastAsia="Arial" w:hAnsi="Arial"/>
          <w:sz w:val="21"/>
          <w:szCs w:val="21"/>
          <w:color w:val="auto"/>
        </w:rPr>
        <w:t xml:space="preserve"> of this Agreement, including filing fees (provided, however, that any fees or disbursements of counsel for the Agent in connection therewith shall be paid by the Agent except as set forth in (vii) below), (iv) the printing and delivery to the Agent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the Agent’s outside counsel for filings with the FINRA Corporate Financing Department, such legal expense reimbursement not to exceed $25,000 and, (viii) the reasonable fees and disbursements of the Agent’s counsel in the amount of (a) $75,000 for the initial preparation of documents; (b) $50,000 for any delivery of documents in connection with an annual report on Form 10-K or for which a disclosure letter has not previously been delivered in connection with a given annual report on Form 10-K; and (c) $25,000 for any delivery of documents in connection with a quarterly report on Form 10-Q or for which a disclosure letter has not previously been delivered in connection with a given quarterly report on Form 10-Q.</w:t>
      </w:r>
    </w:p>
    <w:p>
      <w:pPr>
        <w:spacing w:after="0" w:line="187" w:lineRule="exact"/>
        <w:rPr>
          <w:rFonts w:ascii="Arial" w:cs="Arial" w:eastAsia="Arial" w:hAnsi="Arial"/>
          <w:sz w:val="21"/>
          <w:szCs w:val="21"/>
          <w:color w:val="auto"/>
        </w:rPr>
      </w:pPr>
    </w:p>
    <w:p>
      <w:pPr>
        <w:ind w:right="20" w:firstLine="757"/>
        <w:spacing w:after="0" w:line="259" w:lineRule="auto"/>
        <w:tabs>
          <w:tab w:leader="none" w:pos="1073"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Company will use the Net Proceeds as described in the Prospectus in the section entitled “Use of Proceeds.”</w:t>
      </w:r>
    </w:p>
    <w:p>
      <w:pPr>
        <w:spacing w:after="0" w:line="156" w:lineRule="exact"/>
        <w:rPr>
          <w:rFonts w:ascii="Arial" w:cs="Arial" w:eastAsia="Arial" w:hAnsi="Arial"/>
          <w:sz w:val="22"/>
          <w:szCs w:val="22"/>
          <w:color w:val="auto"/>
        </w:rPr>
      </w:pPr>
    </w:p>
    <w:p>
      <w:pPr>
        <w:jc w:val="both"/>
        <w:ind w:firstLine="757"/>
        <w:spacing w:after="0" w:line="245" w:lineRule="auto"/>
        <w:tabs>
          <w:tab w:leader="none" w:pos="102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Notice of Other Sales</w:t>
      </w:r>
      <w:r>
        <w:rPr>
          <w:rFonts w:ascii="Arial" w:cs="Arial" w:eastAsia="Arial" w:hAnsi="Arial"/>
          <w:sz w:val="22"/>
          <w:szCs w:val="22"/>
          <w:color w:val="auto"/>
        </w:rPr>
        <w:t>. During the pendency of any Placement Notice given hereunder, and for five (5) Trading Days following the termination of any Placement Notice given hereunder, the Company shall provide the Agent notice as promptly as reasonably possible before it offers to sell,</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20" w:hanging="106"/>
        <w:spacing w:after="0"/>
        <w:tabs>
          <w:tab w:leader="none" w:pos="55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0" w:name="page191"/>
    <w:bookmarkEnd w:id="190"/>
    <w:p>
      <w:pPr>
        <w:jc w:val="both"/>
        <w:spacing w:after="0" w:line="232" w:lineRule="auto"/>
        <w:rPr>
          <w:sz w:val="20"/>
          <w:szCs w:val="20"/>
          <w:color w:val="auto"/>
        </w:rPr>
      </w:pPr>
      <w:r>
        <w:rPr>
          <w:rFonts w:ascii="Arial" w:cs="Arial" w:eastAsia="Arial" w:hAnsi="Arial"/>
          <w:sz w:val="22"/>
          <w:szCs w:val="22"/>
          <w:color w:val="auto"/>
        </w:rPr>
        <w:t xml:space="preserve">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22"/>
          <w:szCs w:val="22"/>
          <w:i w:val="1"/>
          <w:iCs w:val="1"/>
          <w:color w:val="auto"/>
        </w:rPr>
        <w:t>provided</w:t>
      </w:r>
      <w:r>
        <w:rPr>
          <w:rFonts w:ascii="Arial" w:cs="Arial" w:eastAsia="Arial" w:hAnsi="Arial"/>
          <w:sz w:val="22"/>
          <w:szCs w:val="22"/>
          <w:color w:val="auto"/>
        </w:rPr>
        <w:t>, that such notice shall not be required in connection with the (i) issuance, grant or sale of Common Stock, options to purchase shares of Common Stock or Common Stock issuable upon the exercise of options or other equity awards pursuant to any equity incentive plan, stock option, stock bonus or other stock plan or arrangement whether now in effect or hereafter implemented, including pursuant to any qualifying inducement award under Nasdaq rules (and the issuance by the Company of shares of Common Stock upon the exercise or vesting thereof),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the Agent in advance or (iv) any shares of common stock issuable upon the exchange, conversion or redemption of securities or the exercise of warrants, options or other rights in effect or outstanding as disclosed in filings by the Company available on EDGAR, or (v) the issuance of Common Stock, securities convertible into or exercisable for Common Stock or other securities offered and sold in a privately negotiated transaction to vendors, customers, strategic partners or other investors conducted or in connection with a transaction that includes a commercial relationship (including joint ventures, marketing or distribution arrangements, collaboration agreements or intellectual property license agreements) in a manner so as not to be integrated with the offering of the Placement Shares hereby. For the avoidance of doubt, nothing herein shall be construed to restrict the Company’s ability, or require the Company to provide notice to the Agent, to file a registration statement with the Commission.</w:t>
      </w:r>
    </w:p>
    <w:p>
      <w:pPr>
        <w:spacing w:after="0" w:line="185" w:lineRule="exact"/>
        <w:rPr>
          <w:sz w:val="20"/>
          <w:szCs w:val="20"/>
          <w:color w:val="auto"/>
        </w:rPr>
      </w:pPr>
    </w:p>
    <w:p>
      <w:pPr>
        <w:jc w:val="both"/>
        <w:ind w:firstLine="757"/>
        <w:spacing w:after="0"/>
        <w:tabs>
          <w:tab w:leader="none" w:pos="1014"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Change of Circumstances</w:t>
      </w:r>
      <w:r>
        <w:rPr>
          <w:rFonts w:ascii="Arial" w:cs="Arial" w:eastAsia="Arial" w:hAnsi="Arial"/>
          <w:sz w:val="22"/>
          <w:szCs w:val="22"/>
          <w:color w:val="auto"/>
        </w:rPr>
        <w:t>. The Company will, at any time during a fiscal quarter in which the Company intends to tender a Placement Notice or sell Placement Shares, advise the Agent promptly after it shall have received notice or obtained knowledge thereof, of any information or fact that would alter or affect in any material respect any opinion, certificate, letter or other document provided to the Agent pursuant to this Agreement.</w:t>
      </w:r>
    </w:p>
    <w:p>
      <w:pPr>
        <w:spacing w:after="0" w:line="176" w:lineRule="exact"/>
        <w:rPr>
          <w:rFonts w:ascii="Arial" w:cs="Arial" w:eastAsia="Arial" w:hAnsi="Arial"/>
          <w:sz w:val="22"/>
          <w:szCs w:val="22"/>
          <w:color w:val="auto"/>
        </w:rPr>
      </w:pPr>
    </w:p>
    <w:p>
      <w:pPr>
        <w:jc w:val="both"/>
        <w:ind w:firstLine="757"/>
        <w:spacing w:after="0"/>
        <w:tabs>
          <w:tab w:leader="none" w:pos="1115"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Due Diligence Cooperation</w:t>
      </w:r>
      <w:r>
        <w:rPr>
          <w:rFonts w:ascii="Arial" w:cs="Arial" w:eastAsia="Arial" w:hAnsi="Arial"/>
          <w:sz w:val="22"/>
          <w:szCs w:val="22"/>
          <w:color w:val="auto"/>
        </w:rPr>
        <w:t>. The Company will cooperate with any reasonable due diligence review conducted by the Agent or its agents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76" w:lineRule="exact"/>
        <w:rPr>
          <w:rFonts w:ascii="Arial" w:cs="Arial" w:eastAsia="Arial" w:hAnsi="Arial"/>
          <w:sz w:val="22"/>
          <w:szCs w:val="22"/>
          <w:color w:val="auto"/>
        </w:rPr>
      </w:pPr>
    </w:p>
    <w:p>
      <w:pPr>
        <w:jc w:val="both"/>
        <w:ind w:firstLine="757"/>
        <w:spacing w:after="0" w:line="246" w:lineRule="auto"/>
        <w:tabs>
          <w:tab w:leader="none" w:pos="1001"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Required Filings Relating to Placement of Placement Shares</w:t>
      </w:r>
      <w:r>
        <w:rPr>
          <w:rFonts w:ascii="Arial" w:cs="Arial" w:eastAsia="Arial" w:hAnsi="Arial"/>
          <w:sz w:val="21"/>
          <w:szCs w:val="21"/>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21"/>
          <w:szCs w:val="21"/>
          <w:b w:val="1"/>
          <w:bCs w:val="1"/>
          <w:u w:val="single" w:color="auto"/>
          <w:color w:val="auto"/>
        </w:rPr>
        <w:t>Filing</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Date</w:t>
      </w:r>
      <w:r>
        <w:rPr>
          <w:rFonts w:ascii="Arial" w:cs="Arial" w:eastAsia="Arial" w:hAnsi="Arial"/>
          <w:sz w:val="21"/>
          <w:szCs w:val="21"/>
          <w:color w:val="auto"/>
        </w:rPr>
        <w:t>”), and (ii) deliver such number of copies of each such prospectus supplement to each exchange or market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such sales were effected as may be required by the rules or regulations of such exchange or market. The Company shall disclose in its quarterly reports on Form 10-Q and in its annual report on Form 10-K, the number of the Placement Shares sold through the Agent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0" w:lineRule="exact"/>
        <w:rPr>
          <w:rFonts w:ascii="Arial" w:cs="Arial" w:eastAsia="Arial" w:hAnsi="Arial"/>
          <w:sz w:val="21"/>
          <w:szCs w:val="21"/>
          <w:color w:val="auto"/>
        </w:rPr>
      </w:pPr>
    </w:p>
    <w:p>
      <w:pPr>
        <w:ind w:left="5520" w:hanging="106"/>
        <w:spacing w:after="0"/>
        <w:tabs>
          <w:tab w:leader="none" w:pos="55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1" w:name="page192"/>
    <w:bookmarkEnd w:id="191"/>
    <w:p>
      <w:pPr>
        <w:jc w:val="both"/>
        <w:ind w:left="-757" w:firstLine="757"/>
        <w:spacing w:after="0" w:line="243" w:lineRule="auto"/>
        <w:tabs>
          <w:tab w:leader="none" w:pos="37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Bring-Down Dates; Certificate</w:t>
      </w:r>
      <w:r>
        <w:rPr>
          <w:rFonts w:ascii="Arial" w:cs="Arial" w:eastAsia="Arial" w:hAnsi="Arial"/>
          <w:sz w:val="21"/>
          <w:szCs w:val="21"/>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7(l)</w:t>
      </w:r>
      <w:r>
        <w:rPr>
          <w:rFonts w:ascii="Arial" w:cs="Arial" w:eastAsia="Arial" w:hAnsi="Arial"/>
          <w:sz w:val="21"/>
          <w:szCs w:val="21"/>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current report on Form 8-K containing amended financial information (other than an earnings release or other information “furnished” pursuant to Items 2.02 or 7.01 of Form 8-K) under the Exchange Act and the Agent reasonably determines that the information contained in such report on Form 8-K is material (each date of filing of one or more of the documents referred to in clauses (i) through (iv) shall be a "</w:t>
      </w:r>
      <w:r>
        <w:rPr>
          <w:rFonts w:ascii="Arial" w:cs="Arial" w:eastAsia="Arial" w:hAnsi="Arial"/>
          <w:sz w:val="21"/>
          <w:szCs w:val="21"/>
          <w:b w:val="1"/>
          <w:bCs w:val="1"/>
          <w:u w:val="single" w:color="auto"/>
          <w:color w:val="auto"/>
        </w:rPr>
        <w:t>Bring-Down Date</w:t>
      </w:r>
      <w:r>
        <w:rPr>
          <w:rFonts w:ascii="Arial" w:cs="Arial" w:eastAsia="Arial" w:hAnsi="Arial"/>
          <w:sz w:val="21"/>
          <w:szCs w:val="21"/>
          <w:color w:val="auto"/>
        </w:rPr>
        <w:t xml:space="preserve">"); the Company shall furnish the Agent with a certificate, in the form attached hereto as </w:t>
      </w:r>
      <w:r>
        <w:rPr>
          <w:rFonts w:ascii="Arial" w:cs="Arial" w:eastAsia="Arial" w:hAnsi="Arial"/>
          <w:sz w:val="21"/>
          <w:szCs w:val="21"/>
          <w:u w:val="single" w:color="auto"/>
          <w:color w:val="auto"/>
        </w:rPr>
        <w:t>Exhibit 7(m)</w:t>
      </w:r>
      <w:r>
        <w:rPr>
          <w:rFonts w:ascii="Arial" w:cs="Arial" w:eastAsia="Arial" w:hAnsi="Arial"/>
          <w:sz w:val="21"/>
          <w:szCs w:val="21"/>
          <w:color w:val="auto"/>
        </w:rPr>
        <w:t xml:space="preserve"> within three (3) Trading Days of any Bring-Down Date if requested by the Agent. The requirement to provide a certificate under this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the Agent with a certificate under this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then before the Company delivers the Placement Notice or the Agent sells any Placement Shares, the Company shall provide the Agent with a certificate, in the form attached hereto as </w:t>
      </w:r>
      <w:r>
        <w:rPr>
          <w:rFonts w:ascii="Arial" w:cs="Arial" w:eastAsia="Arial" w:hAnsi="Arial"/>
          <w:sz w:val="21"/>
          <w:szCs w:val="21"/>
          <w:u w:val="single" w:color="auto"/>
          <w:color w:val="auto"/>
        </w:rPr>
        <w:t>Exhibit 7(m)</w:t>
      </w:r>
      <w:r>
        <w:rPr>
          <w:rFonts w:ascii="Arial" w:cs="Arial" w:eastAsia="Arial" w:hAnsi="Arial"/>
          <w:sz w:val="21"/>
          <w:szCs w:val="21"/>
          <w:color w:val="auto"/>
        </w:rPr>
        <w:t>, dated the date of the Placement Notice.</w:t>
      </w:r>
    </w:p>
    <w:p>
      <w:pPr>
        <w:spacing w:after="0" w:line="184" w:lineRule="exact"/>
        <w:rPr>
          <w:rFonts w:ascii="Arial" w:cs="Arial" w:eastAsia="Arial" w:hAnsi="Arial"/>
          <w:sz w:val="21"/>
          <w:szCs w:val="21"/>
          <w:color w:val="auto"/>
        </w:rPr>
      </w:pPr>
    </w:p>
    <w:p>
      <w:pPr>
        <w:jc w:val="both"/>
        <w:ind w:left="-757" w:firstLine="757"/>
        <w:spacing w:after="0" w:line="233" w:lineRule="auto"/>
        <w:tabs>
          <w:tab w:leader="none" w:pos="33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Legal Opinion</w:t>
      </w:r>
      <w:r>
        <w:rPr>
          <w:rFonts w:ascii="Arial" w:cs="Arial" w:eastAsia="Arial" w:hAnsi="Arial"/>
          <w:sz w:val="22"/>
          <w:szCs w:val="22"/>
          <w:color w:val="auto"/>
        </w:rPr>
        <w:t xml:space="preserve">. On or prior to the First Delivery Date and within three Trading Days of each Bring-Down Date with respect to which the Company is obligated to deliver a certificate in the form attached hereto as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7(m)</w:t>
      </w:r>
      <w:r>
        <w:rPr>
          <w:rFonts w:ascii="Arial" w:cs="Arial" w:eastAsia="Arial" w:hAnsi="Arial"/>
          <w:sz w:val="22"/>
          <w:szCs w:val="22"/>
          <w:color w:val="auto"/>
        </w:rPr>
        <w:t xml:space="preserve"> for which no waiver is applicable, the Company shall cause to be furnished to the Agent a written opinion (the </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Corporate Legal Opinion</w:t>
      </w:r>
      <w:r>
        <w:rPr>
          <w:rFonts w:ascii="Arial" w:cs="Arial" w:eastAsia="Arial" w:hAnsi="Arial"/>
          <w:sz w:val="22"/>
          <w:szCs w:val="22"/>
          <w:u w:val="single" w:color="auto"/>
          <w:color w:val="auto"/>
        </w:rPr>
        <w:t>”) and negative assurance letter</w:t>
      </w:r>
      <w:r>
        <w:rPr>
          <w:rFonts w:ascii="Arial" w:cs="Arial" w:eastAsia="Arial" w:hAnsi="Arial"/>
          <w:sz w:val="22"/>
          <w:szCs w:val="22"/>
          <w:color w:val="auto"/>
        </w:rPr>
        <w:t xml:space="preserve"> of Cooley LLP (“</w:t>
      </w:r>
      <w:r>
        <w:rPr>
          <w:rFonts w:ascii="Arial" w:cs="Arial" w:eastAsia="Arial" w:hAnsi="Arial"/>
          <w:sz w:val="22"/>
          <w:szCs w:val="22"/>
          <w:b w:val="1"/>
          <w:bCs w:val="1"/>
          <w:u w:val="single" w:color="auto"/>
          <w:color w:val="auto"/>
        </w:rPr>
        <w:t>Company Counsel</w:t>
      </w:r>
      <w:r>
        <w:rPr>
          <w:rFonts w:ascii="Arial" w:cs="Arial" w:eastAsia="Arial" w:hAnsi="Arial"/>
          <w:sz w:val="22"/>
          <w:szCs w:val="22"/>
          <w:color w:val="auto"/>
        </w:rPr>
        <w:t xml:space="preserve">”), or other counsel satisfactory to the Agent, each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lieu of such opinion and/or negative assurance letter for subsequent Bring-Down Dates, counsel may furnish the Agent with a letter (a “</w:t>
      </w:r>
      <w:r>
        <w:rPr>
          <w:rFonts w:ascii="Arial" w:cs="Arial" w:eastAsia="Arial" w:hAnsi="Arial"/>
          <w:sz w:val="22"/>
          <w:szCs w:val="22"/>
          <w:b w:val="1"/>
          <w:bCs w:val="1"/>
          <w:u w:val="single" w:color="auto"/>
          <w:color w:val="auto"/>
        </w:rPr>
        <w:t>Reliance Letter</w:t>
      </w:r>
      <w:r>
        <w:rPr>
          <w:rFonts w:ascii="Arial" w:cs="Arial" w:eastAsia="Arial" w:hAnsi="Arial"/>
          <w:sz w:val="22"/>
          <w:szCs w:val="22"/>
          <w:color w:val="auto"/>
        </w:rPr>
        <w:t xml:space="preserve">”) to the effect that the Agent may rely on a prior opinion and/or negative assurance letter delivered under this </w:t>
      </w:r>
      <w:r>
        <w:rPr>
          <w:rFonts w:ascii="Arial" w:cs="Arial" w:eastAsia="Arial" w:hAnsi="Arial"/>
          <w:sz w:val="22"/>
          <w:szCs w:val="22"/>
          <w:u w:val="single" w:color="auto"/>
          <w:color w:val="auto"/>
        </w:rPr>
        <w:t>Section 7(n)</w:t>
      </w:r>
      <w:r>
        <w:rPr>
          <w:rFonts w:ascii="Arial" w:cs="Arial" w:eastAsia="Arial" w:hAnsi="Arial"/>
          <w:sz w:val="22"/>
          <w:szCs w:val="22"/>
          <w:color w:val="auto"/>
        </w:rPr>
        <w:t xml:space="preserve"> to the same extent as if it were dated the date of such letter (except that statements in such prior opinion and/or negative assurance letter shall be deemed to relate to the Registration Statement and the Prospectus as amended or supplemented at such Bring-Down Date).</w:t>
      </w:r>
    </w:p>
    <w:p>
      <w:pPr>
        <w:spacing w:after="0" w:line="184" w:lineRule="exact"/>
        <w:rPr>
          <w:rFonts w:ascii="Arial" w:cs="Arial" w:eastAsia="Arial" w:hAnsi="Arial"/>
          <w:sz w:val="22"/>
          <w:szCs w:val="22"/>
          <w:color w:val="auto"/>
        </w:rPr>
      </w:pPr>
    </w:p>
    <w:p>
      <w:pPr>
        <w:jc w:val="both"/>
        <w:ind w:left="-757" w:firstLine="757"/>
        <w:spacing w:after="0" w:line="247" w:lineRule="auto"/>
        <w:tabs>
          <w:tab w:leader="none" w:pos="31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Intellectual Property Opinion.</w:t>
      </w:r>
      <w:r>
        <w:rPr>
          <w:rFonts w:ascii="Arial" w:cs="Arial" w:eastAsia="Arial" w:hAnsi="Arial"/>
          <w:sz w:val="21"/>
          <w:szCs w:val="21"/>
          <w:color w:val="auto"/>
        </w:rPr>
        <w:t xml:space="preserve"> If requested by the Agent, on or prior to the First Delivery Date and no more than once per fiscal year, provided that the Company is obligated to deliver a certificate in the form attached hereto as Exhibit 7(m) for which no waiver is applicable, the Company shall cause to be furnished to the Agent the written opinion of Choate, Hall &amp; Stewart LLP, counsel for the Company with respect to intellectual property matters, or such other intellectual property counsel satisfactory to the Agent (“</w:t>
      </w:r>
      <w:r>
        <w:rPr>
          <w:rFonts w:ascii="Arial" w:cs="Arial" w:eastAsia="Arial" w:hAnsi="Arial"/>
          <w:sz w:val="21"/>
          <w:szCs w:val="21"/>
          <w:b w:val="1"/>
          <w:bCs w:val="1"/>
          <w:color w:val="auto"/>
        </w:rPr>
        <w:t>Intellectual Property Counsel</w:t>
      </w:r>
      <w:r>
        <w:rPr>
          <w:rFonts w:ascii="Arial" w:cs="Arial" w:eastAsia="Arial" w:hAnsi="Arial"/>
          <w:sz w:val="21"/>
          <w:szCs w:val="21"/>
          <w:color w:val="auto"/>
        </w:rPr>
        <w:t>”), in form and substance satisfactory to the Agent and its counsel, dated the date that the opinion letter is required to be delivered, modified, as necessary, to relate to the Registration Statement and the Prospectus as then amended or supplemented; provided, however, that in lieu of such written opinion for subsequent Representation Dates, Intellectual Property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1" w:lineRule="exact"/>
        <w:rPr>
          <w:rFonts w:ascii="Arial" w:cs="Arial" w:eastAsia="Arial" w:hAnsi="Arial"/>
          <w:sz w:val="21"/>
          <w:szCs w:val="21"/>
          <w:color w:val="auto"/>
        </w:rPr>
      </w:pPr>
    </w:p>
    <w:p>
      <w:pPr>
        <w:ind w:left="4763" w:hanging="106"/>
        <w:spacing w:after="0"/>
        <w:tabs>
          <w:tab w:leader="none" w:pos="4763" w:val="left"/>
        </w:tabs>
        <w:numPr>
          <w:ilvl w:val="1"/>
          <w:numId w:val="94"/>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64" w:right="339" w:bottom="1440" w:gutter="0" w:footer="0" w:header="0"/>
        </w:sectPr>
      </w:pPr>
    </w:p>
    <w:bookmarkStart w:id="192" w:name="page193"/>
    <w:bookmarkEnd w:id="192"/>
    <w:p>
      <w:pPr>
        <w:jc w:val="both"/>
        <w:spacing w:after="0"/>
        <w:rPr>
          <w:sz w:val="20"/>
          <w:szCs w:val="20"/>
          <w:color w:val="auto"/>
        </w:rPr>
      </w:pPr>
      <w:r>
        <w:rPr>
          <w:rFonts w:ascii="Arial" w:cs="Arial" w:eastAsia="Arial" w:hAnsi="Arial"/>
          <w:sz w:val="22"/>
          <w:szCs w:val="22"/>
          <w:color w:val="auto"/>
        </w:rPr>
        <w:t>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76" w:lineRule="exact"/>
        <w:rPr>
          <w:sz w:val="20"/>
          <w:szCs w:val="20"/>
          <w:color w:val="auto"/>
        </w:rPr>
      </w:pPr>
    </w:p>
    <w:p>
      <w:pPr>
        <w:jc w:val="both"/>
        <w:ind w:firstLine="757"/>
        <w:spacing w:after="0" w:line="234" w:lineRule="auto"/>
        <w:tabs>
          <w:tab w:leader="none" w:pos="108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Comfort Letter</w:t>
      </w:r>
      <w:r>
        <w:rPr>
          <w:rFonts w:ascii="Arial" w:cs="Arial" w:eastAsia="Arial" w:hAnsi="Arial"/>
          <w:sz w:val="22"/>
          <w:szCs w:val="22"/>
          <w:color w:val="auto"/>
        </w:rPr>
        <w:t xml:space="preserve">. On or prior to the First Delivery Date and within three Trading Days of each Bring-Down Date with respect to which the Company is obligated to deliver a certificate in the form attached hereto as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7(m)</w:t>
      </w:r>
      <w:r>
        <w:rPr>
          <w:rFonts w:ascii="Arial" w:cs="Arial" w:eastAsia="Arial" w:hAnsi="Arial"/>
          <w:sz w:val="22"/>
          <w:szCs w:val="22"/>
          <w:color w:val="auto"/>
        </w:rPr>
        <w:t xml:space="preserve"> for which no waiver is applicable, the Company shall cause its independent accountants to furnish the Agent letters (the "</w:t>
      </w:r>
      <w:r>
        <w:rPr>
          <w:rFonts w:ascii="Arial" w:cs="Arial" w:eastAsia="Arial" w:hAnsi="Arial"/>
          <w:sz w:val="22"/>
          <w:szCs w:val="22"/>
          <w:b w:val="1"/>
          <w:bCs w:val="1"/>
          <w:u w:val="single" w:color="auto"/>
          <w:color w:val="auto"/>
        </w:rPr>
        <w:t>Comfort Letters</w:t>
      </w:r>
      <w:r>
        <w:rPr>
          <w:rFonts w:ascii="Arial" w:cs="Arial" w:eastAsia="Arial" w:hAnsi="Arial"/>
          <w:sz w:val="22"/>
          <w:szCs w:val="22"/>
          <w:color w:val="auto"/>
        </w:rPr>
        <w:t>"), dated the date the Comfort Letter is delivered, in form and substance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the Agent in connection with registered public offerings (the first such letter, the “</w:t>
      </w:r>
      <w:r>
        <w:rPr>
          <w:rFonts w:ascii="Arial" w:cs="Arial" w:eastAsia="Arial" w:hAnsi="Arial"/>
          <w:sz w:val="22"/>
          <w:szCs w:val="22"/>
          <w:b w:val="1"/>
          <w:bCs w:val="1"/>
          <w:u w:val="single" w:color="auto"/>
          <w:color w:val="auto"/>
        </w:rPr>
        <w:t>Initial Comfort Letter</w:t>
      </w:r>
      <w:r>
        <w:rPr>
          <w:rFonts w:ascii="Arial" w:cs="Arial" w:eastAsia="Arial" w:hAnsi="Arial"/>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5" w:lineRule="exact"/>
        <w:rPr>
          <w:rFonts w:ascii="Arial" w:cs="Arial" w:eastAsia="Arial" w:hAnsi="Arial"/>
          <w:sz w:val="22"/>
          <w:szCs w:val="22"/>
          <w:color w:val="auto"/>
        </w:rPr>
      </w:pPr>
    </w:p>
    <w:p>
      <w:pPr>
        <w:jc w:val="both"/>
        <w:ind w:firstLine="757"/>
        <w:spacing w:after="0" w:line="236" w:lineRule="auto"/>
        <w:tabs>
          <w:tab w:leader="none" w:pos="11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Market Activities</w:t>
      </w:r>
      <w:r>
        <w:rPr>
          <w:rFonts w:ascii="Arial" w:cs="Arial" w:eastAsia="Arial" w:hAnsi="Arial"/>
          <w:sz w:val="22"/>
          <w:szCs w:val="22"/>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the Agent; provided, however, that the Company may bid for and purchase shares of its common stock in accordance with Rule 10b-18 under the Exchange Act.</w:t>
      </w:r>
    </w:p>
    <w:p>
      <w:pPr>
        <w:spacing w:after="0" w:line="181" w:lineRule="exact"/>
        <w:rPr>
          <w:rFonts w:ascii="Arial" w:cs="Arial" w:eastAsia="Arial" w:hAnsi="Arial"/>
          <w:sz w:val="22"/>
          <w:szCs w:val="22"/>
          <w:color w:val="auto"/>
        </w:rPr>
      </w:pPr>
    </w:p>
    <w:p>
      <w:pPr>
        <w:ind w:firstLine="757"/>
        <w:spacing w:after="0" w:line="259" w:lineRule="auto"/>
        <w:tabs>
          <w:tab w:leader="none" w:pos="1025"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156" w:lineRule="exact"/>
        <w:rPr>
          <w:rFonts w:ascii="Arial" w:cs="Arial" w:eastAsia="Arial" w:hAnsi="Arial"/>
          <w:sz w:val="22"/>
          <w:szCs w:val="22"/>
          <w:color w:val="auto"/>
        </w:rPr>
      </w:pPr>
    </w:p>
    <w:p>
      <w:pPr>
        <w:jc w:val="both"/>
        <w:ind w:firstLine="757"/>
        <w:spacing w:after="0" w:line="236" w:lineRule="auto"/>
        <w:tabs>
          <w:tab w:leader="none" w:pos="1115"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Company and each of its subsidiaries shall maintain, or cause to be maintained, all material environmental certificates, authorizations or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75" w:lineRule="exact"/>
        <w:rPr>
          <w:rFonts w:ascii="Arial" w:cs="Arial" w:eastAsia="Arial" w:hAnsi="Arial"/>
          <w:sz w:val="22"/>
          <w:szCs w:val="22"/>
          <w:color w:val="auto"/>
        </w:rPr>
      </w:pPr>
    </w:p>
    <w:p>
      <w:pPr>
        <w:jc w:val="both"/>
        <w:ind w:firstLine="757"/>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76" w:lineRule="exact"/>
        <w:rPr>
          <w:rFonts w:ascii="Arial" w:cs="Arial" w:eastAsia="Arial" w:hAnsi="Arial"/>
          <w:sz w:val="22"/>
          <w:szCs w:val="22"/>
          <w:color w:val="auto"/>
        </w:rPr>
      </w:pPr>
    </w:p>
    <w:p>
      <w:pPr>
        <w:ind w:firstLine="757"/>
        <w:spacing w:after="0" w:line="259" w:lineRule="auto"/>
        <w:tabs>
          <w:tab w:leader="none" w:pos="11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Securities Act and Exchange Act</w:t>
      </w:r>
      <w:r>
        <w:rPr>
          <w:rFonts w:ascii="Arial" w:cs="Arial" w:eastAsia="Arial" w:hAnsi="Arial"/>
          <w:sz w:val="22"/>
          <w:szCs w:val="22"/>
          <w:color w:val="auto"/>
        </w:rPr>
        <w:t>. The Company will use its reasonable best efforts to comply with all requirements imposed upon it by the Securities Act and the Exchange Act as from time to time</w:t>
      </w:r>
    </w:p>
    <w:p>
      <w:pPr>
        <w:spacing w:after="0" w:line="200" w:lineRule="exact"/>
        <w:rPr>
          <w:rFonts w:ascii="Arial" w:cs="Arial" w:eastAsia="Arial" w:hAnsi="Arial"/>
          <w:sz w:val="22"/>
          <w:szCs w:val="22"/>
          <w:color w:val="auto"/>
        </w:rPr>
      </w:pPr>
    </w:p>
    <w:p>
      <w:pPr>
        <w:spacing w:after="0" w:line="395" w:lineRule="exact"/>
        <w:rPr>
          <w:rFonts w:ascii="Arial" w:cs="Arial" w:eastAsia="Arial" w:hAnsi="Arial"/>
          <w:sz w:val="22"/>
          <w:szCs w:val="22"/>
          <w:color w:val="auto"/>
        </w:rPr>
      </w:pPr>
    </w:p>
    <w:p>
      <w:pPr>
        <w:ind w:left="5520" w:hanging="106"/>
        <w:spacing w:after="0"/>
        <w:tabs>
          <w:tab w:leader="none" w:pos="55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3" w:name="page194"/>
    <w:bookmarkEnd w:id="193"/>
    <w:p>
      <w:pPr>
        <w:spacing w:after="0" w:line="259" w:lineRule="auto"/>
        <w:rPr>
          <w:sz w:val="20"/>
          <w:szCs w:val="20"/>
          <w:color w:val="auto"/>
        </w:rPr>
      </w:pPr>
      <w:r>
        <w:rPr>
          <w:rFonts w:ascii="Arial" w:cs="Arial" w:eastAsia="Arial" w:hAnsi="Arial"/>
          <w:sz w:val="22"/>
          <w:szCs w:val="22"/>
          <w:color w:val="auto"/>
        </w:rPr>
        <w:t>in force, so far as necessary to permit the continuance of sales of, or dealings in, the Placement Shares as contemplated by the provisions hereof and the Prospectus.</w:t>
      </w:r>
    </w:p>
    <w:p>
      <w:pPr>
        <w:spacing w:after="0" w:line="156" w:lineRule="exact"/>
        <w:rPr>
          <w:sz w:val="20"/>
          <w:szCs w:val="20"/>
          <w:color w:val="auto"/>
        </w:rPr>
      </w:pPr>
    </w:p>
    <w:p>
      <w:pPr>
        <w:jc w:val="both"/>
        <w:ind w:firstLine="757"/>
        <w:spacing w:after="0" w:line="238" w:lineRule="auto"/>
        <w:tabs>
          <w:tab w:leader="none" w:pos="1061"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 Offer to Sell</w:t>
      </w:r>
      <w:r>
        <w:rPr>
          <w:rFonts w:ascii="Arial" w:cs="Arial" w:eastAsia="Arial" w:hAnsi="Arial"/>
          <w:sz w:val="22"/>
          <w:szCs w:val="22"/>
          <w:color w:val="auto"/>
        </w:rPr>
        <w:t>. Other than the Prospectus or a Permitted Free Writing Prospectus,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76" w:lineRule="exact"/>
        <w:rPr>
          <w:rFonts w:ascii="Arial" w:cs="Arial" w:eastAsia="Arial" w:hAnsi="Arial"/>
          <w:sz w:val="22"/>
          <w:szCs w:val="22"/>
          <w:color w:val="auto"/>
        </w:rPr>
      </w:pPr>
    </w:p>
    <w:p>
      <w:pPr>
        <w:ind w:firstLine="757"/>
        <w:spacing w:after="0" w:line="259" w:lineRule="auto"/>
        <w:tabs>
          <w:tab w:leader="none" w:pos="1149"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Sarbanes-Oxley Act</w:t>
      </w:r>
      <w:r>
        <w:rPr>
          <w:rFonts w:ascii="Arial" w:cs="Arial" w:eastAsia="Arial" w:hAnsi="Arial"/>
          <w:sz w:val="22"/>
          <w:szCs w:val="22"/>
          <w:color w:val="auto"/>
        </w:rPr>
        <w:t>. The Company and its subsidiaries will use their best efforts to comply with all effective applicable provisions of the Sarbanes-Oxley Act.</w:t>
      </w:r>
    </w:p>
    <w:p>
      <w:pPr>
        <w:spacing w:after="0" w:line="156" w:lineRule="exact"/>
        <w:rPr>
          <w:rFonts w:ascii="Arial" w:cs="Arial" w:eastAsia="Arial" w:hAnsi="Arial"/>
          <w:sz w:val="22"/>
          <w:szCs w:val="22"/>
          <w:color w:val="auto"/>
        </w:rPr>
      </w:pPr>
    </w:p>
    <w:p>
      <w:pPr>
        <w:jc w:val="both"/>
        <w:ind w:firstLine="757"/>
        <w:spacing w:after="0" w:line="236" w:lineRule="auto"/>
        <w:tabs>
          <w:tab w:leader="none" w:pos="1061"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Affirmation</w:t>
      </w:r>
      <w:r>
        <w:rPr>
          <w:rFonts w:ascii="Arial" w:cs="Arial" w:eastAsia="Arial" w:hAnsi="Arial"/>
          <w:sz w:val="22"/>
          <w:szCs w:val="22"/>
          <w:color w:val="auto"/>
        </w:rPr>
        <w:t>. Each Placement Notice delivered by the Company to the Agent shall be deemed to be (i) an affirmation that the representations, warranties and agreements of the Company herein contained and contained in any certificate delivered to the Agent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73" w:lineRule="exact"/>
        <w:rPr>
          <w:rFonts w:ascii="Arial" w:cs="Arial" w:eastAsia="Arial" w:hAnsi="Arial"/>
          <w:sz w:val="22"/>
          <w:szCs w:val="22"/>
          <w:color w:val="auto"/>
        </w:rPr>
      </w:pPr>
    </w:p>
    <w:p>
      <w:pPr>
        <w:jc w:val="both"/>
        <w:ind w:firstLine="757"/>
        <w:spacing w:after="0" w:line="234" w:lineRule="auto"/>
        <w:tabs>
          <w:tab w:leader="none" w:pos="1061"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Renewal</w:t>
      </w:r>
      <w:r>
        <w:rPr>
          <w:rFonts w:ascii="Arial" w:cs="Arial" w:eastAsia="Arial" w:hAnsi="Arial"/>
          <w:sz w:val="22"/>
          <w:szCs w:val="22"/>
          <w:color w:val="auto"/>
        </w:rPr>
        <w:t>. If immediately prior to the third anniversary (the “</w:t>
      </w:r>
      <w:r>
        <w:rPr>
          <w:rFonts w:ascii="Arial" w:cs="Arial" w:eastAsia="Arial" w:hAnsi="Arial"/>
          <w:sz w:val="22"/>
          <w:szCs w:val="22"/>
          <w:b w:val="1"/>
          <w:bCs w:val="1"/>
          <w:u w:val="single" w:color="auto"/>
          <w:color w:val="auto"/>
        </w:rPr>
        <w:t>Renewal Deadline</w:t>
      </w:r>
      <w:r>
        <w:rPr>
          <w:rFonts w:ascii="Arial" w:cs="Arial" w:eastAsia="Arial" w:hAnsi="Arial"/>
          <w:sz w:val="22"/>
          <w:szCs w:val="22"/>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use reasonable efforts to file, if it has not already done so and is eligible to do so, a new shelf registration statement relating to the Placement Shares, in a form reasonably satisfactory to the Agent, and, if not automatically effective, will use its reasonable efforts to cause such registration statement to be declared effective within 60 days after the Renewal Deadline. The Company will take all other action it reasonably determines to be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82" w:lineRule="exact"/>
        <w:rPr>
          <w:sz w:val="20"/>
          <w:szCs w:val="20"/>
          <w:color w:val="auto"/>
        </w:rPr>
      </w:pPr>
    </w:p>
    <w:p>
      <w:pPr>
        <w:jc w:val="both"/>
        <w:ind w:firstLine="757"/>
        <w:spacing w:after="0" w:line="251" w:lineRule="auto"/>
        <w:tabs>
          <w:tab w:leader="none" w:pos="989"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Conditions to the Agent’s Obligations</w:t>
      </w:r>
      <w:r>
        <w:rPr>
          <w:rFonts w:ascii="Arial" w:cs="Arial" w:eastAsia="Arial" w:hAnsi="Arial"/>
          <w:sz w:val="21"/>
          <w:szCs w:val="21"/>
          <w:color w:val="auto"/>
        </w:rPr>
        <w:t>. The obligations of the Agent hereunder with respect to a Placement Notice will be subject to the continuing accuracy and completeness of the representations and warranties made by the Company herein, to the due performance by the Company of its obligations hereunder and thereunder, to the completion by the Agent of a due diligence review satisfactory to the Agent in its reasonable judgment, and to the continuing satisfaction (or waiver by the Agent in its sole discretion) of the following additional conditions:</w:t>
      </w:r>
    </w:p>
    <w:p>
      <w:pPr>
        <w:spacing w:after="0" w:line="168" w:lineRule="exact"/>
        <w:rPr>
          <w:sz w:val="20"/>
          <w:szCs w:val="20"/>
          <w:color w:val="auto"/>
        </w:rPr>
      </w:pPr>
    </w:p>
    <w:p>
      <w:pPr>
        <w:ind w:left="1100" w:hanging="343"/>
        <w:spacing w:after="0"/>
        <w:tabs>
          <w:tab w:leader="none" w:pos="1100"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Registration Statement Effective</w:t>
      </w:r>
      <w:r>
        <w:rPr>
          <w:rFonts w:ascii="Arial" w:cs="Arial" w:eastAsia="Arial" w:hAnsi="Arial"/>
          <w:sz w:val="22"/>
          <w:szCs w:val="22"/>
          <w:color w:val="auto"/>
        </w:rPr>
        <w:t>. The Registration Statement shall be effective and shall be available for</w:t>
      </w:r>
    </w:p>
    <w:p>
      <w:pPr>
        <w:spacing w:after="0" w:line="10" w:lineRule="exact"/>
        <w:rPr>
          <w:rFonts w:ascii="Arial" w:cs="Arial" w:eastAsia="Arial" w:hAnsi="Arial"/>
          <w:sz w:val="22"/>
          <w:szCs w:val="22"/>
          <w:color w:val="auto"/>
        </w:rPr>
      </w:pPr>
    </w:p>
    <w:p>
      <w:pPr>
        <w:ind w:firstLine="8"/>
        <w:spacing w:after="0"/>
        <w:tabs>
          <w:tab w:leader="none" w:pos="2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all sales of Placement Shares issued pursuant to all prior Placement Notices and (ii) the sale of all Placement Shares contemplated to be issued pursuant to any Placement Notice.</w:t>
      </w:r>
    </w:p>
    <w:p>
      <w:pPr>
        <w:spacing w:after="0" w:line="176" w:lineRule="exact"/>
        <w:rPr>
          <w:rFonts w:ascii="Arial" w:cs="Arial" w:eastAsia="Arial" w:hAnsi="Arial"/>
          <w:sz w:val="22"/>
          <w:szCs w:val="22"/>
          <w:color w:val="auto"/>
        </w:rPr>
      </w:pPr>
    </w:p>
    <w:p>
      <w:pPr>
        <w:jc w:val="both"/>
        <w:ind w:firstLine="757"/>
        <w:spacing w:after="0" w:line="246" w:lineRule="auto"/>
        <w:tabs>
          <w:tab w:leader="none" w:pos="1073" w:val="left"/>
        </w:tabs>
        <w:numPr>
          <w:ilvl w:val="1"/>
          <w:numId w:val="99"/>
        </w:numPr>
        <w:rPr>
          <w:rFonts w:ascii="Arial" w:cs="Arial" w:eastAsia="Arial" w:hAnsi="Arial"/>
          <w:sz w:val="21"/>
          <w:szCs w:val="21"/>
          <w:color w:val="auto"/>
        </w:rPr>
      </w:pPr>
      <w:r>
        <w:rPr>
          <w:rFonts w:ascii="Arial" w:cs="Arial" w:eastAsia="Arial" w:hAnsi="Arial"/>
          <w:sz w:val="21"/>
          <w:szCs w:val="21"/>
          <w:u w:val="single" w:color="auto"/>
          <w:color w:val="auto"/>
        </w:rPr>
        <w:t>No Material Notices</w:t>
      </w:r>
      <w:r>
        <w:rPr>
          <w:rFonts w:ascii="Arial" w:cs="Arial" w:eastAsia="Arial" w:hAnsi="Arial"/>
          <w:sz w:val="21"/>
          <w:szCs w:val="21"/>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spacing w:after="0" w:line="1" w:lineRule="exact"/>
        <w:rPr>
          <w:rFonts w:ascii="Arial" w:cs="Arial" w:eastAsia="Arial" w:hAnsi="Arial"/>
          <w:sz w:val="21"/>
          <w:szCs w:val="21"/>
          <w:color w:val="auto"/>
        </w:rPr>
      </w:pPr>
    </w:p>
    <w:p>
      <w:pPr>
        <w:ind w:left="300" w:hanging="292"/>
        <w:spacing w:after="0"/>
        <w:tabs>
          <w:tab w:leader="none" w:pos="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issuance by the Commission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5520" w:hanging="106"/>
        <w:spacing w:after="0"/>
        <w:tabs>
          <w:tab w:leader="none" w:pos="55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4" w:name="page195"/>
    <w:bookmarkEnd w:id="194"/>
    <w:p>
      <w:pPr>
        <w:jc w:val="both"/>
        <w:spacing w:after="0" w:line="233" w:lineRule="auto"/>
        <w:rPr>
          <w:sz w:val="20"/>
          <w:szCs w:val="20"/>
          <w:color w:val="auto"/>
        </w:rPr>
      </w:pPr>
      <w:r>
        <w:rPr>
          <w:rFonts w:ascii="Arial" w:cs="Arial" w:eastAsia="Arial" w:hAnsi="Arial"/>
          <w:sz w:val="22"/>
          <w:szCs w:val="22"/>
          <w:color w:val="auto"/>
        </w:rPr>
        <w:t>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5" w:lineRule="exact"/>
        <w:rPr>
          <w:sz w:val="20"/>
          <w:szCs w:val="20"/>
          <w:color w:val="auto"/>
        </w:rPr>
      </w:pPr>
    </w:p>
    <w:p>
      <w:pPr>
        <w:jc w:val="both"/>
        <w:ind w:firstLine="757"/>
        <w:spacing w:after="0"/>
        <w:tabs>
          <w:tab w:leader="none" w:pos="112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No Misstatement or Material Omission</w:t>
      </w:r>
      <w:r>
        <w:rPr>
          <w:rFonts w:ascii="Arial" w:cs="Arial" w:eastAsia="Arial" w:hAnsi="Arial"/>
          <w:sz w:val="22"/>
          <w:szCs w:val="22"/>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rFonts w:ascii="Arial" w:cs="Arial" w:eastAsia="Arial" w:hAnsi="Arial"/>
          <w:sz w:val="22"/>
          <w:szCs w:val="22"/>
          <w:color w:val="auto"/>
        </w:rPr>
      </w:pPr>
    </w:p>
    <w:p>
      <w:pPr>
        <w:jc w:val="both"/>
        <w:ind w:firstLine="757"/>
        <w:spacing w:after="0" w:line="234" w:lineRule="auto"/>
        <w:tabs>
          <w:tab w:leader="none" w:pos="1073"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Material Changes</w:t>
      </w:r>
      <w:r>
        <w:rPr>
          <w:rFonts w:ascii="Arial" w:cs="Arial" w:eastAsia="Arial" w:hAnsi="Arial"/>
          <w:sz w:val="22"/>
          <w:szCs w:val="22"/>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79" w:lineRule="exact"/>
        <w:rPr>
          <w:rFonts w:ascii="Arial" w:cs="Arial" w:eastAsia="Arial" w:hAnsi="Arial"/>
          <w:sz w:val="22"/>
          <w:szCs w:val="22"/>
          <w:color w:val="auto"/>
        </w:rPr>
      </w:pPr>
    </w:p>
    <w:p>
      <w:pPr>
        <w:jc w:val="both"/>
        <w:ind w:firstLine="757"/>
        <w:spacing w:after="0" w:line="245" w:lineRule="auto"/>
        <w:tabs>
          <w:tab w:leader="none" w:pos="1113"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Company Counsel Legal Opinion and Negative Assurance Letter</w:t>
      </w:r>
      <w:r>
        <w:rPr>
          <w:rFonts w:ascii="Arial" w:cs="Arial" w:eastAsia="Arial" w:hAnsi="Arial"/>
          <w:sz w:val="22"/>
          <w:szCs w:val="22"/>
          <w:color w:val="auto"/>
        </w:rPr>
        <w:t>. The Agent shall have received the Corporate Legal Opinion and negative assurance letter of Company Counsel required to be delivered pursuant to Section 7(n), on or before the date on which such delivery of such opinion is required pursuant to Section 7(n).</w:t>
      </w:r>
    </w:p>
    <w:p>
      <w:pPr>
        <w:spacing w:after="0" w:line="170" w:lineRule="exact"/>
        <w:rPr>
          <w:rFonts w:ascii="Arial" w:cs="Arial" w:eastAsia="Arial" w:hAnsi="Arial"/>
          <w:sz w:val="22"/>
          <w:szCs w:val="22"/>
          <w:color w:val="auto"/>
        </w:rPr>
      </w:pPr>
    </w:p>
    <w:p>
      <w:pPr>
        <w:jc w:val="both"/>
        <w:ind w:firstLine="757"/>
        <w:spacing w:after="0" w:line="245" w:lineRule="auto"/>
        <w:tabs>
          <w:tab w:leader="none" w:pos="1053"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Intellectual Counsel Legal Opinion</w:t>
      </w:r>
      <w:r>
        <w:rPr>
          <w:rFonts w:ascii="Arial" w:cs="Arial" w:eastAsia="Arial" w:hAnsi="Arial"/>
          <w:sz w:val="22"/>
          <w:szCs w:val="22"/>
          <w:color w:val="auto"/>
        </w:rPr>
        <w:t>. The Agent shall have received the opinion of Intellectual Property Counsel required to be delivered pursuant to Section 7(o), on or before the date on which such delivery of such opinion is required pursuant to Section 7(o).</w:t>
      </w:r>
    </w:p>
    <w:p>
      <w:pPr>
        <w:spacing w:after="0" w:line="170" w:lineRule="exact"/>
        <w:rPr>
          <w:rFonts w:ascii="Arial" w:cs="Arial" w:eastAsia="Arial" w:hAnsi="Arial"/>
          <w:sz w:val="22"/>
          <w:szCs w:val="22"/>
          <w:color w:val="auto"/>
        </w:rPr>
      </w:pPr>
    </w:p>
    <w:p>
      <w:pPr>
        <w:jc w:val="both"/>
        <w:ind w:firstLine="757"/>
        <w:spacing w:after="0" w:line="238" w:lineRule="auto"/>
        <w:tabs>
          <w:tab w:leader="none" w:pos="1073"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Agent’s Counsel Legal Opinion</w:t>
      </w:r>
      <w:r>
        <w:rPr>
          <w:rFonts w:ascii="Arial" w:cs="Arial" w:eastAsia="Arial" w:hAnsi="Arial"/>
          <w:sz w:val="22"/>
          <w:szCs w:val="22"/>
          <w:color w:val="auto"/>
        </w:rPr>
        <w:t xml:space="preserve">. The Agent shall have received from Davis Polk &amp; Wardwell LLP, counsel for the Agent, such opinion or opinions, on or before the date on which the delivery of the Company Counsel legal opinion is required pursuant to </w:t>
      </w:r>
      <w:r>
        <w:rPr>
          <w:rFonts w:ascii="Arial" w:cs="Arial" w:eastAsia="Arial" w:hAnsi="Arial"/>
          <w:sz w:val="22"/>
          <w:szCs w:val="22"/>
          <w:u w:val="single" w:color="auto"/>
          <w:color w:val="auto"/>
        </w:rPr>
        <w:t>Section 7(n)</w:t>
      </w:r>
      <w:r>
        <w:rPr>
          <w:rFonts w:ascii="Arial" w:cs="Arial" w:eastAsia="Arial" w:hAnsi="Arial"/>
          <w:sz w:val="22"/>
          <w:szCs w:val="22"/>
          <w:color w:val="auto"/>
        </w:rPr>
        <w:t>, with respect to such matters as the Agent may reasonably require, and the Company shall have furnished to such counsel such documents as they may request to enable them to pass upon such matters.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520" w:hanging="106"/>
        <w:spacing w:after="0"/>
        <w:tabs>
          <w:tab w:leader="none" w:pos="55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5" w:name="page196"/>
    <w:bookmarkEnd w:id="195"/>
    <w:p>
      <w:pPr>
        <w:jc w:val="both"/>
        <w:ind w:left="-8" w:firstLine="757"/>
        <w:spacing w:after="0" w:line="283" w:lineRule="auto"/>
        <w:tabs>
          <w:tab w:leader="none" w:pos="1092"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Comfort Letter</w:t>
      </w:r>
      <w:r>
        <w:rPr>
          <w:rFonts w:ascii="Arial" w:cs="Arial" w:eastAsia="Arial" w:hAnsi="Arial"/>
          <w:sz w:val="21"/>
          <w:szCs w:val="21"/>
          <w:color w:val="auto"/>
        </w:rPr>
        <w:t xml:space="preserve">. The Agent shall have received the Comfort Letter required to be delivered pursuant to </w:t>
      </w:r>
      <w:r>
        <w:rPr>
          <w:rFonts w:ascii="Arial" w:cs="Arial" w:eastAsia="Arial" w:hAnsi="Arial"/>
          <w:sz w:val="21"/>
          <w:szCs w:val="21"/>
          <w:u w:val="single" w:color="auto"/>
          <w:color w:val="auto"/>
        </w:rPr>
        <w:t>Section 7(p)</w:t>
      </w:r>
      <w:r>
        <w:rPr>
          <w:rFonts w:ascii="Arial" w:cs="Arial" w:eastAsia="Arial" w:hAnsi="Arial"/>
          <w:sz w:val="21"/>
          <w:szCs w:val="21"/>
          <w:color w:val="auto"/>
        </w:rPr>
        <w:t xml:space="preserve"> on or before the date on which such delivery of such Comfort Letter is required pursuant to </w:t>
      </w:r>
      <w:r>
        <w:rPr>
          <w:rFonts w:ascii="Arial" w:cs="Arial" w:eastAsia="Arial" w:hAnsi="Arial"/>
          <w:sz w:val="21"/>
          <w:szCs w:val="21"/>
          <w:u w:val="single" w:color="auto"/>
          <w:color w:val="auto"/>
        </w:rPr>
        <w:t>Section 7(p)</w:t>
      </w:r>
      <w:r>
        <w:rPr>
          <w:rFonts w:ascii="Arial" w:cs="Arial" w:eastAsia="Arial" w:hAnsi="Arial"/>
          <w:sz w:val="21"/>
          <w:szCs w:val="21"/>
          <w:color w:val="auto"/>
        </w:rPr>
        <w:t>.</w:t>
      </w:r>
    </w:p>
    <w:p>
      <w:pPr>
        <w:spacing w:after="0" w:line="132" w:lineRule="exact"/>
        <w:rPr>
          <w:rFonts w:ascii="Arial" w:cs="Arial" w:eastAsia="Arial" w:hAnsi="Arial"/>
          <w:sz w:val="21"/>
          <w:szCs w:val="21"/>
          <w:color w:val="auto"/>
        </w:rPr>
      </w:pPr>
    </w:p>
    <w:p>
      <w:pPr>
        <w:ind w:left="-8" w:right="20" w:firstLine="757"/>
        <w:spacing w:after="0" w:line="283" w:lineRule="auto"/>
        <w:tabs>
          <w:tab w:leader="none" w:pos="993"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Representation Certificate</w:t>
      </w:r>
      <w:r>
        <w:rPr>
          <w:rFonts w:ascii="Arial" w:cs="Arial" w:eastAsia="Arial" w:hAnsi="Arial"/>
          <w:sz w:val="21"/>
          <w:szCs w:val="21"/>
          <w:color w:val="auto"/>
        </w:rPr>
        <w:t xml:space="preserve">. The Agent shall have received the certificate required to be delivered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w:t>
      </w:r>
    </w:p>
    <w:p>
      <w:pPr>
        <w:spacing w:after="0" w:line="132" w:lineRule="exact"/>
        <w:rPr>
          <w:rFonts w:ascii="Arial" w:cs="Arial" w:eastAsia="Arial" w:hAnsi="Arial"/>
          <w:sz w:val="21"/>
          <w:szCs w:val="21"/>
          <w:color w:val="auto"/>
        </w:rPr>
      </w:pPr>
    </w:p>
    <w:p>
      <w:pPr>
        <w:jc w:val="both"/>
        <w:ind w:left="-8" w:firstLine="757"/>
        <w:spacing w:after="0" w:line="245" w:lineRule="auto"/>
        <w:tabs>
          <w:tab w:leader="none" w:pos="1006"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Secretary’s Certificate</w:t>
      </w:r>
      <w:r>
        <w:rPr>
          <w:rFonts w:ascii="Arial" w:cs="Arial" w:eastAsia="Arial" w:hAnsi="Arial"/>
          <w:sz w:val="22"/>
          <w:szCs w:val="22"/>
          <w:color w:val="auto"/>
        </w:rPr>
        <w:t>. On or prior to the First Delivery Date, the Agent shall have received a certificate, signed on behalf of the Company by its corporate secretary, in form and substance satisfactory to the Agent and its counsel.</w:t>
      </w:r>
    </w:p>
    <w:p>
      <w:pPr>
        <w:spacing w:after="0" w:line="170" w:lineRule="exact"/>
        <w:rPr>
          <w:rFonts w:ascii="Arial" w:cs="Arial" w:eastAsia="Arial" w:hAnsi="Arial"/>
          <w:sz w:val="22"/>
          <w:szCs w:val="22"/>
          <w:color w:val="auto"/>
        </w:rPr>
      </w:pPr>
    </w:p>
    <w:p>
      <w:pPr>
        <w:jc w:val="both"/>
        <w:ind w:left="-8" w:firstLine="757"/>
        <w:spacing w:after="0" w:line="245" w:lineRule="auto"/>
        <w:tabs>
          <w:tab w:leader="none" w:pos="1093"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No Suspension</w:t>
      </w:r>
      <w:r>
        <w:rPr>
          <w:rFonts w:ascii="Arial" w:cs="Arial" w:eastAsia="Arial" w:hAnsi="Arial"/>
          <w:sz w:val="22"/>
          <w:szCs w:val="22"/>
          <w:color w:val="auto"/>
        </w:rPr>
        <w:t>. The Common Stock shall be duly listed, and admitted and authorized for trading on Nasdaq. Trading in the Common Stock shall not have been suspended on, and the Common Stock shall not have been delisted from, Nasdaq.</w:t>
      </w:r>
    </w:p>
    <w:p>
      <w:pPr>
        <w:spacing w:after="0" w:line="170" w:lineRule="exact"/>
        <w:rPr>
          <w:rFonts w:ascii="Arial" w:cs="Arial" w:eastAsia="Arial" w:hAnsi="Arial"/>
          <w:sz w:val="22"/>
          <w:szCs w:val="22"/>
          <w:color w:val="auto"/>
        </w:rPr>
      </w:pPr>
    </w:p>
    <w:p>
      <w:pPr>
        <w:jc w:val="both"/>
        <w:ind w:left="-8" w:firstLine="757"/>
        <w:spacing w:after="0" w:line="251" w:lineRule="auto"/>
        <w:tabs>
          <w:tab w:leader="none" w:pos="1033"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Other Materials</w:t>
      </w:r>
      <w:r>
        <w:rPr>
          <w:rFonts w:ascii="Arial" w:cs="Arial" w:eastAsia="Arial" w:hAnsi="Arial"/>
          <w:sz w:val="21"/>
          <w:szCs w:val="21"/>
          <w:color w:val="auto"/>
        </w:rPr>
        <w:t xml:space="preserve">. On each date on which the Company is required to deliver a certificate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 the Company shall have furnished to the Agent such appropriate further information, certificates and documents as the Agent may have reasonably requested. All such opinions, certificates, letters and other documents shall have been in compliance with the provisions hereof. The Company will furnish the Agent with such conformed copies of such opinions, certificates, letters and other documents as the Agent shall have reasonably requested.</w:t>
      </w:r>
    </w:p>
    <w:p>
      <w:pPr>
        <w:spacing w:after="0" w:line="168" w:lineRule="exact"/>
        <w:rPr>
          <w:rFonts w:ascii="Arial" w:cs="Arial" w:eastAsia="Arial" w:hAnsi="Arial"/>
          <w:sz w:val="21"/>
          <w:szCs w:val="21"/>
          <w:color w:val="auto"/>
        </w:rPr>
      </w:pPr>
    </w:p>
    <w:p>
      <w:pPr>
        <w:jc w:val="both"/>
        <w:ind w:left="-8" w:firstLine="757"/>
        <w:spacing w:after="0" w:line="245" w:lineRule="auto"/>
        <w:tabs>
          <w:tab w:leader="none" w:pos="1179"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Securities Act Filings Made</w:t>
      </w:r>
      <w:r>
        <w:rPr>
          <w:rFonts w:ascii="Arial" w:cs="Arial" w:eastAsia="Arial" w:hAnsi="Arial"/>
          <w:sz w:val="22"/>
          <w:szCs w:val="22"/>
          <w:color w:val="auto"/>
        </w:rPr>
        <w:t>. All filings with the Commission with respect to the Placement Shares required by Rule 424 under the Securities Act to have been filed prior to the issuance of any Placement Notice hereunder shall have been made within the applicable time period prescribed for such filing by Rule 424.</w:t>
      </w:r>
    </w:p>
    <w:p>
      <w:pPr>
        <w:spacing w:after="0" w:line="170" w:lineRule="exact"/>
        <w:rPr>
          <w:rFonts w:ascii="Arial" w:cs="Arial" w:eastAsia="Arial" w:hAnsi="Arial"/>
          <w:sz w:val="22"/>
          <w:szCs w:val="22"/>
          <w:color w:val="auto"/>
        </w:rPr>
      </w:pPr>
    </w:p>
    <w:p>
      <w:pPr>
        <w:ind w:left="1092" w:hanging="343"/>
        <w:spacing w:after="0"/>
        <w:tabs>
          <w:tab w:leader="none" w:pos="1092"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Approval for Listing</w:t>
      </w:r>
      <w:r>
        <w:rPr>
          <w:rFonts w:ascii="Arial" w:cs="Arial" w:eastAsia="Arial" w:hAnsi="Arial"/>
          <w:sz w:val="22"/>
          <w:szCs w:val="22"/>
          <w:color w:val="auto"/>
        </w:rPr>
        <w:t>. The Placement Shares shall either have been (i) approved for listing on Nasdaq, or</w:t>
      </w:r>
    </w:p>
    <w:p>
      <w:pPr>
        <w:spacing w:after="0" w:line="10" w:lineRule="exact"/>
        <w:rPr>
          <w:rFonts w:ascii="Arial" w:cs="Arial" w:eastAsia="Arial" w:hAnsi="Arial"/>
          <w:sz w:val="22"/>
          <w:szCs w:val="22"/>
          <w:color w:val="auto"/>
        </w:rPr>
      </w:pPr>
    </w:p>
    <w:p>
      <w:pPr>
        <w:ind w:left="-8" w:right="20" w:firstLine="8"/>
        <w:spacing w:after="0"/>
        <w:tabs>
          <w:tab w:leader="none" w:pos="32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Company shall have filed an application for listing of the Placement Shares on Nasdaq at, or prior to, the issuance of any Placement Notice.</w:t>
      </w:r>
    </w:p>
    <w:p>
      <w:pPr>
        <w:spacing w:after="0" w:line="176" w:lineRule="exact"/>
        <w:rPr>
          <w:rFonts w:ascii="Arial" w:cs="Arial" w:eastAsia="Arial" w:hAnsi="Arial"/>
          <w:sz w:val="22"/>
          <w:szCs w:val="22"/>
          <w:color w:val="auto"/>
        </w:rPr>
      </w:pPr>
    </w:p>
    <w:p>
      <w:pPr>
        <w:ind w:left="-8" w:firstLine="757"/>
        <w:spacing w:after="0" w:line="259" w:lineRule="auto"/>
        <w:tabs>
          <w:tab w:leader="none" w:pos="1078"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FINRA.</w:t>
      </w:r>
      <w:r>
        <w:rPr>
          <w:rFonts w:ascii="Arial" w:cs="Arial" w:eastAsia="Arial" w:hAnsi="Arial"/>
          <w:sz w:val="22"/>
          <w:szCs w:val="22"/>
          <w:color w:val="auto"/>
        </w:rPr>
        <w:t xml:space="preserve"> FINRA shall have raised no objection to the terms of the offering contemplated hereby and the amount of compensation allowable or payable to the Agent as described in the Prospectus.</w:t>
      </w:r>
    </w:p>
    <w:p>
      <w:pPr>
        <w:spacing w:after="0" w:line="156" w:lineRule="exact"/>
        <w:rPr>
          <w:rFonts w:ascii="Arial" w:cs="Arial" w:eastAsia="Arial" w:hAnsi="Arial"/>
          <w:sz w:val="22"/>
          <w:szCs w:val="22"/>
          <w:color w:val="auto"/>
        </w:rPr>
      </w:pPr>
    </w:p>
    <w:p>
      <w:pPr>
        <w:ind w:left="-8" w:firstLine="757"/>
        <w:spacing w:after="0" w:line="259" w:lineRule="auto"/>
        <w:tabs>
          <w:tab w:leader="none" w:pos="1065"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No Termination Event</w:t>
      </w:r>
      <w:r>
        <w:rPr>
          <w:rFonts w:ascii="Arial" w:cs="Arial" w:eastAsia="Arial" w:hAnsi="Arial"/>
          <w:sz w:val="22"/>
          <w:szCs w:val="22"/>
          <w:color w:val="auto"/>
        </w:rPr>
        <w:t xml:space="preserve">. There shall not have occurred any event that would permit the Agent to terminate this Agreement pursuant to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156" w:lineRule="exact"/>
        <w:rPr>
          <w:sz w:val="20"/>
          <w:szCs w:val="20"/>
          <w:color w:val="auto"/>
        </w:rPr>
      </w:pPr>
    </w:p>
    <w:p>
      <w:pPr>
        <w:ind w:left="992" w:hanging="243"/>
        <w:spacing w:after="0"/>
        <w:tabs>
          <w:tab w:leader="none" w:pos="992"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06" w:lineRule="exact"/>
        <w:rPr>
          <w:sz w:val="20"/>
          <w:szCs w:val="20"/>
          <w:color w:val="auto"/>
        </w:rPr>
      </w:pPr>
    </w:p>
    <w:p>
      <w:pPr>
        <w:jc w:val="both"/>
        <w:ind w:left="-8" w:firstLine="757"/>
        <w:spacing w:after="0" w:line="247" w:lineRule="auto"/>
        <w:tabs>
          <w:tab w:leader="none" w:pos="1065"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Company Indemnification</w:t>
      </w:r>
      <w:r>
        <w:rPr>
          <w:rFonts w:ascii="Arial" w:cs="Arial" w:eastAsia="Arial" w:hAnsi="Arial"/>
          <w:sz w:val="21"/>
          <w:szCs w:val="21"/>
          <w:color w:val="auto"/>
        </w:rPr>
        <w:t xml:space="preserve">. The Company agrees to indemnify and hold harmless the Agent, the directors, officers, partners, employees and agents of the Agent and each person, if any, who (i) controls the Agent within the meaning of Section 15 of the Securities Act or Section 20 of the Exchange Act, or (ii) is controlled by or is under common control with the Agent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21"/>
          <w:szCs w:val="21"/>
          <w:u w:val="single" w:color="auto"/>
          <w:color w:val="auto"/>
        </w:rPr>
        <w:t>Section 9(c)</w:t>
      </w:r>
      <w:r>
        <w:rPr>
          <w:rFonts w:ascii="Arial" w:cs="Arial" w:eastAsia="Arial" w:hAnsi="Arial"/>
          <w:sz w:val="21"/>
          <w:szCs w:val="21"/>
          <w:color w:val="auto"/>
        </w:rPr>
        <w:t>) of, any action, suit or proceeding between any of the indemnified parties and any indemnifying parties or between any indemnified party and any third party, or otherwise, or any claim asserted), as and when incurred, to which the Agent, or any such person,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1" w:lineRule="exact"/>
        <w:rPr>
          <w:rFonts w:ascii="Arial" w:cs="Arial" w:eastAsia="Arial" w:hAnsi="Arial"/>
          <w:sz w:val="21"/>
          <w:szCs w:val="21"/>
          <w:color w:val="auto"/>
        </w:rPr>
      </w:pPr>
    </w:p>
    <w:p>
      <w:pPr>
        <w:ind w:left="5512" w:hanging="106"/>
        <w:spacing w:after="0"/>
        <w:tabs>
          <w:tab w:leader="none" w:pos="551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64" w:right="339" w:bottom="1440" w:gutter="0" w:footer="0" w:header="0"/>
        </w:sectPr>
      </w:pPr>
    </w:p>
    <w:bookmarkStart w:id="196" w:name="page197"/>
    <w:bookmarkEnd w:id="196"/>
    <w:p>
      <w:pPr>
        <w:jc w:val="both"/>
        <w:spacing w:after="0" w:line="232" w:lineRule="auto"/>
        <w:rPr>
          <w:sz w:val="20"/>
          <w:szCs w:val="20"/>
          <w:color w:val="auto"/>
        </w:rPr>
      </w:pPr>
      <w:r>
        <w:rPr>
          <w:rFonts w:ascii="Arial" w:cs="Arial" w:eastAsia="Arial" w:hAnsi="Arial"/>
          <w:sz w:val="22"/>
          <w:szCs w:val="22"/>
          <w:color w:val="auto"/>
        </w:rPr>
        <w:t xml:space="preserve">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fifth paragraph and the last sentence of the eighth paragraph under the caption “Plan of Distribution” in the Prospectus. This indemnity agreement will be in addition to any liability that the Company might otherwise have.</w:t>
      </w:r>
    </w:p>
    <w:p>
      <w:pPr>
        <w:spacing w:after="0" w:line="191" w:lineRule="exact"/>
        <w:rPr>
          <w:sz w:val="20"/>
          <w:szCs w:val="20"/>
          <w:color w:val="auto"/>
        </w:rPr>
      </w:pPr>
    </w:p>
    <w:p>
      <w:pPr>
        <w:jc w:val="both"/>
        <w:ind w:firstLine="757"/>
        <w:spacing w:after="0" w:line="235" w:lineRule="auto"/>
        <w:tabs>
          <w:tab w:leader="none" w:pos="108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Agent Indemnification</w:t>
      </w:r>
      <w:r>
        <w:rPr>
          <w:rFonts w:ascii="Arial" w:cs="Arial" w:eastAsia="Arial" w:hAnsi="Arial"/>
          <w:sz w:val="22"/>
          <w:szCs w:val="22"/>
          <w:color w:val="auto"/>
        </w:rPr>
        <w:t xml:space="preserve">. The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Arial" w:cs="Arial" w:eastAsia="Arial" w:hAnsi="Arial"/>
          <w:sz w:val="22"/>
          <w:szCs w:val="22"/>
          <w:u w:val="single" w:color="auto"/>
          <w:color w:val="auto"/>
        </w:rPr>
        <w:t>Section 9(a)</w:t>
      </w:r>
      <w:r>
        <w:rPr>
          <w:rFonts w:ascii="Arial" w:cs="Arial" w:eastAsia="Arial" w:hAnsi="Arial"/>
          <w:sz w:val="22"/>
          <w:szCs w:val="22"/>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78" w:lineRule="exact"/>
        <w:rPr>
          <w:rFonts w:ascii="Arial" w:cs="Arial" w:eastAsia="Arial" w:hAnsi="Arial"/>
          <w:sz w:val="22"/>
          <w:szCs w:val="22"/>
          <w:color w:val="auto"/>
        </w:rPr>
      </w:pPr>
    </w:p>
    <w:p>
      <w:pPr>
        <w:jc w:val="both"/>
        <w:ind w:firstLine="757"/>
        <w:spacing w:after="0" w:line="232" w:lineRule="auto"/>
        <w:tabs>
          <w:tab w:leader="none" w:pos="1061"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 xml:space="preserve">. Any party that proposes to assert the right to be indemnified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and (ii) any liability that it may have to any indemnified party under the foregoing provision of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reasonable and documented fees, expenses and other charges of such counsel will be at the expense of such indemnified party unless (1) the employment of counsel by the indemnified party has been authorized in writing by the indemnifying party, (2) the indemnified party has reasonably concluded (based 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6" w:lineRule="exact"/>
        <w:rPr>
          <w:rFonts w:ascii="Arial" w:cs="Arial" w:eastAsia="Arial" w:hAnsi="Arial"/>
          <w:sz w:val="22"/>
          <w:szCs w:val="22"/>
          <w:color w:val="auto"/>
        </w:rPr>
      </w:pPr>
    </w:p>
    <w:p>
      <w:pPr>
        <w:ind w:left="5520" w:hanging="106"/>
        <w:spacing w:after="0"/>
        <w:tabs>
          <w:tab w:leader="none" w:pos="55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7" w:name="page198"/>
    <w:bookmarkEnd w:id="197"/>
    <w:p>
      <w:pPr>
        <w:jc w:val="both"/>
        <w:spacing w:after="0" w:line="232" w:lineRule="auto"/>
        <w:rPr>
          <w:sz w:val="20"/>
          <w:szCs w:val="20"/>
          <w:color w:val="auto"/>
        </w:rPr>
      </w:pPr>
      <w:r>
        <w:rPr>
          <w:rFonts w:ascii="Arial" w:cs="Arial" w:eastAsia="Arial" w:hAnsi="Arial"/>
          <w:sz w:val="22"/>
          <w:szCs w:val="22"/>
          <w:color w:val="auto"/>
        </w:rPr>
        <w:t xml:space="preserve">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90" w:lineRule="exact"/>
        <w:rPr>
          <w:sz w:val="20"/>
          <w:szCs w:val="20"/>
          <w:color w:val="auto"/>
        </w:rPr>
      </w:pPr>
    </w:p>
    <w:p>
      <w:pPr>
        <w:jc w:val="both"/>
        <w:ind w:firstLine="757"/>
        <w:spacing w:after="0" w:line="232" w:lineRule="auto"/>
        <w:tabs>
          <w:tab w:leader="none" w:pos="112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Contribution</w:t>
      </w:r>
      <w:r>
        <w:rPr>
          <w:rFonts w:ascii="Arial" w:cs="Arial" w:eastAsia="Arial" w:hAnsi="Arial"/>
          <w:sz w:val="22"/>
          <w:szCs w:val="22"/>
          <w:color w:val="auto"/>
        </w:rPr>
        <w:t xml:space="preserve">. In order to provide for just and equitable contribution in circumstances in which the indemnification provided for in the foregoing paragraphs of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is applicable in accordance with its terms but for any reason is held to be unavailable from the Company or the Agent, the Company and the Agent will contribute to the total losses, claims, liabilities, reasonable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Arial" w:cs="Arial" w:eastAsia="Arial" w:hAnsi="Arial"/>
          <w:sz w:val="22"/>
          <w:szCs w:val="22"/>
          <w:u w:val="single" w:color="auto"/>
          <w:color w:val="auto"/>
        </w:rPr>
        <w:t>Section 9(d)</w:t>
      </w:r>
      <w:r>
        <w:rPr>
          <w:rFonts w:ascii="Arial" w:cs="Arial" w:eastAsia="Arial" w:hAnsi="Arial"/>
          <w:sz w:val="22"/>
          <w:szCs w:val="22"/>
          <w:color w:val="auto"/>
        </w:rPr>
        <w:t xml:space="preserve"> were to be determined by pro rata allocation or by any other method of allocation that does not take into account the equitable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8" w:lineRule="exact"/>
        <w:rPr>
          <w:rFonts w:ascii="Arial" w:cs="Arial" w:eastAsia="Arial" w:hAnsi="Arial"/>
          <w:sz w:val="22"/>
          <w:szCs w:val="22"/>
          <w:color w:val="auto"/>
        </w:rPr>
      </w:pPr>
    </w:p>
    <w:p>
      <w:pPr>
        <w:ind w:left="5520" w:hanging="106"/>
        <w:spacing w:after="0"/>
        <w:tabs>
          <w:tab w:leader="none" w:pos="55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8" w:name="page199"/>
    <w:bookmarkEnd w:id="198"/>
    <w:p>
      <w:pPr>
        <w:jc w:val="both"/>
        <w:spacing w:after="0" w:line="243" w:lineRule="auto"/>
        <w:rPr>
          <w:sz w:val="20"/>
          <w:szCs w:val="20"/>
          <w:color w:val="auto"/>
        </w:rPr>
      </w:pPr>
      <w:r>
        <w:rPr>
          <w:rFonts w:ascii="Arial" w:cs="Arial" w:eastAsia="Arial" w:hAnsi="Arial"/>
          <w:sz w:val="21"/>
          <w:szCs w:val="21"/>
          <w:color w:val="auto"/>
        </w:rPr>
        <w:t xml:space="preserve">considerations referred to herein. The amount paid or payable by an indemnified party as a result of the loss, claim, liability, expense, or damage, or action in respect thereof, referred to above in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shall be deemed to include, for the purpose of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hereof. Notwithstanding the foregoing provisions of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any person who controls a party to this Agreement within the meaning of the Securities Act, and any officers, directors, partners, employees or agents of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hereof.</w:t>
      </w:r>
    </w:p>
    <w:p>
      <w:pPr>
        <w:spacing w:after="0" w:line="187" w:lineRule="exact"/>
        <w:rPr>
          <w:sz w:val="20"/>
          <w:szCs w:val="20"/>
          <w:color w:val="auto"/>
        </w:rPr>
      </w:pPr>
    </w:p>
    <w:p>
      <w:pPr>
        <w:jc w:val="both"/>
        <w:ind w:firstLine="757"/>
        <w:spacing w:after="0" w:line="236" w:lineRule="auto"/>
        <w:tabs>
          <w:tab w:leader="none" w:pos="1177"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Representations and Agreements to Survive Delivery</w:t>
      </w:r>
      <w:r>
        <w:rPr>
          <w:rFonts w:ascii="Arial" w:cs="Arial" w:eastAsia="Arial" w:hAnsi="Arial"/>
          <w:sz w:val="22"/>
          <w:szCs w:val="22"/>
          <w:color w:val="auto"/>
        </w:rPr>
        <w:t xml:space="preserve">. The indemnity and contribution agreements contained in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81" w:lineRule="exact"/>
        <w:rPr>
          <w:rFonts w:ascii="Arial" w:cs="Arial" w:eastAsia="Arial" w:hAnsi="Arial"/>
          <w:sz w:val="22"/>
          <w:szCs w:val="22"/>
          <w:color w:val="auto"/>
        </w:rPr>
      </w:pPr>
    </w:p>
    <w:p>
      <w:pPr>
        <w:ind w:left="1120" w:hanging="363"/>
        <w:spacing w:after="0"/>
        <w:tabs>
          <w:tab w:leader="none" w:pos="112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06" w:lineRule="exact"/>
        <w:rPr>
          <w:sz w:val="20"/>
          <w:szCs w:val="20"/>
          <w:color w:val="auto"/>
        </w:rPr>
      </w:pPr>
    </w:p>
    <w:p>
      <w:pPr>
        <w:jc w:val="both"/>
        <w:ind w:firstLine="757"/>
        <w:spacing w:after="0" w:line="233" w:lineRule="auto"/>
        <w:tabs>
          <w:tab w:leader="none" w:pos="111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the Agent shall have the right by giving notice as hereinafter specified at any time to terminate this Agreement if (i) any Material Adverse Change, or any development that could reasonably be expected to result in a Material Adverse Change has occurred that, in the reasonable judgment of the Agent, may materially impair the ability of the Agent to sell the Placement Shares hereunder, (ii) the Company shall have failed, refused or been unable to perform any agreement on its part to be performed hereunder, or (iii) any other condition of the Agent’s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(Expenses),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(Indemnification and Contribution),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(Representations and Agreements to Survive Delivery),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(Applicable Law; Consent to Jurisdiction)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(Waiver of Jury Trial) hereof shall remain in full force and effect notwithstanding such termination. If the Agent elects to terminate this Agreement as provided in this </w:t>
      </w:r>
      <w:r>
        <w:rPr>
          <w:rFonts w:ascii="Arial" w:cs="Arial" w:eastAsia="Arial" w:hAnsi="Arial"/>
          <w:sz w:val="22"/>
          <w:szCs w:val="22"/>
          <w:u w:val="single" w:color="auto"/>
          <w:color w:val="auto"/>
        </w:rPr>
        <w:t>Section 11(a)</w:t>
      </w:r>
      <w:r>
        <w:rPr>
          <w:rFonts w:ascii="Arial" w:cs="Arial" w:eastAsia="Arial" w:hAnsi="Arial"/>
          <w:sz w:val="22"/>
          <w:szCs w:val="22"/>
          <w:color w:val="auto"/>
        </w:rPr>
        <w:t xml:space="preserve">, the Agent shall provide the required notice as specified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(Notices).</w:t>
      </w:r>
    </w:p>
    <w:p>
      <w:pPr>
        <w:spacing w:after="0" w:line="184" w:lineRule="exact"/>
        <w:rPr>
          <w:rFonts w:ascii="Arial" w:cs="Arial" w:eastAsia="Arial" w:hAnsi="Arial"/>
          <w:sz w:val="22"/>
          <w:szCs w:val="22"/>
          <w:color w:val="auto"/>
        </w:rPr>
      </w:pPr>
    </w:p>
    <w:p>
      <w:pPr>
        <w:jc w:val="both"/>
        <w:ind w:firstLine="757"/>
        <w:spacing w:after="0" w:line="245" w:lineRule="auto"/>
        <w:tabs>
          <w:tab w:leader="none" w:pos="107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20" w:hanging="106"/>
        <w:spacing w:after="0"/>
        <w:tabs>
          <w:tab w:leader="none" w:pos="55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9" w:name="page200"/>
    <w:bookmarkEnd w:id="199"/>
    <w:p>
      <w:pPr>
        <w:spacing w:after="0" w:line="259" w:lineRule="auto"/>
        <w:rPr>
          <w:sz w:val="20"/>
          <w:szCs w:val="20"/>
          <w:color w:val="auto"/>
        </w:rPr>
      </w:pPr>
      <w:r>
        <w:rPr>
          <w:rFonts w:ascii="Arial" w:cs="Arial" w:eastAsia="Arial" w:hAnsi="Arial"/>
          <w:sz w:val="22"/>
          <w:szCs w:val="22"/>
          <w:u w:val="single" w:color="auto"/>
          <w:color w:val="auto"/>
        </w:rPr>
        <w:t>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56" w:lineRule="exact"/>
        <w:rPr>
          <w:sz w:val="20"/>
          <w:szCs w:val="20"/>
          <w:color w:val="auto"/>
        </w:rPr>
      </w:pPr>
    </w:p>
    <w:p>
      <w:pPr>
        <w:jc w:val="both"/>
        <w:ind w:firstLine="757"/>
        <w:spacing w:after="0"/>
        <w:tabs>
          <w:tab w:leader="none" w:pos="108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76" w:lineRule="exact"/>
        <w:rPr>
          <w:rFonts w:ascii="Arial" w:cs="Arial" w:eastAsia="Arial" w:hAnsi="Arial"/>
          <w:sz w:val="22"/>
          <w:szCs w:val="22"/>
          <w:color w:val="auto"/>
        </w:rPr>
      </w:pPr>
    </w:p>
    <w:p>
      <w:pPr>
        <w:jc w:val="both"/>
        <w:ind w:firstLine="757"/>
        <w:spacing w:after="0"/>
        <w:tabs>
          <w:tab w:leader="none" w:pos="108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Unless earlier terminated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this Agreement shall automatically terminate upon the issuance and sale of all of the Placement Shares through the Agent on the terms and subject to the conditions set forth 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76" w:lineRule="exact"/>
        <w:rPr>
          <w:rFonts w:ascii="Arial" w:cs="Arial" w:eastAsia="Arial" w:hAnsi="Arial"/>
          <w:sz w:val="22"/>
          <w:szCs w:val="22"/>
          <w:color w:val="auto"/>
        </w:rPr>
      </w:pPr>
    </w:p>
    <w:p>
      <w:pPr>
        <w:jc w:val="both"/>
        <w:ind w:firstLine="757"/>
        <w:spacing w:after="0" w:line="236" w:lineRule="auto"/>
        <w:tabs>
          <w:tab w:leader="none" w:pos="10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This Agreement shall remain in full force and effect unless terminated pursuant to </w:t>
      </w:r>
      <w:r>
        <w:rPr>
          <w:rFonts w:ascii="Arial" w:cs="Arial" w:eastAsia="Arial" w:hAnsi="Arial"/>
          <w:sz w:val="22"/>
          <w:szCs w:val="22"/>
          <w:u w:val="single" w:color="auto"/>
          <w:color w:val="auto"/>
        </w:rPr>
        <w:t>Sections 11(a)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or (d)</w:t>
      </w:r>
      <w:r>
        <w:rPr>
          <w:rFonts w:ascii="Arial" w:cs="Arial" w:eastAsia="Arial" w:hAnsi="Arial"/>
          <w:sz w:val="22"/>
          <w:szCs w:val="22"/>
          <w:color w:val="auto"/>
        </w:rPr>
        <w:t xml:space="preserve"> above or otherwise by mutual agreement of the parties;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any such termination by mutual agreement shall in all cases be deemed to provide that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17</w:t>
      </w:r>
      <w:r>
        <w:rPr>
          <w:rFonts w:ascii="Arial" w:cs="Arial" w:eastAsia="Arial" w:hAnsi="Arial"/>
          <w:sz w:val="22"/>
          <w:szCs w:val="22"/>
          <w:color w:val="auto"/>
        </w:rPr>
        <w:t xml:space="preserve"> shall remain in full force and effect. Upon termination of this Agreement, the Company shall not have any liability to the Agent for any discount, commission or other compensation with respect to any Placement Shares not otherwise sold by the Agent under this Agreement, or otherwise, except with respect to reimbursement of expenses pursuant to Section 7(g).</w:t>
      </w:r>
    </w:p>
    <w:p>
      <w:pPr>
        <w:spacing w:after="0" w:line="175" w:lineRule="exact"/>
        <w:rPr>
          <w:rFonts w:ascii="Arial" w:cs="Arial" w:eastAsia="Arial" w:hAnsi="Arial"/>
          <w:sz w:val="22"/>
          <w:szCs w:val="22"/>
          <w:color w:val="auto"/>
        </w:rPr>
      </w:pPr>
    </w:p>
    <w:p>
      <w:pPr>
        <w:jc w:val="both"/>
        <w:ind w:firstLine="757"/>
        <w:spacing w:after="0" w:line="238" w:lineRule="auto"/>
        <w:tabs>
          <w:tab w:leader="none" w:pos="103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Any termination of this Agreement shall be effective on the date specified in such notice of termination; </w:t>
      </w: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such termination shall not be effective until the close of business on the date of receipt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notice by the Agent or the Company, as the case may be. If such termination shall occur prior to the Settlement Date for any sale of Placement Shares, such Placement Shares shall settle in accordance with the provisions of this Agreement.</w:t>
      </w:r>
    </w:p>
    <w:p>
      <w:pPr>
        <w:spacing w:after="0" w:line="177" w:lineRule="exact"/>
        <w:rPr>
          <w:sz w:val="20"/>
          <w:szCs w:val="20"/>
          <w:color w:val="auto"/>
        </w:rPr>
      </w:pPr>
    </w:p>
    <w:p>
      <w:pPr>
        <w:jc w:val="both"/>
        <w:ind w:firstLine="757"/>
        <w:spacing w:after="0" w:line="245" w:lineRule="auto"/>
        <w:tabs>
          <w:tab w:leader="none" w:pos="1123"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Oppenheimer &amp; Co. Inc.</w:t>
      </w:r>
    </w:p>
    <w:p>
      <w:pPr>
        <w:ind w:left="760"/>
        <w:spacing w:after="0"/>
        <w:rPr>
          <w:sz w:val="20"/>
          <w:szCs w:val="20"/>
          <w:color w:val="auto"/>
        </w:rPr>
      </w:pPr>
      <w:r>
        <w:rPr>
          <w:rFonts w:ascii="Arial" w:cs="Arial" w:eastAsia="Arial" w:hAnsi="Arial"/>
          <w:sz w:val="22"/>
          <w:szCs w:val="22"/>
          <w:color w:val="auto"/>
        </w:rPr>
        <w:t>85 Broad Street</w:t>
      </w:r>
    </w:p>
    <w:p>
      <w:pPr>
        <w:ind w:left="760"/>
        <w:spacing w:after="0" w:line="230" w:lineRule="auto"/>
        <w:rPr>
          <w:sz w:val="20"/>
          <w:szCs w:val="20"/>
          <w:color w:val="auto"/>
        </w:rPr>
      </w:pPr>
      <w:r>
        <w:rPr>
          <w:rFonts w:ascii="Arial" w:cs="Arial" w:eastAsia="Arial" w:hAnsi="Arial"/>
          <w:sz w:val="22"/>
          <w:szCs w:val="22"/>
          <w:color w:val="auto"/>
        </w:rPr>
        <w:t>New York, New York 10004</w:t>
      </w:r>
    </w:p>
    <w:p>
      <w:pPr>
        <w:ind w:left="760"/>
        <w:spacing w:after="0" w:line="231" w:lineRule="auto"/>
        <w:rPr>
          <w:sz w:val="20"/>
          <w:szCs w:val="20"/>
          <w:color w:val="auto"/>
        </w:rPr>
      </w:pPr>
      <w:r>
        <w:rPr>
          <w:rFonts w:ascii="Arial" w:cs="Arial" w:eastAsia="Arial" w:hAnsi="Arial"/>
          <w:sz w:val="22"/>
          <w:szCs w:val="22"/>
          <w:color w:val="auto"/>
        </w:rPr>
        <w:t>Attention:</w:t>
      </w:r>
    </w:p>
    <w:p>
      <w:pPr>
        <w:ind w:left="760"/>
        <w:spacing w:after="0" w:line="230" w:lineRule="auto"/>
        <w:rPr>
          <w:sz w:val="20"/>
          <w:szCs w:val="20"/>
          <w:color w:val="auto"/>
        </w:rPr>
      </w:pPr>
      <w:r>
        <w:rPr>
          <w:rFonts w:ascii="Arial" w:cs="Arial" w:eastAsia="Arial" w:hAnsi="Arial"/>
          <w:sz w:val="22"/>
          <w:szCs w:val="22"/>
          <w:color w:val="auto"/>
        </w:rPr>
        <w:t>Michael Margolis, MichaelA.Margolis@opco.com</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Jason Fenton, Jason.Fenton@opco.com</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to:</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Peter Vogelsang, Peter.Vogelsang@opco.com</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Oppenheimer &amp; Co. Inc.</w:t>
      </w:r>
    </w:p>
    <w:p>
      <w:pPr>
        <w:ind w:left="760"/>
        <w:spacing w:after="0"/>
        <w:rPr>
          <w:sz w:val="20"/>
          <w:szCs w:val="20"/>
          <w:color w:val="auto"/>
        </w:rPr>
      </w:pPr>
      <w:r>
        <w:rPr>
          <w:rFonts w:ascii="Arial" w:cs="Arial" w:eastAsia="Arial" w:hAnsi="Arial"/>
          <w:sz w:val="22"/>
          <w:szCs w:val="22"/>
          <w:color w:val="auto"/>
        </w:rPr>
        <w:t>85 Broad Street</w:t>
      </w:r>
    </w:p>
    <w:p>
      <w:pPr>
        <w:ind w:left="760"/>
        <w:spacing w:after="0"/>
        <w:rPr>
          <w:sz w:val="20"/>
          <w:szCs w:val="20"/>
          <w:color w:val="auto"/>
        </w:rPr>
      </w:pPr>
      <w:r>
        <w:rPr>
          <w:rFonts w:ascii="Arial" w:cs="Arial" w:eastAsia="Arial" w:hAnsi="Arial"/>
          <w:sz w:val="22"/>
          <w:szCs w:val="22"/>
          <w:color w:val="auto"/>
        </w:rPr>
        <w:t>New York, New York 10004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00" w:name="page201"/>
    <w:bookmarkEnd w:id="200"/>
    <w:p>
      <w:pPr>
        <w:ind w:left="760"/>
        <w:spacing w:after="0"/>
        <w:rPr>
          <w:sz w:val="20"/>
          <w:szCs w:val="20"/>
          <w:color w:val="auto"/>
        </w:rPr>
      </w:pPr>
      <w:r>
        <w:rPr>
          <w:rFonts w:ascii="Arial" w:cs="Arial" w:eastAsia="Arial" w:hAnsi="Arial"/>
          <w:sz w:val="22"/>
          <w:szCs w:val="22"/>
          <w:color w:val="auto"/>
        </w:rPr>
        <w:t>Attention: Office of the General Counsel</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Telephone: (212) 668-5771</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Olema Pharmaceuticals, Inc.</w:t>
      </w:r>
    </w:p>
    <w:p>
      <w:pPr>
        <w:ind w:left="760"/>
        <w:spacing w:after="0" w:line="198" w:lineRule="auto"/>
        <w:rPr>
          <w:sz w:val="20"/>
          <w:szCs w:val="20"/>
          <w:color w:val="auto"/>
        </w:rPr>
      </w:pPr>
      <w:r>
        <w:rPr>
          <w:rFonts w:ascii="Arial" w:cs="Arial" w:eastAsia="Arial" w:hAnsi="Arial"/>
          <w:sz w:val="22"/>
          <w:szCs w:val="22"/>
          <w:color w:val="auto"/>
        </w:rPr>
        <w:t>512 2nd Street,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760"/>
        <w:spacing w:after="0" w:line="231" w:lineRule="auto"/>
        <w:rPr>
          <w:sz w:val="20"/>
          <w:szCs w:val="20"/>
          <w:color w:val="auto"/>
        </w:rPr>
      </w:pPr>
      <w:r>
        <w:rPr>
          <w:rFonts w:ascii="Arial" w:cs="Arial" w:eastAsia="Arial" w:hAnsi="Arial"/>
          <w:sz w:val="22"/>
          <w:szCs w:val="22"/>
          <w:color w:val="auto"/>
        </w:rPr>
        <w:t>San Francisco, California 94107</w:t>
      </w:r>
    </w:p>
    <w:p>
      <w:pPr>
        <w:ind w:left="760"/>
        <w:spacing w:after="0" w:line="230" w:lineRule="auto"/>
        <w:rPr>
          <w:sz w:val="20"/>
          <w:szCs w:val="20"/>
          <w:color w:val="auto"/>
        </w:rPr>
      </w:pPr>
      <w:r>
        <w:rPr>
          <w:rFonts w:ascii="Arial" w:cs="Arial" w:eastAsia="Arial" w:hAnsi="Arial"/>
          <w:sz w:val="22"/>
          <w:szCs w:val="22"/>
          <w:color w:val="auto"/>
        </w:rPr>
        <w:t>Attention: Sean Bohen, sean@olema.com, with a copy (which shall not constitute notice)</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to</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Cooley LLP</w:t>
      </w:r>
    </w:p>
    <w:p>
      <w:pPr>
        <w:ind w:left="760"/>
        <w:spacing w:after="0"/>
        <w:rPr>
          <w:sz w:val="20"/>
          <w:szCs w:val="20"/>
          <w:color w:val="auto"/>
        </w:rPr>
      </w:pPr>
      <w:r>
        <w:rPr>
          <w:rFonts w:ascii="Arial" w:cs="Arial" w:eastAsia="Arial" w:hAnsi="Arial"/>
          <w:sz w:val="22"/>
          <w:szCs w:val="22"/>
          <w:color w:val="auto"/>
        </w:rPr>
        <w:t>101 California Street, Suite 101</w:t>
      </w:r>
    </w:p>
    <w:p>
      <w:pPr>
        <w:ind w:left="760"/>
        <w:spacing w:after="0" w:line="230" w:lineRule="auto"/>
        <w:rPr>
          <w:sz w:val="20"/>
          <w:szCs w:val="20"/>
          <w:color w:val="auto"/>
        </w:rPr>
      </w:pPr>
      <w:r>
        <w:rPr>
          <w:rFonts w:ascii="Arial" w:cs="Arial" w:eastAsia="Arial" w:hAnsi="Arial"/>
          <w:sz w:val="22"/>
          <w:szCs w:val="22"/>
          <w:color w:val="auto"/>
        </w:rPr>
        <w:t>San Francisco, California, 94105</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Jodie Bourdet, jbourdet@cooley.com</w:t>
      </w:r>
    </w:p>
    <w:p>
      <w:pPr>
        <w:spacing w:after="0" w:line="213"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“Business Day” shall mean any day on which Nasdaq and commercial banks in the City of New York are open for business.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An electronic communication (“</w:t>
      </w:r>
      <w:r>
        <w:rPr>
          <w:rFonts w:ascii="Arial" w:cs="Arial" w:eastAsia="Arial" w:hAnsi="Arial"/>
          <w:sz w:val="22"/>
          <w:szCs w:val="22"/>
          <w:b w:val="1"/>
          <w:bCs w:val="1"/>
          <w:color w:val="auto"/>
        </w:rPr>
        <w:t>Electronic Notice</w:t>
      </w:r>
      <w:r>
        <w:rPr>
          <w:rFonts w:ascii="Arial" w:cs="Arial" w:eastAsia="Arial" w:hAnsi="Arial"/>
          <w:sz w:val="22"/>
          <w:szCs w:val="22"/>
          <w:color w:val="auto"/>
        </w:rPr>
        <w:t>”) shall be deemed written notice for purposes of this Section 12 if sent to the electronic mail address specified by the receiving party under separate cover. Electronic Notice shall be deemed received at the time the party sending Electronic Notice receives actual acknowledgment of receipt from the person to whom the notice is sent, other than via auto-reply. Any party receiving Electronic Notice may request and shall be entitled to receive the notice on paper, in a nonelectronic form (“</w:t>
      </w:r>
      <w:r>
        <w:rPr>
          <w:rFonts w:ascii="Arial" w:cs="Arial" w:eastAsia="Arial" w:hAnsi="Arial"/>
          <w:sz w:val="22"/>
          <w:szCs w:val="22"/>
          <w:b w:val="1"/>
          <w:bCs w:val="1"/>
          <w:color w:val="auto"/>
        </w:rPr>
        <w:t>Nonelectronic Notice</w:t>
      </w:r>
      <w:r>
        <w:rPr>
          <w:rFonts w:ascii="Arial" w:cs="Arial" w:eastAsia="Arial" w:hAnsi="Arial"/>
          <w:sz w:val="22"/>
          <w:szCs w:val="22"/>
          <w:color w:val="auto"/>
        </w:rPr>
        <w:t>”), which shall be sent to the requesting party within ten (10) days of receipt of the written request for Nonelectronic Notice.</w:t>
      </w:r>
    </w:p>
    <w:p>
      <w:pPr>
        <w:spacing w:after="0" w:line="204" w:lineRule="exact"/>
        <w:rPr>
          <w:sz w:val="20"/>
          <w:szCs w:val="20"/>
          <w:color w:val="auto"/>
        </w:rPr>
      </w:pPr>
    </w:p>
    <w:p>
      <w:pPr>
        <w:jc w:val="both"/>
        <w:ind w:firstLine="757"/>
        <w:spacing w:after="0" w:line="234" w:lineRule="auto"/>
        <w:tabs>
          <w:tab w:leader="none" w:pos="1109"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shall inure to the benefit of and be binding upon the Company and the Agent and their respective successors and the affiliates, controlling persons, officers and directors referred to in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Agent may assign its rights and obligations hereunder to an affiliate of the Agent without obtaining the Company’s consent.</w:t>
      </w:r>
    </w:p>
    <w:p>
      <w:pPr>
        <w:spacing w:after="0" w:line="183" w:lineRule="exact"/>
        <w:rPr>
          <w:rFonts w:ascii="Arial" w:cs="Arial" w:eastAsia="Arial" w:hAnsi="Arial"/>
          <w:sz w:val="22"/>
          <w:szCs w:val="22"/>
          <w:color w:val="auto"/>
        </w:rPr>
      </w:pPr>
    </w:p>
    <w:p>
      <w:pPr>
        <w:jc w:val="both"/>
        <w:ind w:firstLine="757"/>
        <w:spacing w:after="0" w:line="245" w:lineRule="auto"/>
        <w:tabs>
          <w:tab w:leader="none" w:pos="1177"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Adjustments for Share Splits</w:t>
      </w:r>
      <w:r>
        <w:rPr>
          <w:rFonts w:ascii="Arial" w:cs="Arial" w:eastAsia="Arial" w:hAnsi="Arial"/>
          <w:sz w:val="22"/>
          <w:szCs w:val="22"/>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20" w:hanging="106"/>
        <w:spacing w:after="0"/>
        <w:tabs>
          <w:tab w:leader="none" w:pos="55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01" w:name="page202"/>
    <w:bookmarkEnd w:id="201"/>
    <w:p>
      <w:pPr>
        <w:jc w:val="both"/>
        <w:ind w:left="-757" w:firstLine="757"/>
        <w:spacing w:after="0" w:line="234" w:lineRule="auto"/>
        <w:tabs>
          <w:tab w:leader="none" w:pos="42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 Severability</w:t>
      </w:r>
      <w:r>
        <w:rPr>
          <w:rFonts w:ascii="Arial" w:cs="Arial" w:eastAsia="Arial" w:hAnsi="Arial"/>
          <w:sz w:val="22"/>
          <w:szCs w:val="22"/>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75" w:lineRule="exact"/>
        <w:rPr>
          <w:rFonts w:ascii="Arial" w:cs="Arial" w:eastAsia="Arial" w:hAnsi="Arial"/>
          <w:sz w:val="22"/>
          <w:szCs w:val="22"/>
          <w:color w:val="auto"/>
        </w:rPr>
      </w:pPr>
    </w:p>
    <w:p>
      <w:pPr>
        <w:jc w:val="both"/>
        <w:ind w:left="-757" w:firstLine="757"/>
        <w:spacing w:after="0" w:line="233" w:lineRule="auto"/>
        <w:tabs>
          <w:tab w:leader="none" w:pos="42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Applicable Law; Consent to Jurisdiction</w:t>
      </w:r>
      <w:r>
        <w:rPr>
          <w:rFonts w:ascii="Arial" w:cs="Arial" w:eastAsia="Arial" w:hAnsi="Arial"/>
          <w:sz w:val="22"/>
          <w:szCs w:val="22"/>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4" w:lineRule="exact"/>
        <w:rPr>
          <w:rFonts w:ascii="Arial" w:cs="Arial" w:eastAsia="Arial" w:hAnsi="Arial"/>
          <w:sz w:val="22"/>
          <w:szCs w:val="22"/>
          <w:color w:val="auto"/>
        </w:rPr>
      </w:pPr>
    </w:p>
    <w:p>
      <w:pPr>
        <w:jc w:val="both"/>
        <w:ind w:left="-757" w:firstLine="757"/>
        <w:spacing w:after="0" w:line="245" w:lineRule="auto"/>
        <w:tabs>
          <w:tab w:leader="none" w:pos="352"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Company and the Agent each hereby irrevocably waives any right it may have to a trial by jury in respect of any claim based upon or arising out of this Agreement or any transaction contemplated hereby.</w:t>
      </w:r>
    </w:p>
    <w:p>
      <w:pPr>
        <w:spacing w:after="0" w:line="170" w:lineRule="exact"/>
        <w:rPr>
          <w:rFonts w:ascii="Arial" w:cs="Arial" w:eastAsia="Arial" w:hAnsi="Arial"/>
          <w:sz w:val="22"/>
          <w:szCs w:val="22"/>
          <w:color w:val="auto"/>
        </w:rPr>
      </w:pPr>
    </w:p>
    <w:p>
      <w:pPr>
        <w:ind w:left="363" w:hanging="363"/>
        <w:spacing w:after="0"/>
        <w:tabs>
          <w:tab w:leader="none" w:pos="363"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Absence of Fiduciary Relationship</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acknowledges and agrees that:</w:t>
      </w:r>
    </w:p>
    <w:p>
      <w:pPr>
        <w:spacing w:after="0" w:line="206" w:lineRule="exact"/>
        <w:rPr>
          <w:sz w:val="20"/>
          <w:szCs w:val="20"/>
          <w:color w:val="auto"/>
        </w:rPr>
      </w:pPr>
    </w:p>
    <w:p>
      <w:pPr>
        <w:jc w:val="both"/>
        <w:ind w:left="-757" w:firstLine="757"/>
        <w:spacing w:after="0" w:line="238" w:lineRule="auto"/>
        <w:tabs>
          <w:tab w:leader="none" w:pos="32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Agent has been retained solely to act as an arm’s length contractual counterparty to the Company in connection with the sale of the Placement Shares contemplated hereby and that no fiduciary, advisory or agency relationship between the Company and the Agent has been created in respect of any of the transactions contemplated by this Agreement, irrespective of whether the Agent has advised or is advising the Company on other matters;</w:t>
      </w:r>
    </w:p>
    <w:p>
      <w:pPr>
        <w:spacing w:after="0" w:line="176" w:lineRule="exact"/>
        <w:rPr>
          <w:rFonts w:ascii="Arial" w:cs="Arial" w:eastAsia="Arial" w:hAnsi="Arial"/>
          <w:sz w:val="22"/>
          <w:szCs w:val="22"/>
          <w:color w:val="auto"/>
        </w:rPr>
      </w:pPr>
    </w:p>
    <w:p>
      <w:pPr>
        <w:ind w:left="-757" w:firstLine="757"/>
        <w:spacing w:after="0" w:line="259" w:lineRule="auto"/>
        <w:tabs>
          <w:tab w:leader="none" w:pos="33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Company is capable of evaluating and understanding and understands and accepts the terms, risks and conditions of the transactions contemplated by this Agreement;</w:t>
      </w:r>
    </w:p>
    <w:p>
      <w:pPr>
        <w:spacing w:after="0" w:line="156" w:lineRule="exact"/>
        <w:rPr>
          <w:rFonts w:ascii="Arial" w:cs="Arial" w:eastAsia="Arial" w:hAnsi="Arial"/>
          <w:sz w:val="22"/>
          <w:szCs w:val="22"/>
          <w:color w:val="auto"/>
        </w:rPr>
      </w:pPr>
    </w:p>
    <w:p>
      <w:pPr>
        <w:jc w:val="both"/>
        <w:ind w:left="-757" w:firstLine="757"/>
        <w:spacing w:after="0"/>
        <w:tabs>
          <w:tab w:leader="none" w:pos="36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Company has been advised that the Agent and its affiliates are engaged in a broad range of transactions which may involve interests that differ from those of the Company and that the Agent has no obligation to disclose such interests and transactions to the Company by virtue of any fiduciary, advisory or agency relationship; and</w:t>
      </w:r>
    </w:p>
    <w:p>
      <w:pPr>
        <w:spacing w:after="0" w:line="176" w:lineRule="exact"/>
        <w:rPr>
          <w:rFonts w:ascii="Arial" w:cs="Arial" w:eastAsia="Arial" w:hAnsi="Arial"/>
          <w:sz w:val="22"/>
          <w:szCs w:val="22"/>
          <w:color w:val="auto"/>
        </w:rPr>
      </w:pPr>
    </w:p>
    <w:p>
      <w:pPr>
        <w:ind w:left="-757" w:firstLine="757"/>
        <w:spacing w:after="0" w:line="259" w:lineRule="auto"/>
        <w:tabs>
          <w:tab w:leader="none" w:pos="32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Company waives, to the fullest extent permitted by law, any claims it may have against the Agent, for breach of fiduciary duty or alleged breach of fiduciary duty and agrees that the Agent</w:t>
      </w:r>
    </w:p>
    <w:p>
      <w:pPr>
        <w:spacing w:after="0" w:line="200" w:lineRule="exact"/>
        <w:rPr>
          <w:rFonts w:ascii="Arial" w:cs="Arial" w:eastAsia="Arial" w:hAnsi="Arial"/>
          <w:sz w:val="22"/>
          <w:szCs w:val="22"/>
          <w:color w:val="auto"/>
        </w:rPr>
      </w:pPr>
    </w:p>
    <w:p>
      <w:pPr>
        <w:spacing w:after="0" w:line="395" w:lineRule="exact"/>
        <w:rPr>
          <w:rFonts w:ascii="Arial" w:cs="Arial" w:eastAsia="Arial" w:hAnsi="Arial"/>
          <w:sz w:val="22"/>
          <w:szCs w:val="22"/>
          <w:color w:val="auto"/>
        </w:rPr>
      </w:pPr>
    </w:p>
    <w:p>
      <w:pPr>
        <w:ind w:left="4763" w:hanging="106"/>
        <w:spacing w:after="0"/>
        <w:tabs>
          <w:tab w:leader="none" w:pos="476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64" w:right="339" w:bottom="1440" w:gutter="0" w:footer="0" w:header="0"/>
        </w:sectPr>
      </w:pPr>
    </w:p>
    <w:bookmarkStart w:id="202" w:name="page203"/>
    <w:bookmarkEnd w:id="202"/>
    <w:p>
      <w:pPr>
        <w:jc w:val="both"/>
        <w:spacing w:after="0" w:line="245" w:lineRule="auto"/>
        <w:rPr>
          <w:sz w:val="20"/>
          <w:szCs w:val="20"/>
          <w:color w:val="auto"/>
        </w:rPr>
      </w:pPr>
      <w:r>
        <w:rPr>
          <w:rFonts w:ascii="Arial" w:cs="Arial" w:eastAsia="Arial" w:hAnsi="Arial"/>
          <w:sz w:val="22"/>
          <w:szCs w:val="22"/>
          <w:color w:val="auto"/>
        </w:rPr>
        <w:t>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70" w:lineRule="exact"/>
        <w:rPr>
          <w:sz w:val="20"/>
          <w:szCs w:val="20"/>
          <w:color w:val="auto"/>
        </w:rPr>
      </w:pPr>
    </w:p>
    <w:p>
      <w:pPr>
        <w:jc w:val="both"/>
        <w:ind w:firstLine="757"/>
        <w:spacing w:after="0" w:line="236" w:lineRule="auto"/>
        <w:tabs>
          <w:tab w:leader="none" w:pos="1136"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03" w:name="page204"/>
    <w:bookmarkEnd w:id="203"/>
    <w:p>
      <w:pPr>
        <w:jc w:val="both"/>
        <w:ind w:firstLine="749"/>
        <w:spacing w:after="0" w:line="245" w:lineRule="auto"/>
        <w:rPr>
          <w:sz w:val="20"/>
          <w:szCs w:val="20"/>
          <w:color w:val="auto"/>
        </w:rPr>
      </w:pPr>
      <w:r>
        <w:rPr>
          <w:rFonts w:ascii="Arial" w:cs="Arial" w:eastAsia="Arial" w:hAnsi="Arial"/>
          <w:sz w:val="22"/>
          <w:szCs w:val="22"/>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9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Very truly yours,</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OPPENHEIMER &amp; CO. INC.</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Michael Margolis, R.Ph.</w:t>
      </w:r>
    </w:p>
    <w:p>
      <w:pPr>
        <w:spacing w:after="0" w:line="17" w:lineRule="exact"/>
        <w:rPr>
          <w:sz w:val="20"/>
          <w:szCs w:val="20"/>
          <w:color w:val="auto"/>
        </w:rPr>
      </w:pPr>
    </w:p>
    <w:tbl>
      <w:tblPr>
        <w:tblLayout w:type="fixed"/>
        <w:tblInd w:w="6100" w:type="dxa"/>
        <w:tblCellMar>
          <w:top w:w="0" w:type="dxa"/>
          <w:left w:w="0" w:type="dxa"/>
          <w:bottom w:w="0" w:type="dxa"/>
          <w:right w:w="0" w:type="dxa"/>
        </w:tblCellMar>
      </w:tblPr>
      <w:tr>
        <w:trPr>
          <w:trHeight w:val="210"/>
        </w:trPr>
        <w:tc>
          <w:tcPr>
            <w:tcW w:w="760" w:type="dxa"/>
            <w:vAlign w:val="bottom"/>
            <w:tcBorders>
              <w:top w:val="single" w:sz="8" w:color="auto"/>
            </w:tcBorders>
          </w:tcPr>
          <w:p>
            <w:pPr>
              <w:ind w:left="20"/>
              <w:spacing w:after="0" w:line="210" w:lineRule="exact"/>
              <w:rPr>
                <w:sz w:val="20"/>
                <w:szCs w:val="20"/>
                <w:color w:val="auto"/>
              </w:rPr>
            </w:pPr>
            <w:r>
              <w:rPr>
                <w:rFonts w:ascii="Arial" w:cs="Arial" w:eastAsia="Arial" w:hAnsi="Arial"/>
                <w:sz w:val="22"/>
                <w:szCs w:val="22"/>
                <w:color w:val="auto"/>
              </w:rPr>
              <w:t>Name:</w:t>
            </w:r>
          </w:p>
        </w:tc>
        <w:tc>
          <w:tcPr>
            <w:tcW w:w="4380" w:type="dxa"/>
            <w:vAlign w:val="bottom"/>
            <w:tcBorders>
              <w:top w:val="single" w:sz="8" w:color="auto"/>
            </w:tcBorders>
          </w:tcPr>
          <w:p>
            <w:pPr>
              <w:ind w:left="100"/>
              <w:spacing w:after="0" w:line="210" w:lineRule="exact"/>
              <w:rPr>
                <w:sz w:val="20"/>
                <w:szCs w:val="20"/>
                <w:color w:val="auto"/>
              </w:rPr>
            </w:pPr>
            <w:r>
              <w:rPr>
                <w:rFonts w:ascii="Arial" w:cs="Arial" w:eastAsia="Arial" w:hAnsi="Arial"/>
                <w:sz w:val="22"/>
                <w:szCs w:val="22"/>
                <w:color w:val="auto"/>
              </w:rPr>
              <w:t>Michael Margolis, R.Ph.</w:t>
            </w:r>
          </w:p>
        </w:tc>
      </w:tr>
      <w:tr>
        <w:trPr>
          <w:trHeight w:val="243"/>
        </w:trPr>
        <w:tc>
          <w:tcPr>
            <w:tcW w:w="760" w:type="dxa"/>
            <w:vAlign w:val="bottom"/>
          </w:tcPr>
          <w:p>
            <w:pPr>
              <w:ind w:left="20"/>
              <w:spacing w:after="0" w:line="243" w:lineRule="exact"/>
              <w:rPr>
                <w:sz w:val="20"/>
                <w:szCs w:val="20"/>
                <w:color w:val="auto"/>
              </w:rPr>
            </w:pPr>
            <w:r>
              <w:rPr>
                <w:rFonts w:ascii="Arial" w:cs="Arial" w:eastAsia="Arial" w:hAnsi="Arial"/>
                <w:sz w:val="22"/>
                <w:szCs w:val="22"/>
                <w:color w:val="auto"/>
              </w:rPr>
              <w:t>Title:</w:t>
            </w:r>
          </w:p>
        </w:tc>
        <w:tc>
          <w:tcPr>
            <w:tcW w:w="4380" w:type="dxa"/>
            <w:vAlign w:val="bottom"/>
          </w:tcPr>
          <w:p>
            <w:pPr>
              <w:ind w:left="100"/>
              <w:spacing w:after="0" w:line="243" w:lineRule="exact"/>
              <w:rPr>
                <w:sz w:val="20"/>
                <w:szCs w:val="20"/>
                <w:color w:val="auto"/>
              </w:rPr>
            </w:pPr>
            <w:r>
              <w:rPr>
                <w:rFonts w:ascii="Arial" w:cs="Arial" w:eastAsia="Arial" w:hAnsi="Arial"/>
                <w:sz w:val="22"/>
                <w:szCs w:val="22"/>
                <w:color w:val="auto"/>
              </w:rPr>
              <w:t>Senior Managing Director, Co-Head</w:t>
            </w:r>
          </w:p>
        </w:tc>
      </w:tr>
      <w:tr>
        <w:trPr>
          <w:trHeight w:val="283"/>
        </w:trPr>
        <w:tc>
          <w:tcPr>
            <w:tcW w:w="760" w:type="dxa"/>
            <w:vAlign w:val="bottom"/>
          </w:tcPr>
          <w:p>
            <w:pPr>
              <w:spacing w:after="0"/>
              <w:rPr>
                <w:sz w:val="24"/>
                <w:szCs w:val="24"/>
                <w:color w:val="auto"/>
              </w:rPr>
            </w:pPr>
          </w:p>
        </w:tc>
        <w:tc>
          <w:tcPr>
            <w:tcW w:w="4380" w:type="dxa"/>
            <w:vAlign w:val="bottom"/>
          </w:tcPr>
          <w:p>
            <w:pPr>
              <w:ind w:left="100"/>
              <w:spacing w:after="0"/>
              <w:rPr>
                <w:sz w:val="20"/>
                <w:szCs w:val="20"/>
                <w:color w:val="auto"/>
              </w:rPr>
            </w:pPr>
            <w:r>
              <w:rPr>
                <w:rFonts w:ascii="Arial" w:cs="Arial" w:eastAsia="Arial" w:hAnsi="Arial"/>
                <w:sz w:val="22"/>
                <w:szCs w:val="22"/>
                <w:color w:val="auto"/>
              </w:rPr>
              <w:t>Healthcare IB</w:t>
            </w:r>
          </w:p>
        </w:tc>
      </w:tr>
    </w:tbl>
    <w:p>
      <w:pPr>
        <w:spacing w:after="0" w:line="201"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ACCEPTED as of the date</w:t>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first-above written: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OLEMA PHARMACEUTICALS, INC.</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Shane Kovacs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760" w:type="dxa"/>
            <w:vAlign w:val="bottom"/>
            <w:tcBorders>
              <w:top w:val="single" w:sz="8" w:color="auto"/>
            </w:tcBorders>
          </w:tcPr>
          <w:p>
            <w:pPr>
              <w:ind w:left="20"/>
              <w:spacing w:after="0" w:line="210" w:lineRule="exact"/>
              <w:rPr>
                <w:sz w:val="20"/>
                <w:szCs w:val="20"/>
                <w:color w:val="auto"/>
              </w:rPr>
            </w:pPr>
            <w:r>
              <w:rPr>
                <w:rFonts w:ascii="Arial" w:cs="Arial" w:eastAsia="Arial" w:hAnsi="Arial"/>
                <w:sz w:val="22"/>
                <w:szCs w:val="22"/>
                <w:color w:val="auto"/>
              </w:rPr>
              <w:t>Name:</w:t>
            </w:r>
          </w:p>
        </w:tc>
        <w:tc>
          <w:tcPr>
            <w:tcW w:w="4380" w:type="dxa"/>
            <w:vAlign w:val="bottom"/>
            <w:tcBorders>
              <w:top w:val="single" w:sz="8" w:color="auto"/>
            </w:tcBorders>
          </w:tcPr>
          <w:p>
            <w:pPr>
              <w:ind w:left="100"/>
              <w:spacing w:after="0" w:line="210" w:lineRule="exact"/>
              <w:rPr>
                <w:sz w:val="20"/>
                <w:szCs w:val="20"/>
                <w:color w:val="auto"/>
              </w:rPr>
            </w:pPr>
            <w:r>
              <w:rPr>
                <w:rFonts w:ascii="Arial" w:cs="Arial" w:eastAsia="Arial" w:hAnsi="Arial"/>
                <w:sz w:val="22"/>
                <w:szCs w:val="22"/>
                <w:color w:val="auto"/>
              </w:rPr>
              <w:t>Shane Kovacs</w:t>
            </w:r>
          </w:p>
        </w:tc>
      </w:tr>
      <w:tr>
        <w:trPr>
          <w:trHeight w:val="283"/>
        </w:trPr>
        <w:tc>
          <w:tcPr>
            <w:tcW w:w="6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380" w:type="dxa"/>
            <w:vAlign w:val="bottom"/>
          </w:tcPr>
          <w:p>
            <w:pPr>
              <w:ind w:left="100"/>
              <w:spacing w:after="0"/>
              <w:rPr>
                <w:sz w:val="20"/>
                <w:szCs w:val="20"/>
                <w:color w:val="auto"/>
              </w:rPr>
            </w:pPr>
            <w:r>
              <w:rPr>
                <w:rFonts w:ascii="Arial" w:cs="Arial" w:eastAsia="Arial" w:hAnsi="Arial"/>
                <w:sz w:val="22"/>
                <w:szCs w:val="22"/>
                <w:color w:val="auto"/>
              </w:rPr>
              <w:t>Chief Operating and Financial Officer</w:t>
            </w:r>
          </w:p>
        </w:tc>
      </w:tr>
      <w:tr>
        <w:trPr>
          <w:trHeight w:val="1167"/>
        </w:trPr>
        <w:tc>
          <w:tcPr>
            <w:tcW w:w="6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b w:val="1"/>
          <w:bCs w:val="1"/>
          <w:u w:val="single" w:color="auto"/>
          <w:color w:val="auto"/>
        </w:rPr>
        <w:t>SCHEDULE 1</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720" w:type="dxa"/>
            <w:vAlign w:val="bottom"/>
            <w:gridSpan w:val="2"/>
          </w:tcPr>
          <w:p>
            <w:pPr>
              <w:ind w:left="2440"/>
              <w:spacing w:after="0"/>
              <w:rPr>
                <w:sz w:val="20"/>
                <w:szCs w:val="20"/>
                <w:color w:val="auto"/>
              </w:rPr>
            </w:pPr>
            <w:r>
              <w:rPr>
                <w:rFonts w:ascii="Arial" w:cs="Arial" w:eastAsia="Arial" w:hAnsi="Arial"/>
                <w:sz w:val="22"/>
                <w:szCs w:val="22"/>
                <w:b w:val="1"/>
                <w:bCs w:val="1"/>
                <w:color w:val="auto"/>
                <w:w w:val="97"/>
              </w:rPr>
              <w:t>FORM OF PLACEMENT NOTICE</w:t>
            </w:r>
          </w:p>
        </w:tc>
      </w:tr>
      <w:tr>
        <w:trPr>
          <w:trHeight w:val="912"/>
        </w:trPr>
        <w:tc>
          <w:tcPr>
            <w:tcW w:w="860" w:type="dxa"/>
            <w:vAlign w:val="bottom"/>
          </w:tcPr>
          <w:p>
            <w:pPr>
              <w:spacing w:after="0"/>
              <w:rPr>
                <w:sz w:val="20"/>
                <w:szCs w:val="20"/>
                <w:color w:val="auto"/>
              </w:rPr>
            </w:pPr>
            <w:r>
              <w:rPr>
                <w:rFonts w:ascii="Arial" w:cs="Arial" w:eastAsia="Arial" w:hAnsi="Arial"/>
                <w:sz w:val="22"/>
                <w:szCs w:val="22"/>
                <w:color w:val="auto"/>
              </w:rPr>
              <w:t>From:</w:t>
            </w:r>
          </w:p>
        </w:tc>
        <w:tc>
          <w:tcPr>
            <w:tcW w:w="660" w:type="dxa"/>
            <w:vAlign w:val="bottom"/>
          </w:tcPr>
          <w:p>
            <w:pPr>
              <w:ind w:left="80"/>
              <w:spacing w:after="0"/>
              <w:rPr>
                <w:sz w:val="20"/>
                <w:szCs w:val="20"/>
                <w:color w:val="auto"/>
              </w:rPr>
            </w:pPr>
            <w:r>
              <w:rPr>
                <w:rFonts w:ascii="Arial" w:cs="Arial" w:eastAsia="Arial" w:hAnsi="Arial"/>
                <w:sz w:val="22"/>
                <w:szCs w:val="22"/>
                <w:color w:val="auto"/>
              </w:rPr>
              <w:t>[</w:t>
            </w:r>
          </w:p>
        </w:tc>
        <w:tc>
          <w:tcPr>
            <w:tcW w:w="2440" w:type="dxa"/>
            <w:vAlign w:val="bottom"/>
          </w:tcPr>
          <w:p>
            <w:pPr>
              <w:jc w:val="right"/>
              <w:ind w:right="1772"/>
              <w:spacing w:after="0"/>
              <w:rPr>
                <w:sz w:val="20"/>
                <w:szCs w:val="20"/>
                <w:color w:val="auto"/>
              </w:rPr>
            </w:pPr>
            <w:r>
              <w:rPr>
                <w:rFonts w:ascii="Arial" w:cs="Arial" w:eastAsia="Arial" w:hAnsi="Arial"/>
                <w:sz w:val="22"/>
                <w:szCs w:val="22"/>
                <w:color w:val="auto"/>
              </w:rPr>
              <w:t>]</w:t>
            </w:r>
          </w:p>
        </w:tc>
        <w:tc>
          <w:tcPr>
            <w:tcW w:w="3280" w:type="dxa"/>
            <w:vAlign w:val="bottom"/>
            <w:tcBorders>
              <w:top w:val="single" w:sz="8" w:color="auto"/>
            </w:tcBorders>
          </w:tcPr>
          <w:p>
            <w:pPr>
              <w:spacing w:after="0"/>
              <w:rPr>
                <w:sz w:val="24"/>
                <w:szCs w:val="24"/>
                <w:color w:val="auto"/>
              </w:rPr>
            </w:pPr>
          </w:p>
        </w:tc>
      </w:tr>
      <w:tr>
        <w:trPr>
          <w:trHeight w:val="243"/>
        </w:trPr>
        <w:tc>
          <w:tcPr>
            <w:tcW w:w="860" w:type="dxa"/>
            <w:vAlign w:val="bottom"/>
          </w:tcPr>
          <w:p>
            <w:pPr>
              <w:spacing w:after="0" w:line="243" w:lineRule="exact"/>
              <w:rPr>
                <w:sz w:val="20"/>
                <w:szCs w:val="20"/>
                <w:color w:val="auto"/>
              </w:rPr>
            </w:pPr>
            <w:r>
              <w:rPr>
                <w:rFonts w:ascii="Arial" w:cs="Arial" w:eastAsia="Arial" w:hAnsi="Arial"/>
                <w:sz w:val="22"/>
                <w:szCs w:val="22"/>
                <w:color w:val="auto"/>
              </w:rPr>
              <w:t>Cc:</w:t>
            </w:r>
          </w:p>
        </w:tc>
        <w:tc>
          <w:tcPr>
            <w:tcW w:w="66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2440" w:type="dxa"/>
            <w:vAlign w:val="bottom"/>
          </w:tcPr>
          <w:p>
            <w:pPr>
              <w:jc w:val="right"/>
              <w:ind w:right="1772"/>
              <w:spacing w:after="0" w:line="243" w:lineRule="exact"/>
              <w:rPr>
                <w:sz w:val="20"/>
                <w:szCs w:val="20"/>
                <w:color w:val="auto"/>
              </w:rPr>
            </w:pPr>
            <w:r>
              <w:rPr>
                <w:rFonts w:ascii="Arial" w:cs="Arial" w:eastAsia="Arial" w:hAnsi="Arial"/>
                <w:sz w:val="22"/>
                <w:szCs w:val="22"/>
                <w:color w:val="auto"/>
              </w:rPr>
              <w:t>]</w:t>
            </w:r>
          </w:p>
        </w:tc>
        <w:tc>
          <w:tcPr>
            <w:tcW w:w="3280" w:type="dxa"/>
            <w:vAlign w:val="bottom"/>
          </w:tcPr>
          <w:p>
            <w:pPr>
              <w:spacing w:after="0"/>
              <w:rPr>
                <w:sz w:val="21"/>
                <w:szCs w:val="21"/>
                <w:color w:val="auto"/>
              </w:rPr>
            </w:pPr>
          </w:p>
        </w:tc>
      </w:tr>
      <w:tr>
        <w:trPr>
          <w:trHeight w:val="243"/>
        </w:trPr>
        <w:tc>
          <w:tcPr>
            <w:tcW w:w="860" w:type="dxa"/>
            <w:vAlign w:val="bottom"/>
          </w:tcPr>
          <w:p>
            <w:pPr>
              <w:spacing w:after="0" w:line="243" w:lineRule="exact"/>
              <w:rPr>
                <w:sz w:val="20"/>
                <w:szCs w:val="20"/>
                <w:color w:val="auto"/>
              </w:rPr>
            </w:pPr>
            <w:r>
              <w:rPr>
                <w:rFonts w:ascii="Arial" w:cs="Arial" w:eastAsia="Arial" w:hAnsi="Arial"/>
                <w:sz w:val="22"/>
                <w:szCs w:val="22"/>
                <w:color w:val="auto"/>
              </w:rPr>
              <w:t>To:</w:t>
            </w:r>
          </w:p>
        </w:tc>
        <w:tc>
          <w:tcPr>
            <w:tcW w:w="66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2440" w:type="dxa"/>
            <w:vAlign w:val="bottom"/>
          </w:tcPr>
          <w:p>
            <w:pPr>
              <w:jc w:val="right"/>
              <w:ind w:right="1772"/>
              <w:spacing w:after="0" w:line="243" w:lineRule="exact"/>
              <w:rPr>
                <w:sz w:val="20"/>
                <w:szCs w:val="20"/>
                <w:color w:val="auto"/>
              </w:rPr>
            </w:pPr>
            <w:r>
              <w:rPr>
                <w:rFonts w:ascii="Arial" w:cs="Arial" w:eastAsia="Arial" w:hAnsi="Arial"/>
                <w:sz w:val="22"/>
                <w:szCs w:val="22"/>
                <w:color w:val="auto"/>
              </w:rPr>
              <w:t>]</w:t>
            </w:r>
          </w:p>
        </w:tc>
        <w:tc>
          <w:tcPr>
            <w:tcW w:w="3280" w:type="dxa"/>
            <w:vAlign w:val="bottom"/>
          </w:tcPr>
          <w:p>
            <w:pPr>
              <w:spacing w:after="0"/>
              <w:rPr>
                <w:sz w:val="21"/>
                <w:szCs w:val="21"/>
                <w:color w:val="auto"/>
              </w:rPr>
            </w:pPr>
          </w:p>
        </w:tc>
      </w:tr>
      <w:tr>
        <w:trPr>
          <w:trHeight w:val="283"/>
        </w:trPr>
        <w:tc>
          <w:tcPr>
            <w:tcW w:w="860" w:type="dxa"/>
            <w:vAlign w:val="bottom"/>
          </w:tcPr>
          <w:p>
            <w:pPr>
              <w:spacing w:after="0"/>
              <w:rPr>
                <w:sz w:val="20"/>
                <w:szCs w:val="20"/>
                <w:color w:val="auto"/>
              </w:rPr>
            </w:pPr>
            <w:r>
              <w:rPr>
                <w:rFonts w:ascii="Arial" w:cs="Arial" w:eastAsia="Arial" w:hAnsi="Arial"/>
                <w:sz w:val="22"/>
                <w:szCs w:val="22"/>
                <w:color w:val="auto"/>
              </w:rPr>
              <w:t>Subject:</w:t>
            </w:r>
          </w:p>
        </w:tc>
        <w:tc>
          <w:tcPr>
            <w:tcW w:w="6380" w:type="dxa"/>
            <w:vAlign w:val="bottom"/>
            <w:gridSpan w:val="3"/>
          </w:tcPr>
          <w:p>
            <w:pPr>
              <w:ind w:left="80"/>
              <w:spacing w:after="0"/>
              <w:rPr>
                <w:sz w:val="20"/>
                <w:szCs w:val="20"/>
                <w:color w:val="auto"/>
              </w:rPr>
            </w:pPr>
            <w:r>
              <w:rPr>
                <w:rFonts w:ascii="Arial" w:cs="Arial" w:eastAsia="Arial" w:hAnsi="Arial"/>
                <w:sz w:val="22"/>
                <w:szCs w:val="22"/>
                <w:color w:val="auto"/>
              </w:rPr>
              <w:t>Oppenheimer At the Market Offering—Placement Notice</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Gentlemen: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Pursuant to the terms and subject to the conditions contained in the Sales Agreement between Olema Pharmaceuticals,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Oppenheimer &amp; Co. Inc. (“</w:t>
      </w:r>
      <w:r>
        <w:rPr>
          <w:rFonts w:ascii="Arial" w:cs="Arial" w:eastAsia="Arial" w:hAnsi="Arial"/>
          <w:sz w:val="22"/>
          <w:szCs w:val="22"/>
          <w:u w:val="single" w:color="auto"/>
          <w:color w:val="auto"/>
        </w:rPr>
        <w:t>Oppenheimer</w:t>
      </w:r>
      <w:r>
        <w:rPr>
          <w:rFonts w:ascii="Arial" w:cs="Arial" w:eastAsia="Arial" w:hAnsi="Arial"/>
          <w:sz w:val="22"/>
          <w:szCs w:val="22"/>
          <w:color w:val="auto"/>
        </w:rPr>
        <w:t>”) dated March 9, 2023 (the “</w:t>
      </w:r>
      <w:r>
        <w:rPr>
          <w:rFonts w:ascii="Arial" w:cs="Arial" w:eastAsia="Arial" w:hAnsi="Arial"/>
          <w:sz w:val="22"/>
          <w:szCs w:val="22"/>
          <w:u w:val="single" w:color="auto"/>
          <w:color w:val="auto"/>
        </w:rPr>
        <w:t>Agreement</w:t>
      </w:r>
      <w:r>
        <w:rPr>
          <w:rFonts w:ascii="Arial" w:cs="Arial" w:eastAsia="Arial" w:hAnsi="Arial"/>
          <w:sz w:val="22"/>
          <w:szCs w:val="22"/>
          <w:color w:val="auto"/>
        </w:rPr>
        <w:t>”), I hereby request on behalf of the Company that Oppenheimer sell up to [ ] shares of the Company’s</w:t>
      </w:r>
    </w:p>
    <w:p>
      <w:pPr>
        <w:spacing w:after="0" w:line="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common stock, par value $0.0001 per share, at a minimum market price of $ per share. Sales should begin on the date of this Notice and shall continue until [DATE] [all shares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4683125</wp:posOffset>
            </wp:positionH>
            <wp:positionV relativeFrom="paragraph">
              <wp:posOffset>-187960</wp:posOffset>
            </wp:positionV>
            <wp:extent cx="9537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95377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[The Company may include such other sales parameters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b w:val="1"/>
          <w:bCs w:val="1"/>
          <w:u w:val="single" w:color="auto"/>
          <w:color w:val="auto"/>
        </w:rPr>
        <w:t>SCHEDULE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Parties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Sean P. Bohen, M.D., Ph.D., President and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Shane Kovacs, Chief Operating and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Oppenheimer &amp; Co. Inc.</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Stephanie Cruz, Managing Director (Stephanie.Cruz@opco.com)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Thomas Villano, Executive Director (Thomas.Villano@opco.com)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DL-EquityATMOffering@opco.com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b w:val="1"/>
          <w:bCs w:val="1"/>
          <w:u w:val="single" w:color="auto"/>
          <w:color w:val="auto"/>
        </w:rPr>
        <w:t>SCHEDULE 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08"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The Agent shall be paid compensation equal to up to 3.0% of the gross proceeds from the sales of Common Stock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6"/>
              </w:rPr>
              <w:t>Exhibit 7(m)</w:t>
            </w:r>
          </w:p>
        </w:tc>
      </w:tr>
      <w:tr>
        <w:trPr>
          <w:trHeight w:val="466"/>
        </w:trPr>
        <w:tc>
          <w:tcPr>
            <w:tcW w:w="440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22"/>
                <w:szCs w:val="22"/>
                <w:b w:val="1"/>
                <w:bCs w:val="1"/>
                <w:color w:val="auto"/>
              </w:rPr>
              <w:t>OFFICER CERTIFICATE</w:t>
            </w: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r>
      <w:tr>
        <w:trPr>
          <w:trHeight w:val="466"/>
        </w:trPr>
        <w:tc>
          <w:tcPr>
            <w:tcW w:w="4720" w:type="dxa"/>
            <w:vAlign w:val="bottom"/>
            <w:gridSpan w:val="2"/>
          </w:tcPr>
          <w:p>
            <w:pPr>
              <w:spacing w:after="0"/>
              <w:rPr>
                <w:sz w:val="20"/>
                <w:szCs w:val="20"/>
                <w:color w:val="auto"/>
              </w:rPr>
            </w:pPr>
            <w:r>
              <w:rPr>
                <w:rFonts w:ascii="Arial" w:cs="Arial" w:eastAsia="Arial" w:hAnsi="Arial"/>
                <w:sz w:val="22"/>
                <w:szCs w:val="22"/>
                <w:color w:val="auto"/>
              </w:rPr>
              <w:t>The undersigned, the duly qualified and elected</w:t>
            </w:r>
          </w:p>
        </w:tc>
        <w:tc>
          <w:tcPr>
            <w:tcW w:w="3360" w:type="dxa"/>
            <w:vAlign w:val="bottom"/>
            <w:tcBorders>
              <w:bottom w:val="single" w:sz="8" w:color="auto"/>
            </w:tcBorders>
            <w:gridSpan w:val="2"/>
          </w:tcPr>
          <w:p>
            <w:pPr>
              <w:spacing w:after="0"/>
              <w:rPr>
                <w:sz w:val="24"/>
                <w:szCs w:val="24"/>
                <w:color w:val="auto"/>
              </w:rPr>
            </w:pPr>
          </w:p>
        </w:tc>
        <w:tc>
          <w:tcPr>
            <w:tcW w:w="3160" w:type="dxa"/>
            <w:vAlign w:val="bottom"/>
            <w:gridSpan w:val="2"/>
          </w:tcPr>
          <w:p>
            <w:pPr>
              <w:jc w:val="right"/>
              <w:spacing w:after="0"/>
              <w:rPr>
                <w:sz w:val="20"/>
                <w:szCs w:val="20"/>
                <w:color w:val="auto"/>
              </w:rPr>
            </w:pPr>
            <w:r>
              <w:rPr>
                <w:rFonts w:ascii="Arial" w:cs="Arial" w:eastAsia="Arial" w:hAnsi="Arial"/>
                <w:sz w:val="22"/>
                <w:szCs w:val="22"/>
                <w:color w:val="auto"/>
                <w:w w:val="98"/>
              </w:rPr>
              <w:t>, of Olema Pharmaceuticals, Inc.</w:t>
            </w:r>
          </w:p>
        </w:tc>
      </w:tr>
    </w:tbl>
    <w:p>
      <w:pPr>
        <w:jc w:val="both"/>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xml:space="preserve">”), a Delaware corporation, does hereby certify in such capacity and on behalf of the Company,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of the Sales Agreement dated March 9, 2023 (the “</w:t>
      </w:r>
      <w:r>
        <w:rPr>
          <w:rFonts w:ascii="Arial" w:cs="Arial" w:eastAsia="Arial" w:hAnsi="Arial"/>
          <w:sz w:val="22"/>
          <w:szCs w:val="22"/>
          <w:b w:val="1"/>
          <w:bCs w:val="1"/>
          <w:u w:val="single" w:color="auto"/>
          <w:color w:val="auto"/>
        </w:rPr>
        <w:t>Sales Agreement</w:t>
      </w:r>
      <w:r>
        <w:rPr>
          <w:rFonts w:ascii="Arial" w:cs="Arial" w:eastAsia="Arial" w:hAnsi="Arial"/>
          <w:sz w:val="22"/>
          <w:szCs w:val="22"/>
          <w:color w:val="auto"/>
        </w:rPr>
        <w:t>”) between the Company and Oppenheimer &amp; Co. Inc., that to the best of the knowledge of the undersigned.</w:t>
      </w:r>
    </w:p>
    <w:p>
      <w:pPr>
        <w:spacing w:after="0" w:line="171" w:lineRule="exact"/>
        <w:rPr>
          <w:sz w:val="20"/>
          <w:szCs w:val="20"/>
          <w:color w:val="auto"/>
        </w:rPr>
      </w:pPr>
    </w:p>
    <w:p>
      <w:pPr>
        <w:jc w:val="both"/>
        <w:ind w:firstLine="757"/>
        <w:spacing w:after="0" w:line="234" w:lineRule="auto"/>
        <w:tabs>
          <w:tab w:leader="none" w:pos="101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of the Company in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3" w:lineRule="exact"/>
        <w:rPr>
          <w:rFonts w:ascii="Arial" w:cs="Arial" w:eastAsia="Arial" w:hAnsi="Arial"/>
          <w:sz w:val="22"/>
          <w:szCs w:val="22"/>
          <w:color w:val="auto"/>
        </w:rPr>
      </w:pPr>
    </w:p>
    <w:p>
      <w:pPr>
        <w:ind w:firstLine="757"/>
        <w:spacing w:after="0" w:line="259" w:lineRule="auto"/>
        <w:tabs>
          <w:tab w:leader="none" w:pos="101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Company has complied with all agreements and satisfied all conditions on its part to be performed or satisfied pursuant to the Sales Agreement at or prior to the date hereof.</w:t>
      </w:r>
    </w:p>
    <w:p>
      <w:pPr>
        <w:spacing w:after="0" w:line="156" w:lineRule="exact"/>
        <w:rPr>
          <w:sz w:val="20"/>
          <w:szCs w:val="20"/>
          <w:color w:val="auto"/>
        </w:rPr>
      </w:pPr>
    </w:p>
    <w:p>
      <w:pPr>
        <w:ind w:firstLine="749"/>
        <w:spacing w:after="0" w:line="259" w:lineRule="auto"/>
        <w:rPr>
          <w:sz w:val="20"/>
          <w:szCs w:val="20"/>
          <w:color w:val="auto"/>
        </w:rPr>
      </w:pPr>
      <w:r>
        <w:rPr>
          <w:rFonts w:ascii="Arial" w:cs="Arial" w:eastAsia="Arial" w:hAnsi="Arial"/>
          <w:sz w:val="22"/>
          <w:szCs w:val="22"/>
          <w:color w:val="auto"/>
        </w:rPr>
        <w:t>Cooley LLP and Davis Polk &amp; Wardwell LLP shall be entitled to rely upon this certificate for purposes of delivering their respective opinions and negative assurance letters pursuant to the Sales Agreement.</w:t>
      </w:r>
    </w:p>
    <w:p>
      <w:pPr>
        <w:spacing w:after="0" w:line="156" w:lineRule="exact"/>
        <w:rPr>
          <w:sz w:val="20"/>
          <w:szCs w:val="20"/>
          <w:color w:val="auto"/>
        </w:rPr>
      </w:pPr>
    </w:p>
    <w:p>
      <w:pPr>
        <w:ind w:right="20" w:firstLine="749"/>
        <w:spacing w:after="0" w:line="259" w:lineRule="auto"/>
        <w:rPr>
          <w:sz w:val="20"/>
          <w:szCs w:val="20"/>
          <w:color w:val="auto"/>
        </w:rPr>
      </w:pPr>
      <w:r>
        <w:rPr>
          <w:rFonts w:ascii="Arial" w:cs="Arial" w:eastAsia="Arial" w:hAnsi="Arial"/>
          <w:sz w:val="22"/>
          <w:szCs w:val="22"/>
          <w:color w:val="auto"/>
        </w:rPr>
        <w:t>Capitalized terms used but not defined herein shall have the meanings ascribed to them in the Sales Agreement.</w:t>
      </w:r>
    </w:p>
    <w:p>
      <w:pPr>
        <w:spacing w:after="0" w:line="399" w:lineRule="exact"/>
        <w:rPr>
          <w:sz w:val="20"/>
          <w:szCs w:val="20"/>
          <w:color w:val="auto"/>
        </w:rPr>
      </w:pPr>
    </w:p>
    <w:p>
      <w:pPr>
        <w:jc w:val="center"/>
        <w:ind w:left="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10795</wp:posOffset>
            </wp:positionV>
            <wp:extent cx="32575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w:t>
      </w:r>
    </w:p>
    <w:p>
      <w:pPr>
        <w:ind w:left="6120"/>
        <w:spacing w:after="0" w:line="230" w:lineRule="auto"/>
        <w:rPr>
          <w:sz w:val="20"/>
          <w:szCs w:val="20"/>
          <w:color w:val="auto"/>
        </w:rPr>
      </w:pPr>
      <w:r>
        <w:rPr>
          <w:rFonts w:ascii="Arial" w:cs="Arial" w:eastAsia="Arial" w:hAnsi="Arial"/>
          <w:sz w:val="22"/>
          <w:szCs w:val="22"/>
          <w:color w:val="auto"/>
        </w:rPr>
        <w:t>Title: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wp:posOffset>
            </wp:positionV>
            <wp:extent cx="30943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30943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08" w:name="page209"/>
    <w:bookmarkEnd w:id="208"/>
    <w:p>
      <w:pPr>
        <w:ind w:left="10020"/>
        <w:spacing w:after="0"/>
        <w:rPr>
          <w:sz w:val="20"/>
          <w:szCs w:val="20"/>
          <w:color w:val="auto"/>
        </w:rPr>
      </w:pPr>
      <w:r>
        <w:rPr>
          <w:rFonts w:ascii="Times New Roman" w:cs="Times New Roman" w:eastAsia="Times New Roman" w:hAnsi="Times New Roman"/>
          <w:sz w:val="21"/>
          <w:szCs w:val="21"/>
          <w:b w:val="1"/>
          <w:bCs w:val="1"/>
          <w:color w:val="auto"/>
        </w:rPr>
        <w:t>Exhibit 10.14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lema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2022 I</w:t>
      </w:r>
      <w:r>
        <w:rPr>
          <w:rFonts w:ascii="Times New Roman" w:cs="Times New Roman" w:eastAsia="Times New Roman" w:hAnsi="Times New Roman"/>
          <w:sz w:val="13"/>
          <w:szCs w:val="13"/>
          <w:b w:val="1"/>
          <w:bCs w:val="1"/>
          <w:color w:val="auto"/>
        </w:rPr>
        <w:t>nducement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anuary</w:t>
      </w:r>
      <w:r>
        <w:rPr>
          <w:rFonts w:ascii="Times New Roman" w:cs="Times New Roman" w:eastAsia="Times New Roman" w:hAnsi="Times New Roman"/>
          <w:sz w:val="20"/>
          <w:szCs w:val="20"/>
          <w:b w:val="1"/>
          <w:bCs w:val="1"/>
          <w:color w:val="auto"/>
        </w:rPr>
        <w:t xml:space="preserve"> 19, 2022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by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ommittee of 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D</w:t>
      </w:r>
      <w:r>
        <w:rPr>
          <w:rFonts w:ascii="Times New Roman" w:cs="Times New Roman" w:eastAsia="Times New Roman" w:hAnsi="Times New Roman"/>
          <w:sz w:val="13"/>
          <w:szCs w:val="13"/>
          <w:b w:val="1"/>
          <w:bCs w:val="1"/>
          <w:color w:val="auto"/>
        </w:rPr>
        <w:t>ecember</w:t>
      </w:r>
      <w:r>
        <w:rPr>
          <w:rFonts w:ascii="Times New Roman" w:cs="Times New Roman" w:eastAsia="Times New Roman" w:hAnsi="Times New Roman"/>
          <w:sz w:val="20"/>
          <w:szCs w:val="20"/>
          <w:b w:val="1"/>
          <w:bCs w:val="1"/>
          <w:color w:val="auto"/>
        </w:rPr>
        <w:t xml:space="preserve"> 5, 2024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anuary</w:t>
      </w:r>
      <w:r>
        <w:rPr>
          <w:rFonts w:ascii="Times New Roman" w:cs="Times New Roman" w:eastAsia="Times New Roman" w:hAnsi="Times New Roman"/>
          <w:sz w:val="20"/>
          <w:szCs w:val="20"/>
          <w:b w:val="1"/>
          <w:bCs w:val="1"/>
          <w:color w:val="auto"/>
        </w:rPr>
        <w:t xml:space="preserve"> 1, 2025</w:t>
      </w:r>
    </w:p>
    <w:p>
      <w:pPr>
        <w:spacing w:after="0" w:line="196"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8"/>
        <w:spacing w:after="0" w:line="243" w:lineRule="auto"/>
        <w:tabs>
          <w:tab w:leader="none" w:pos="509"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Eligible Award Recipients. </w:t>
      </w:r>
      <w:r>
        <w:rPr>
          <w:rFonts w:ascii="Times New Roman" w:cs="Times New Roman" w:eastAsia="Times New Roman" w:hAnsi="Times New Roman"/>
          <w:sz w:val="20"/>
          <w:szCs w:val="20"/>
          <w:color w:val="auto"/>
        </w:rPr>
        <w:t>The only persons eligible to receive grants of Awards under this Plan are individuals who satisfy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standards for inducement grants under NASDAQ Marketplace Rule 5635(c)(4) or 5635(c)(3), if applicable, and the related guidance under NASDAQ IM 5635-1. A person who previously served as an Employee or Director will not be eligible to receive Awards under the Plan, other than following a bona fide period of non-employment. Persons eligible to receive grants of Awards under this Plan are referred to in this Plan as “</w:t>
      </w:r>
      <w:r>
        <w:rPr>
          <w:rFonts w:ascii="Times New Roman" w:cs="Times New Roman" w:eastAsia="Times New Roman" w:hAnsi="Times New Roman"/>
          <w:sz w:val="20"/>
          <w:szCs w:val="20"/>
          <w:b w:val="1"/>
          <w:bCs w:val="1"/>
          <w:i w:val="1"/>
          <w:iCs w:val="1"/>
          <w:color w:val="auto"/>
        </w:rPr>
        <w:t>Eligible Employees</w:t>
      </w:r>
      <w:r>
        <w:rPr>
          <w:rFonts w:ascii="Times New Roman" w:cs="Times New Roman" w:eastAsia="Times New Roman" w:hAnsi="Times New Roman"/>
          <w:sz w:val="20"/>
          <w:szCs w:val="20"/>
          <w:color w:val="auto"/>
        </w:rPr>
        <w:t>.” These Awards must be approved by either a majority of the Company’s “</w:t>
      </w:r>
      <w:r>
        <w:rPr>
          <w:rFonts w:ascii="Times New Roman" w:cs="Times New Roman" w:eastAsia="Times New Roman" w:hAnsi="Times New Roman"/>
          <w:sz w:val="20"/>
          <w:szCs w:val="20"/>
          <w:b w:val="1"/>
          <w:bCs w:val="1"/>
          <w:i w:val="1"/>
          <w:iCs w:val="1"/>
          <w:color w:val="auto"/>
        </w:rPr>
        <w:t>Independent Directors</w:t>
      </w:r>
      <w:r>
        <w:rPr>
          <w:rFonts w:ascii="Times New Roman" w:cs="Times New Roman" w:eastAsia="Times New Roman" w:hAnsi="Times New Roman"/>
          <w:sz w:val="20"/>
          <w:szCs w:val="20"/>
          <w:color w:val="auto"/>
        </w:rPr>
        <w:t>” (as such term is defined in NASDAQ Marketplace Rule 5605(a)(2)) or the Board’s compensation committee, provided such committee comprises solely Independent Directors (the “</w:t>
      </w:r>
      <w:r>
        <w:rPr>
          <w:rFonts w:ascii="Times New Roman" w:cs="Times New Roman" w:eastAsia="Times New Roman" w:hAnsi="Times New Roman"/>
          <w:sz w:val="20"/>
          <w:szCs w:val="20"/>
          <w:b w:val="1"/>
          <w:bCs w:val="1"/>
          <w:i w:val="1"/>
          <w:iCs w:val="1"/>
          <w:color w:val="auto"/>
        </w:rPr>
        <w:t>Independent Compensation Committee</w:t>
      </w:r>
      <w:r>
        <w:rPr>
          <w:rFonts w:ascii="Times New Roman" w:cs="Times New Roman" w:eastAsia="Times New Roman" w:hAnsi="Times New Roman"/>
          <w:sz w:val="20"/>
          <w:szCs w:val="20"/>
          <w:color w:val="auto"/>
        </w:rPr>
        <w:t>”) in order to comply with the exemption from the stockholder approval requirement for “inducement grants” provided under Rule 5635(c)(4) of the NASDAQ Marketplace Rules. NASDAQ Marketplace Rule 5635(c)(4) and the related guidance under NASDAQ IM 5635-1 (and any analogous rules or guidance effective after the date hereof) are referred to in this Plan as the “</w:t>
      </w:r>
      <w:r>
        <w:rPr>
          <w:rFonts w:ascii="Times New Roman" w:cs="Times New Roman" w:eastAsia="Times New Roman" w:hAnsi="Times New Roman"/>
          <w:sz w:val="20"/>
          <w:szCs w:val="20"/>
          <w:b w:val="1"/>
          <w:bCs w:val="1"/>
          <w:i w:val="1"/>
          <w:iCs w:val="1"/>
          <w:color w:val="auto"/>
        </w:rPr>
        <w:t>Inducement Award Rules</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Plan Purpose. </w:t>
      </w:r>
      <w:r>
        <w:rPr>
          <w:rFonts w:ascii="Times New Roman" w:cs="Times New Roman" w:eastAsia="Times New Roman" w:hAnsi="Times New Roman"/>
          <w:sz w:val="20"/>
          <w:szCs w:val="20"/>
          <w:color w:val="auto"/>
        </w:rPr>
        <w:t>This Plan, through the granting of Awards, is intended to provide (i) a material inducement to Award recipients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employees of the Company within the meaning of Rule 5635(c)(4) of the NASDAQ Marketplace Rules, (ii) incentives for such persons to exert maximum efforts for the success of the Company and any Affiliate and (iii) a means by which Eligible Employees may be given an opportunity to benefit from increases in value of the Common Stock through the granting of Awards.</w:t>
      </w:r>
    </w:p>
    <w:p>
      <w:pPr>
        <w:spacing w:after="0" w:line="17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Available Awards. </w:t>
      </w:r>
      <w:r>
        <w:rPr>
          <w:rFonts w:ascii="Times New Roman" w:cs="Times New Roman" w:eastAsia="Times New Roman" w:hAnsi="Times New Roman"/>
          <w:sz w:val="20"/>
          <w:szCs w:val="20"/>
          <w:color w:val="auto"/>
        </w:rPr>
        <w:t>The Plan provides for the grant of the following Awards: (i) Nonstatutory Stock Options; (ii) SARs;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Awards; (iv) RSU Awards; (v) Performance Awards; and (vi) Other Awards.</w:t>
      </w:r>
    </w:p>
    <w:p>
      <w:pPr>
        <w:spacing w:after="0" w:line="15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Effective Date. </w:t>
      </w:r>
      <w:r>
        <w:rPr>
          <w:rFonts w:ascii="Times New Roman" w:cs="Times New Roman" w:eastAsia="Times New Roman" w:hAnsi="Times New Roman"/>
          <w:sz w:val="20"/>
          <w:szCs w:val="20"/>
          <w:color w:val="auto"/>
        </w:rPr>
        <w:t>No Award may be granted prior to the Effective Date.</w:t>
      </w:r>
    </w:p>
    <w:p>
      <w:pPr>
        <w:spacing w:after="0" w:line="216"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8"/>
        <w:spacing w:after="0" w:line="256" w:lineRule="auto"/>
        <w:tabs>
          <w:tab w:leader="none" w:pos="509"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Reserve. </w:t>
      </w:r>
      <w:r>
        <w:rPr>
          <w:rFonts w:ascii="Times New Roman" w:cs="Times New Roman" w:eastAsia="Times New Roman" w:hAnsi="Times New Roman"/>
          <w:sz w:val="20"/>
          <w:szCs w:val="20"/>
          <w:color w:val="auto"/>
        </w:rPr>
        <w:t>Subject to adjustment in accordance with Section 2(b) and any adjustments as necessary to implement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Capitalization Adjustments, the aggregate number of shares of Common Stock that may be issued pursuant to Awards will not exceed 5,000,000 shares.</w:t>
      </w:r>
    </w:p>
    <w:p>
      <w:pPr>
        <w:spacing w:after="0" w:line="16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Reserve Operation.</w:t>
      </w:r>
    </w:p>
    <w:p>
      <w:pPr>
        <w:spacing w:after="0" w:line="216" w:lineRule="exact"/>
        <w:rPr>
          <w:sz w:val="20"/>
          <w:szCs w:val="20"/>
          <w:color w:val="auto"/>
        </w:rPr>
      </w:pPr>
    </w:p>
    <w:p>
      <w:pPr>
        <w:jc w:val="both"/>
        <w:ind w:firstLine="8"/>
        <w:spacing w:after="0" w:line="247" w:lineRule="auto"/>
        <w:tabs>
          <w:tab w:leader="none" w:pos="509"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 Applies to Common Stock Issued Pursuant to Awards. </w:t>
      </w:r>
      <w:r>
        <w:rPr>
          <w:rFonts w:ascii="Times New Roman" w:cs="Times New Roman" w:eastAsia="Times New Roman" w:hAnsi="Times New Roman"/>
          <w:sz w:val="20"/>
          <w:szCs w:val="20"/>
          <w:color w:val="auto"/>
        </w:rPr>
        <w:t>For clarity, the Share Reserve is a limit on the number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09" w:name="page210"/>
    <w:bookmarkEnd w:id="209"/>
    <w:p>
      <w:pPr>
        <w:ind w:left="520"/>
        <w:spacing w:after="0"/>
        <w:rPr>
          <w:sz w:val="20"/>
          <w:szCs w:val="20"/>
          <w:color w:val="auto"/>
        </w:rPr>
      </w:pPr>
      <w:r>
        <w:rPr>
          <w:rFonts w:ascii="Times New Roman" w:cs="Times New Roman" w:eastAsia="Times New Roman" w:hAnsi="Times New Roman"/>
          <w:sz w:val="20"/>
          <w:szCs w:val="20"/>
          <w:color w:val="auto"/>
        </w:rPr>
        <w:t>Section 711 or other applicable rule, and such issuance will not reduce the number of shares available for issuance under the Plan.</w:t>
      </w:r>
    </w:p>
    <w:p>
      <w:pPr>
        <w:spacing w:after="0" w:line="212" w:lineRule="exact"/>
        <w:rPr>
          <w:sz w:val="20"/>
          <w:szCs w:val="20"/>
          <w:color w:val="auto"/>
        </w:rPr>
      </w:pPr>
    </w:p>
    <w:p>
      <w:pPr>
        <w:jc w:val="both"/>
        <w:ind w:firstLine="8"/>
        <w:spacing w:after="0" w:line="245" w:lineRule="auto"/>
        <w:tabs>
          <w:tab w:leader="none" w:pos="509"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Actions that Do Not Constitute Issuance of Common Stock and Do Not Reduce Share Reserve. </w:t>
      </w:r>
      <w:r>
        <w:rPr>
          <w:rFonts w:ascii="Times New Roman" w:cs="Times New Roman" w:eastAsia="Times New Roman" w:hAnsi="Times New Roman"/>
          <w:sz w:val="20"/>
          <w:szCs w:val="20"/>
          <w:color w:val="auto"/>
        </w:rPr>
        <w:t>The following actions do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509"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Reversion of Previously Issued Shares of Common Stock to Share Reserve. </w:t>
      </w:r>
      <w:r>
        <w:rPr>
          <w:rFonts w:ascii="Times New Roman" w:cs="Times New Roman" w:eastAsia="Times New Roman" w:hAnsi="Times New Roman"/>
          <w:sz w:val="20"/>
          <w:szCs w:val="20"/>
          <w:color w:val="auto"/>
        </w:rPr>
        <w:t>The following shares of Common Stock previously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79"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3"/>
          <w:szCs w:val="13"/>
          <w:b w:val="1"/>
          <w:bCs w:val="1"/>
          <w:color w:val="auto"/>
        </w:rPr>
        <w:t>imitations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8"/>
        <w:spacing w:after="0" w:line="250" w:lineRule="auto"/>
        <w:tabs>
          <w:tab w:leader="none" w:pos="509"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Limitations on Nonstatutory Stock Options and SARs. </w:t>
      </w:r>
      <w:r>
        <w:rPr>
          <w:rFonts w:ascii="Times New Roman" w:cs="Times New Roman" w:eastAsia="Times New Roman" w:hAnsi="Times New Roman"/>
          <w:sz w:val="20"/>
          <w:szCs w:val="20"/>
          <w:color w:val="auto"/>
        </w:rPr>
        <w:t>Nonstatutory Stock Options and SARs may not be granted to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6" w:lineRule="exact"/>
        <w:rPr>
          <w:sz w:val="20"/>
          <w:szCs w:val="20"/>
          <w:color w:val="auto"/>
        </w:rPr>
      </w:pPr>
    </w:p>
    <w:p>
      <w:pPr>
        <w:ind w:left="520" w:hanging="512"/>
        <w:spacing w:after="0"/>
        <w:tabs>
          <w:tab w:leader="none" w:pos="52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Option and SAR will have such terms and conditions as determined by the Board.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76" w:lineRule="exact"/>
        <w:rPr>
          <w:sz w:val="20"/>
          <w:szCs w:val="20"/>
          <w:color w:val="auto"/>
        </w:rPr>
      </w:pPr>
    </w:p>
    <w:p>
      <w:pPr>
        <w:ind w:firstLine="8"/>
        <w:spacing w:after="0" w:line="273" w:lineRule="auto"/>
        <w:tabs>
          <w:tab w:leader="none" w:pos="509"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No Option or SAR will be exercisable after the expiration of ten years from the date of grant of such Award or such shorter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specified in the Award Agreement.</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or Strike Price. </w:t>
      </w:r>
      <w:r>
        <w:rPr>
          <w:rFonts w:ascii="Times New Roman" w:cs="Times New Roman" w:eastAsia="Times New Roman" w:hAnsi="Times New Roman"/>
          <w:sz w:val="20"/>
          <w:szCs w:val="20"/>
          <w:color w:val="auto"/>
        </w:rPr>
        <w:t>The exercise or strike price of each Option or SAR will not be less than 100% of the Fair Market Value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 409A of the Code.</w:t>
      </w:r>
    </w:p>
    <w:p>
      <w:pPr>
        <w:spacing w:after="0" w:line="180"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Procedure and Payment of Exercise Price for Options. </w:t>
      </w:r>
      <w:r>
        <w:rPr>
          <w:rFonts w:ascii="Times New Roman" w:cs="Times New Roman" w:eastAsia="Times New Roman" w:hAnsi="Times New Roman"/>
          <w:sz w:val="20"/>
          <w:szCs w:val="20"/>
          <w:color w:val="auto"/>
        </w:rPr>
        <w:t>In order to exercise an Option, the Participant must provide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exercise to the Plan Administrator in accordance with the procedures specified in the Option Agreement or otherwise provided by the Company. The Board has the authority to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0" w:name="page211"/>
    <w:bookmarkEnd w:id="210"/>
    <w:p>
      <w:pPr>
        <w:jc w:val="both"/>
        <w:ind w:firstLine="509"/>
        <w:spacing w:after="0" w:line="249" w:lineRule="auto"/>
        <w:rPr>
          <w:sz w:val="20"/>
          <w:szCs w:val="20"/>
          <w:color w:val="auto"/>
        </w:rPr>
      </w:pPr>
      <w:r>
        <w:rPr>
          <w:rFonts w:ascii="Times New Roman" w:cs="Times New Roman" w:eastAsia="Times New Roman" w:hAnsi="Times New Roman"/>
          <w:sz w:val="20"/>
          <w:szCs w:val="20"/>
          <w:color w:val="auto"/>
        </w:rPr>
        <w:t>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0"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cash or check, bank draft or money order payable to the Company;</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509"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4" w:lineRule="exact"/>
        <w:rPr>
          <w:rFonts w:ascii="Times New Roman" w:cs="Times New Roman" w:eastAsia="Times New Roman" w:hAnsi="Times New Roman"/>
          <w:sz w:val="20"/>
          <w:szCs w:val="20"/>
          <w:b w:val="1"/>
          <w:bCs w:val="1"/>
          <w:color w:val="auto"/>
        </w:rPr>
      </w:pPr>
    </w:p>
    <w:p>
      <w:pPr>
        <w:jc w:val="both"/>
        <w:ind w:firstLine="8"/>
        <w:spacing w:after="0" w:line="244" w:lineRule="auto"/>
        <w:tabs>
          <w:tab w:leader="none" w:pos="509"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5" w:lineRule="exact"/>
        <w:rPr>
          <w:rFonts w:ascii="Times New Roman" w:cs="Times New Roman" w:eastAsia="Times New Roman" w:hAnsi="Times New Roman"/>
          <w:sz w:val="20"/>
          <w:szCs w:val="20"/>
          <w:b w:val="1"/>
          <w:bCs w:val="1"/>
          <w:color w:val="auto"/>
        </w:rPr>
      </w:pPr>
    </w:p>
    <w:p>
      <w:pPr>
        <w:jc w:val="both"/>
        <w:ind w:firstLine="8"/>
        <w:spacing w:after="0" w:line="249" w:lineRule="auto"/>
        <w:tabs>
          <w:tab w:leader="none" w:pos="509"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9"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any other form of consideration that may be acceptable to the Board and permissible under Applicable Law.</w:t>
      </w:r>
    </w:p>
    <w:p>
      <w:pPr>
        <w:spacing w:after="0" w:line="212" w:lineRule="exact"/>
        <w:rPr>
          <w:sz w:val="20"/>
          <w:szCs w:val="20"/>
          <w:color w:val="auto"/>
        </w:rPr>
      </w:pPr>
    </w:p>
    <w:p>
      <w:pPr>
        <w:jc w:val="both"/>
        <w:ind w:firstLine="8"/>
        <w:spacing w:after="0" w:line="245" w:lineRule="auto"/>
        <w:tabs>
          <w:tab w:leader="none" w:pos="509"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Procedure and Payment of Appreciation Distribution for SARs. </w:t>
      </w:r>
      <w:r>
        <w:rPr>
          <w:rFonts w:ascii="Times New Roman" w:cs="Times New Roman" w:eastAsia="Times New Roman" w:hAnsi="Times New Roman"/>
          <w:sz w:val="20"/>
          <w:szCs w:val="20"/>
          <w:color w:val="auto"/>
        </w:rPr>
        <w:t>In order to exercise any SAR, the Participant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Options and SARs may not be transferred to third party financial institutions for value. The Board may impose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w:t>
      </w:r>
    </w:p>
    <w:p>
      <w:pPr>
        <w:spacing w:after="0" w:line="176" w:lineRule="exact"/>
        <w:rPr>
          <w:sz w:val="20"/>
          <w:szCs w:val="20"/>
          <w:color w:val="auto"/>
        </w:rPr>
      </w:pPr>
    </w:p>
    <w:p>
      <w:pPr>
        <w:jc w:val="both"/>
        <w:ind w:firstLine="8"/>
        <w:spacing w:after="0" w:line="256" w:lineRule="auto"/>
        <w:tabs>
          <w:tab w:leader="none" w:pos="509"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Restrictions on Transfer. </w:t>
      </w:r>
      <w:r>
        <w:rPr>
          <w:rFonts w:ascii="Times New Roman" w:cs="Times New Roman" w:eastAsia="Times New Roman" w:hAnsi="Times New Roman"/>
          <w:sz w:val="20"/>
          <w:szCs w:val="20"/>
          <w:color w:val="auto"/>
        </w:rPr>
        <w:t>An Option or SAR will not be transferable, except by will or by the laws of descent and distribution,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exercisable during the lifetime of the Participant only by the Participant; provided, however, that the Board may permit transfer of an Option or SAR in a manner that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1" w:name="page212"/>
    <w:bookmarkEnd w:id="211"/>
    <w:p>
      <w:pPr>
        <w:jc w:val="both"/>
        <w:ind w:firstLine="509"/>
        <w:spacing w:after="0" w:line="274" w:lineRule="auto"/>
        <w:rPr>
          <w:sz w:val="20"/>
          <w:szCs w:val="20"/>
          <w:color w:val="auto"/>
        </w:rPr>
      </w:pPr>
      <w:r>
        <w:rPr>
          <w:rFonts w:ascii="Times New Roman" w:cs="Times New Roman" w:eastAsia="Times New Roman" w:hAnsi="Times New Roman"/>
          <w:sz w:val="19"/>
          <w:szCs w:val="19"/>
          <w:color w:val="auto"/>
        </w:rPr>
        <w:t>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spacing w:after="0" w:line="152" w:lineRule="exact"/>
        <w:rPr>
          <w:sz w:val="20"/>
          <w:szCs w:val="20"/>
          <w:color w:val="auto"/>
        </w:rPr>
      </w:pPr>
    </w:p>
    <w:p>
      <w:pPr>
        <w:jc w:val="both"/>
        <w:ind w:firstLine="8"/>
        <w:spacing w:after="0" w:line="256" w:lineRule="auto"/>
        <w:tabs>
          <w:tab w:leader="none" w:pos="509"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Domestic Relations Orders. </w:t>
      </w:r>
      <w:r>
        <w:rPr>
          <w:rFonts w:ascii="Times New Roman" w:cs="Times New Roman" w:eastAsia="Times New Roman" w:hAnsi="Times New Roman"/>
          <w:sz w:val="20"/>
          <w:szCs w:val="20"/>
          <w:color w:val="auto"/>
        </w:rPr>
        <w:t>Notwithstanding the foregoing, subject to the execution of transfer documentation in a format acceptable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Company and subject to the approval of the Board or a duly authorized Officer, an Option or SAR may be transferred pursuant to a domestic relations order.</w:t>
      </w:r>
    </w:p>
    <w:p>
      <w:pPr>
        <w:spacing w:after="0" w:line="169" w:lineRule="exact"/>
        <w:rPr>
          <w:sz w:val="20"/>
          <w:szCs w:val="20"/>
          <w:color w:val="auto"/>
        </w:rPr>
      </w:pPr>
    </w:p>
    <w:p>
      <w:pPr>
        <w:jc w:val="both"/>
        <w:ind w:firstLine="8"/>
        <w:spacing w:after="0" w:line="256" w:lineRule="auto"/>
        <w:tabs>
          <w:tab w:leader="none" w:pos="509"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Board may impose such restrictions on or conditions to the vesting and/or exercisability of an Option or SAR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by the Board. Except as otherwise provided in the applicable Award Agreement or other written agreement between a Participant and the Company, vesting of Options and SARs will cease upon termination of the Participant’s Continuous Service.</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509"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Continuous Service for Cause. </w:t>
      </w:r>
      <w:r>
        <w:rPr>
          <w:rFonts w:ascii="Times New Roman" w:cs="Times New Roman" w:eastAsia="Times New Roman" w:hAnsi="Times New Roman"/>
          <w:sz w:val="20"/>
          <w:szCs w:val="20"/>
          <w:color w:val="auto"/>
        </w:rPr>
        <w:t>Except as explicitly otherwise provided in the Award Agreement or other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78"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spacing w:after="0" w:line="184" w:lineRule="exact"/>
        <w:rPr>
          <w:rFonts w:ascii="Times New Roman" w:cs="Times New Roman" w:eastAsia="Times New Roman" w:hAnsi="Times New Roman"/>
          <w:sz w:val="20"/>
          <w:szCs w:val="20"/>
          <w:b w:val="1"/>
          <w:bCs w:val="1"/>
          <w:color w:val="auto"/>
        </w:rPr>
      </w:pPr>
    </w:p>
    <w:p>
      <w:pPr>
        <w:ind w:firstLine="8"/>
        <w:spacing w:after="0" w:line="269" w:lineRule="auto"/>
        <w:tabs>
          <w:tab w:leader="none" w:pos="509"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three months following the date of such termination if such termination is a termination without Cause (other than any termination due to the Participant’s Disability or death);</w:t>
      </w:r>
    </w:p>
    <w:p>
      <w:pPr>
        <w:spacing w:after="0" w:line="159"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12 months following the date of such termination if such termination is due to the Participant’s Disability;</w:t>
      </w:r>
    </w:p>
    <w:p>
      <w:pPr>
        <w:spacing w:after="0" w:line="21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following the date of such termination if such termination is due to the Participant’s death; or</w:t>
      </w:r>
    </w:p>
    <w:p>
      <w:pPr>
        <w:spacing w:after="0" w:line="215" w:lineRule="exact"/>
        <w:rPr>
          <w:rFonts w:ascii="Times New Roman" w:cs="Times New Roman" w:eastAsia="Times New Roman" w:hAnsi="Times New Roman"/>
          <w:sz w:val="20"/>
          <w:szCs w:val="20"/>
          <w:b w:val="1"/>
          <w:bCs w:val="1"/>
          <w:color w:val="auto"/>
        </w:rPr>
      </w:pPr>
    </w:p>
    <w:p>
      <w:pPr>
        <w:ind w:firstLine="8"/>
        <w:spacing w:after="0" w:line="269" w:lineRule="auto"/>
        <w:tabs>
          <w:tab w:leader="none" w:pos="509"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following the date of the Participant’s death if such death occurs following the date of such termination but during the period such Award is otherwise exercisable (as provided in (i) or (ii) above).</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spacing w:after="0" w:line="176" w:lineRule="exact"/>
        <w:rPr>
          <w:sz w:val="20"/>
          <w:szCs w:val="20"/>
          <w:color w:val="auto"/>
        </w:rPr>
      </w:pPr>
    </w:p>
    <w:p>
      <w:pPr>
        <w:ind w:right="20" w:firstLine="8"/>
        <w:spacing w:after="0" w:line="273" w:lineRule="auto"/>
        <w:tabs>
          <w:tab w:leader="none" w:pos="509"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Restrictions on Exercise; Extension of Exercisability. </w:t>
      </w:r>
      <w:r>
        <w:rPr>
          <w:rFonts w:ascii="Times New Roman" w:cs="Times New Roman" w:eastAsia="Times New Roman" w:hAnsi="Times New Roman"/>
          <w:sz w:val="20"/>
          <w:szCs w:val="20"/>
          <w:color w:val="auto"/>
        </w:rPr>
        <w:t>A Participant may not exercise an Option or SAR at any time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issuance of shares of Common Stock upon such exercise would violate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jc w:val="both"/>
        <w:ind w:firstLine="509"/>
        <w:spacing w:after="0" w:line="243" w:lineRule="auto"/>
        <w:rPr>
          <w:sz w:val="20"/>
          <w:szCs w:val="20"/>
          <w:color w:val="auto"/>
        </w:rPr>
      </w:pPr>
      <w:r>
        <w:rPr>
          <w:rFonts w:ascii="Times New Roman" w:cs="Times New Roman" w:eastAsia="Times New Roman" w:hAnsi="Times New Roman"/>
          <w:sz w:val="20"/>
          <w:szCs w:val="20"/>
          <w:color w:val="auto"/>
        </w:rPr>
        <w:t>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2" w:lineRule="exact"/>
        <w:rPr>
          <w:sz w:val="20"/>
          <w:szCs w:val="20"/>
          <w:color w:val="auto"/>
        </w:rPr>
      </w:pPr>
    </w:p>
    <w:p>
      <w:pPr>
        <w:jc w:val="both"/>
        <w:ind w:firstLine="8"/>
        <w:spacing w:after="0" w:line="243" w:lineRule="auto"/>
        <w:tabs>
          <w:tab w:leader="none" w:pos="509"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Non-Exempt Employees</w:t>
      </w:r>
      <w:r>
        <w:rPr>
          <w:rFonts w:ascii="Times New Roman" w:cs="Times New Roman" w:eastAsia="Times New Roman" w:hAnsi="Times New Roman"/>
          <w:sz w:val="20"/>
          <w:szCs w:val="20"/>
          <w:color w:val="auto"/>
        </w:rPr>
        <w:t>. No Option or SAR, whether or not vested, granted to an Employee who is a non-exempt employee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Whole Shares</w:t>
      </w:r>
      <w:r>
        <w:rPr>
          <w:rFonts w:ascii="Times New Roman" w:cs="Times New Roman" w:eastAsia="Times New Roman" w:hAnsi="Times New Roman"/>
          <w:sz w:val="20"/>
          <w:szCs w:val="20"/>
          <w:color w:val="auto"/>
        </w:rPr>
        <w:t>. Options and SARs may be exercised only with respect to whole shares of Common Stock or their equivalents.</w:t>
      </w:r>
    </w:p>
    <w:p>
      <w:pPr>
        <w:spacing w:after="0" w:line="216"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han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8"/>
        <w:spacing w:after="0" w:line="250" w:lineRule="auto"/>
        <w:tabs>
          <w:tab w:leader="none" w:pos="509"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Restricted Stock Awards and RSU Awards. </w:t>
      </w:r>
      <w:r>
        <w:rPr>
          <w:rFonts w:ascii="Times New Roman" w:cs="Times New Roman" w:eastAsia="Times New Roman" w:hAnsi="Times New Roman"/>
          <w:sz w:val="20"/>
          <w:szCs w:val="20"/>
          <w:color w:val="auto"/>
        </w:rPr>
        <w:t>Each Restricted Stock Award and RSU Award will have such terms and conditions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6"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Form of Award.</w:t>
      </w:r>
    </w:p>
    <w:p>
      <w:pPr>
        <w:spacing w:after="0" w:line="233" w:lineRule="exact"/>
        <w:rPr>
          <w:sz w:val="20"/>
          <w:szCs w:val="20"/>
          <w:color w:val="auto"/>
        </w:rPr>
      </w:pPr>
    </w:p>
    <w:p>
      <w:pPr>
        <w:jc w:val="both"/>
        <w:ind w:firstLine="8"/>
        <w:spacing w:after="0"/>
        <w:tabs>
          <w:tab w:leader="none" w:pos="509"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204"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3" w:name="page214"/>
    <w:bookmarkEnd w:id="213"/>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70"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Consideration.</w:t>
      </w:r>
    </w:p>
    <w:p>
      <w:pPr>
        <w:spacing w:after="0" w:line="233" w:lineRule="exact"/>
        <w:rPr>
          <w:sz w:val="20"/>
          <w:szCs w:val="20"/>
          <w:color w:val="auto"/>
        </w:rPr>
      </w:pPr>
    </w:p>
    <w:p>
      <w:pPr>
        <w:jc w:val="both"/>
        <w:ind w:firstLine="8"/>
        <w:spacing w:after="0" w:line="242" w:lineRule="auto"/>
        <w:tabs>
          <w:tab w:leader="none" w:pos="509"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RSA: A Restricted Stock Award may be granted in consideration for (A) cash or check, bank draft or money order payable to the Company, (B) past services to the Company or an Affiliate, or (C) any other form of consideration as the Board may determine and permissible under Applicable Law.</w:t>
      </w:r>
    </w:p>
    <w:p>
      <w:pPr>
        <w:spacing w:after="0" w:line="199"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6" w:lineRule="exact"/>
        <w:rPr>
          <w:sz w:val="20"/>
          <w:szCs w:val="20"/>
          <w:color w:val="auto"/>
        </w:rPr>
      </w:pPr>
    </w:p>
    <w:p>
      <w:pPr>
        <w:jc w:val="both"/>
        <w:ind w:firstLine="8"/>
        <w:spacing w:after="0" w:line="250" w:lineRule="auto"/>
        <w:tabs>
          <w:tab w:leader="none" w:pos="509"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Board may impose such restrictions on or conditions to the vesting of a Restricted Stock Award or RSU Award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61" w:lineRule="auto"/>
        <w:tabs>
          <w:tab w:leader="none" w:pos="509" w:val="left"/>
        </w:tabs>
        <w:numPr>
          <w:ilvl w:val="0"/>
          <w:numId w:val="1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of Continuous Service. </w:t>
      </w:r>
      <w:r>
        <w:rPr>
          <w:rFonts w:ascii="Times New Roman" w:cs="Times New Roman" w:eastAsia="Times New Roman" w:hAnsi="Times New Roman"/>
          <w:sz w:val="19"/>
          <w:szCs w:val="19"/>
          <w:color w:val="auto"/>
        </w:rPr>
        <w:t>Except as otherwise provided in the Award Agreement or other written agreement between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and the Company,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67" w:lineRule="exact"/>
        <w:rPr>
          <w:rFonts w:ascii="Times New Roman" w:cs="Times New Roman" w:eastAsia="Times New Roman" w:hAnsi="Times New Roman"/>
          <w:sz w:val="19"/>
          <w:szCs w:val="19"/>
          <w:b w:val="1"/>
          <w:bCs w:val="1"/>
          <w:color w:val="auto"/>
        </w:rPr>
      </w:pPr>
    </w:p>
    <w:p>
      <w:pPr>
        <w:jc w:val="both"/>
        <w:ind w:firstLine="8"/>
        <w:spacing w:after="0" w:line="256" w:lineRule="auto"/>
        <w:tabs>
          <w:tab w:leader="none" w:pos="509"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Dividends and Dividend Equivalents. </w:t>
      </w:r>
      <w:r>
        <w:rPr>
          <w:rFonts w:ascii="Times New Roman" w:cs="Times New Roman" w:eastAsia="Times New Roman" w:hAnsi="Times New Roman"/>
          <w:sz w:val="20"/>
          <w:szCs w:val="20"/>
          <w:color w:val="auto"/>
        </w:rPr>
        <w:t>Dividends or dividend equivalents may be paid or credited, as applicable, with respect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subject to a Restricted Stock Award or RSU Award, as determined by the Board and specified in the Award Agreement).</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RSU Awards</w:t>
      </w:r>
      <w:r>
        <w:rPr>
          <w:rFonts w:ascii="Times New Roman" w:cs="Times New Roman" w:eastAsia="Times New Roman" w:hAnsi="Times New Roman"/>
          <w:sz w:val="20"/>
          <w:szCs w:val="20"/>
          <w:color w:val="auto"/>
        </w:rPr>
        <w:t>. A RSU Award may be settled by the issuance of shares of Common Stock or cash (or any combination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69" w:lineRule="exact"/>
        <w:rPr>
          <w:sz w:val="20"/>
          <w:szCs w:val="20"/>
          <w:color w:val="auto"/>
        </w:rPr>
      </w:pPr>
    </w:p>
    <w:p>
      <w:pPr>
        <w:jc w:val="both"/>
        <w:ind w:firstLine="8"/>
        <w:spacing w:after="0" w:line="256" w:lineRule="auto"/>
        <w:tabs>
          <w:tab w:leader="none" w:pos="509"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Awards</w:t>
      </w:r>
      <w:r>
        <w:rPr>
          <w:rFonts w:ascii="Times New Roman" w:cs="Times New Roman" w:eastAsia="Times New Roman" w:hAnsi="Times New Roman"/>
          <w:sz w:val="20"/>
          <w:szCs w:val="20"/>
          <w:color w:val="auto"/>
        </w:rPr>
        <w:t>. With respect to any Performance Award, the length of any Performance Period, the Performance Goals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achieved during the Performance Period, the other terms and conditions of such Award, and the measure of whether and to what degree such Performance Goals have been attained will be determined by the Board.</w:t>
      </w:r>
    </w:p>
    <w:p>
      <w:pPr>
        <w:spacing w:after="0" w:line="168"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Awards</w:t>
      </w:r>
      <w:r>
        <w:rPr>
          <w:rFonts w:ascii="Times New Roman" w:cs="Times New Roman" w:eastAsia="Times New Roman" w:hAnsi="Times New Roman"/>
          <w:sz w:val="20"/>
          <w:szCs w:val="20"/>
          <w:color w:val="auto"/>
        </w:rPr>
        <w:t>. Other Awards may be granted either alone or in addition to Awards provided for under Section 4 and the preceding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this Section 5. Subject to the provisions of the Plan,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4" w:name="page215"/>
    <w:bookmarkEnd w:id="214"/>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70"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djustments upon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vents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8"/>
        <w:spacing w:after="0" w:line="245" w:lineRule="auto"/>
        <w:tabs>
          <w:tab w:leader="none" w:pos="509"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Capitalization Adjustments</w:t>
      </w:r>
      <w:r>
        <w:rPr>
          <w:rFonts w:ascii="Times New Roman" w:cs="Times New Roman" w:eastAsia="Times New Roman" w:hAnsi="Times New Roman"/>
          <w:sz w:val="20"/>
          <w:szCs w:val="20"/>
          <w:color w:val="auto"/>
        </w:rPr>
        <w:t>. In the event of a Capitalization Adjustment, the Board shall appropriately and proportionately adjust: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class(es) and maximum number of shares of Common Stock subject to the Plan and (ii)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44" w:lineRule="auto"/>
        <w:tabs>
          <w:tab w:leader="none" w:pos="509"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Dissolution or Liquidation</w:t>
      </w:r>
      <w:r>
        <w:rPr>
          <w:rFonts w:ascii="Times New Roman" w:cs="Times New Roman" w:eastAsia="Times New Roman" w:hAnsi="Times New Roman"/>
          <w:sz w:val="20"/>
          <w:szCs w:val="20"/>
          <w:color w:val="auto"/>
        </w:rPr>
        <w:t>. Except as otherwise provided in the Award Agreement, in the event of a dissolution or liquidation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1"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The following provisions will apply to Awards in the event of a Corporate Transaction except as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11, and unless otherwise provided in the instrument evidencing the Award or any other written agreement between the Company or any Affiliate and the Participant or unless otherwise expressly provided by the Board at the time of grant of an Award.</w:t>
      </w:r>
    </w:p>
    <w:p>
      <w:pPr>
        <w:spacing w:after="0" w:line="169" w:lineRule="exact"/>
        <w:rPr>
          <w:sz w:val="20"/>
          <w:szCs w:val="20"/>
          <w:color w:val="auto"/>
        </w:rPr>
      </w:pPr>
    </w:p>
    <w:p>
      <w:pPr>
        <w:jc w:val="both"/>
        <w:ind w:firstLine="8"/>
        <w:spacing w:after="0" w:line="243" w:lineRule="auto"/>
        <w:tabs>
          <w:tab w:leader="none" w:pos="509"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May Be Assumed. </w:t>
      </w:r>
      <w:r>
        <w:rPr>
          <w:rFonts w:ascii="Times New Roman" w:cs="Times New Roman" w:eastAsia="Times New Roman" w:hAnsi="Times New Roman"/>
          <w:sz w:val="20"/>
          <w:szCs w:val="20"/>
          <w:color w:val="auto"/>
        </w:rPr>
        <w:t>In the event of a Corporate Transaction, any surviving corporation or acquiring corporation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5"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Held by Current Participants. </w:t>
      </w:r>
      <w:r>
        <w:rPr>
          <w:rFonts w:ascii="Times New Roman" w:cs="Times New Roman" w:eastAsia="Times New Roman" w:hAnsi="Times New Roman"/>
          <w:sz w:val="20"/>
          <w:szCs w:val="20"/>
          <w:color w:val="auto"/>
        </w:rPr>
        <w:t>In the event of a Corporate Transaction in which the surviving corporation or acquiring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20"/>
          <w:szCs w:val="20"/>
          <w:b w:val="1"/>
          <w:bCs w:val="1"/>
          <w:color w:val="auto"/>
        </w:rPr>
        <w:t>Current Participants</w:t>
      </w:r>
      <w:r>
        <w:rPr>
          <w:rFonts w:ascii="Times New Roman" w:cs="Times New Roman" w:eastAsia="Times New Roman" w:hAnsi="Times New Roman"/>
          <w:sz w:val="20"/>
          <w:szCs w:val="20"/>
          <w:color w:val="auto"/>
        </w:rPr>
        <w:t>”), the vesting of such Awards (and, with respect to Options and Stock Appreciation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jc w:val="both"/>
        <w:ind w:firstLine="509"/>
        <w:spacing w:after="0" w:line="242" w:lineRule="auto"/>
        <w:rPr>
          <w:sz w:val="20"/>
          <w:szCs w:val="20"/>
          <w:color w:val="auto"/>
        </w:rPr>
      </w:pPr>
      <w:r>
        <w:rPr>
          <w:rFonts w:ascii="Times New Roman" w:cs="Times New Roman" w:eastAsia="Times New Roman" w:hAnsi="Times New Roman"/>
          <w:sz w:val="20"/>
          <w:szCs w:val="20"/>
          <w:color w:val="auto"/>
        </w:rPr>
        <w:t>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88" w:lineRule="exact"/>
        <w:rPr>
          <w:sz w:val="20"/>
          <w:szCs w:val="20"/>
          <w:color w:val="auto"/>
        </w:rPr>
      </w:pPr>
    </w:p>
    <w:p>
      <w:pPr>
        <w:jc w:val="both"/>
        <w:ind w:firstLine="8"/>
        <w:spacing w:after="0" w:line="246" w:lineRule="auto"/>
        <w:tabs>
          <w:tab w:leader="none" w:pos="509"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Held by Persons other than Current Participants. </w:t>
      </w:r>
      <w:r>
        <w:rPr>
          <w:rFonts w:ascii="Times New Roman" w:cs="Times New Roman" w:eastAsia="Times New Roman" w:hAnsi="Times New Roman"/>
          <w:sz w:val="20"/>
          <w:szCs w:val="20"/>
          <w:color w:val="auto"/>
        </w:rPr>
        <w:t>In the event of a Corporate Transaction in which the surviving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78" w:lineRule="exact"/>
        <w:rPr>
          <w:rFonts w:ascii="Times New Roman" w:cs="Times New Roman" w:eastAsia="Times New Roman" w:hAnsi="Times New Roman"/>
          <w:sz w:val="20"/>
          <w:szCs w:val="20"/>
          <w:b w:val="1"/>
          <w:bCs w:val="1"/>
          <w:color w:val="auto"/>
        </w:rPr>
      </w:pPr>
    </w:p>
    <w:p>
      <w:pPr>
        <w:jc w:val="both"/>
        <w:ind w:firstLine="8"/>
        <w:spacing w:after="0" w:line="264" w:lineRule="auto"/>
        <w:tabs>
          <w:tab w:leader="none" w:pos="509" w:val="left"/>
        </w:tabs>
        <w:numPr>
          <w:ilvl w:val="0"/>
          <w:numId w:val="1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Payment for Awards in Lieu of Exercise. </w:t>
      </w:r>
      <w:r>
        <w:rPr>
          <w:rFonts w:ascii="Times New Roman" w:cs="Times New Roman" w:eastAsia="Times New Roman" w:hAnsi="Times New Roman"/>
          <w:sz w:val="19"/>
          <w:szCs w:val="19"/>
          <w:color w:val="auto"/>
        </w:rPr>
        <w:t>Notwithstanding the foregoing, in the event an Award will terminate if not exercised prior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62" w:lineRule="exact"/>
        <w:rPr>
          <w:sz w:val="20"/>
          <w:szCs w:val="20"/>
          <w:color w:val="auto"/>
        </w:rPr>
      </w:pPr>
    </w:p>
    <w:p>
      <w:pPr>
        <w:jc w:val="both"/>
        <w:ind w:firstLine="8"/>
        <w:spacing w:after="0" w:line="250" w:lineRule="auto"/>
        <w:tabs>
          <w:tab w:leader="none" w:pos="509"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Appointment of Stockholder Representative. </w:t>
      </w:r>
      <w:r>
        <w:rPr>
          <w:rFonts w:ascii="Times New Roman" w:cs="Times New Roman" w:eastAsia="Times New Roman" w:hAnsi="Times New Roman"/>
          <w:sz w:val="20"/>
          <w:szCs w:val="20"/>
          <w:color w:val="auto"/>
        </w:rPr>
        <w:t>As a condition to the receipt of an Award under this Plan, a Participant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45" w:lineRule="auto"/>
        <w:tabs>
          <w:tab w:leader="none" w:pos="509"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Restriction on Right to Undertake Transactions</w:t>
      </w:r>
      <w:r>
        <w:rPr>
          <w:rFonts w:ascii="Times New Roman" w:cs="Times New Roman" w:eastAsia="Times New Roman" w:hAnsi="Times New Roman"/>
          <w:sz w:val="20"/>
          <w:szCs w:val="20"/>
          <w:color w:val="auto"/>
        </w:rPr>
        <w:t>. The grant of any Award under the Plan and the issuance of shares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p>
      <w:pPr>
        <w:ind w:left="520" w:hanging="512"/>
        <w:spacing w:after="0"/>
        <w:tabs>
          <w:tab w:leader="none" w:pos="52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8"/>
        <w:spacing w:after="0" w:line="250" w:lineRule="auto"/>
        <w:tabs>
          <w:tab w:leader="none" w:pos="509"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by Board. </w:t>
      </w:r>
      <w:r>
        <w:rPr>
          <w:rFonts w:ascii="Times New Roman" w:cs="Times New Roman" w:eastAsia="Times New Roman" w:hAnsi="Times New Roman"/>
          <w:sz w:val="20"/>
          <w:szCs w:val="20"/>
          <w:color w:val="auto"/>
        </w:rPr>
        <w:t>The Board will administer the Plan unless and until the Board delegates some of its powers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the Plan to a Committee or Committees, as provided in Section 7(c), subject to the Inducement Award Rules; provided, however, that Awards may only be granted by either (i) a majority of the Company’s Independent Directors or (ii) the Independent Compensation Committee.</w:t>
      </w:r>
    </w:p>
    <w:p>
      <w:pPr>
        <w:spacing w:after="0" w:line="17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Powers of Board. </w:t>
      </w:r>
      <w:r>
        <w:rPr>
          <w:rFonts w:ascii="Times New Roman" w:cs="Times New Roman" w:eastAsia="Times New Roman" w:hAnsi="Times New Roman"/>
          <w:sz w:val="20"/>
          <w:szCs w:val="20"/>
          <w:color w:val="auto"/>
        </w:rPr>
        <w:t>The Board will have the power, subject to, and within the limitations of, the express provisions of the Plan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Inducement Plan Rules:</w:t>
      </w:r>
    </w:p>
    <w:p>
      <w:pPr>
        <w:spacing w:after="0" w:line="156" w:lineRule="exact"/>
        <w:rPr>
          <w:sz w:val="20"/>
          <w:szCs w:val="20"/>
          <w:color w:val="auto"/>
        </w:rPr>
      </w:pPr>
    </w:p>
    <w:p>
      <w:pPr>
        <w:jc w:val="both"/>
        <w:ind w:firstLine="8"/>
        <w:spacing w:after="0" w:line="243" w:lineRule="auto"/>
        <w:tabs>
          <w:tab w:leader="none" w:pos="509"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provided, however, that Awards may only be granted by either (i) a majority of the Company’s Independent Directors or (ii) the Independent Compensation Committee.</w:t>
      </w:r>
    </w:p>
    <w:p>
      <w:pPr>
        <w:spacing w:after="0" w:line="189"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509"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4"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settle all controversies regarding the Plan and Awards granted under it.</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509"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74" w:lineRule="exact"/>
        <w:rPr>
          <w:rFonts w:ascii="Times New Roman" w:cs="Times New Roman" w:eastAsia="Times New Roman" w:hAnsi="Times New Roman"/>
          <w:sz w:val="20"/>
          <w:szCs w:val="20"/>
          <w:b w:val="1"/>
          <w:bCs w:val="1"/>
          <w:color w:val="auto"/>
        </w:rPr>
      </w:pPr>
    </w:p>
    <w:p>
      <w:pPr>
        <w:jc w:val="both"/>
        <w:ind w:firstLine="8"/>
        <w:spacing w:after="0" w:line="249" w:lineRule="auto"/>
        <w:tabs>
          <w:tab w:leader="none" w:pos="509"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20"/>
          <w:szCs w:val="20"/>
          <w:b w:val="1"/>
          <w:bCs w:val="1"/>
          <w:color w:val="auto"/>
        </w:rPr>
      </w:pPr>
    </w:p>
    <w:p>
      <w:pPr>
        <w:ind w:firstLine="8"/>
        <w:spacing w:after="0" w:line="269" w:lineRule="auto"/>
        <w:tabs>
          <w:tab w:leader="none" w:pos="509"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20"/>
          <w:szCs w:val="20"/>
          <w:b w:val="1"/>
          <w:bCs w:val="1"/>
          <w:color w:val="auto"/>
        </w:rPr>
      </w:pPr>
    </w:p>
    <w:p>
      <w:pPr>
        <w:jc w:val="both"/>
        <w:ind w:firstLine="8"/>
        <w:spacing w:after="0" w:line="249" w:lineRule="auto"/>
        <w:tabs>
          <w:tab w:leader="none" w:pos="509"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79"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submit any amendment to the Plan for stockholder approval if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7" w:name="page218"/>
    <w:bookmarkEnd w:id="217"/>
    <w:p>
      <w:pPr>
        <w:jc w:val="both"/>
        <w:ind w:firstLine="8"/>
        <w:spacing w:after="0" w:line="246" w:lineRule="auto"/>
        <w:tabs>
          <w:tab w:leader="none" w:pos="509"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w:t>
      </w:r>
    </w:p>
    <w:p>
      <w:pPr>
        <w:spacing w:after="0" w:line="184" w:lineRule="exact"/>
        <w:rPr>
          <w:rFonts w:ascii="Times New Roman" w:cs="Times New Roman" w:eastAsia="Times New Roman" w:hAnsi="Times New Roman"/>
          <w:sz w:val="20"/>
          <w:szCs w:val="20"/>
          <w:b w:val="1"/>
          <w:bCs w:val="1"/>
          <w:color w:val="auto"/>
        </w:rPr>
      </w:pPr>
    </w:p>
    <w:p>
      <w:pPr>
        <w:ind w:right="20" w:firstLine="8"/>
        <w:spacing w:after="0" w:line="269" w:lineRule="auto"/>
        <w:tabs>
          <w:tab w:leader="none" w:pos="509"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59" w:lineRule="exact"/>
        <w:rPr>
          <w:rFonts w:ascii="Times New Roman" w:cs="Times New Roman" w:eastAsia="Times New Roman" w:hAnsi="Times New Roman"/>
          <w:sz w:val="20"/>
          <w:szCs w:val="20"/>
          <w:b w:val="1"/>
          <w:bCs w:val="1"/>
          <w:color w:val="auto"/>
        </w:rPr>
      </w:pPr>
    </w:p>
    <w:p>
      <w:pPr>
        <w:jc w:val="both"/>
        <w:ind w:firstLine="8"/>
        <w:spacing w:after="0" w:line="249" w:lineRule="auto"/>
        <w:tabs>
          <w:tab w:leader="none" w:pos="509"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adopt such procedures and sub-plans as are necessary or appropriate to permit and facilitate participation in the Plan by, or take advantage of specific tax treatment for Awards granted to, Employees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45" w:lineRule="auto"/>
        <w:tabs>
          <w:tab w:leader="none" w:pos="509"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80" w:lineRule="exact"/>
        <w:rPr>
          <w:sz w:val="20"/>
          <w:szCs w:val="20"/>
          <w:color w:val="auto"/>
        </w:rPr>
      </w:pPr>
    </w:p>
    <w:p>
      <w:pPr>
        <w:ind w:left="520" w:hanging="512"/>
        <w:spacing w:after="0"/>
        <w:tabs>
          <w:tab w:leader="none" w:pos="52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Delegation to Committee.</w:t>
      </w:r>
    </w:p>
    <w:p>
      <w:pPr>
        <w:spacing w:after="0" w:line="216" w:lineRule="exact"/>
        <w:rPr>
          <w:sz w:val="20"/>
          <w:szCs w:val="20"/>
          <w:color w:val="auto"/>
        </w:rPr>
      </w:pPr>
    </w:p>
    <w:p>
      <w:pPr>
        <w:jc w:val="both"/>
        <w:ind w:firstLine="8"/>
        <w:spacing w:after="0" w:line="243" w:lineRule="auto"/>
        <w:tabs>
          <w:tab w:leader="none" w:pos="509"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The Board may delegate some or all of the administration of the Plan to a Committee or Committees. If administration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5"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Rule 16b-3 Compliance. </w:t>
      </w:r>
      <w:r>
        <w:rPr>
          <w:rFonts w:ascii="Times New Roman" w:cs="Times New Roman" w:eastAsia="Times New Roman" w:hAnsi="Times New Roman"/>
          <w:sz w:val="20"/>
          <w:szCs w:val="20"/>
          <w:color w:val="auto"/>
        </w:rPr>
        <w:t>To the extent an Award is intended to qualify for the exemption from Section 16(b) of the Exchange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80" w:lineRule="exact"/>
        <w:rPr>
          <w:sz w:val="20"/>
          <w:szCs w:val="20"/>
          <w:color w:val="auto"/>
        </w:rPr>
      </w:pPr>
    </w:p>
    <w:p>
      <w:pPr>
        <w:ind w:right="20" w:firstLine="8"/>
        <w:spacing w:after="0" w:line="273" w:lineRule="auto"/>
        <w:tabs>
          <w:tab w:leader="none" w:pos="509"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 of Board’s Decision. </w:t>
      </w:r>
      <w:r>
        <w:rPr>
          <w:rFonts w:ascii="Times New Roman" w:cs="Times New Roman" w:eastAsia="Times New Roman" w:hAnsi="Times New Roman"/>
          <w:sz w:val="20"/>
          <w:szCs w:val="20"/>
          <w:color w:val="auto"/>
        </w:rPr>
        <w:t>All determinations, interpretations and constructions made by the Board or any Committee in good faith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not be subject to review by any person and will be final, binding and conclusive on all persons.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8" w:name="page219"/>
    <w:bookmarkEnd w:id="218"/>
    <w:p>
      <w:pPr>
        <w:ind w:left="520" w:hanging="512"/>
        <w:spacing w:after="0"/>
        <w:tabs>
          <w:tab w:leader="none" w:pos="52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ithholding</w:t>
      </w:r>
    </w:p>
    <w:p>
      <w:pPr>
        <w:spacing w:after="0" w:line="216" w:lineRule="exact"/>
        <w:rPr>
          <w:sz w:val="20"/>
          <w:szCs w:val="20"/>
          <w:color w:val="auto"/>
        </w:rPr>
      </w:pPr>
    </w:p>
    <w:p>
      <w:pPr>
        <w:jc w:val="both"/>
        <w:ind w:firstLine="8"/>
        <w:spacing w:after="0" w:line="246" w:lineRule="auto"/>
        <w:tabs>
          <w:tab w:leader="none" w:pos="509"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Authorization. </w:t>
      </w:r>
      <w:r>
        <w:rPr>
          <w:rFonts w:ascii="Times New Roman" w:cs="Times New Roman" w:eastAsia="Times New Roman" w:hAnsi="Times New Roman"/>
          <w:sz w:val="20"/>
          <w:szCs w:val="20"/>
          <w:color w:val="auto"/>
        </w:rPr>
        <w:t>As a condition to acceptance of any Award under the Plan, a Participant authorizes withholding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payroll and any other amounts payable to such Participant, and otherwise agree to make adequate provision for (including), any sums required to satisfy any U.S. and/or non-U.S. federal, state, or local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78" w:lineRule="exact"/>
        <w:rPr>
          <w:rFonts w:ascii="Times New Roman" w:cs="Times New Roman" w:eastAsia="Times New Roman" w:hAnsi="Times New Roman"/>
          <w:sz w:val="20"/>
          <w:szCs w:val="20"/>
          <w:b w:val="1"/>
          <w:bCs w:val="1"/>
          <w:color w:val="auto"/>
        </w:rPr>
      </w:pPr>
    </w:p>
    <w:p>
      <w:pPr>
        <w:jc w:val="both"/>
        <w:ind w:firstLine="8"/>
        <w:spacing w:after="0" w:line="245" w:lineRule="auto"/>
        <w:tabs>
          <w:tab w:leader="none" w:pos="509"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Satisfaction of Withholding Obligation. </w:t>
      </w:r>
      <w:r>
        <w:rPr>
          <w:rFonts w:ascii="Times New Roman" w:cs="Times New Roman" w:eastAsia="Times New Roman" w:hAnsi="Times New Roman"/>
          <w:sz w:val="20"/>
          <w:szCs w:val="20"/>
          <w:color w:val="auto"/>
        </w:rPr>
        <w:t>To the extent permitted by the terms of an Award Agreement, the Company may, in its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discretion, satisfy any U.S. and/or non-U.S. federal, state, or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41" w:lineRule="auto"/>
        <w:tabs>
          <w:tab w:leader="none" w:pos="509"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Obligation to Notify or Minimize Taxes; No Liability to Claims. </w:t>
      </w:r>
      <w:r>
        <w:rPr>
          <w:rFonts w:ascii="Times New Roman" w:cs="Times New Roman" w:eastAsia="Times New Roman" w:hAnsi="Times New Roman"/>
          <w:sz w:val="20"/>
          <w:szCs w:val="20"/>
          <w:color w:val="auto"/>
        </w:rPr>
        <w:t>Except as required by Applicable Law, the Company has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spacing w:after="0" w:line="194"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Indemnification. </w:t>
      </w:r>
      <w:r>
        <w:rPr>
          <w:rFonts w:ascii="Times New Roman" w:cs="Times New Roman" w:eastAsia="Times New Roman" w:hAnsi="Times New Roman"/>
          <w:sz w:val="20"/>
          <w:szCs w:val="20"/>
          <w:color w:val="auto"/>
        </w:rPr>
        <w:t>As a condition to accepting an Award under the Plan, in the event that the amount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9" w:name="page220"/>
    <w:bookmarkEnd w:id="219"/>
    <w:p>
      <w:pPr>
        <w:ind w:left="520" w:hanging="512"/>
        <w:spacing w:after="0"/>
        <w:tabs>
          <w:tab w:leader="none" w:pos="52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firstLine="8"/>
        <w:spacing w:after="0" w:line="273" w:lineRule="auto"/>
        <w:tabs>
          <w:tab w:leader="none" w:pos="509"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 of Shares. </w:t>
      </w:r>
      <w:r>
        <w:rPr>
          <w:rFonts w:ascii="Times New Roman" w:cs="Times New Roman" w:eastAsia="Times New Roman" w:hAnsi="Times New Roman"/>
          <w:sz w:val="20"/>
          <w:szCs w:val="20"/>
          <w:color w:val="auto"/>
        </w:rPr>
        <w:t>The stock issuable under the Plan will be shares of authorized but unissued or reacquired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repurchased by the Company on the open market or otherwise.</w:t>
      </w:r>
    </w:p>
    <w:p>
      <w:pPr>
        <w:spacing w:after="0" w:line="151"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Use of Proceeds from Sales of Common Stock. </w:t>
      </w:r>
      <w:r>
        <w:rPr>
          <w:rFonts w:ascii="Times New Roman" w:cs="Times New Roman" w:eastAsia="Times New Roman" w:hAnsi="Times New Roman"/>
          <w:sz w:val="20"/>
          <w:szCs w:val="20"/>
          <w:color w:val="auto"/>
        </w:rPr>
        <w:t>Proceeds from the sale of shares of Common Stock pursuant to Awards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general funds of the Company.</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45" w:lineRule="auto"/>
        <w:tabs>
          <w:tab w:leader="none" w:pos="509"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Action Constituting Grant of Awards. </w:t>
      </w:r>
      <w:r>
        <w:rPr>
          <w:rFonts w:ascii="Times New Roman" w:cs="Times New Roman" w:eastAsia="Times New Roman" w:hAnsi="Times New Roman"/>
          <w:sz w:val="20"/>
          <w:szCs w:val="20"/>
          <w:color w:val="auto"/>
        </w:rPr>
        <w:t>Corporate action constituting a grant by the Company of an Award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Stockholder Rights. </w:t>
      </w:r>
      <w:r>
        <w:rPr>
          <w:rFonts w:ascii="Times New Roman" w:cs="Times New Roman" w:eastAsia="Times New Roman" w:hAnsi="Times New Roman"/>
          <w:sz w:val="20"/>
          <w:szCs w:val="20"/>
          <w:color w:val="auto"/>
        </w:rPr>
        <w:t>No Participant will be deemed to be the holder of, or to have any of the rights of a holder with respect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5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Employment or Other Service Rights. </w:t>
      </w:r>
      <w:r>
        <w:rPr>
          <w:rFonts w:ascii="Times New Roman" w:cs="Times New Roman" w:eastAsia="Times New Roman" w:hAnsi="Times New Roman"/>
          <w:sz w:val="19"/>
          <w:szCs w:val="19"/>
          <w:color w:val="auto"/>
        </w:rPr>
        <w:t>Nothing in the Plan, any Award Agreement or any other instrument executed thereunder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77" w:lineRule="exact"/>
        <w:rPr>
          <w:rFonts w:ascii="Times New Roman" w:cs="Times New Roman" w:eastAsia="Times New Roman" w:hAnsi="Times New Roman"/>
          <w:sz w:val="19"/>
          <w:szCs w:val="19"/>
          <w:b w:val="1"/>
          <w:bCs w:val="1"/>
          <w:color w:val="auto"/>
        </w:rPr>
      </w:pPr>
    </w:p>
    <w:p>
      <w:pPr>
        <w:jc w:val="both"/>
        <w:ind w:firstLine="8"/>
        <w:spacing w:after="0" w:line="244" w:lineRule="auto"/>
        <w:tabs>
          <w:tab w:leader="none" w:pos="509"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Time Commitment</w:t>
      </w:r>
      <w:r>
        <w:rPr>
          <w:rFonts w:ascii="Times New Roman" w:cs="Times New Roman" w:eastAsia="Times New Roman" w:hAnsi="Times New Roman"/>
          <w:sz w:val="20"/>
          <w:szCs w:val="20"/>
          <w:color w:val="auto"/>
        </w:rPr>
        <w:t>. In the event a Participant’s regular level of time commitment in the performance of his or 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0" w:name="page221"/>
    <w:bookmarkEnd w:id="220"/>
    <w:p>
      <w:pPr>
        <w:jc w:val="both"/>
        <w:ind w:firstLine="8"/>
        <w:spacing w:after="0" w:line="250" w:lineRule="auto"/>
        <w:tabs>
          <w:tab w:leader="none" w:pos="509"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Execution of Additional Documents. </w:t>
      </w:r>
      <w:r>
        <w:rPr>
          <w:rFonts w:ascii="Times New Roman" w:cs="Times New Roman" w:eastAsia="Times New Roman" w:hAnsi="Times New Roman"/>
          <w:sz w:val="20"/>
          <w:szCs w:val="20"/>
          <w:color w:val="auto"/>
        </w:rPr>
        <w:t>As a condition to accepting an Award under the Plan, the Participant agrees to execute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509"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Electronic Delivery and Participation</w:t>
      </w:r>
      <w:r>
        <w:rPr>
          <w:rFonts w:ascii="Times New Roman" w:cs="Times New Roman" w:eastAsia="Times New Roman" w:hAnsi="Times New Roman"/>
          <w:sz w:val="20"/>
          <w:szCs w:val="20"/>
          <w:color w:val="auto"/>
        </w:rPr>
        <w:t>. Any reference herein or in an Award Agreement to a “written” agreement or document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8" w:lineRule="exact"/>
        <w:rPr>
          <w:rFonts w:ascii="Times New Roman" w:cs="Times New Roman" w:eastAsia="Times New Roman" w:hAnsi="Times New Roman"/>
          <w:sz w:val="20"/>
          <w:szCs w:val="20"/>
          <w:b w:val="1"/>
          <w:bCs w:val="1"/>
          <w:color w:val="auto"/>
        </w:rPr>
      </w:pPr>
    </w:p>
    <w:p>
      <w:pPr>
        <w:jc w:val="both"/>
        <w:ind w:firstLine="8"/>
        <w:spacing w:after="0" w:line="243" w:lineRule="auto"/>
        <w:tabs>
          <w:tab w:leader="none" w:pos="509"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Clawback/Recovery</w:t>
      </w:r>
      <w:r>
        <w:rPr>
          <w:rFonts w:ascii="Times New Roman" w:cs="Times New Roman" w:eastAsia="Times New Roman" w:hAnsi="Times New Roman"/>
          <w:sz w:val="20"/>
          <w:szCs w:val="20"/>
          <w:color w:val="auto"/>
        </w:rPr>
        <w:t>. All Awards granted under the Plan will be subject to recoupment in accordance with any clawback policy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5"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Securities Law Compliance. </w:t>
      </w:r>
      <w:r>
        <w:rPr>
          <w:rFonts w:ascii="Times New Roman" w:cs="Times New Roman" w:eastAsia="Times New Roman" w:hAnsi="Times New Roman"/>
          <w:sz w:val="20"/>
          <w:szCs w:val="20"/>
          <w:color w:val="auto"/>
        </w:rPr>
        <w:t>A Participant will not be issued any shares in respect of an Award unless either (i) the shares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 or Assignment of Awards; Issued Shares. </w:t>
      </w:r>
      <w:r>
        <w:rPr>
          <w:rFonts w:ascii="Times New Roman" w:cs="Times New Roman" w:eastAsia="Times New Roman" w:hAnsi="Times New Roman"/>
          <w:sz w:val="20"/>
          <w:szCs w:val="20"/>
          <w:color w:val="auto"/>
        </w:rPr>
        <w:t>Except as expressly provided in the Plan or the form of Award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0"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 on Other Employee Benefit Plans. </w:t>
      </w:r>
      <w:r>
        <w:rPr>
          <w:rFonts w:ascii="Times New Roman" w:cs="Times New Roman" w:eastAsia="Times New Roman" w:hAnsi="Times New Roman"/>
          <w:sz w:val="20"/>
          <w:szCs w:val="20"/>
          <w:color w:val="auto"/>
        </w:rPr>
        <w:t>The value of any Award granted under the Plan, as determined upon grant, vesting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Deferrals. </w:t>
      </w:r>
      <w:r>
        <w:rPr>
          <w:rFonts w:ascii="Times New Roman" w:cs="Times New Roman" w:eastAsia="Times New Roman" w:hAnsi="Times New Roman"/>
          <w:sz w:val="20"/>
          <w:szCs w:val="20"/>
          <w:color w:val="auto"/>
        </w:rPr>
        <w:t>To the extent permitted by Applicable Law, the Board, in its sole discretion, may determine that the delivery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or the payment of cash, upon the exercise, vesting or settlement of all or a portion of any Award may be deferred and may also establish programs and procedures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1" w:name="page222"/>
    <w:bookmarkEnd w:id="221"/>
    <w:p>
      <w:pPr>
        <w:ind w:left="520"/>
        <w:spacing w:after="0"/>
        <w:rPr>
          <w:sz w:val="20"/>
          <w:szCs w:val="20"/>
          <w:color w:val="auto"/>
        </w:rPr>
      </w:pPr>
      <w:r>
        <w:rPr>
          <w:rFonts w:ascii="Times New Roman" w:cs="Times New Roman" w:eastAsia="Times New Roman" w:hAnsi="Times New Roman"/>
          <w:sz w:val="20"/>
          <w:szCs w:val="20"/>
          <w:color w:val="auto"/>
        </w:rPr>
        <w:t>for deferral elections to be made by Participants. Deferrals will be made in accordance with the requirements of Section 409A.</w:t>
      </w:r>
    </w:p>
    <w:p>
      <w:pPr>
        <w:spacing w:after="0" w:line="212" w:lineRule="exact"/>
        <w:rPr>
          <w:sz w:val="20"/>
          <w:szCs w:val="20"/>
          <w:color w:val="auto"/>
        </w:rPr>
      </w:pPr>
    </w:p>
    <w:p>
      <w:pPr>
        <w:jc w:val="both"/>
        <w:ind w:firstLine="8"/>
        <w:spacing w:after="0" w:line="242" w:lineRule="auto"/>
        <w:tabs>
          <w:tab w:leader="none" w:pos="509"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409A. </w:t>
      </w:r>
      <w:r>
        <w:rPr>
          <w:rFonts w:ascii="Times New Roman" w:cs="Times New Roman" w:eastAsia="Times New Roman" w:hAnsi="Times New Roman"/>
          <w:sz w:val="20"/>
          <w:szCs w:val="20"/>
          <w:color w:val="auto"/>
        </w:rPr>
        <w:t>Unless otherwise expressly provided for in an Award Agreement, the Plan and Award Agreements will be interpreted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4"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Choice of Law. </w:t>
      </w:r>
      <w:r>
        <w:rPr>
          <w:rFonts w:ascii="Times New Roman" w:cs="Times New Roman" w:eastAsia="Times New Roman" w:hAnsi="Times New Roman"/>
          <w:sz w:val="20"/>
          <w:szCs w:val="20"/>
          <w:color w:val="auto"/>
        </w:rPr>
        <w:t>This Plan and any controversy arising out of or relating to this Plan shall be governed by, and construed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internal laws of the State of Delaware, without regard to conflict of law principles that would result in any application of any law other than the law of the State of Delaware.</w:t>
      </w:r>
    </w:p>
    <w:p>
      <w:pPr>
        <w:spacing w:after="0" w:line="169" w:lineRule="exact"/>
        <w:rPr>
          <w:sz w:val="20"/>
          <w:szCs w:val="20"/>
          <w:color w:val="auto"/>
        </w:rPr>
      </w:pPr>
    </w:p>
    <w:p>
      <w:pPr>
        <w:ind w:left="520" w:hanging="512"/>
        <w:spacing w:after="0"/>
        <w:tabs>
          <w:tab w:leader="none" w:pos="52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8"/>
        <w:spacing w:after="0" w:line="243" w:lineRule="auto"/>
        <w:tabs>
          <w:tab w:leader="none" w:pos="509"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Compliance with Law. </w:t>
      </w:r>
      <w:r>
        <w:rPr>
          <w:rFonts w:ascii="Times New Roman" w:cs="Times New Roman" w:eastAsia="Times New Roman" w:hAnsi="Times New Roman"/>
          <w:sz w:val="20"/>
          <w:szCs w:val="20"/>
          <w:color w:val="auto"/>
        </w:rPr>
        <w:t>The Company will seek to obtain from each regulatory commission or agency, as may be deemed necessary,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6" w:lineRule="exact"/>
        <w:rPr>
          <w:sz w:val="20"/>
          <w:szCs w:val="20"/>
          <w:color w:val="auto"/>
        </w:rPr>
      </w:pPr>
    </w:p>
    <w:p>
      <w:pPr>
        <w:ind w:left="520" w:hanging="512"/>
        <w:spacing w:after="0"/>
        <w:tabs>
          <w:tab w:leader="none" w:pos="52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dditional</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ules for</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409A.</w:t>
      </w:r>
    </w:p>
    <w:p>
      <w:pPr>
        <w:spacing w:after="0" w:line="216" w:lineRule="exact"/>
        <w:rPr>
          <w:sz w:val="20"/>
          <w:szCs w:val="20"/>
          <w:color w:val="auto"/>
        </w:rPr>
      </w:pPr>
    </w:p>
    <w:p>
      <w:pPr>
        <w:jc w:val="both"/>
        <w:ind w:firstLine="8"/>
        <w:spacing w:after="0" w:line="256" w:lineRule="auto"/>
        <w:tabs>
          <w:tab w:leader="none" w:pos="509"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Application. </w:t>
      </w:r>
      <w:r>
        <w:rPr>
          <w:rFonts w:ascii="Times New Roman" w:cs="Times New Roman" w:eastAsia="Times New Roman" w:hAnsi="Times New Roman"/>
          <w:sz w:val="20"/>
          <w:szCs w:val="20"/>
          <w:color w:val="auto"/>
        </w:rPr>
        <w:t>Unless the provisions of this Section of the Plan are expressly superseded by the provisions in the form of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provisions of this Section shall apply and shall supersede anything to the contrary set forth in the Award Agreement for a Non-Exempt Award.</w:t>
      </w:r>
    </w:p>
    <w:p>
      <w:pPr>
        <w:spacing w:after="0" w:line="16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Non-Exempt Awards Subject to Non-Exempt Severance Arrangements. </w:t>
      </w:r>
      <w:r>
        <w:rPr>
          <w:rFonts w:ascii="Times New Roman" w:cs="Times New Roman" w:eastAsia="Times New Roman" w:hAnsi="Times New Roman"/>
          <w:sz w:val="20"/>
          <w:szCs w:val="20"/>
          <w:color w:val="auto"/>
        </w:rPr>
        <w:t>To the extent a Non-Exempt Award is subject to Section</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409A due to application of a Non-Exempt Severance Arrangement, the following provisions of this subsection (b) apply.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2" w:name="page223"/>
    <w:bookmarkEnd w:id="222"/>
    <w:p>
      <w:pPr>
        <w:jc w:val="both"/>
        <w:ind w:firstLine="8"/>
        <w:spacing w:after="0" w:line="249" w:lineRule="auto"/>
        <w:tabs>
          <w:tab w:leader="none" w:pos="509"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of the calendar year that includes the applicable vesting date, or (ii)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that follows the applicable vesting date.</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43" w:lineRule="auto"/>
        <w:tabs>
          <w:tab w:leader="none" w:pos="509"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85" w:lineRule="exact"/>
        <w:rPr>
          <w:rFonts w:ascii="Times New Roman" w:cs="Times New Roman" w:eastAsia="Times New Roman" w:hAnsi="Times New Roman"/>
          <w:sz w:val="20"/>
          <w:szCs w:val="20"/>
          <w:b w:val="1"/>
          <w:bCs w:val="1"/>
          <w:color w:val="auto"/>
        </w:rPr>
      </w:pPr>
    </w:p>
    <w:p>
      <w:pPr>
        <w:jc w:val="both"/>
        <w:ind w:firstLine="8"/>
        <w:spacing w:after="0" w:line="244" w:lineRule="auto"/>
        <w:tabs>
          <w:tab w:leader="none" w:pos="509"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2" w:lineRule="exact"/>
        <w:rPr>
          <w:sz w:val="20"/>
          <w:szCs w:val="20"/>
          <w:color w:val="auto"/>
        </w:rPr>
      </w:pPr>
    </w:p>
    <w:p>
      <w:pPr>
        <w:jc w:val="both"/>
        <w:ind w:firstLine="8"/>
        <w:spacing w:after="0" w:line="250" w:lineRule="auto"/>
        <w:tabs>
          <w:tab w:leader="none" w:pos="509"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Treatment of Non-Exempt Awards Upon a Corporate Transaction for Employees and Consultants. </w:t>
      </w:r>
      <w:r>
        <w:rPr>
          <w:rFonts w:ascii="Times New Roman" w:cs="Times New Roman" w:eastAsia="Times New Roman" w:hAnsi="Times New Roman"/>
          <w:sz w:val="20"/>
          <w:szCs w:val="20"/>
          <w:color w:val="auto"/>
        </w:rPr>
        <w:t>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76" w:lineRule="exact"/>
        <w:rPr>
          <w:sz w:val="20"/>
          <w:szCs w:val="20"/>
          <w:color w:val="auto"/>
        </w:rPr>
      </w:pPr>
    </w:p>
    <w:p>
      <w:pPr>
        <w:ind w:firstLine="8"/>
        <w:spacing w:after="0" w:line="273" w:lineRule="auto"/>
        <w:tabs>
          <w:tab w:leader="none" w:pos="509"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Vested Non-Exempt Awards. </w:t>
      </w:r>
      <w:r>
        <w:rPr>
          <w:rFonts w:ascii="Times New Roman" w:cs="Times New Roman" w:eastAsia="Times New Roman" w:hAnsi="Times New Roman"/>
          <w:sz w:val="20"/>
          <w:szCs w:val="20"/>
          <w:color w:val="auto"/>
        </w:rPr>
        <w:t>The following provisions shall apply to any Vested Non-Exempt Award in connection with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Transaction:</w:t>
      </w:r>
    </w:p>
    <w:p>
      <w:pPr>
        <w:spacing w:after="0" w:line="169" w:lineRule="exact"/>
        <w:rPr>
          <w:sz w:val="20"/>
          <w:szCs w:val="20"/>
          <w:color w:val="auto"/>
        </w:rPr>
      </w:pPr>
    </w:p>
    <w:p>
      <w:pPr>
        <w:jc w:val="both"/>
        <w:ind w:firstLine="8"/>
        <w:spacing w:after="0"/>
        <w:tabs>
          <w:tab w:leader="none" w:pos="509"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204"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3" w:name="page224"/>
    <w:bookmarkEnd w:id="223"/>
    <w:p>
      <w:pPr>
        <w:ind w:firstLine="509"/>
        <w:spacing w:after="0" w:line="269" w:lineRule="auto"/>
        <w:rPr>
          <w:sz w:val="20"/>
          <w:szCs w:val="20"/>
          <w:color w:val="auto"/>
        </w:rPr>
      </w:pPr>
      <w:r>
        <w:rPr>
          <w:rFonts w:ascii="Times New Roman" w:cs="Times New Roman" w:eastAsia="Times New Roman" w:hAnsi="Times New Roman"/>
          <w:sz w:val="20"/>
          <w:szCs w:val="20"/>
          <w:color w:val="auto"/>
        </w:rPr>
        <w:t>the shares that would otherwise be issued to the Participant on such issuance dates, with the determination of the Fair Market Value of the shares made on the date of the Corporate Transaction.</w:t>
      </w:r>
    </w:p>
    <w:p>
      <w:pPr>
        <w:spacing w:after="0" w:line="155" w:lineRule="exact"/>
        <w:rPr>
          <w:sz w:val="20"/>
          <w:szCs w:val="20"/>
          <w:color w:val="auto"/>
        </w:rPr>
      </w:pPr>
    </w:p>
    <w:p>
      <w:pPr>
        <w:ind w:firstLine="8"/>
        <w:spacing w:after="0" w:line="273" w:lineRule="auto"/>
        <w:tabs>
          <w:tab w:leader="none" w:pos="509"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Unvested Non-Exempt Awards. </w:t>
      </w:r>
      <w:r>
        <w:rPr>
          <w:rFonts w:ascii="Times New Roman" w:cs="Times New Roman" w:eastAsia="Times New Roman" w:hAnsi="Times New Roman"/>
          <w:sz w:val="20"/>
          <w:szCs w:val="20"/>
          <w:color w:val="auto"/>
        </w:rPr>
        <w:t>The following provisions shall apply to any Unvested Non-Exempt Award unless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by the Board pursuant to subsection (e) of this Section.</w:t>
      </w:r>
    </w:p>
    <w:p>
      <w:pPr>
        <w:spacing w:after="0" w:line="169" w:lineRule="exact"/>
        <w:rPr>
          <w:sz w:val="20"/>
          <w:szCs w:val="20"/>
          <w:color w:val="auto"/>
        </w:rPr>
      </w:pPr>
    </w:p>
    <w:p>
      <w:pPr>
        <w:jc w:val="both"/>
        <w:ind w:firstLine="8"/>
        <w:spacing w:after="0"/>
        <w:tabs>
          <w:tab w:leader="none" w:pos="509"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202"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202" w:lineRule="exact"/>
        <w:rPr>
          <w:rFonts w:ascii="Times New Roman" w:cs="Times New Roman" w:eastAsia="Times New Roman" w:hAnsi="Times New Roman"/>
          <w:sz w:val="22"/>
          <w:szCs w:val="22"/>
          <w:b w:val="1"/>
          <w:bCs w:val="1"/>
          <w:color w:val="auto"/>
        </w:rPr>
      </w:pPr>
    </w:p>
    <w:p>
      <w:pPr>
        <w:ind w:right="20" w:firstLine="8"/>
        <w:spacing w:after="0" w:line="245" w:lineRule="auto"/>
        <w:tabs>
          <w:tab w:leader="none" w:pos="509"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foregoing treatment shall apply with respect to all Unvested Non-Exempt Awards upon any Corporate Transaction, and regardless of whether or not such Corporate Transaction is also a Section 409A Change in Control.</w:t>
      </w:r>
    </w:p>
    <w:p>
      <w:pPr>
        <w:spacing w:after="0" w:line="182" w:lineRule="exact"/>
        <w:rPr>
          <w:sz w:val="20"/>
          <w:szCs w:val="20"/>
          <w:color w:val="auto"/>
        </w:rPr>
      </w:pPr>
    </w:p>
    <w:p>
      <w:pPr>
        <w:ind w:right="20" w:firstLine="8"/>
        <w:spacing w:after="0" w:line="269" w:lineRule="auto"/>
        <w:tabs>
          <w:tab w:leader="none" w:pos="509"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RSU Award is a Non-Exempt Award, then the provisions in this Section 11(d) shall apply and supersede anything to the contrary that may be set forth in the Plan or the Award Agreement with respect to the permitted treatment of such Non-Exempt Award:</w:t>
      </w:r>
    </w:p>
    <w:p>
      <w:pPr>
        <w:spacing w:after="0" w:line="159" w:lineRule="exact"/>
        <w:rPr>
          <w:sz w:val="20"/>
          <w:szCs w:val="20"/>
          <w:color w:val="auto"/>
        </w:rPr>
      </w:pPr>
    </w:p>
    <w:p>
      <w:pPr>
        <w:jc w:val="both"/>
        <w:ind w:firstLine="8"/>
        <w:spacing w:after="0" w:line="254" w:lineRule="auto"/>
        <w:tabs>
          <w:tab w:leader="none" w:pos="509"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4" w:lineRule="exact"/>
        <w:rPr>
          <w:rFonts w:ascii="Times New Roman" w:cs="Times New Roman" w:eastAsia="Times New Roman" w:hAnsi="Times New Roman"/>
          <w:sz w:val="20"/>
          <w:szCs w:val="20"/>
          <w:b w:val="1"/>
          <w:bCs w:val="1"/>
          <w:color w:val="auto"/>
        </w:rPr>
      </w:pPr>
    </w:p>
    <w:p>
      <w:pPr>
        <w:ind w:firstLine="8"/>
        <w:spacing w:after="0" w:line="269" w:lineRule="auto"/>
        <w:tabs>
          <w:tab w:leader="none" w:pos="509"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59" w:lineRule="exact"/>
        <w:rPr>
          <w:rFonts w:ascii="Times New Roman" w:cs="Times New Roman" w:eastAsia="Times New Roman" w:hAnsi="Times New Roman"/>
          <w:sz w:val="20"/>
          <w:szCs w:val="20"/>
          <w:b w:val="1"/>
          <w:bCs w:val="1"/>
          <w:color w:val="auto"/>
        </w:rPr>
      </w:pPr>
    </w:p>
    <w:p>
      <w:pPr>
        <w:jc w:val="both"/>
        <w:ind w:firstLine="8"/>
        <w:spacing w:after="0" w:line="249" w:lineRule="auto"/>
        <w:tabs>
          <w:tab w:leader="none" w:pos="509"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4" w:name="page225"/>
    <w:bookmarkEnd w:id="224"/>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85" w:lineRule="exact"/>
        <w:rPr>
          <w:sz w:val="20"/>
          <w:szCs w:val="20"/>
          <w:color w:val="auto"/>
        </w:rPr>
      </w:pPr>
    </w:p>
    <w:p>
      <w:pPr>
        <w:jc w:val="both"/>
        <w:ind w:firstLine="8"/>
        <w:spacing w:after="0" w:line="254" w:lineRule="auto"/>
        <w:tabs>
          <w:tab w:leader="none" w:pos="509"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in this subsection (d)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70" w:lineRule="exact"/>
        <w:rPr>
          <w:sz w:val="20"/>
          <w:szCs w:val="20"/>
          <w:color w:val="auto"/>
        </w:rPr>
      </w:pPr>
    </w:p>
    <w:p>
      <w:pPr>
        <w:ind w:left="520" w:hanging="512"/>
        <w:spacing w:after="0"/>
        <w:tabs>
          <w:tab w:leader="none" w:pos="52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1" w:lineRule="exact"/>
        <w:rPr>
          <w:sz w:val="20"/>
          <w:szCs w:val="20"/>
          <w:color w:val="auto"/>
        </w:rPr>
      </w:pPr>
    </w:p>
    <w:p>
      <w:pPr>
        <w:ind w:left="520" w:hanging="512"/>
        <w:spacing w:after="0"/>
        <w:tabs>
          <w:tab w:leader="none" w:pos="520"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 of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Board may suspend or terminate the Plan at any time. No Awards may be granted under the Plan while the Plan is suspended or after it is terminated.</w:t>
      </w:r>
    </w:p>
    <w:p>
      <w:pPr>
        <w:spacing w:after="0" w:line="155" w:lineRule="exact"/>
        <w:rPr>
          <w:sz w:val="20"/>
          <w:szCs w:val="20"/>
          <w:color w:val="auto"/>
        </w:rPr>
      </w:pPr>
    </w:p>
    <w:p>
      <w:pPr>
        <w:ind w:left="520" w:hanging="512"/>
        <w:spacing w:after="0"/>
        <w:tabs>
          <w:tab w:leader="none" w:pos="52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the Plan, the following definitions apply to the capitalized terms indicated below:</w:t>
      </w:r>
    </w:p>
    <w:p>
      <w:pPr>
        <w:spacing w:after="0" w:line="212" w:lineRule="exact"/>
        <w:rPr>
          <w:sz w:val="20"/>
          <w:szCs w:val="20"/>
          <w:color w:val="auto"/>
        </w:rPr>
      </w:pPr>
    </w:p>
    <w:p>
      <w:pPr>
        <w:ind w:left="520" w:hanging="512"/>
        <w:spacing w:after="0"/>
        <w:tabs>
          <w:tab w:leader="none" w:pos="520"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Acquiring Entity</w:t>
      </w:r>
      <w:r>
        <w:rPr>
          <w:rFonts w:ascii="Times New Roman" w:cs="Times New Roman" w:eastAsia="Times New Roman" w:hAnsi="Times New Roman"/>
          <w:sz w:val="20"/>
          <w:szCs w:val="20"/>
          <w:color w:val="auto"/>
        </w:rPr>
        <w:t>” means the surviving or acquiring corporation (or its parent company) in connection with a Corporate Transaction.</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shall mean the Code and any applicable U.S. or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80"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any right to receive Common Stock, cash or other property granted under the Plan (including a Nonstatutory Stock Option, a Restricted Stock Award, a RSU Award, a SAR, a Performance Award or any Other Award).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5" w:name="page226"/>
    <w:bookmarkEnd w:id="225"/>
    <w:p>
      <w:pPr>
        <w:jc w:val="both"/>
        <w:ind w:firstLine="8"/>
        <w:spacing w:after="0" w:line="256" w:lineRule="auto"/>
        <w:tabs>
          <w:tab w:leader="none" w:pos="509"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45" w:lineRule="auto"/>
        <w:tabs>
          <w:tab w:leader="none" w:pos="509"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Capitalization Adjustment</w:t>
      </w:r>
      <w:r>
        <w:rPr>
          <w:rFonts w:ascii="Times New Roman" w:cs="Times New Roman" w:eastAsia="Times New Roman" w:hAnsi="Times New Roman"/>
          <w:sz w:val="20"/>
          <w:szCs w:val="20"/>
          <w:color w:val="auto"/>
        </w:rPr>
        <w:t>” means any change that is made in, or other events that occur with respect to, the Common Stock subject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41" w:lineRule="auto"/>
        <w:tabs>
          <w:tab w:leader="none" w:pos="509"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xml:space="preserve">” has the meaning ascribed to such term in any written agreement between the Participant and the Company defining such term and, in the absence of such agreement, such term means, with respect to a Participant, the occurrence of any of the following events: (i) the Participant’s theft, dishonesty, willful misconduct, breach of fiduciary duty for personal profit, or intentional falsification of any Company or Affiliate documents or records; (ii) the Participant’s material failure to abide by the Company’s Code of Conduct or other policies (including, without limitation, policies relating to confidentiality and reasonable workplace conduct and policies of any Affiliate, as applicable); (iii) the Participant’s unauthorized use, misappropriation, destruction or diversion of any tangible or intangible asset or corporate opportunity of the Company or any of its Affiliates (including, without limitation, the Participant’s improper use or disclosure of Company or Affiliate confidential or proprietary information); (iv) any intentional act by the Participant which has a material detrimental effect on the Company’s or its Affiliate’s reputation or business; (v) the Participant’s repeated failure or inability to perform any reasonable assigned duties after written notice from the Company (or its Affiliate, as applicable) of, and a reasonable opportunity to cure, such failure or inability; (vi) any material breach by the Participant of any employment or service agreement between the Participant and the Company (or its Affiliate, as applicable), which breach is not cured pursuant to the terms of such agreement; or (vii) the Participant’s conviction (including any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of any criminal act involving fraud, dishonesty, misappropriation or moral turpitude, or which impairs the Participant’s ability to perform his or her duties with the Company (or its Affiliate, as applicable). The determination that a termination of the Participant’s Continuous Service is either for Cause or without Cause will be made by the Board with respect to Participants who are executive officers of the Company and by the Company’s Chief Executive Officer or his or her designee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8"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6" w:name="page227"/>
    <w:bookmarkEnd w:id="226"/>
    <w:p>
      <w:pPr>
        <w:jc w:val="both"/>
        <w:ind w:firstLine="8"/>
        <w:spacing w:after="0" w:line="242" w:lineRule="auto"/>
        <w:tabs>
          <w:tab w:leader="none" w:pos="509"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0"/>
          <w:szCs w:val="20"/>
          <w:b w:val="1"/>
          <w:bCs w:val="1"/>
          <w:i w:val="1"/>
          <w:iCs w:val="1"/>
          <w:color w:val="auto"/>
        </w:rPr>
        <w:t>Subject Person</w:t>
      </w:r>
      <w:r>
        <w:rPr>
          <w:rFonts w:ascii="Times New Roman" w:cs="Times New Roman" w:eastAsia="Times New Roman" w:hAnsi="Times New Roman"/>
          <w:sz w:val="20"/>
          <w:szCs w:val="20"/>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87" w:lineRule="exact"/>
        <w:rPr>
          <w:rFonts w:ascii="Times New Roman" w:cs="Times New Roman" w:eastAsia="Times New Roman" w:hAnsi="Times New Roman"/>
          <w:sz w:val="20"/>
          <w:szCs w:val="20"/>
          <w:b w:val="1"/>
          <w:bCs w:val="1"/>
          <w:color w:val="auto"/>
        </w:rPr>
      </w:pPr>
    </w:p>
    <w:p>
      <w:pPr>
        <w:jc w:val="both"/>
        <w:ind w:firstLine="8"/>
        <w:spacing w:after="0" w:line="245" w:lineRule="auto"/>
        <w:tabs>
          <w:tab w:leader="none" w:pos="509"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4" w:lineRule="exact"/>
        <w:rPr>
          <w:rFonts w:ascii="Times New Roman" w:cs="Times New Roman" w:eastAsia="Times New Roman" w:hAnsi="Times New Roman"/>
          <w:sz w:val="20"/>
          <w:szCs w:val="20"/>
          <w:b w:val="1"/>
          <w:bCs w:val="1"/>
          <w:color w:val="auto"/>
        </w:rPr>
      </w:pPr>
    </w:p>
    <w:p>
      <w:pPr>
        <w:ind w:firstLine="8"/>
        <w:spacing w:after="0" w:line="269" w:lineRule="auto"/>
        <w:tabs>
          <w:tab w:leader="none" w:pos="509"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59"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509"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0"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individuals who, on the date the Plan is adopted by the Board, are members of the Board (the “</w:t>
      </w:r>
      <w:r>
        <w:rPr>
          <w:rFonts w:ascii="Times New Roman" w:cs="Times New Roman" w:eastAsia="Times New Roman" w:hAnsi="Times New Roman"/>
          <w:sz w:val="20"/>
          <w:szCs w:val="20"/>
          <w:b w:val="1"/>
          <w:bCs w:val="1"/>
          <w:i w:val="1"/>
          <w:iCs w:val="1"/>
          <w:color w:val="auto"/>
        </w:rPr>
        <w:t>Incumbent Board</w:t>
      </w:r>
      <w:r>
        <w:rPr>
          <w:rFonts w:ascii="Times New Roman" w:cs="Times New Roman" w:eastAsia="Times New Roman" w:hAnsi="Times New Roman"/>
          <w:sz w:val="20"/>
          <w:szCs w:val="20"/>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7" w:name="page228"/>
    <w:bookmarkEnd w:id="227"/>
    <w:p>
      <w:pPr>
        <w:ind w:left="520" w:hanging="512"/>
        <w:spacing w:after="0"/>
        <w:tabs>
          <w:tab w:leader="none" w:pos="52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including any applicable regulations and guidance thereunder.</w:t>
      </w:r>
    </w:p>
    <w:p>
      <w:pPr>
        <w:spacing w:after="0" w:line="215" w:lineRule="exact"/>
        <w:rPr>
          <w:rFonts w:ascii="Times New Roman" w:cs="Times New Roman" w:eastAsia="Times New Roman" w:hAnsi="Times New Roman"/>
          <w:sz w:val="20"/>
          <w:szCs w:val="20"/>
          <w:b w:val="1"/>
          <w:bCs w:val="1"/>
          <w:color w:val="auto"/>
        </w:rPr>
      </w:pPr>
    </w:p>
    <w:p>
      <w:pPr>
        <w:ind w:right="20" w:firstLine="8"/>
        <w:spacing w:after="0" w:line="273" w:lineRule="auto"/>
        <w:tabs>
          <w:tab w:leader="none" w:pos="509"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Compensation Committee and any other committee of one or more Independent Directors to whom authority has been delegated by the Board or Compensation Committee in accordance with the Plan.</w:t>
      </w:r>
    </w:p>
    <w:p>
      <w:pPr>
        <w:spacing w:after="0" w:line="15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Olema Pharmaceuticals, Inc., a Delaware corporation, and any successor corporation thereto.</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509"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Consultants are not eligible to receive Awards under the Plan with respect to their service in such capacity.</w:t>
      </w:r>
    </w:p>
    <w:p>
      <w:pPr>
        <w:spacing w:after="0" w:line="178" w:lineRule="exact"/>
        <w:rPr>
          <w:rFonts w:ascii="Times New Roman" w:cs="Times New Roman" w:eastAsia="Times New Roman" w:hAnsi="Times New Roman"/>
          <w:sz w:val="20"/>
          <w:szCs w:val="20"/>
          <w:b w:val="1"/>
          <w:bCs w:val="1"/>
          <w:color w:val="auto"/>
        </w:rPr>
      </w:pPr>
    </w:p>
    <w:p>
      <w:pPr>
        <w:jc w:val="both"/>
        <w:ind w:firstLine="8"/>
        <w:spacing w:after="0" w:line="241" w:lineRule="auto"/>
        <w:tabs>
          <w:tab w:leader="none" w:pos="509"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Continuous Service</w:t>
      </w:r>
      <w:r>
        <w:rPr>
          <w:rFonts w:ascii="Times New Roman" w:cs="Times New Roman" w:eastAsia="Times New Roman" w:hAnsi="Times New Roman"/>
          <w:sz w:val="20"/>
          <w:szCs w:val="20"/>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spacing w:after="0" w:line="193"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Transaction</w:t>
      </w:r>
      <w:r>
        <w:rPr>
          <w:rFonts w:ascii="Times New Roman" w:cs="Times New Roman" w:eastAsia="Times New Roman" w:hAnsi="Times New Roman"/>
          <w:sz w:val="20"/>
          <w:szCs w:val="20"/>
          <w:color w:val="auto"/>
        </w:rPr>
        <w:t>” means the consummation, in a single transaction or in a series of related transactions, of any one or more of the following events:</w:t>
      </w:r>
    </w:p>
    <w:p>
      <w:pPr>
        <w:spacing w:after="0" w:line="156" w:lineRule="exact"/>
        <w:rPr>
          <w:sz w:val="20"/>
          <w:szCs w:val="20"/>
          <w:color w:val="auto"/>
        </w:rPr>
      </w:pPr>
    </w:p>
    <w:p>
      <w:pPr>
        <w:ind w:right="20" w:firstLine="8"/>
        <w:spacing w:after="0" w:line="269" w:lineRule="auto"/>
        <w:tabs>
          <w:tab w:leader="none" w:pos="509"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all or substantially all, as determined by the Board, of the consolidated assets of the Company and its Subsidiaries;</w:t>
      </w:r>
    </w:p>
    <w:p>
      <w:pPr>
        <w:spacing w:after="0" w:line="159"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at least 50% of the outstanding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8" w:name="page229"/>
    <w:bookmarkEnd w:id="228"/>
    <w:p>
      <w:pPr>
        <w:ind w:left="520" w:hanging="512"/>
        <w:spacing w:after="0"/>
        <w:tabs>
          <w:tab w:leader="none" w:pos="520"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not the surviving corporation; or</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509"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0" w:lineRule="exact"/>
        <w:rPr>
          <w:sz w:val="20"/>
          <w:szCs w:val="20"/>
          <w:color w:val="auto"/>
        </w:rPr>
      </w:pPr>
    </w:p>
    <w:p>
      <w:pPr>
        <w:ind w:firstLine="8"/>
        <w:spacing w:after="0" w:line="273" w:lineRule="auto"/>
        <w:tabs>
          <w:tab w:leader="none" w:pos="509"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 Directors are not eligible to receive Awards under the Plan with respect to their service in such capacity.</w:t>
      </w:r>
    </w:p>
    <w:p>
      <w:pPr>
        <w:spacing w:after="0" w:line="15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determined</w:t>
      </w:r>
      <w:r>
        <w:rPr>
          <w:rFonts w:ascii="Times New Roman" w:cs="Times New Roman" w:eastAsia="Times New Roman" w:hAnsi="Times New Roman"/>
          <w:sz w:val="20"/>
          <w:szCs w:val="20"/>
          <w:color w:val="auto"/>
        </w:rPr>
        <w:t>” means as determined by the Board or the Committee (or its designee) in its sole discretion.</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__________, 2022.</w:t>
      </w:r>
    </w:p>
    <w:p>
      <w:pPr>
        <w:spacing w:after="0" w:line="21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employed by the Company or an Affiliate. However, service solely as a Director, or payment of a fee for such services, will not cause a Director to be considered an “Employee” for purposes of the Plan.</w:t>
      </w:r>
    </w:p>
    <w:p>
      <w:pPr>
        <w:spacing w:after="0" w:line="15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means the Company or the Affiliate that employs the Participant.</w:t>
      </w:r>
    </w:p>
    <w:p>
      <w:pPr>
        <w:spacing w:after="0" w:line="21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Entity</w:t>
      </w:r>
      <w:r>
        <w:rPr>
          <w:rFonts w:ascii="Times New Roman" w:cs="Times New Roman" w:eastAsia="Times New Roman" w:hAnsi="Times New Roman"/>
          <w:sz w:val="20"/>
          <w:szCs w:val="20"/>
          <w:color w:val="auto"/>
        </w:rPr>
        <w:t>” means a corporation, partnership, limited liability company or other entity.</w:t>
      </w:r>
    </w:p>
    <w:p>
      <w:pPr>
        <w:spacing w:after="0" w:line="21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U.S. Securities Exchange Act of 1934, as amended, and the rules and regulations promulgated thereunder.</w:t>
      </w:r>
    </w:p>
    <w:p>
      <w:pPr>
        <w:spacing w:after="0" w:line="227" w:lineRule="exact"/>
        <w:rPr>
          <w:rFonts w:ascii="Times New Roman" w:cs="Times New Roman" w:eastAsia="Times New Roman" w:hAnsi="Times New Roman"/>
          <w:sz w:val="19"/>
          <w:szCs w:val="19"/>
          <w:b w:val="1"/>
          <w:bCs w:val="1"/>
          <w:color w:val="auto"/>
        </w:rPr>
      </w:pPr>
    </w:p>
    <w:p>
      <w:pPr>
        <w:jc w:val="both"/>
        <w:ind w:firstLine="8"/>
        <w:spacing w:after="0" w:line="244" w:lineRule="auto"/>
        <w:tabs>
          <w:tab w:leader="none" w:pos="509"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 Person</w:t>
      </w:r>
      <w:r>
        <w:rPr>
          <w:rFonts w:ascii="Times New Roman" w:cs="Times New Roman" w:eastAsia="Times New Roman" w:hAnsi="Times New Roman"/>
          <w:sz w:val="20"/>
          <w:szCs w:val="20"/>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1"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unless otherwise determined by the Board, the value of the Common Stock (as determined on a per share or aggregate basis, as applicable) determined as follows:</w:t>
      </w:r>
    </w:p>
    <w:p>
      <w:pPr>
        <w:spacing w:after="0" w:line="156" w:lineRule="exact"/>
        <w:rPr>
          <w:sz w:val="20"/>
          <w:szCs w:val="20"/>
          <w:color w:val="auto"/>
        </w:rPr>
      </w:pPr>
    </w:p>
    <w:p>
      <w:pPr>
        <w:ind w:firstLine="8"/>
        <w:spacing w:after="0" w:line="269" w:lineRule="auto"/>
        <w:tabs>
          <w:tab w:leader="none" w:pos="509"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Common Stock is listed on any established stock exchange or traded on any established market, the Fair Market Value will be the closing sales price for such stock as quoted on such exchange 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9" w:name="page230"/>
    <w:bookmarkEnd w:id="229"/>
    <w:p>
      <w:pPr>
        <w:ind w:firstLine="509"/>
        <w:spacing w:after="0" w:line="269" w:lineRule="auto"/>
        <w:rPr>
          <w:sz w:val="20"/>
          <w:szCs w:val="20"/>
          <w:color w:val="auto"/>
        </w:rPr>
      </w:pPr>
      <w:r>
        <w:rPr>
          <w:rFonts w:ascii="Times New Roman" w:cs="Times New Roman" w:eastAsia="Times New Roman" w:hAnsi="Times New Roman"/>
          <w:sz w:val="20"/>
          <w:szCs w:val="20"/>
          <w:color w:val="auto"/>
        </w:rPr>
        <w:t>market (or the exchange or market with the greatest volume of trading in the Common Stock) on the date of determination, as reported in a source the Board deems reliable.</w:t>
      </w:r>
    </w:p>
    <w:p>
      <w:pPr>
        <w:spacing w:after="0" w:line="159" w:lineRule="exact"/>
        <w:rPr>
          <w:sz w:val="20"/>
          <w:szCs w:val="20"/>
          <w:color w:val="auto"/>
        </w:rPr>
      </w:pPr>
    </w:p>
    <w:p>
      <w:pPr>
        <w:ind w:firstLine="8"/>
        <w:spacing w:after="0" w:line="269" w:lineRule="auto"/>
        <w:tabs>
          <w:tab w:leader="none" w:pos="509"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no closing sales price for the Common Stock on the date of determination, then the Fair Market Value will be the closing selling price on the last preceding date for which such quotation exists.</w:t>
      </w:r>
    </w:p>
    <w:p>
      <w:pPr>
        <w:spacing w:after="0" w:line="159" w:lineRule="exact"/>
        <w:rPr>
          <w:rFonts w:ascii="Times New Roman" w:cs="Times New Roman" w:eastAsia="Times New Roman" w:hAnsi="Times New Roman"/>
          <w:sz w:val="20"/>
          <w:szCs w:val="20"/>
          <w:b w:val="1"/>
          <w:bCs w:val="1"/>
          <w:color w:val="auto"/>
        </w:rPr>
      </w:pPr>
    </w:p>
    <w:p>
      <w:pPr>
        <w:ind w:firstLine="8"/>
        <w:spacing w:after="0" w:line="269" w:lineRule="auto"/>
        <w:tabs>
          <w:tab w:leader="none" w:pos="509"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absence of such markets for the Common Stock, or if otherwise determined by the Board, the Fair Market Value will be determined by the Board in good faith and in a manner that complies with Section 409A of the Code.</w:t>
      </w:r>
    </w:p>
    <w:p>
      <w:pPr>
        <w:spacing w:after="0" w:line="155" w:lineRule="exact"/>
        <w:rPr>
          <w:sz w:val="20"/>
          <w:szCs w:val="20"/>
          <w:color w:val="auto"/>
        </w:rPr>
      </w:pPr>
    </w:p>
    <w:p>
      <w:pPr>
        <w:jc w:val="both"/>
        <w:ind w:firstLine="8"/>
        <w:spacing w:after="0" w:line="246" w:lineRule="auto"/>
        <w:tabs>
          <w:tab w:leader="none" w:pos="509"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Body</w:t>
      </w:r>
      <w:r>
        <w:rPr>
          <w:rFonts w:ascii="Times New Roman" w:cs="Times New Roman" w:eastAsia="Times New Roman" w:hAnsi="Times New Roman"/>
          <w:sz w:val="20"/>
          <w:szCs w:val="20"/>
          <w:color w:val="auto"/>
        </w:rPr>
        <w:t>” means any: (a) nation, state, commonwealth, province, territory, county, municipality, district or other jurisdiction of any nature; (b) U.S. or non-U.S. federal, state, local, municipal,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78" w:lineRule="exact"/>
        <w:rPr>
          <w:rFonts w:ascii="Times New Roman" w:cs="Times New Roman" w:eastAsia="Times New Roman" w:hAnsi="Times New Roman"/>
          <w:sz w:val="20"/>
          <w:szCs w:val="20"/>
          <w:b w:val="1"/>
          <w:bCs w:val="1"/>
          <w:color w:val="auto"/>
        </w:rPr>
      </w:pPr>
    </w:p>
    <w:p>
      <w:pPr>
        <w:jc w:val="both"/>
        <w:ind w:right="20" w:firstLine="8"/>
        <w:spacing w:after="0" w:line="256" w:lineRule="auto"/>
        <w:tabs>
          <w:tab w:leader="none" w:pos="509"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45" w:lineRule="auto"/>
        <w:tabs>
          <w:tab w:leader="none" w:pos="509"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Materially Impair</w:t>
      </w:r>
      <w:r>
        <w:rPr>
          <w:rFonts w:ascii="Times New Roman" w:cs="Times New Roman" w:eastAsia="Times New Roman" w:hAnsi="Times New Roman"/>
          <w:sz w:val="20"/>
          <w:szCs w:val="20"/>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clarify the manner of exemption from, or to bring the Award into compliance with or qualify it for an exemption from, Section 409A; or (iii) to comply with other Applicable Laws.</w:t>
      </w:r>
    </w:p>
    <w:p>
      <w:pPr>
        <w:spacing w:after="0" w:line="179"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509"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0"/>
          <w:szCs w:val="20"/>
          <w:b w:val="1"/>
          <w:bCs w:val="1"/>
          <w:i w:val="1"/>
          <w:iCs w:val="1"/>
          <w:color w:val="auto"/>
        </w:rPr>
        <w:t>Regulation S-K</w:t>
      </w:r>
      <w:r>
        <w:rPr>
          <w:rFonts w:ascii="Times New Roman" w:cs="Times New Roman" w:eastAsia="Times New Roman" w:hAnsi="Times New Roman"/>
          <w:sz w:val="20"/>
          <w:szCs w:val="20"/>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8"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Non-Exempt Award</w:t>
      </w:r>
      <w:r>
        <w:rPr>
          <w:rFonts w:ascii="Times New Roman" w:cs="Times New Roman" w:eastAsia="Times New Roman" w:hAnsi="Times New Roman"/>
          <w:sz w:val="20"/>
          <w:szCs w:val="20"/>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76" w:lineRule="auto"/>
        <w:tabs>
          <w:tab w:leader="none" w:pos="509" w:val="left"/>
        </w:tabs>
        <w:numPr>
          <w:ilvl w:val="0"/>
          <w:numId w:val="1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“Non-Exempt Severance Arrangement</w:t>
      </w:r>
      <w:r>
        <w:rPr>
          <w:rFonts w:ascii="Times New Roman" w:cs="Times New Roman" w:eastAsia="Times New Roman" w:hAnsi="Times New Roman"/>
          <w:sz w:val="19"/>
          <w:szCs w:val="19"/>
          <w:color w:val="auto"/>
        </w:rPr>
        <w:t>” means a severance arrangement or other agreement between the Participant and the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provides for acceleration of vesting of an Award and issuance of the shares in respect of such Award upon the Participant’s termination of employment or separation from service (as such term is defined in Section 409A(a)(2)(A)(i) of the Code (and without regard to any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0" w:name="page231"/>
    <w:bookmarkEnd w:id="230"/>
    <w:p>
      <w:pPr>
        <w:ind w:firstLine="509"/>
        <w:spacing w:after="0" w:line="273" w:lineRule="auto"/>
        <w:rPr>
          <w:sz w:val="20"/>
          <w:szCs w:val="20"/>
          <w:color w:val="auto"/>
        </w:rPr>
      </w:pPr>
      <w:r>
        <w:rPr>
          <w:rFonts w:ascii="Times New Roman" w:cs="Times New Roman" w:eastAsia="Times New Roman" w:hAnsi="Times New Roman"/>
          <w:sz w:val="20"/>
          <w:szCs w:val="20"/>
          <w:color w:val="auto"/>
        </w:rPr>
        <w:t>alternative definition thereunder)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and such severance benefit does not satisfy the requirements for an exemption from application of Section 409A provided under Treasury Regulations Section 1.409A-1(b)(4), 1.409A-1(b)(9) or otherwise.</w:t>
      </w:r>
    </w:p>
    <w:p>
      <w:pPr>
        <w:spacing w:after="0" w:line="152" w:lineRule="exact"/>
        <w:rPr>
          <w:sz w:val="20"/>
          <w:szCs w:val="20"/>
          <w:color w:val="auto"/>
        </w:rPr>
      </w:pPr>
    </w:p>
    <w:p>
      <w:pPr>
        <w:ind w:left="520" w:hanging="512"/>
        <w:spacing w:after="0"/>
        <w:tabs>
          <w:tab w:leader="none" w:pos="520"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Nonstatutory Stock Option</w:t>
      </w:r>
      <w:r>
        <w:rPr>
          <w:rFonts w:ascii="Times New Roman" w:cs="Times New Roman" w:eastAsia="Times New Roman" w:hAnsi="Times New Roman"/>
          <w:sz w:val="20"/>
          <w:szCs w:val="20"/>
          <w:color w:val="auto"/>
        </w:rPr>
        <w:t>” means any option granted pursuant to Section 4 of the Plan.</w:t>
      </w:r>
    </w:p>
    <w:p>
      <w:pPr>
        <w:spacing w:after="0" w:line="21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a person who is an officer of the Company within the meaning of Section 16 of the Exchange Act.</w:t>
      </w:r>
    </w:p>
    <w:p>
      <w:pPr>
        <w:spacing w:after="0" w:line="21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 Nonstatutory Stock Option to purchase shares of Common Stock granted pursuant to the Plan.</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Optionholder</w:t>
      </w:r>
      <w:r>
        <w:rPr>
          <w:rFonts w:ascii="Times New Roman" w:cs="Times New Roman" w:eastAsia="Times New Roman" w:hAnsi="Times New Roman"/>
          <w:sz w:val="20"/>
          <w:szCs w:val="20"/>
          <w:color w:val="auto"/>
        </w:rPr>
        <w:t>” means a person to whom an Option is granted pursuant to the Plan or, if applicable, such other person who holds an outstanding Option.</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Award</w:t>
      </w:r>
      <w:r>
        <w:rPr>
          <w:rFonts w:ascii="Times New Roman" w:cs="Times New Roman" w:eastAsia="Times New Roman" w:hAnsi="Times New Roman"/>
          <w:sz w:val="20"/>
          <w:szCs w:val="20"/>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 Nonstatutory Stock Option, SAR, Restricted Stock Award, RSU Award or Performance Award.</w:t>
      </w:r>
    </w:p>
    <w:p>
      <w:pPr>
        <w:spacing w:after="0" w:line="168"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Award Agreement</w:t>
      </w:r>
      <w:r>
        <w:rPr>
          <w:rFonts w:ascii="Times New Roman" w:cs="Times New Roman" w:eastAsia="Times New Roman" w:hAnsi="Times New Roman"/>
          <w:sz w:val="20"/>
          <w:szCs w:val="20"/>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Own,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Ownership</w:t>
      </w:r>
      <w:r>
        <w:rPr>
          <w:rFonts w:ascii="Times New Roman" w:cs="Times New Roman" w:eastAsia="Times New Roman" w:hAnsi="Times New Roman"/>
          <w:sz w:val="20"/>
          <w:szCs w:val="20"/>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Employee to whom an Award is granted pursuant to the Plan or, if applicable, such other person who holds an outstanding Award.</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509"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Award</w:t>
      </w:r>
      <w:r>
        <w:rPr>
          <w:rFonts w:ascii="Times New Roman" w:cs="Times New Roman" w:eastAsia="Times New Roman" w:hAnsi="Times New Roman"/>
          <w:sz w:val="20"/>
          <w:szCs w:val="20"/>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8" w:lineRule="exact"/>
        <w:rPr>
          <w:rFonts w:ascii="Times New Roman" w:cs="Times New Roman" w:eastAsia="Times New Roman" w:hAnsi="Times New Roman"/>
          <w:sz w:val="20"/>
          <w:szCs w:val="20"/>
          <w:b w:val="1"/>
          <w:bCs w:val="1"/>
          <w:color w:val="auto"/>
        </w:rPr>
      </w:pPr>
    </w:p>
    <w:p>
      <w:pPr>
        <w:jc w:val="both"/>
        <w:ind w:firstLine="8"/>
        <w:spacing w:after="0" w:line="276" w:lineRule="auto"/>
        <w:tabs>
          <w:tab w:leader="none" w:pos="509" w:val="left"/>
        </w:tabs>
        <w:numPr>
          <w:ilvl w:val="0"/>
          <w:numId w:val="1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Criteria</w:t>
      </w:r>
      <w:r>
        <w:rPr>
          <w:rFonts w:ascii="Times New Roman" w:cs="Times New Roman" w:eastAsia="Times New Roman" w:hAnsi="Times New Roman"/>
          <w:sz w:val="19"/>
          <w:szCs w:val="19"/>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1" w:name="page232"/>
    <w:bookmarkEnd w:id="231"/>
    <w:p>
      <w:pPr>
        <w:jc w:val="both"/>
        <w:ind w:firstLine="509"/>
        <w:spacing w:after="0" w:line="254" w:lineRule="auto"/>
        <w:rPr>
          <w:sz w:val="20"/>
          <w:szCs w:val="20"/>
          <w:color w:val="auto"/>
        </w:rPr>
      </w:pPr>
      <w:r>
        <w:rPr>
          <w:rFonts w:ascii="Times New Roman" w:cs="Times New Roman" w:eastAsia="Times New Roman" w:hAnsi="Times New Roman"/>
          <w:sz w:val="19"/>
          <w:szCs w:val="19"/>
          <w:color w:val="auto"/>
        </w:rPr>
        <w:t>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pre-clinical development related compound goals; financing; regulatory milestones, including approval of a compound; stockholder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Board or Committee.</w:t>
      </w:r>
    </w:p>
    <w:p>
      <w:pPr>
        <w:spacing w:after="0" w:line="200" w:lineRule="exact"/>
        <w:rPr>
          <w:sz w:val="20"/>
          <w:szCs w:val="20"/>
          <w:color w:val="auto"/>
        </w:rPr>
      </w:pPr>
    </w:p>
    <w:p>
      <w:pPr>
        <w:spacing w:after="0" w:line="209" w:lineRule="exact"/>
        <w:rPr>
          <w:sz w:val="20"/>
          <w:szCs w:val="20"/>
          <w:color w:val="auto"/>
        </w:rPr>
      </w:pPr>
    </w:p>
    <w:p>
      <w:pPr>
        <w:jc w:val="both"/>
        <w:ind w:firstLine="8"/>
        <w:spacing w:after="0" w:line="241" w:lineRule="auto"/>
        <w:tabs>
          <w:tab w:leader="none" w:pos="509"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Goals</w:t>
      </w:r>
      <w:r>
        <w:rPr>
          <w:rFonts w:ascii="Times New Roman" w:cs="Times New Roman" w:eastAsia="Times New Roman" w:hAnsi="Times New Roman"/>
          <w:sz w:val="20"/>
          <w:szCs w:val="20"/>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2" w:name="page233"/>
    <w:bookmarkEnd w:id="232"/>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70" w:lineRule="exact"/>
        <w:rPr>
          <w:sz w:val="20"/>
          <w:szCs w:val="20"/>
          <w:color w:val="auto"/>
        </w:rPr>
      </w:pPr>
    </w:p>
    <w:p>
      <w:pPr>
        <w:jc w:val="both"/>
        <w:ind w:firstLine="8"/>
        <w:spacing w:after="0" w:line="256"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6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Olema Pharmaceuticals, Inc. 2022 Inducement Plan, as amended from time to time.</w:t>
      </w:r>
    </w:p>
    <w:p>
      <w:pPr>
        <w:spacing w:after="0" w:line="21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Administrator</w:t>
      </w:r>
      <w:r>
        <w:rPr>
          <w:rFonts w:ascii="Times New Roman" w:cs="Times New Roman" w:eastAsia="Times New Roman" w:hAnsi="Times New Roman"/>
          <w:sz w:val="20"/>
          <w:szCs w:val="20"/>
          <w:color w:val="auto"/>
        </w:rPr>
        <w:t>” means the person, persons, and/or third-party administrator designated by the Company to administer the day to day operations of the Plan and the Company’s other equity incentive programs.</w:t>
      </w:r>
    </w:p>
    <w:p>
      <w:pPr>
        <w:spacing w:after="0" w:line="151" w:lineRule="exact"/>
        <w:rPr>
          <w:rFonts w:ascii="Times New Roman" w:cs="Times New Roman" w:eastAsia="Times New Roman" w:hAnsi="Times New Roman"/>
          <w:sz w:val="20"/>
          <w:szCs w:val="20"/>
          <w:b w:val="1"/>
          <w:bCs w:val="1"/>
          <w:color w:val="auto"/>
        </w:rPr>
      </w:pPr>
    </w:p>
    <w:p>
      <w:pPr>
        <w:ind w:right="20" w:firstLine="8"/>
        <w:spacing w:after="0" w:line="273"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Post-Termination Exercise Period</w:t>
      </w:r>
      <w:r>
        <w:rPr>
          <w:rFonts w:ascii="Times New Roman" w:cs="Times New Roman" w:eastAsia="Times New Roman" w:hAnsi="Times New Roman"/>
          <w:sz w:val="20"/>
          <w:szCs w:val="20"/>
          <w:color w:val="auto"/>
        </w:rPr>
        <w:t>” means the period following termination of a Participant’s Continuous Service within which an Option or SAR is exercisable, as specified in Section 4(h).</w:t>
      </w:r>
    </w:p>
    <w:p>
      <w:pPr>
        <w:spacing w:after="0" w:line="151"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RSA</w:t>
      </w:r>
      <w:r>
        <w:rPr>
          <w:rFonts w:ascii="Times New Roman" w:cs="Times New Roman" w:eastAsia="Times New Roman" w:hAnsi="Times New Roman"/>
          <w:sz w:val="20"/>
          <w:szCs w:val="20"/>
          <w:color w:val="auto"/>
        </w:rPr>
        <w:t>” means an Award of shares of Common Stock which is granted pursuant to the terms and conditions of Section 5(a).</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Award Agreement</w:t>
      </w:r>
      <w:r>
        <w:rPr>
          <w:rFonts w:ascii="Times New Roman" w:cs="Times New Roman" w:eastAsia="Times New Roman" w:hAnsi="Times New Roman"/>
          <w:sz w:val="20"/>
          <w:szCs w:val="20"/>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80"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means an Award of restricted stock units representing the right to receive an issuance of shares of Common Stock which is granted pursuant to the terms and conditions of Section 5(a).</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6" w:lineRule="exact"/>
        <w:rPr>
          <w:sz w:val="20"/>
          <w:szCs w:val="20"/>
          <w:color w:val="auto"/>
        </w:rPr>
      </w:pPr>
    </w:p>
    <w:p>
      <w:pPr>
        <w:ind w:left="520" w:hanging="512"/>
        <w:spacing w:after="0"/>
        <w:tabs>
          <w:tab w:leader="none" w:pos="52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promulgated under the Exchange Act or any successor to Rule 16b-3, as in effect from time to time.</w:t>
      </w:r>
    </w:p>
    <w:p>
      <w:pPr>
        <w:spacing w:after="0" w:line="21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405</w:t>
      </w:r>
      <w:r>
        <w:rPr>
          <w:rFonts w:ascii="Times New Roman" w:cs="Times New Roman" w:eastAsia="Times New Roman" w:hAnsi="Times New Roman"/>
          <w:sz w:val="20"/>
          <w:szCs w:val="20"/>
          <w:color w:val="auto"/>
        </w:rPr>
        <w:t>” means Rule 405 promulgated under the Securities Act.</w:t>
      </w:r>
    </w:p>
    <w:p>
      <w:pPr>
        <w:spacing w:after="0" w:line="21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the regulations and other guidance thereunder.</w:t>
      </w:r>
    </w:p>
    <w:p>
      <w:pPr>
        <w:spacing w:after="0" w:line="21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 Change in Control</w:t>
      </w:r>
      <w:r>
        <w:rPr>
          <w:rFonts w:ascii="Times New Roman" w:cs="Times New Roman" w:eastAsia="Times New Roman" w:hAnsi="Times New Roman"/>
          <w:sz w:val="20"/>
          <w:szCs w:val="20"/>
          <w:color w:val="auto"/>
        </w:rPr>
        <w:t>” means a change in the ownership or effective control of the Company, or in the ownership of a substantial portion of the Company’s assets, as provided in Section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3" w:name="page234"/>
    <w:bookmarkEnd w:id="233"/>
    <w:p>
      <w:pPr>
        <w:ind w:firstLine="509"/>
        <w:spacing w:after="0" w:line="269" w:lineRule="auto"/>
        <w:rPr>
          <w:sz w:val="20"/>
          <w:szCs w:val="20"/>
          <w:color w:val="auto"/>
        </w:rPr>
      </w:pPr>
      <w:r>
        <w:rPr>
          <w:rFonts w:ascii="Times New Roman" w:cs="Times New Roman" w:eastAsia="Times New Roman" w:hAnsi="Times New Roman"/>
          <w:sz w:val="20"/>
          <w:szCs w:val="20"/>
          <w:color w:val="auto"/>
        </w:rPr>
        <w:t>409A(a)(2)(A)(v) of the Code and Treasury Regulations Section 1.409A-3(i)(5) (without regard to any alternative definition thereunder).</w:t>
      </w:r>
    </w:p>
    <w:p>
      <w:pPr>
        <w:spacing w:after="0" w:line="155" w:lineRule="exact"/>
        <w:rPr>
          <w:sz w:val="20"/>
          <w:szCs w:val="20"/>
          <w:color w:val="auto"/>
        </w:rPr>
      </w:pPr>
    </w:p>
    <w:p>
      <w:pPr>
        <w:ind w:left="520" w:hanging="512"/>
        <w:spacing w:after="0"/>
        <w:tabs>
          <w:tab w:leader="none" w:pos="52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1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 Reserve</w:t>
      </w:r>
      <w:r>
        <w:rPr>
          <w:rFonts w:ascii="Times New Roman" w:cs="Times New Roman" w:eastAsia="Times New Roman" w:hAnsi="Times New Roman"/>
          <w:sz w:val="20"/>
          <w:szCs w:val="20"/>
          <w:color w:val="auto"/>
        </w:rPr>
        <w:t>” means the number of shares available for issuance under the Plan as set forth in Section 2(a).</w:t>
      </w:r>
    </w:p>
    <w:p>
      <w:pPr>
        <w:spacing w:after="0" w:line="21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SAR</w:t>
      </w:r>
      <w:r>
        <w:rPr>
          <w:rFonts w:ascii="Times New Roman" w:cs="Times New Roman" w:eastAsia="Times New Roman" w:hAnsi="Times New Roman"/>
          <w:sz w:val="20"/>
          <w:szCs w:val="20"/>
          <w:color w:val="auto"/>
        </w:rPr>
        <w:t>” means a right to receive the appreciation on Common Stock that is granted pursuant to the terms and conditions of Section 4.</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SAR Agreement</w:t>
      </w:r>
      <w:r>
        <w:rPr>
          <w:rFonts w:ascii="Times New Roman" w:cs="Times New Roman" w:eastAsia="Times New Roman" w:hAnsi="Times New Roman"/>
          <w:sz w:val="20"/>
          <w:szCs w:val="20"/>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47" w:lineRule="auto"/>
        <w:tabs>
          <w:tab w:leader="none" w:pos="509"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the Company, (i) any corporation of which more than 50% of the outstanding Common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0"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Policy</w:t>
      </w:r>
      <w:r>
        <w:rPr>
          <w:rFonts w:ascii="Times New Roman" w:cs="Times New Roman" w:eastAsia="Times New Roman" w:hAnsi="Times New Roman"/>
          <w:sz w:val="20"/>
          <w:szCs w:val="20"/>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1"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Unvested Non-Exempt Award</w:t>
      </w:r>
      <w:r>
        <w:rPr>
          <w:rFonts w:ascii="Times New Roman" w:cs="Times New Roman" w:eastAsia="Times New Roman" w:hAnsi="Times New Roman"/>
          <w:sz w:val="20"/>
          <w:szCs w:val="20"/>
          <w:color w:val="auto"/>
        </w:rPr>
        <w:t>” means the portion of any Non-Exempt Award that had not vested in accordance with its terms upon or prior to the date of any Corporate Transaction.</w:t>
      </w:r>
    </w:p>
    <w:p>
      <w:pPr>
        <w:spacing w:after="0" w:line="151" w:lineRule="exact"/>
        <w:rPr>
          <w:rFonts w:ascii="Times New Roman" w:cs="Times New Roman" w:eastAsia="Times New Roman" w:hAnsi="Times New Roman"/>
          <w:sz w:val="20"/>
          <w:szCs w:val="20"/>
          <w:b w:val="1"/>
          <w:bCs w:val="1"/>
          <w:color w:val="auto"/>
        </w:rPr>
      </w:pPr>
    </w:p>
    <w:p>
      <w:pPr>
        <w:ind w:right="20" w:firstLine="8"/>
        <w:spacing w:after="0" w:line="273" w:lineRule="auto"/>
        <w:tabs>
          <w:tab w:leader="none" w:pos="509"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Vested Non-Exempt Award</w:t>
      </w:r>
      <w:r>
        <w:rPr>
          <w:rFonts w:ascii="Times New Roman" w:cs="Times New Roman" w:eastAsia="Times New Roman" w:hAnsi="Times New Roman"/>
          <w:sz w:val="20"/>
          <w:szCs w:val="20"/>
          <w:color w:val="auto"/>
        </w:rPr>
        <w:t>” means the portion of any Non-Exempt Award that had vested in accordance with its terms upon or prior to the date of a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27,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Shawnte Mitchell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EMAIL/DOCUSIGN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Employment Terms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Shawnte:</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Olema Pharmaceuticals, Inc. (the “Company”) is pleased to offer you employment as its Chief Legal Officer and Corporate Secretary, pursuant to the terms of this offer letter agreement (the “Agreement”).</w:t>
      </w:r>
    </w:p>
    <w:p>
      <w:pPr>
        <w:spacing w:after="0" w:line="195" w:lineRule="exact"/>
        <w:rPr>
          <w:sz w:val="20"/>
          <w:szCs w:val="20"/>
          <w:color w:val="auto"/>
        </w:rPr>
      </w:pPr>
    </w:p>
    <w:p>
      <w:pPr>
        <w:jc w:val="both"/>
        <w:ind w:firstLine="757"/>
        <w:spacing w:after="0" w:line="245" w:lineRule="auto"/>
        <w:tabs>
          <w:tab w:leader="none" w:pos="1018" w:val="left"/>
        </w:tabs>
        <w:numPr>
          <w:ilvl w:val="0"/>
          <w:numId w:val="1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Position; Duties. </w:t>
      </w:r>
      <w:r>
        <w:rPr>
          <w:rFonts w:ascii="Times New Roman" w:cs="Times New Roman" w:eastAsia="Times New Roman" w:hAnsi="Times New Roman"/>
          <w:sz w:val="21"/>
          <w:szCs w:val="21"/>
          <w:color w:val="auto"/>
        </w:rPr>
        <w:t>You will have overall responsibility for legal, corporate governance and compliance matters 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reporting directly to the Company’s Chief Executive Officer, working out of the Company’s San Francisco area office or at other locations as mutually agreed. You agree to devote your best efforts and full business time, skill and attention to the performance of your duties. You are also required to adhere to the general employment policies and practices of the Company that may be in effect from time to time, except that when the terms of this Agreement conflict with the Company’s general employment policies or practices, this Agreement will control. The Company may change your position, duties, work location and, on a prospective basis only, compensation from time to time in its discretion, subject to the terms and conditions set forth herein. Your start date will be February 18, 2025 (“Start Date”). You may serve on the board of directors or in a similar capacity of other organizations, provided that such service does not interfere with your duties and responsibilities to the Company and that you have advised the CEO prior to commencing such service, and the Nominating and Corporate Governance Committee of the Board of Directors of the Company has consented to such service. You agree to disclose any potential conflicts of interest that may arise from such board service and to comply with all applicable laws and Company policies regarding board service.</w:t>
      </w:r>
    </w:p>
    <w:p>
      <w:pPr>
        <w:spacing w:after="0" w:line="173" w:lineRule="exact"/>
        <w:rPr>
          <w:rFonts w:ascii="Times New Roman" w:cs="Times New Roman" w:eastAsia="Times New Roman" w:hAnsi="Times New Roman"/>
          <w:sz w:val="21"/>
          <w:szCs w:val="21"/>
          <w:b w:val="1"/>
          <w:bCs w:val="1"/>
          <w:color w:val="auto"/>
        </w:rPr>
      </w:pPr>
    </w:p>
    <w:p>
      <w:pPr>
        <w:ind w:firstLine="757"/>
        <w:spacing w:after="0" w:line="262" w:lineRule="auto"/>
        <w:tabs>
          <w:tab w:leader="none" w:pos="1018"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Salary. </w:t>
      </w:r>
      <w:r>
        <w:rPr>
          <w:rFonts w:ascii="Times New Roman" w:cs="Times New Roman" w:eastAsia="Times New Roman" w:hAnsi="Times New Roman"/>
          <w:sz w:val="22"/>
          <w:szCs w:val="22"/>
          <w:color w:val="auto"/>
        </w:rPr>
        <w:t>Your annual base salary rate will be $450,000, less applicable deductions and withholdings, payable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Company’s payroll practices, as may be in effect from time to time.</w:t>
      </w:r>
    </w:p>
    <w:p>
      <w:pPr>
        <w:spacing w:after="0" w:line="149"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Benefits. </w:t>
      </w:r>
      <w:r>
        <w:rPr>
          <w:rFonts w:ascii="Times New Roman" w:cs="Times New Roman" w:eastAsia="Times New Roman" w:hAnsi="Times New Roman"/>
          <w:sz w:val="22"/>
          <w:szCs w:val="22"/>
          <w:color w:val="auto"/>
        </w:rPr>
        <w:t>You will be eligible to participate in the Company’s standard benefit programs, subject to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such plans. The Company may, from time to time, change these benefits in its discretion.</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Awards. </w:t>
      </w:r>
      <w:r>
        <w:rPr>
          <w:rFonts w:ascii="Times New Roman" w:cs="Times New Roman" w:eastAsia="Times New Roman" w:hAnsi="Times New Roman"/>
          <w:sz w:val="22"/>
          <w:szCs w:val="22"/>
          <w:color w:val="auto"/>
        </w:rPr>
        <w:t>The Company will grant you an option to purchase 450,000 shares of the Company’s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“Option”). The Option shall vest over a four-year period, with one quarter of the shares subject to the Option vesting on the first anniversary of your Start Date, and the remaining shares vesting equally over the following 36 months of continuous service. The Option shall be issued pursuant to the terms and conditions of the Company’s 2022 Inducement Plan (the “Plan”), at an exercise price equal to 100% of the fair market value of the Company’s common stock on the date of grant, as provided in the Plan and consistent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5" w:name="page236"/>
    <w:bookmarkEnd w:id="235"/>
    <w:p>
      <w:pPr>
        <w:ind w:right="20"/>
        <w:spacing w:after="0" w:line="258" w:lineRule="auto"/>
        <w:rPr>
          <w:sz w:val="20"/>
          <w:szCs w:val="20"/>
          <w:color w:val="auto"/>
        </w:rPr>
      </w:pPr>
      <w:r>
        <w:rPr>
          <w:rFonts w:ascii="Times New Roman" w:cs="Times New Roman" w:eastAsia="Times New Roman" w:hAnsi="Times New Roman"/>
          <w:sz w:val="22"/>
          <w:szCs w:val="22"/>
          <w:color w:val="auto"/>
        </w:rPr>
        <w:t>requirements for an exemption from the application of Section 409A (“Section 409A”) of the Internal Revenue Code (the “Code”), and shall be governed in all respects by the terms of the Plan, the grant notices and the option agreements.</w:t>
      </w:r>
    </w:p>
    <w:p>
      <w:pPr>
        <w:spacing w:after="0" w:line="154" w:lineRule="exact"/>
        <w:rPr>
          <w:sz w:val="20"/>
          <w:szCs w:val="20"/>
          <w:color w:val="auto"/>
        </w:rPr>
      </w:pPr>
    </w:p>
    <w:p>
      <w:pPr>
        <w:jc w:val="both"/>
        <w:ind w:firstLine="757"/>
        <w:spacing w:after="0" w:line="234" w:lineRule="auto"/>
        <w:tabs>
          <w:tab w:leader="none" w:pos="1018"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Performance Bonuses. </w:t>
      </w:r>
      <w:r>
        <w:rPr>
          <w:rFonts w:ascii="Times New Roman" w:cs="Times New Roman" w:eastAsia="Times New Roman" w:hAnsi="Times New Roman"/>
          <w:sz w:val="22"/>
          <w:szCs w:val="22"/>
          <w:color w:val="auto"/>
        </w:rPr>
        <w:t>You will be eligible to earn an annual incentive bonus, with a target equal to</w:t>
      </w:r>
      <w:r>
        <w:rPr>
          <w:rFonts w:ascii="Times New Roman" w:cs="Times New Roman" w:eastAsia="Times New Roman" w:hAnsi="Times New Roman"/>
          <w:sz w:val="22"/>
          <w:szCs w:val="22"/>
          <w:b w:val="1"/>
          <w:bCs w:val="1"/>
          <w:color w:val="auto"/>
        </w:rPr>
        <w:t xml:space="preserve"> 40% </w:t>
      </w:r>
      <w:r>
        <w:rPr>
          <w:rFonts w:ascii="Times New Roman" w:cs="Times New Roman" w:eastAsia="Times New Roman" w:hAnsi="Times New Roman"/>
          <w:sz w:val="22"/>
          <w:szCs w:val="22"/>
          <w:color w:val="auto"/>
        </w:rPr>
        <w:t>of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base salary. Whether you receive a bonus, and the amount of any such bonus, shall be determined by the Board of Directors or its Compensation Committee (the “Board”) in its sole discretion, and shall be based upon achievement of performance objectives to be mutually agreed upon between you and the Chief Executive Officer and other criteria to be determined by the Board. Any annual bonus shall be paid within 30 days after the Board’s determination that a bonus shall be awarded and, in any event, shall be paid by March 15 of the immediately following year. If your employment terminates for any reason prior to the end of the calendar year, then you will not have earned a bonus for that year and, except to the extent provided in Section 7, will not receive any portion of it. Notwithstanding the foregoing, if your employment is terminated by the Company without Cause (as defined below), or you resign for Good Reason (as defined below), in either case after the end of a calendar year, but before the bonus for that year has been paid, then you will remain eligible to a bonus for that preceding year, to be awarded and paid on the same terms as the remaining executive team.</w:t>
      </w:r>
    </w:p>
    <w:p>
      <w:pPr>
        <w:spacing w:after="0" w:line="175"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 on bonus</w:t>
      </w:r>
      <w:r>
        <w:rPr>
          <w:rFonts w:ascii="Times New Roman" w:cs="Times New Roman" w:eastAsia="Times New Roman" w:hAnsi="Times New Roman"/>
          <w:sz w:val="22"/>
          <w:szCs w:val="22"/>
          <w:color w:val="auto"/>
        </w:rPr>
        <w:t>. When you join the Company, you will receive a one-time sign-on bonus in the amount of $50,000,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in one installment. The Company will pay the bonus amount of $50,000 with your first paycheck. Bonus payments will be processed through the Company's regular payroll, with all appropriate taxes withheld (the net amount that is paid to you after withholdings, the “Net Sign-On Bonus”). If you voluntarily terminate your employment without Good Reason before your first anniversary for any reason, you will owe the Company the Net Sign-On Bonus and, by signing this Agreement, you agree to repay the Net Sign-On Bonus within ten business days following employment termination. </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 Will Employment; Severance.</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1"/>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Your employment with Company will be “at- will.” This means that either you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terminate your employment at any time, with or without Cause (as defined below), and with or without advance notice.</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For Cause; Resignation Without Good Reason. </w:t>
      </w:r>
      <w:r>
        <w:rPr>
          <w:rFonts w:ascii="Times New Roman" w:cs="Times New Roman" w:eastAsia="Times New Roman" w:hAnsi="Times New Roman"/>
          <w:sz w:val="22"/>
          <w:szCs w:val="22"/>
          <w:color w:val="auto"/>
        </w:rPr>
        <w:t>If, at any time, the Company terminates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for Cause (as defined herein), or if you resign without Good Reason (as defined below), or if your employment terminates as a 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severance benefits.</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without Cause or Resignation for Good Reason Unrelated to Change in Control. </w:t>
      </w:r>
      <w:r>
        <w:rPr>
          <w:rFonts w:ascii="Times New Roman" w:cs="Times New Roman" w:eastAsia="Times New Roman" w:hAnsi="Times New Roman"/>
          <w:sz w:val="22"/>
          <w:szCs w:val="22"/>
          <w:color w:val="auto"/>
        </w:rPr>
        <w:t>If,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time outside the Change in Control Period (as defined below), the Company terminates your employment without Cause, or you resign for Good Reason, and other than as a result of your death or disability, and provided such termination constitutes a “separation from service” (as defined under Treasury Regulation Section 1.409A-1(h),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6" w:name="page237"/>
    <w:bookmarkEnd w:id="236"/>
    <w:p>
      <w:pPr>
        <w:spacing w:after="0" w:line="258" w:lineRule="auto"/>
        <w:rPr>
          <w:sz w:val="20"/>
          <w:szCs w:val="20"/>
          <w:color w:val="auto"/>
        </w:rPr>
      </w:pPr>
      <w:r>
        <w:rPr>
          <w:rFonts w:ascii="Times New Roman" w:cs="Times New Roman" w:eastAsia="Times New Roman" w:hAnsi="Times New Roman"/>
          <w:sz w:val="22"/>
          <w:szCs w:val="22"/>
          <w:color w:val="auto"/>
        </w:rPr>
        <w:t>regard to any alternative definition thereunder, a “Separation from Service”), then subject to the preconditions set forth in Section 8 below, you shall be entitled to receive the following severance benefits:</w:t>
      </w:r>
    </w:p>
    <w:p>
      <w:pPr>
        <w:spacing w:after="0" w:line="154" w:lineRule="exact"/>
        <w:rPr>
          <w:sz w:val="20"/>
          <w:szCs w:val="20"/>
          <w:color w:val="auto"/>
        </w:rPr>
      </w:pPr>
    </w:p>
    <w:p>
      <w:pPr>
        <w:jc w:val="both"/>
        <w:ind w:firstLine="2441"/>
        <w:spacing w:after="0" w:line="246"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The Company will pay you an amount equal to 12 months of your then-current 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(excluding any salary reduction that served as the basis for any Good Reason resignation), less all applicable withholdings and deductions, paid over such 12-month period, on the schedule described in Section 8 below.</w:t>
      </w:r>
    </w:p>
    <w:p>
      <w:pPr>
        <w:spacing w:after="0" w:line="167" w:lineRule="exact"/>
        <w:rPr>
          <w:sz w:val="20"/>
          <w:szCs w:val="20"/>
          <w:color w:val="auto"/>
        </w:rPr>
      </w:pPr>
    </w:p>
    <w:p>
      <w:pPr>
        <w:jc w:val="both"/>
        <w:ind w:firstLine="2441"/>
        <w:spacing w:after="0" w:line="241"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You will remain eligible for an annual bonus for the year in which your 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effective, with the bonus amount to be determined by the Board based on corporate performance during the year, and then prorated based on your months of service during the applicable bonus year. Any bonus awarded will be subject to deductions and withholdings and paid at the same time as when bonuses are paid to the rest of senior management.</w:t>
      </w:r>
    </w:p>
    <w:p>
      <w:pPr>
        <w:spacing w:after="0" w:line="172" w:lineRule="exact"/>
        <w:rPr>
          <w:sz w:val="20"/>
          <w:szCs w:val="20"/>
          <w:color w:val="auto"/>
        </w:rPr>
      </w:pPr>
    </w:p>
    <w:p>
      <w:pPr>
        <w:jc w:val="both"/>
        <w:ind w:firstLine="2441"/>
        <w:spacing w:after="0" w:line="233"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If you timely elect continued coverage under COBRA for yourself and your covered dependents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Company’s group health plans following such termination or resignation of employment, then the Company shall pay the entire COBRA premiums necessary to continue your health insurance coverage in effect for yourself and your eligible dependents on the termination date until the earliest of (A) the close of the 12 month period following the termination of your employment, (B) the expiration of your eligibility for the continuation coverage under COBRA, and (C) the date when you become eligible for substantially equivalent health insurance coverage in connection with new employment (the “COBRA Severance”). Notwithstanding the above in this paragraph, if the Company determines in its sole discretion that it cannot provide the foregoing COBRA Severance without potentially violating applicable law (including, without limitation, Section 2716 of the Public Health Service Act), the Company shall in lieu thereof provide to you a taxable monthly payment in an amount equal to the monthly COBRA premium that you would be required to pay to continue your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(x) the date upon which you obtain other coverage or (y) the last day of the twelfth calendar month following your Separation from Service date.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174" w:lineRule="exact"/>
        <w:rPr>
          <w:sz w:val="20"/>
          <w:szCs w:val="20"/>
          <w:color w:val="auto"/>
        </w:rPr>
      </w:pPr>
    </w:p>
    <w:p>
      <w:pPr>
        <w:jc w:val="both"/>
        <w:ind w:firstLine="2441"/>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In the event your separation occurs after you complete one year of service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then the Company will accelerate the vesting of the Option such that 50% of the then unvested shares shall be deemed vested and exercisable.</w:t>
      </w:r>
    </w:p>
    <w:p>
      <w:pPr>
        <w:spacing w:after="0" w:line="167" w:lineRule="exact"/>
        <w:rPr>
          <w:sz w:val="20"/>
          <w:szCs w:val="20"/>
          <w:color w:val="auto"/>
        </w:rPr>
      </w:pPr>
    </w:p>
    <w:p>
      <w:pPr>
        <w:jc w:val="both"/>
        <w:ind w:firstLine="1505"/>
        <w:spacing w:after="0" w:line="238" w:lineRule="auto"/>
        <w:tabs>
          <w:tab w:leader="none" w:pos="2036" w:val="left"/>
        </w:tabs>
        <w:numPr>
          <w:ilvl w:val="0"/>
          <w:numId w:val="1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without Cause or Resignation for Good Reason In Connection With Change in Control. </w:t>
      </w:r>
      <w:r>
        <w:rPr>
          <w:rFonts w:ascii="Times New Roman" w:cs="Times New Roman" w:eastAsia="Times New Roman" w:hAnsi="Times New Roman"/>
          <w:sz w:val="22"/>
          <w:szCs w:val="22"/>
          <w:color w:val="auto"/>
        </w:rPr>
        <w:t>If, at any time within the Change in Control Period (as defined below), the Company terminates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Cause, or you resign for Good Reason, and other than as a result of your death or disability, and provided such termination constitutes a Separation from Service, then subject to the preconditions set forth in Section 8 below, you shall be entitled to receive the following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7" w:name="page238"/>
    <w:bookmarkEnd w:id="237"/>
    <w:p>
      <w:pPr>
        <w:jc w:val="both"/>
        <w:ind w:firstLine="2441"/>
        <w:spacing w:after="0" w:line="238"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The Company will pay you a lump-sum amount equal to 12 months of your then-current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salary plus your target bonus for the year in which your termination occurs (less deductions and withholdings) (excluding any salary or bonus reduction that served as the basis for any Good Reason resignation); provided, however, that if and to the extent necessary to avoid taxation under Section 409A, this amount will instead be paid based on the schedule set forth in Section 7(c) (i).</w:t>
      </w:r>
    </w:p>
    <w:p>
      <w:pPr>
        <w:spacing w:after="0" w:line="177" w:lineRule="exact"/>
        <w:rPr>
          <w:sz w:val="20"/>
          <w:szCs w:val="20"/>
          <w:color w:val="auto"/>
        </w:rPr>
      </w:pPr>
    </w:p>
    <w:p>
      <w:pPr>
        <w:jc w:val="both"/>
        <w:ind w:firstLine="2441"/>
        <w:spacing w:after="0" w:line="241"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You will remain eligible for an annual bonus for the year in which your 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effective, with the bonus amount to be determined by the Board based on corporate performance during the year, and then prorated based on your months of service during the applicable bonus year. Any bonus awarded will be subject to deductions and withholdings and paid at the same time as when bonuses are paid to the rest of senior management.</w:t>
      </w:r>
    </w:p>
    <w:p>
      <w:pPr>
        <w:spacing w:after="0" w:line="172" w:lineRule="exact"/>
        <w:rPr>
          <w:sz w:val="20"/>
          <w:szCs w:val="20"/>
          <w:color w:val="auto"/>
        </w:rPr>
      </w:pPr>
    </w:p>
    <w:p>
      <w:pPr>
        <w:jc w:val="both"/>
        <w:ind w:firstLine="2441"/>
        <w:spacing w:after="0" w:line="245" w:lineRule="auto"/>
        <w:rPr>
          <w:sz w:val="20"/>
          <w:szCs w:val="20"/>
          <w:color w:val="auto"/>
        </w:rPr>
      </w:pPr>
      <w:r>
        <w:rPr>
          <w:rFonts w:ascii="Times New Roman" w:cs="Times New Roman" w:eastAsia="Times New Roman" w:hAnsi="Times New Roman"/>
          <w:sz w:val="21"/>
          <w:szCs w:val="21"/>
          <w:b w:val="1"/>
          <w:bCs w:val="1"/>
          <w:color w:val="auto"/>
        </w:rPr>
        <w:t>(iii)</w:t>
      </w:r>
      <w:r>
        <w:rPr>
          <w:rFonts w:ascii="Times New Roman" w:cs="Times New Roman" w:eastAsia="Times New Roman" w:hAnsi="Times New Roman"/>
          <w:sz w:val="21"/>
          <w:szCs w:val="21"/>
          <w:color w:val="auto"/>
        </w:rPr>
        <w:t>If you timely elect continued coverage under COBRA for yourself and your covered dependents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Company’s group health plans following such termination or resignation of employment, then the Company shall provide you with the COBRA Severance. Notwithstanding the above in this paragraph, if the Company determines in its sole discretion that it cannot provide the foregoing COBRA Severance without potentially violating applicable law (including, without limitation, Section 2716 of the Public Health Service Act), the Company shall in lieu thereof provide to you a taxable monthly payment in an amount equal to the monthly COBRA premium that you would be required to pay to continue your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(x) the date upon which you obtain other coverage or (y) the last day of the twelfth calendar month following your Separation from Service date.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 and</w:t>
      </w:r>
    </w:p>
    <w:p>
      <w:pPr>
        <w:spacing w:after="0" w:line="174" w:lineRule="exact"/>
        <w:rPr>
          <w:sz w:val="20"/>
          <w:szCs w:val="20"/>
          <w:color w:val="auto"/>
        </w:rPr>
      </w:pPr>
    </w:p>
    <w:p>
      <w:pPr>
        <w:jc w:val="both"/>
        <w:ind w:firstLine="2441"/>
        <w:spacing w:after="0" w:line="262"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The Company will accelerate the time-based vesting of your equity grants such that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fully vested as to service in all such shares.</w:t>
      </w:r>
    </w:p>
    <w:p>
      <w:pPr>
        <w:spacing w:after="0" w:line="150" w:lineRule="exact"/>
        <w:rPr>
          <w:sz w:val="20"/>
          <w:szCs w:val="20"/>
          <w:color w:val="auto"/>
        </w:rPr>
      </w:pPr>
    </w:p>
    <w:p>
      <w:pPr>
        <w:jc w:val="both"/>
        <w:ind w:firstLine="757"/>
        <w:spacing w:after="0" w:line="234" w:lineRule="auto"/>
        <w:tabs>
          <w:tab w:leader="none" w:pos="1018" w:val="left"/>
        </w:tabs>
        <w:numPr>
          <w:ilvl w:val="0"/>
          <w:numId w:val="1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Conditions. </w:t>
      </w:r>
      <w:r>
        <w:rPr>
          <w:rFonts w:ascii="Times New Roman" w:cs="Times New Roman" w:eastAsia="Times New Roman" w:hAnsi="Times New Roman"/>
          <w:sz w:val="22"/>
          <w:szCs w:val="22"/>
          <w:color w:val="auto"/>
        </w:rPr>
        <w:t>Your receipt of the severance benefits set forth in Section 7 and your ability to retain the Net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Sign-On Bonus in the event of your voluntary termination for Good Reason within your first year of employment is conditional upon (a) your continuing to comply with your obligations under your Employee Proprietary Information and Invention Assignment Agreement; and (b) your delivering to the Company an effective, general release of claims in favor of the Company within 60 days following your termination date. In addition, any and all severance benefits will be subject to recoupment in accordance with the Company’s clawback policies, to the extent provided therein. The salary continuation set forth in Section 7(c)(i) will be paid in equal installments on the Company’s regular payroll schedule and will be subject to applicable tax withholdings over the period outlined above following the date of your termination date; provided, however, that no payments will be made prior to the 60th day following your Separation from Service. On the 60th day following your Separation from Service, the Company will pay you in a lump sum the salary continuation that you would have received on or prior to such date under the original schedule but for the delay while waiting for the 60th day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8" w:name="page239"/>
    <w:bookmarkEnd w:id="238"/>
    <w:p>
      <w:pPr>
        <w:spacing w:after="0" w:line="258" w:lineRule="auto"/>
        <w:rPr>
          <w:sz w:val="20"/>
          <w:szCs w:val="20"/>
          <w:color w:val="auto"/>
        </w:rPr>
      </w:pPr>
      <w:r>
        <w:rPr>
          <w:rFonts w:ascii="Times New Roman" w:cs="Times New Roman" w:eastAsia="Times New Roman" w:hAnsi="Times New Roman"/>
          <w:sz w:val="22"/>
          <w:szCs w:val="22"/>
          <w:color w:val="auto"/>
        </w:rPr>
        <w:t>compliance with Section 409A and the effectiveness of the release, with the balance of the salary continuation being paid as originally scheduled.</w:t>
      </w:r>
    </w:p>
    <w:p>
      <w:pPr>
        <w:spacing w:after="0" w:line="172" w:lineRule="exact"/>
        <w:rPr>
          <w:sz w:val="20"/>
          <w:szCs w:val="20"/>
          <w:color w:val="auto"/>
        </w:rPr>
      </w:pPr>
    </w:p>
    <w:p>
      <w:pPr>
        <w:ind w:left="1020" w:hanging="263"/>
        <w:spacing w:after="0"/>
        <w:tabs>
          <w:tab w:leader="none" w:pos="1020" w:val="left"/>
        </w:tabs>
        <w:numPr>
          <w:ilvl w:val="0"/>
          <w:numId w:val="1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Definitions.</w:t>
      </w:r>
    </w:p>
    <w:p>
      <w:pPr>
        <w:spacing w:after="0" w:line="187"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1"/>
          <w:numId w:val="1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For purposes of this Agreement, “Cause” means any of the following: (i) theft, breach of fiduciary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duty, or intentional falsification of Company documents or records; (ii) material failure to abide by any Company policy after written notice from the Company regarding failure to abide by such policy; (iii) intentional and unauthorized use, misappropriation, destruction or diversion of any material tangible or intangible asset or corporate opportunity of the Company (including, without limitation, improper use or disclosure of the Company’s confidential or proprietary information); (iv) any intentional act that has a material detrimental effect on the Company’s reputation or business; (v) repeated failure or inability to perform any reasonable assigned duties after written notice from the Company of, and a reasonable opportunity to cure, such failure or inability; (vi) any material breach of any contractual or legal obligation to the Company and the failure to cure within ten days after delivery of written notice thereof (to the extent such breach or violation is curable); or (vii) conviction (including any plea of guilty or nolo contendere) of any felony.</w:t>
      </w:r>
    </w:p>
    <w:p>
      <w:pPr>
        <w:spacing w:after="0" w:line="179"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1"/>
          <w:numId w:val="1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Good Reason. </w:t>
      </w:r>
      <w:r>
        <w:rPr>
          <w:rFonts w:ascii="Times New Roman" w:cs="Times New Roman" w:eastAsia="Times New Roman" w:hAnsi="Times New Roman"/>
          <w:sz w:val="22"/>
          <w:szCs w:val="22"/>
          <w:color w:val="auto"/>
        </w:rPr>
        <w:t>For purposes of this Agreement, “Good Reason” shall mean that you have resigned 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occurrence of any of the following events: (i) a material diminution in your total target cash compensation (base and bonus) of more than 10% except for across-the-board salary reductions similarly affecting all or substantially all senior executives of the Company; (ii) a change in the geographic location of your primary place of work that results in an increase in your one-way commute by more than 25 miles (provided, however, that neither your transition from remote work to a Company office within 25 miles of your home, nor to remote work from a Company office will be considered a change in the geographic location of your primary place of work for purposes of this definition); (iii) a material reduction in your job duties or responsibilities, or no longer reporting directly to the Chief Executive Officer of the Company; or (iv) a material breach of this Agreement by the Company; provided, however, that you shall not be deemed to have Good Reason if the Company survives as a separate legal entity following a Change in Control and you hold materially the same position in such legal entity as before the Change in Control. A resignation will only be for Good Reason if you deliver written notice of such condition to the Company within 30 days after the initial occurrence of such condition, the Company has failed to cure such condition within 30 days after the delivery of such notice, and you in fact resign within 45 days after you deliver the initial notice.</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1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For purposes of this Agreement, “Change in Control” means (i) a sale of all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substantially all of the Company’s assets other than to an Excluded Entity (as defined below); (ii) a merger, consolidation or other capital reorganization or business combination transaction of the Company with or into another corporation, limited liability company or other entity other than an Excluded Entity; or (iii) the consummation of a transaction, or series of related transactions, in which any “person” (as such term is used in Sections 13(d) and 14(d) of the Securities Exchange Act of 1934, as amended) becomes the “beneficial owner” (as defined in Rule 13d-3 of the Securities Exchange Act of 1934, as amended), directly or indirectly, of all of the Company’s then outstanding voting securities. An “Excluded Entity” means a corporation or other entity of which the holders of voting capital stock of the Company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9" w:name="page240"/>
    <w:bookmarkEnd w:id="239"/>
    <w:p>
      <w:pPr>
        <w:spacing w:after="0" w:line="258" w:lineRule="auto"/>
        <w:rPr>
          <w:sz w:val="20"/>
          <w:szCs w:val="20"/>
          <w:color w:val="auto"/>
        </w:rPr>
      </w:pPr>
      <w:r>
        <w:rPr>
          <w:rFonts w:ascii="Times New Roman" w:cs="Times New Roman" w:eastAsia="Times New Roman" w:hAnsi="Times New Roman"/>
          <w:sz w:val="22"/>
          <w:szCs w:val="22"/>
          <w:color w:val="auto"/>
        </w:rPr>
        <w:t>immediately prior to such transaction are the direct or indirect holders of voting securities representing a majority of the votes entitled to be cast by all of such corporation’s or other entity’s voting securities outstanding immediately after such transaction.</w:t>
      </w:r>
    </w:p>
    <w:p>
      <w:pPr>
        <w:spacing w:after="0" w:line="154" w:lineRule="exact"/>
        <w:rPr>
          <w:sz w:val="20"/>
          <w:szCs w:val="20"/>
          <w:color w:val="auto"/>
        </w:rPr>
      </w:pPr>
    </w:p>
    <w:p>
      <w:pPr>
        <w:jc w:val="both"/>
        <w:ind w:firstLine="1505"/>
        <w:spacing w:after="0" w:line="246" w:lineRule="auto"/>
        <w:tabs>
          <w:tab w:leader="none" w:pos="2036" w:val="left"/>
        </w:tabs>
        <w:numPr>
          <w:ilvl w:val="0"/>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Change in Control Period. </w:t>
      </w:r>
      <w:r>
        <w:rPr>
          <w:rFonts w:ascii="Times New Roman" w:cs="Times New Roman" w:eastAsia="Times New Roman" w:hAnsi="Times New Roman"/>
          <w:sz w:val="22"/>
          <w:szCs w:val="22"/>
          <w:color w:val="auto"/>
        </w:rPr>
        <w:t>For purposes of this Agreement, the “Change in Control Period” shall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starting three months before the effective date of a Change in Control and extending through the period ending 18 months following the effective date of a Change in Control.</w:t>
      </w:r>
    </w:p>
    <w:p>
      <w:pPr>
        <w:spacing w:after="0" w:line="16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10.Section 409A. </w:t>
      </w:r>
      <w:r>
        <w:rPr>
          <w:rFonts w:ascii="Times New Roman" w:cs="Times New Roman" w:eastAsia="Times New Roman" w:hAnsi="Times New Roman"/>
          <w:sz w:val="22"/>
          <w:szCs w:val="22"/>
          <w:color w:val="auto"/>
        </w:rPr>
        <w:t>The payments and benefits under this Agreement are intended to qualify for exemptions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 of Section 409A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shall at all times be considered a separate and distinct payment. Notwithstanding any provision to the contrary in this Agreement, if you are deemed by the Company at the time of your Separation from Service to be a “specified employee” for 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shall not be provided to you prior to the earliest of (a) the expiration of the six-month period measured from the date of Separation from Service, (b) the date of your death or (c) such earlier date as permitted under Section 409A without the imposition of adverse taxation. With respect to payments to be made upon execution of an effective release, if the release revocation period spans two calendar years, payments will be made in the second of the two calendar years to the extent necessary to avoid adverse taxation under Section 409A. With respect to reimbursements or in-kind benefits provided hereunder (or otherwise) that are not exempt from Section 409A, the following rules shall apply: (x) the amount of expenses eligible for reimbursement, or in-kind benefits provided, during any one taxable year shall not affect the expenses eligible for reimbursement, or in-kind benefit to be provided in any other taxable year, (y) in the case of any reimbursements of eligible expenses, reimbursement shall be made on or before the last day of the taxable year following the taxable year in which the expense was incurred and (z) the right to reimbursement or in-kind benefits shall not be subject to liquidation or exchange for another benefit.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19"/>
          <w:szCs w:val="19"/>
          <w:b w:val="1"/>
          <w:bCs w:val="1"/>
          <w:color w:val="auto"/>
        </w:rPr>
        <w:t>280G.</w:t>
      </w:r>
    </w:p>
    <w:p>
      <w:pPr>
        <w:spacing w:after="0" w:line="206" w:lineRule="exact"/>
        <w:rPr>
          <w:sz w:val="20"/>
          <w:szCs w:val="20"/>
          <w:color w:val="auto"/>
        </w:rPr>
      </w:pPr>
    </w:p>
    <w:p>
      <w:pPr>
        <w:jc w:val="both"/>
        <w:ind w:firstLine="1505"/>
        <w:spacing w:after="0" w:line="241" w:lineRule="auto"/>
        <w:tabs>
          <w:tab w:leader="none" w:pos="2036" w:val="left"/>
        </w:tabs>
        <w:numPr>
          <w:ilvl w:val="0"/>
          <w:numId w:val="1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any payment or benefit you will or may receive from the Company or from another source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a “280G Payment”) would (i) constitute a “parachute payment” within the meaning of Section 280G of the Code, and (ii) but for this sentence, be subject to the excise tax imposed by Section 4999 of the Code (the “Excise Tax”), then any such 280G Payment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0" w:name="page241"/>
    <w:bookmarkEnd w:id="240"/>
    <w:p>
      <w:pPr>
        <w:jc w:val="both"/>
        <w:spacing w:after="0" w:line="234" w:lineRule="auto"/>
        <w:rPr>
          <w:sz w:val="20"/>
          <w:szCs w:val="20"/>
          <w:color w:val="auto"/>
        </w:rPr>
      </w:pPr>
      <w:r>
        <w:rPr>
          <w:rFonts w:ascii="Times New Roman" w:cs="Times New Roman" w:eastAsia="Times New Roman" w:hAnsi="Times New Roman"/>
          <w:sz w:val="22"/>
          <w:szCs w:val="22"/>
          <w:color w:val="auto"/>
        </w:rPr>
        <w:t>to this Agreement (a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179" w:lineRule="exact"/>
        <w:rPr>
          <w:sz w:val="20"/>
          <w:szCs w:val="20"/>
          <w:color w:val="auto"/>
        </w:rPr>
      </w:pPr>
    </w:p>
    <w:p>
      <w:pPr>
        <w:jc w:val="both"/>
        <w:ind w:firstLine="1505"/>
        <w:spacing w:after="0" w:line="234" w:lineRule="auto"/>
        <w:tabs>
          <w:tab w:leader="none" w:pos="2036"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 provision of paragraph (a)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 receive a Payment for which the Reduced Amount was determined pursuant to clause (x) of Section 11(a) and the Internal Revenue Service determines thereafter that some portion of the Payment is subject to the Excise Tax, you agree to promptly return to the Company a sufficient amount of the Payment (after reduction pursuant to clause (x) of Section 11(a)) so that no portion of the remaining Payment is subject to the Excise Tax. For the avoidance of doubt, if the Reduced Amount was determined pursuant to clause (y) of Section 11(a), you shall have no obligation to return any portion of the Payment pursuant to the preceding sentence.</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19"/>
          <w:szCs w:val="19"/>
          <w:b w:val="1"/>
          <w:bCs w:val="1"/>
          <w:color w:val="auto"/>
        </w:rPr>
        <w:t>Confidentiality</w:t>
      </w:r>
      <w:r>
        <w:rPr>
          <w:rFonts w:ascii="Times New Roman" w:cs="Times New Roman" w:eastAsia="Times New Roman" w:hAnsi="Times New Roman"/>
          <w:sz w:val="22"/>
          <w:szCs w:val="22"/>
          <w:b w:val="1"/>
          <w:bCs w:val="1"/>
          <w:color w:val="auto"/>
        </w:rPr>
        <w:t xml:space="preserve"> Obligations. </w:t>
      </w:r>
      <w:r>
        <w:rPr>
          <w:rFonts w:ascii="Times New Roman" w:cs="Times New Roman" w:eastAsia="Times New Roman" w:hAnsi="Times New Roman"/>
          <w:sz w:val="22"/>
          <w:szCs w:val="22"/>
          <w:color w:val="auto"/>
        </w:rPr>
        <w:t>As a condition of your employment, you are required to execute the Company’s standard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 of Employee Proprietary Information and Invention Assignment Agreement, a copy of which is attached hereto as </w:t>
      </w:r>
      <w:r>
        <w:rPr>
          <w:rFonts w:ascii="Times New Roman" w:cs="Times New Roman" w:eastAsia="Times New Roman" w:hAnsi="Times New Roman"/>
          <w:sz w:val="22"/>
          <w:szCs w:val="22"/>
          <w:b w:val="1"/>
          <w:bCs w:val="1"/>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19"/>
          <w:szCs w:val="19"/>
          <w:b w:val="1"/>
          <w:bCs w:val="1"/>
          <w:color w:val="auto"/>
        </w:rPr>
        <w:t>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ensure the rapid and economical resolution of disputes that may arise in connection with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pursuant to the Federal Arbitration Act, 9 U.S.C. § 1-16, to the fullest extent permitted by law, by final, binding and confidential arbitration conducted JAMS or its successor, under such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1" w:name="page242"/>
    <w:bookmarkEnd w:id="241"/>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service’s then applicable rules and procedures appropriate to the relief being sought (available upon request and also currently available at the following web address(es): (i) https://www.jamsadr.com/rules-employment-arbitration/ and (ii) https://www.jamsadr.com/rules-comprehensive-arbitration/) at a location closest to where you last worked for the Company or another mutually agreeable location. </w:t>
      </w:r>
      <w:r>
        <w:rPr>
          <w:rFonts w:ascii="Times New Roman" w:cs="Times New Roman" w:eastAsia="Times New Roman" w:hAnsi="Times New Roman"/>
          <w:sz w:val="21"/>
          <w:szCs w:val="21"/>
          <w:b w:val="1"/>
          <w:bCs w:val="1"/>
          <w:color w:val="auto"/>
        </w:rPr>
        <w:t>You acknowledge that by agreeing to this arbitration procedure, both you and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Company waive the right to resolve any such dispute through a trial by jury or judge. </w:t>
      </w:r>
      <w:r>
        <w:rPr>
          <w:rFonts w:ascii="Times New Roman" w:cs="Times New Roman" w:eastAsia="Times New Roman" w:hAnsi="Times New Roman"/>
          <w:sz w:val="21"/>
          <w:szCs w:val="21"/>
          <w:color w:val="auto"/>
        </w:rPr>
        <w:t>This provision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mandatory for any claim or cause of action to the extent applicable law prohibits subjecting such claim or cause of action to mandatory arbitration and such applicable law is not preempted by the Federal Arbitration Act or otherwise invalid (collectively, the “Excluded Claims”), including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chapter 4,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or representative claims or proceedings are found to violate applicable law or are otherwise found unenforceable, any claim(s) alleged or brought on behalf of a class or in a representative capacity shall proceed in a court of law rather than by arbitration. You will have the right to be represented by legal counsel at any arbitration proceeding. Questions of whether a claim is subject to arbitration under this Agreement shall be decided by the arbitrator unless applicable law requires otherwise. Likewise, procedural questions which grow out of the dispute and bear on the final disposition are also matters for the arbitrator,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arbitration administrative fees in excess of the administrative fees that you would be required to pay if the dispute were decided in a court of law. Each party is responsible for its own attorneys’ fees, except as may be expressly set forth in your employee confidential information and inventions assignment agreement or as otherwise provided under applicable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2" w:name="page243"/>
    <w:bookmarkEnd w:id="242"/>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(including the Employee Proprietary Information and Invention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referenced herein) is the complete and exclusive statement of your agreement with the Company on the subject matters herein, and supersedes and replaces any and all prior agreements or representations with regard to the subject matter hereof, whether written or oral. It is entered into without reliance on any promise or representation other than those expressly contained herein, and it cannot be modified, amended or extended except in a writing signed by you and the CEO. This Agreement is intended to bind and inure to the benefit of and be enforceable by you and the Company, and our respective successors, assigns, heirs, executors and administrators, except that you may not assign any of your duties or rights hereunder without the express written consent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as if such invalid, illegal or unenforceable provisions had never been contained herein. This Agreement and the terms of your employment with the Company shall be governed in all aspects by the laws of the State of California.</w:t>
      </w:r>
    </w:p>
    <w:p>
      <w:pPr>
        <w:spacing w:after="0" w:line="18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This offer is subject to satisfactory proof of your right to work in the United States and satisfactory completion of a Company-required background check. You agree to assist as needed and to complete any documentation at the Company’s request to meet these conditions.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agree to the terms and conditions set forth herein, please sign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Best regards,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Sean Bohen</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54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Shawnte Mitchell</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Shawnte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54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1/27/2025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10795</wp:posOffset>
            </wp:positionV>
            <wp:extent cx="24942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3" w:name="page244"/>
    <w:bookmarkEnd w:id="243"/>
    <w:p>
      <w:pPr>
        <w:ind w:left="9940"/>
        <w:spacing w:after="0"/>
        <w:rPr>
          <w:sz w:val="20"/>
          <w:szCs w:val="20"/>
          <w:color w:val="auto"/>
        </w:rPr>
      </w:pPr>
      <w:r>
        <w:rPr>
          <w:rFonts w:ascii="Times New Roman" w:cs="Times New Roman" w:eastAsia="Times New Roman" w:hAnsi="Times New Roman"/>
          <w:sz w:val="21"/>
          <w:szCs w:val="21"/>
          <w:b w:val="1"/>
          <w:bCs w:val="1"/>
          <w:color w:val="auto"/>
        </w:rPr>
        <w:t>Exhibit 10.25</w:t>
      </w:r>
    </w:p>
    <w:p>
      <w:pPr>
        <w:spacing w:after="0" w:line="2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CLINICAL TRIAL COLLABORATION AND SUPPLY AGREEMENT</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(FOR PHASE III CLINICAL STUDY OF OP-1250 IN COMBINATION WITH RIBOCICLIB)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1029335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99" w:right="33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4"/>
                <w:szCs w:val="24"/>
                <w:color w:val="auto"/>
              </w:rPr>
            </w:pPr>
          </w:p>
        </w:tc>
        <w:tc>
          <w:tcPr>
            <w:tcW w:w="74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TABLE OF CONTENTS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7"/>
        </w:trPr>
        <w:tc>
          <w:tcPr>
            <w:tcW w:w="19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91"/>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 Definitions; Construction.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1.1.</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Definitions.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1.2.</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Construction.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59"/>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2. General Principles.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2.1.</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Standard of Performance.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2.2.</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Manufacturing Representations and Warranties</w:t>
            </w:r>
            <w:r>
              <w:rPr>
                <w:rFonts w:ascii="Times New Roman" w:cs="Times New Roman" w:eastAsia="Times New Roman" w:hAnsi="Times New Roman"/>
                <w:sz w:val="22"/>
                <w:szCs w:val="22"/>
                <w:i w:val="1"/>
                <w:iCs w:val="1"/>
                <w:color w:val="0000FF"/>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2.3.</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Subcontractors.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2.4.</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2.5.</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Other Studies.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59"/>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3. Conduct of the Study.</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3.1.</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Sponsor of Study.</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3.2.</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Performance.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3.3.</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Compliance and Regulatory Discussions; Rights of Reference.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3.4.</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Reports and Documentation.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3.5.</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Access to Clinical Data and BIRC Reports.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3.6.</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Sample Collection and Ownership.</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3.7.</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Ownership of Clinical Data.</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3.8.</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Roles of Project Managers.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3.9.</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Alliance Manager.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3.10.</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Supply Chain Representative.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3.11.</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Clinical Study Report.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3.12.</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Future Business Opportunities.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3.13.</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Party Owned Materials.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59"/>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4. Protocol and Related Documents.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4.1.</w:t>
            </w:r>
          </w:p>
        </w:tc>
        <w:tc>
          <w:tcPr>
            <w:tcW w:w="742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Protocol.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86"/>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4.2.</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Patient Informed Consent.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4.3.</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Sunshine Reporting.</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4.4.</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Statistical Analysis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59"/>
        </w:trPr>
        <w:tc>
          <w:tcPr>
            <w:tcW w:w="98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5. Adverse Event Reporting.</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59"/>
        </w:trPr>
        <w:tc>
          <w:tcPr>
            <w:tcW w:w="98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6. ROFN, ROFO, RIGHT TO RECEIVE NOTICE AND REPAYMENT OBLIGATION.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6.1.</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Right of First Negotiation.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6.2.</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Right of First Offer.</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6.3.</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Right to Receive Notice of Acquisition Proposal.</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6.4.</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Repayment Obligation.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6.5.</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Survival.</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59"/>
        </w:trPr>
        <w:tc>
          <w:tcPr>
            <w:tcW w:w="98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7. Term and 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7.1.</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7.2.</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Failure to Initiate Study.</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7.3.</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Material Breach</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7.4.</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Bankruptcy.</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7.5.</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Anti-Corruption Matters.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7.6.</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Patient Safety or Efficacy.</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7.7.</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Regulatory Action.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7.8.</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Clinical Hold.</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7.9.</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Change of Control.</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7.10.</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Olema Compound Transaction with a Third Party.</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7.11.</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Force Majeure.</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7.12.</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Termination for Study 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7.13.</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Clinical Trial Wind-Down.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7.14.</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Return of Novartis Compound and Reporting Study Results.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59"/>
        </w:trPr>
        <w:tc>
          <w:tcPr>
            <w:tcW w:w="19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7.15.</w:t>
            </w:r>
          </w:p>
        </w:tc>
        <w:tc>
          <w:tcPr>
            <w:tcW w:w="786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Survival.</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4" w:right="35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86"/>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7.16.</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No Prejudice to Claims.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7.17.</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Return of Confidential Information.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59"/>
        </w:trPr>
        <w:tc>
          <w:tcPr>
            <w:tcW w:w="9260" w:type="dxa"/>
            <w:vAlign w:val="bottom"/>
            <w:gridSpan w:val="3"/>
          </w:tcPr>
          <w:p>
            <w:pPr>
              <w:spacing w:after="0"/>
              <w:rPr>
                <w:sz w:val="20"/>
                <w:szCs w:val="20"/>
                <w:color w:val="auto"/>
              </w:rPr>
            </w:pPr>
            <w:r>
              <w:rPr>
                <w:rFonts w:ascii="Times New Roman" w:cs="Times New Roman" w:eastAsia="Times New Roman" w:hAnsi="Times New Roman"/>
                <w:sz w:val="22"/>
                <w:szCs w:val="22"/>
                <w:color w:val="0000FF"/>
              </w:rPr>
              <w:t>ARTICLE 8. Costs of the Study.</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59"/>
        </w:trPr>
        <w:tc>
          <w:tcPr>
            <w:tcW w:w="9260" w:type="dxa"/>
            <w:vAlign w:val="bottom"/>
            <w:gridSpan w:val="3"/>
          </w:tcPr>
          <w:p>
            <w:pPr>
              <w:spacing w:after="0"/>
              <w:rPr>
                <w:sz w:val="20"/>
                <w:szCs w:val="20"/>
                <w:color w:val="auto"/>
              </w:rPr>
            </w:pPr>
            <w:r>
              <w:rPr>
                <w:rFonts w:ascii="Times New Roman" w:cs="Times New Roman" w:eastAsia="Times New Roman" w:hAnsi="Times New Roman"/>
                <w:sz w:val="22"/>
                <w:szCs w:val="22"/>
                <w:color w:val="0000FF"/>
              </w:rPr>
              <w:t>ARTICLE 9. Supply and Use of Compounds.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59"/>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w w:val="99"/>
              </w:rPr>
              <w:t>Section 9.1.</w:t>
            </w:r>
          </w:p>
        </w:tc>
        <w:tc>
          <w:tcPr>
            <w:tcW w:w="720" w:type="dxa"/>
            <w:vAlign w:val="bottom"/>
          </w:tcPr>
          <w:p>
            <w:pPr>
              <w:spacing w:after="0"/>
              <w:rPr>
                <w:sz w:val="24"/>
                <w:szCs w:val="24"/>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Supply of Novartis Compound.</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59"/>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w w:val="99"/>
              </w:rPr>
              <w:t>Section 9.2.</w:t>
            </w:r>
          </w:p>
        </w:tc>
        <w:tc>
          <w:tcPr>
            <w:tcW w:w="720" w:type="dxa"/>
            <w:vAlign w:val="bottom"/>
          </w:tcPr>
          <w:p>
            <w:pPr>
              <w:spacing w:after="0"/>
              <w:rPr>
                <w:sz w:val="24"/>
                <w:szCs w:val="24"/>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Delivery of Novartis Compound.</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59"/>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w w:val="99"/>
              </w:rPr>
              <w:t>Section 9.3.</w:t>
            </w:r>
          </w:p>
        </w:tc>
        <w:tc>
          <w:tcPr>
            <w:tcW w:w="720" w:type="dxa"/>
            <w:vAlign w:val="bottom"/>
          </w:tcPr>
          <w:p>
            <w:pPr>
              <w:spacing w:after="0"/>
              <w:rPr>
                <w:sz w:val="24"/>
                <w:szCs w:val="24"/>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Labeling and Packaging; Use, Handling and Storage.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59"/>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w w:val="99"/>
              </w:rPr>
              <w:t>Section 9.4.</w:t>
            </w:r>
          </w:p>
        </w:tc>
        <w:tc>
          <w:tcPr>
            <w:tcW w:w="720" w:type="dxa"/>
            <w:vAlign w:val="bottom"/>
          </w:tcPr>
          <w:p>
            <w:pPr>
              <w:spacing w:after="0"/>
              <w:rPr>
                <w:sz w:val="24"/>
                <w:szCs w:val="24"/>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Changes to Manufacturing.</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459"/>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w w:val="99"/>
              </w:rPr>
              <w:t>Section 9.5.</w:t>
            </w:r>
          </w:p>
        </w:tc>
        <w:tc>
          <w:tcPr>
            <w:tcW w:w="720" w:type="dxa"/>
            <w:vAlign w:val="bottom"/>
          </w:tcPr>
          <w:p>
            <w:pPr>
              <w:spacing w:after="0"/>
              <w:rPr>
                <w:sz w:val="24"/>
                <w:szCs w:val="24"/>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Product Testing; Noncompliance.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459"/>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w w:val="99"/>
              </w:rPr>
              <w:t>Section 9.6.</w:t>
            </w:r>
          </w:p>
        </w:tc>
        <w:tc>
          <w:tcPr>
            <w:tcW w:w="720" w:type="dxa"/>
            <w:vAlign w:val="bottom"/>
          </w:tcPr>
          <w:p>
            <w:pPr>
              <w:spacing w:after="0"/>
              <w:rPr>
                <w:sz w:val="24"/>
                <w:szCs w:val="24"/>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Resolution of Discrepancies.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w w:val="99"/>
              </w:rPr>
              <w:t>Section 9.7.</w:t>
            </w:r>
          </w:p>
        </w:tc>
        <w:tc>
          <w:tcPr>
            <w:tcW w:w="720" w:type="dxa"/>
            <w:vAlign w:val="bottom"/>
          </w:tcPr>
          <w:p>
            <w:pPr>
              <w:spacing w:after="0"/>
              <w:rPr>
                <w:sz w:val="24"/>
                <w:szCs w:val="24"/>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Investigations.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w w:val="99"/>
              </w:rPr>
              <w:t>Section 9.8.</w:t>
            </w:r>
          </w:p>
        </w:tc>
        <w:tc>
          <w:tcPr>
            <w:tcW w:w="720" w:type="dxa"/>
            <w:vAlign w:val="bottom"/>
          </w:tcPr>
          <w:p>
            <w:pPr>
              <w:spacing w:after="0"/>
              <w:rPr>
                <w:sz w:val="24"/>
                <w:szCs w:val="24"/>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Shortage; Allocation.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w w:val="99"/>
              </w:rPr>
              <w:t>Section 9.9.</w:t>
            </w:r>
          </w:p>
        </w:tc>
        <w:tc>
          <w:tcPr>
            <w:tcW w:w="720" w:type="dxa"/>
            <w:vAlign w:val="bottom"/>
          </w:tcPr>
          <w:p>
            <w:pPr>
              <w:spacing w:after="0"/>
              <w:rPr>
                <w:sz w:val="24"/>
                <w:szCs w:val="24"/>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Manufacturing Records.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9.10.</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Quality.</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9.11.</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Audits and Inspections.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9.12.</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Recalls.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9.13.</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VAT; Customs Duties.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0000FF"/>
                <w:w w:val="98"/>
              </w:rPr>
              <w:t>ARTICLE 10.</w:t>
            </w:r>
          </w:p>
        </w:tc>
        <w:tc>
          <w:tcPr>
            <w:tcW w:w="8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0000FF"/>
              </w:rPr>
              <w:t>Confidentiality.</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10.1.</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Treatment of Confidential Information.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10.2.</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Jointly Owned Confidential Information.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10.3.</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Disclosure of Confidential Information.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10.4.</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Confidential Information with Personal Data.</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0000FF"/>
                <w:w w:val="98"/>
              </w:rPr>
              <w:t>ARTICLE 11.</w:t>
            </w:r>
          </w:p>
        </w:tc>
        <w:tc>
          <w:tcPr>
            <w:tcW w:w="8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0000FF"/>
              </w:rPr>
              <w:t>Intellectual Property.</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11.1.</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Joint Inventions and Patent Prosecution.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11.2.</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Olema Inventions.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11.3.</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Novartis Inventions.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59"/>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11.4.</w:t>
            </w:r>
          </w:p>
        </w:tc>
        <w:tc>
          <w:tcPr>
            <w:tcW w:w="7280" w:type="dxa"/>
            <w:vAlign w:val="bottom"/>
          </w:tcPr>
          <w:p>
            <w:pPr>
              <w:ind w:left="620"/>
              <w:spacing w:after="0"/>
              <w:rPr>
                <w:sz w:val="20"/>
                <w:szCs w:val="20"/>
                <w:color w:val="auto"/>
              </w:rPr>
            </w:pPr>
            <w:r>
              <w:rPr>
                <w:rFonts w:ascii="Times New Roman" w:cs="Times New Roman" w:eastAsia="Times New Roman" w:hAnsi="Times New Roman"/>
                <w:sz w:val="22"/>
                <w:szCs w:val="22"/>
                <w:color w:val="0000FF"/>
              </w:rPr>
              <w:t>Mutual Freedom to Operate for Combination Inventions.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4" w:right="35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86"/>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11.5.</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No Transfer of Proprietary Rights Not Specified.</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59"/>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12. Reprints and Rights of Cross-Reference.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13. Press Releases and Publications.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13.1.</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No Public Announcements.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13.2.</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Registration of Clinical Trial.</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13.3.</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Review of Materials.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13.4.</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Acknowledgments.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59"/>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14. General Representations and Warranties; Disclaimers.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14.1.</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General Representations.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14.2.</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No Guaranteed Results.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14.3.</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Anti-Corruption.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14.4.</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Compliance.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14.5.</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NO OTHER REPRESENTATIONS AND WARRANTIES.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459"/>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15. Insurance; Indemnification; Limitation of Liability.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15.1.</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Insurance.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15.2.</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Indemnification.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15.3.</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Study Subjects.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15.4.</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LIMITATION OF LIABILITY.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59"/>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0000FF"/>
              </w:rPr>
              <w:t>ARTICLE 16. Data Privacy</w:t>
            </w:r>
          </w:p>
        </w:tc>
        <w:tc>
          <w:tcPr>
            <w:tcW w:w="68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16.1.</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Definitions.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16.2.</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Disclosure of Data.</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16.3.</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Controller.</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16.4.</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Compliance with Law:</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16.5.</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Restrictions.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16.6.</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Data Controller.</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0000FF"/>
                <w:w w:val="99"/>
              </w:rPr>
              <w:t>ARTICLE 17. Miscellaneous</w:t>
            </w:r>
          </w:p>
        </w:tc>
        <w:tc>
          <w:tcPr>
            <w:tcW w:w="68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25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17.1.</w:t>
            </w:r>
          </w:p>
        </w:tc>
        <w:tc>
          <w:tcPr>
            <w:tcW w:w="682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Use of Name.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4" w:right="35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86"/>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17.2.</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Force Majeure.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17.3.</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Entire Agreement; Modification.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17.4.</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Prevailing Terms.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17.5.</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Assignment and Sub-Contracting.</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17.6.</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Invalid Provision.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17.7.</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No Additional Obligations.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17.8.</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Dispute Resolution and Jurisdiction.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17.9.</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17.10.</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Relationship of the Parties.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17.11.</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Further Assurances.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17.12.</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Extension to Affiliates.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17.13.</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English Language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459"/>
        </w:trPr>
        <w:tc>
          <w:tcPr>
            <w:tcW w:w="20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0000FF"/>
              </w:rPr>
              <w:t>Section 17.14.</w:t>
            </w:r>
          </w:p>
        </w:tc>
        <w:tc>
          <w:tcPr>
            <w:tcW w:w="7360" w:type="dxa"/>
            <w:vAlign w:val="bottom"/>
          </w:tcPr>
          <w:p>
            <w:pPr>
              <w:ind w:left="580"/>
              <w:spacing w:after="0"/>
              <w:rPr>
                <w:sz w:val="20"/>
                <w:szCs w:val="20"/>
                <w:color w:val="auto"/>
              </w:rPr>
            </w:pPr>
            <w:r>
              <w:rPr>
                <w:rFonts w:ascii="Times New Roman" w:cs="Times New Roman" w:eastAsia="Times New Roman" w:hAnsi="Times New Roman"/>
                <w:sz w:val="22"/>
                <w:szCs w:val="22"/>
                <w:color w:val="0000FF"/>
              </w:rPr>
              <w:t>Counterparts and Due Execution.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459"/>
        </w:trPr>
        <w:tc>
          <w:tcPr>
            <w:tcW w:w="93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Appendix A PROTOCOL SYNOPSIS; PROTOCOL</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459"/>
        </w:trPr>
        <w:tc>
          <w:tcPr>
            <w:tcW w:w="93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Appendix B MINIMUM INFORMATION SECURITY MANAGEMENT STANDARDS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459"/>
        </w:trPr>
        <w:tc>
          <w:tcPr>
            <w:tcW w:w="93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Appendix C SUPPLY OF COMPOUNDS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459"/>
        </w:trPr>
        <w:tc>
          <w:tcPr>
            <w:tcW w:w="93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Appendix D DATA SHARING AGREEMENT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459"/>
        </w:trPr>
        <w:tc>
          <w:tcPr>
            <w:tcW w:w="93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Appendix E LIST OF PRE-APPROVED COUNTRIES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4" w:right="35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22"/>
          <w:szCs w:val="22"/>
          <w:b w:val="1"/>
          <w:bCs w:val="1"/>
          <w:color w:val="auto"/>
        </w:rPr>
        <w:t>CLINICAL TRIAL COLLABORATION AND SUPPLY AGREEMENT</w:t>
      </w:r>
    </w:p>
    <w:p>
      <w:pPr>
        <w:spacing w:after="0" w:line="206" w:lineRule="exact"/>
        <w:rPr>
          <w:sz w:val="20"/>
          <w:szCs w:val="20"/>
          <w:color w:val="auto"/>
        </w:rPr>
      </w:pPr>
    </w:p>
    <w:p>
      <w:pPr>
        <w:jc w:val="both"/>
        <w:ind w:right="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CLINICAL TRIAL COLLABORATION AND SUPPLY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made as of November 29, 2024 (the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xml:space="preserve">”), is entered into by and between </w:t>
      </w:r>
      <w:r>
        <w:rPr>
          <w:rFonts w:ascii="Times New Roman" w:cs="Times New Roman" w:eastAsia="Times New Roman" w:hAnsi="Times New Roman"/>
          <w:sz w:val="22"/>
          <w:szCs w:val="22"/>
          <w:b w:val="1"/>
          <w:bCs w:val="1"/>
          <w:color w:val="auto"/>
        </w:rPr>
        <w:t>Olema Pharmaceuticals, Inc.</w:t>
      </w:r>
      <w:r>
        <w:rPr>
          <w:rFonts w:ascii="Times New Roman" w:cs="Times New Roman" w:eastAsia="Times New Roman" w:hAnsi="Times New Roman"/>
          <w:sz w:val="22"/>
          <w:szCs w:val="22"/>
          <w:color w:val="auto"/>
        </w:rPr>
        <w:t>, a Delaware corporation, having a place of business at 780 Brannan Street, San Francisco, CA 94103 (“</w:t>
      </w:r>
      <w:r>
        <w:rPr>
          <w:rFonts w:ascii="Times New Roman" w:cs="Times New Roman" w:eastAsia="Times New Roman" w:hAnsi="Times New Roman"/>
          <w:sz w:val="22"/>
          <w:szCs w:val="22"/>
          <w:b w:val="1"/>
          <w:bCs w:val="1"/>
          <w:u w:val="single" w:color="auto"/>
          <w:color w:val="auto"/>
        </w:rPr>
        <w:t>Olema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Novartis Pharma AG</w:t>
      </w:r>
      <w:r>
        <w:rPr>
          <w:rFonts w:ascii="Times New Roman" w:cs="Times New Roman" w:eastAsia="Times New Roman" w:hAnsi="Times New Roman"/>
          <w:sz w:val="22"/>
          <w:szCs w:val="22"/>
          <w:color w:val="auto"/>
        </w:rPr>
        <w:t>, having a place of business at Lichtstrasse 35, 4056 Basel, Switzerland (“</w:t>
      </w:r>
      <w:r>
        <w:rPr>
          <w:rFonts w:ascii="Times New Roman" w:cs="Times New Roman" w:eastAsia="Times New Roman" w:hAnsi="Times New Roman"/>
          <w:sz w:val="22"/>
          <w:szCs w:val="22"/>
          <w:b w:val="1"/>
          <w:bCs w:val="1"/>
          <w:u w:val="single" w:color="auto"/>
          <w:color w:val="auto"/>
        </w:rPr>
        <w:t>Novartis</w:t>
      </w:r>
      <w:r>
        <w:rPr>
          <w:rFonts w:ascii="Times New Roman" w:cs="Times New Roman" w:eastAsia="Times New Roman" w:hAnsi="Times New Roman"/>
          <w:sz w:val="22"/>
          <w:szCs w:val="22"/>
          <w:color w:val="auto"/>
        </w:rPr>
        <w:t>”). Novartis and Olema are each referred to herein individually as a “</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u w:val="single" w:color="auto"/>
          <w:color w:val="auto"/>
        </w:rPr>
        <w:t>Parties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right="20" w:firstLine="757"/>
        <w:spacing w:after="0" w:line="258" w:lineRule="auto"/>
        <w:tabs>
          <w:tab w:leader="none" w:pos="118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is developing and commercializing the Novartis Compound (as defined below) for the treatment of certain types of cancers.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Olema is developing the Olema Compound (as defined below) for the treatment of certain types of cancers.</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Olema desires to sponsor a clinical trial having two arms whereby (1) in a first arm, the Olema Compound and the Novartis Compound would be dosed concomitantly or sequentially, and (2) in a second arm, the Novartis Compound and Letrozole® would be dosed concomitantly or sequentially.</w:t>
      </w:r>
    </w:p>
    <w:p>
      <w:pPr>
        <w:spacing w:after="0" w:line="173"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and Olema desire to collaborate as more fully described herein, including for Novartis to provide the Novartis Compound to Olema for use in the Study (as defined below).</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of the following mutual promises, covenants and conditions, the Parties, intending to be legally bound, mutually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CONSTRUCTION.</w:t>
      </w:r>
    </w:p>
    <w:p>
      <w:pPr>
        <w:spacing w:after="0" w:line="17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all purposes of this Agreement, the capitalized terms defined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throughout this Agreement have the meanings herein specified.</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Acquisition Proposal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offer, proposal or indication of interest (in writing or otherwise) from any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relating to an Olema Change of Control.</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Acquisition Proposal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Adverse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untoward medical occurrence in a patient or clinical investigation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administered a pharmaceutical product or any other medicinal product and which does not necessarily have to have a causal relationship with this treatment. An AE can therefore be any unfavorable and unintended sign (including an abnormal laboratory finding, for example), symptom, or disease temporarily associated with the use of a medicinal product, whether considered related to the medicinal (investigational) product.</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with respect to any Person, any other Person that now or hereinafter controls, is controlled by, or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common control with, such Person. For purposes of this definition, “</w:t>
      </w:r>
      <w:r>
        <w:rPr>
          <w:rFonts w:ascii="Times New Roman" w:cs="Times New Roman" w:eastAsia="Times New Roman" w:hAnsi="Times New Roman"/>
          <w:sz w:val="22"/>
          <w:szCs w:val="22"/>
          <w:b w:val="1"/>
          <w:bCs w:val="1"/>
          <w:u w:val="single" w:color="auto"/>
          <w:color w:val="auto"/>
        </w:rPr>
        <w:t>control</w:t>
      </w:r>
      <w:r>
        <w:rPr>
          <w:rFonts w:ascii="Times New Roman" w:cs="Times New Roman" w:eastAsia="Times New Roman" w:hAnsi="Times New Roman"/>
          <w:sz w:val="22"/>
          <w:szCs w:val="22"/>
          <w:color w:val="auto"/>
        </w:rPr>
        <w:t>” means direct or indirect ownership of at least fifty percent (50%) of the shares of stock entitled to vote for the election of directors, in the case of a corporation, or fifty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0" w:name="page251"/>
    <w:bookmarkEnd w:id="250"/>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percent (50%) or more of the equity interest, in the case of any other type of legal entity, status as a general partner in any partnership or any other arrangement whereby the Person controls or has the right to control the board of directors or equivalent governing body of a corporation or other entity, or the ability to direct the management and policies of a corporation or other entity. The Parties acknowledge that, in the case of entities organized under the laws of certain countries where the maximum percentage ownership permitted by law for a foreign investor is less than fifty percent (50%), such lower percentage shall be substituted in the preceding sentence;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foreign investor has the power to direct the management and policies of such entity.</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(1) this Clinical Trial Collaboration and Supply Agreement, including the Appendices attached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and (2) the Related Agreements, including any Appendices attached thereto, in each case as they may be amended from time to time after the Effective Date.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Alliance Manager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all federal, state, local, national and regional laws applicable to the activities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performance of clinical trials, medical treatment, the processing and protection of Personal Data or medical data (such as those specified in the regulations issued under GDPR, CCPA or HIPAA), and the manufacture, processing, distribution of the Compounds, as may be amended and in effect from time to time, including the United States Federal Food, Drug and Cosmetic Act (21 U.S.C. 301) and all applicable federal, state and local laws and regulations, all applicable cGMP and GCP and all other applicable laws and regulations, of any other applicable jurisdiction, including guidelines issued by the International Federation of Pharmaceutical Manufacturers and Associations, and including export control and economic sanctions regulations which prohibit the shipment of United States-origin products and technology to certain restricted countries, entities and individuals; anti-bribery and anti-corruption laws pertaining to interactions with government agents, officials and representatives, including the FCPA, the UK Bribery Act; laws and regulations governing payments to healthcare providers and similar maters, including requirements of the International Federation of Pharmaceutical Manufacturers and Associations; and any United States or other country’s or jurisdiction’s successor or replacement statutes, laws, rules, regulations and directives relating to the foregoing. Without limiting the generality of the foregoing, “Applicable Law” includes (a) the Physician Payment Sunshine Act and similar state gift laws applicable to the activities hereunder, and (b) the European Federation of Pharmaceutical Industries and Associations Disclosure Code of Transfers of Value.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Assay Results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3.6.2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Background Intellectual Property or “Background 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Patents and Know-How owned or Controlled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or any of its Affiliates (a) as of the Effective Date, or (b) after the Effective Date independent of this Agreement.</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day other than a Saturday, Sunday or any public or federal holiday on which commercial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banks located in New York, NY, Cambridge, MA, or Basel, Switzerland are authorized or obligated by law to be closed;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none of December 24 through December 31 or January 1 through January 2 shall constitute a Business Day.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1" w:name="page252"/>
    <w:bookmarkEnd w:id="251"/>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Calendar Quarter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respective periods of three (3) consecutive calendar months ending on March 31, June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30, September 30 or December 31 during the Term or the applicable part thereof during the first or last calendar quarter of the Term.</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CCPA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California Consumer Privacy Act of 2018, as amended from time to time.</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cGMP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current Good Manufacturing Practices officially published and interpreted by EMA, FDA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Regulatory Authorities that may be in effect from time to time and are applicable to the Manufacture of the Compounds.</w:t>
      </w:r>
    </w:p>
    <w:p>
      <w:pPr>
        <w:spacing w:after="0" w:line="16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with respect to a Party, a transaction or series of related transactions with a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Party(ies) involving: (i) the acquisition, merger, reorganization, combination or consolidation, directly or indirectly, of such Party that results in the beneficial owners of the voting securities or other voting interests of such Party immediately prior to such transaction, directly or indirectly, as applicable, ceasing to hold beneficial ownership of at least fifty percent (50%) of the combined voting power of the surviving or continuing company or the applicable parent of the surviving or continuing entity immediately after such transaction; (ii) the sale or transfer to a Third Party of assets (including equity interests of any Subsidiary) or business of such Party or its Subsidiary(ies) representing fifty percent (50%) or more of the such Party’s consolidated assets or to which fifty percent (50%) or more of such Party’s revenues or net income on a consolidated basis are attributable; or (iii) a person, or group of persons acting in concert, acquires fifty percent (50%) or more of the voting equity securities or management control of such Party.</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Clinical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all data (including raw data) and results generated under the Study, including all efficacy, safety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(including any patient reported outcome), tolerability, biomarker information, pharmacokinetics and anti-drug antibody data, and all reports submitted by Study site(s) to Olema pursuant to the Study;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the term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Clinical Data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excludes medical records of Study subjects. Clinical Data may include Personal Data.</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Clinical Hold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that (a) the FDA has issued an order pursuant to 21 CFR §312.42 to delay a proposed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investigation or to suspend an ongoing clinical investigation of a Combination or a Compound in the United States or (b) a Regulatory Authority other than the FDA has issued an equivalent order to that set forth in (a) in any other country or group of countries.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Clinical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study in which human subjects or patients are dosed with a drug, whether approved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investigational, including any Phase I Clinical Study, Phase II Clinical Study, Phase III Clinical Study, pivotal study, phase IV study or compassionate use program inclusive of pre-approval access programs.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CMC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Chemistry Manufacturing and Controls.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CMC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complete CMC components of the Clinical Trial Application (CTA) for the Novartis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Compound.</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Combination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combination of either (i) the Novartis Compound and the Olema Compound (the “</w:t>
      </w:r>
      <w:r>
        <w:rPr>
          <w:rFonts w:ascii="Times New Roman" w:cs="Times New Roman" w:eastAsia="Times New Roman" w:hAnsi="Times New Roman"/>
          <w:sz w:val="22"/>
          <w:szCs w:val="22"/>
          <w:b w:val="1"/>
          <w:bCs w:val="1"/>
          <w:u w:val="single" w:color="auto"/>
          <w:color w:val="auto"/>
        </w:rPr>
        <w:t>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Combination</w:t>
      </w:r>
      <w:r>
        <w:rPr>
          <w:rFonts w:ascii="Times New Roman" w:cs="Times New Roman" w:eastAsia="Times New Roman" w:hAnsi="Times New Roman"/>
          <w:sz w:val="22"/>
          <w:szCs w:val="22"/>
          <w:color w:val="auto"/>
        </w:rPr>
        <w:t>”), or (ii) the Novartis Compound and Letrozole (the “</w:t>
      </w:r>
      <w:r>
        <w:rPr>
          <w:rFonts w:ascii="Times New Roman" w:cs="Times New Roman" w:eastAsia="Times New Roman" w:hAnsi="Times New Roman"/>
          <w:sz w:val="22"/>
          <w:szCs w:val="22"/>
          <w:b w:val="1"/>
          <w:bCs w:val="1"/>
          <w:u w:val="single" w:color="auto"/>
          <w:color w:val="auto"/>
        </w:rPr>
        <w:t>Letrozole Combination</w:t>
      </w:r>
      <w:r>
        <w:rPr>
          <w:rFonts w:ascii="Times New Roman" w:cs="Times New Roman" w:eastAsia="Times New Roman" w:hAnsi="Times New Roman"/>
          <w:sz w:val="22"/>
          <w:szCs w:val="22"/>
          <w:color w:val="auto"/>
        </w:rPr>
        <w:t>”), and the use or method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concomitant or sequential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2"/>
          <w:szCs w:val="22"/>
          <w:color w:val="auto"/>
        </w:rPr>
        <w:t>administration of the Compounds identified in clause (i) or the Compounds identified in clause (ii).</w:t>
      </w:r>
    </w:p>
    <w:p>
      <w:pPr>
        <w:spacing w:after="0" w:line="20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Commercialize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Commercializing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to market, promote, distribute, offer for sale, sell, have sold, import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export for commercial purposes or otherwise commercialize a pharmaceutical or biologic product; (b) to conduct activities, other than Research, Development and Manufacturing, in preparation for the foregoing activities, including obtaining pricing and reimbursement approval; or (c) to conduct post-Regulatory Approval studies (including without limitation Clinical Studies). When used as a noun,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Commercialization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any activities involved in Commercializing.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Commercialization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excludes Research, Development and Manufacturing.</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Compound</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means any one of the Novartis Compound, the Olema Compound or Letrozole. Compounds means two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more of the Olema Compound, the Novartis Compound and Letrozole, as applicable.</w:t>
      </w:r>
    </w:p>
    <w:p>
      <w:pPr>
        <w:spacing w:after="0" w:line="15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Confidential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information, Know-How or other proprietary information or materials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furnished to one Party by the other Party pursuant to this Agreement, except to the extent that receiving Party can demonstrate by contemporaneous tangible records or other competent proof that such information or materials: (a) was already known to the receiving Party, other than under an obligation of confidentiality, at the time of disclosure by the other Party; (b) was generally available to the public or otherwise part of the public domain at the time of its disclosure to the receiving Party; (c) became generally available to the public or otherwise part of the public domain after its disclosure and other than through any act or omission of the receiving Party in breach of this Agreement; (d) was disclosed to the receiving Party by a Third Party who had no obligation to the disclosing Party not to disclose such information to others; or (e) was independently developed by the receiving Party without use or reference to the Confidential Information of the other Party. For the avoidance of doubt and without limiting the generality of the foregoing, Confidential Information includes the Clinical Data, Assay Results and Sample Results, all of which are and shall be the Confidential Information of both Novartis and Olema.</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For the avoidance of doubt, any information relating to the Study or the Parties respective rights or obligations under this Agreement previously disclosed by the Parties pursuant to the Confidentiality Agreement entered into by the Parties on [***] (as amended from time to time,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CDA</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is and shall be Confidential Information under this Agreement, and as of the Effective Date shall be subject to the terms of this Agreement (including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hereof), and shall no longer be subject to the CDA.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Continuing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Covering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with respect to a particular Patent claim and a particular technology or product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component thereof), that the practice by an unauthorized Person of such product, component or technology (including the manufacture, use, offer for sale, sale or importation of such technology, product or component thereof) would infringe such Patent claim and, for purposes of determining such infringement, considering claims of pending patent applications as if they have already been issued.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CRO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Third Party contract research organization used to conduct or assist in the conduct of the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laboratories and Third Parties used to maintain the safety database from the Study, but, for clarity, excluding the Trial Sites.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3" w:name="page254"/>
    <w:bookmarkEnd w:id="253"/>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application to a Regulatory Authority for purposes of requesting the ability to start or continue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clinical trial.</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Data Protection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all worldwide data protection and privacy laws, rules, regulations, and orders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or subdivision thereof relating to the privacy, security, confidentiality or integrity of Personal Data, including the EU Data Protection Law and HIPAA.</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Data Room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6.1.2</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Data Sharing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data sharing/processing agreement entered into between the Parties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substantially the same form as set forth in Appendix 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Defending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15.2.3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Develop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Developing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to conduct or have conducted nonclinical and clinical drug development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whether before or after Regulatory Approval, including with respect to drug metabolism, toxicology, pharmacology, test method development, conduct of in vitro and animal studies, stability testing, process and packaging development and improvement, process validation, process scale-up, formulation development, delivery system development, quality assurance and quality control development, statistical analysis, conduct of Clinical Studies, regulatory affairs, the preparation and submission of Regulatory Documentation, Clinical Study regulatory activities, and any other activities directed towards obtaining Regulatory Approval of a product (but excluding for clarity and pharmacokinetics and translational research). When used as a noun,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activities involved in Developing.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excludes Research, Commercialization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Dispute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17.8.1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 the preamble.</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EMA</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means the European Medicines Agency, or a successor Regulatory Authority thereto having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responsibilities with respect to pharmaceutical products.</w:t>
      </w:r>
    </w:p>
    <w:p>
      <w:pPr>
        <w:spacing w:after="0" w:line="150" w:lineRule="exact"/>
        <w:rPr>
          <w:sz w:val="20"/>
          <w:szCs w:val="20"/>
          <w:color w:val="auto"/>
        </w:rPr>
      </w:pPr>
    </w:p>
    <w:p>
      <w:pPr>
        <w:jc w:val="both"/>
        <w:ind w:right="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EU Data Protection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(i) the GDPR; (ii) the EU e-Privacy Directive (Directive 2002/58/EC); and (iii)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applicable national data protection laws made under or pursuant to (i) or (ii); in each case as may be amended or superseded from time to time.</w:t>
      </w:r>
    </w:p>
    <w:p>
      <w:pPr>
        <w:spacing w:after="0" w:line="167" w:lineRule="exact"/>
        <w:rPr>
          <w:sz w:val="20"/>
          <w:szCs w:val="20"/>
          <w:color w:val="auto"/>
        </w:rPr>
      </w:pPr>
    </w:p>
    <w:p>
      <w:pPr>
        <w:ind w:left="120" w:right="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Executive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(i) with respect to Olema, its [***] (or designee), and (ii) with respect to Novartis,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(or designee).</w:t>
      </w:r>
    </w:p>
    <w:p>
      <w:pPr>
        <w:spacing w:after="0" w:line="150" w:lineRule="exact"/>
        <w:rPr>
          <w:sz w:val="20"/>
          <w:szCs w:val="20"/>
          <w:color w:val="auto"/>
        </w:rPr>
      </w:pPr>
    </w:p>
    <w:p>
      <w:pPr>
        <w:jc w:val="both"/>
        <w:ind w:right="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Exploit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Exploiting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to make, have made, import, use, sell, offer for sale, Research, Develop, Manufacture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Commercialize or have others do the same. When used as a noun,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Exploitation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any activities involved in Exploiting.</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FCPA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14.3.1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4" w:name="page255"/>
    <w:bookmarkEnd w:id="254"/>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FDA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United States Food and Drug Administration or any successor entity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Filing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GDPR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Regulation (EU) 2016/679 of the European Parliament and of the Council of 27 April 2016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protection of natural persons with respect to the processing of Personal Data and on the free movement of such data, and any implementing directive or related legislation, rule, regulation, and regulatory guidance, as amended, extended, repealed and replaced, or re-enacted from time-to-time.</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Good Clinical Practices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GCP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as to the United States and the European Union, applicable good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practices as in effect in the United States and the European Union, respectively, during the Term and, with respect to any other jurisdiction, clinical practices equivalent to good clinical practices as then in effect in the United States or the European Union. Good Clinical Practices for the United States or the European Union include, the Good Clinical Practices officially published by EMA, FDA and the International Conference on Harmonisation of Technical Requirements for Registration of Pharmaceuticals for Human Use (ICH), as in effect from time to time and applicable to the testing of Novartis Compound, the Olema Compound or Letrozole.</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Good Laboratory Practices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GLP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as to the United States and the European Union, applicable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laboratory practices as in effect in the United States and the European Union, respectively, during the Term and, with respect to any other jurisdiction, laboratory practices equivalent to good laboratory practices as then in effect in the United States or the European Union.</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Good Manufacturing Practices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GMP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as to the United States and the European Union, applicable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manufacturing practices as in effect in the United States and the European Union, respectively, during the Term and, with respect to any other jurisdiction, manufacturing practices equivalent to good manufacturing practices as then in effect in the United States or the European Union.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Government Official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(i) any officer or employee of: (a) a government, or any department or agency thereof;</w:t>
      </w:r>
    </w:p>
    <w:p>
      <w:pPr>
        <w:spacing w:after="0" w:line="30" w:lineRule="exact"/>
        <w:rPr>
          <w:sz w:val="20"/>
          <w:szCs w:val="20"/>
          <w:color w:val="auto"/>
        </w:rPr>
      </w:pPr>
    </w:p>
    <w:p>
      <w:pPr>
        <w:jc w:val="both"/>
        <w:ind w:firstLine="8"/>
        <w:spacing w:after="0" w:line="234" w:lineRule="auto"/>
        <w:tabs>
          <w:tab w:leader="none" w:pos="307"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government-owned or controlled company, institution, or other entity, including a government-owned hospital or university; or (c) a public international organization (such as the United Nations, the International Monetary Fund, the International Committee of the Red Cross, and the World Health Organization), or any department or agency thereof; and (ii) any person acting in an official capacity on behalf of any of the foregoing.</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Governmental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national, international, federal, state, provincial or local government, or political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subdivision thereof, any multinational organization or any authority, agency or commission entitled to exercise any administrative, executive, judicial, legislative, police, regulatory or taxing authority or power, any court or any tribunal (or any department, bureau or division thereof, or any governmental arbitrator or arbitral body).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HIPAA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United States Health Insurance Portability and Accountability Act of 1996, as amended from time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ICF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5" w:name="page256"/>
    <w:bookmarkEnd w:id="255"/>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an Investigational New Drug Application as defined in the United States Food, Drug and Cosmetic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as amended, and regulations promulgated thereunder, or any successor application or procedure required to initiate clinical testing of a drug in humans in the United States, (b) a counterpart of such an Investigational New Drug Application that is required in any other country before beginning clinical testing of a drug in humans in such country, including, for clarity, a “</w:t>
      </w:r>
      <w:r>
        <w:rPr>
          <w:rFonts w:ascii="Times New Roman" w:cs="Times New Roman" w:eastAsia="Times New Roman" w:hAnsi="Times New Roman"/>
          <w:sz w:val="22"/>
          <w:szCs w:val="22"/>
          <w:b w:val="1"/>
          <w:bCs w:val="1"/>
          <w:u w:val="single" w:color="auto"/>
          <w:color w:val="auto"/>
        </w:rPr>
        <w:t>Clinical Trial Application</w:t>
      </w:r>
      <w:r>
        <w:rPr>
          <w:rFonts w:ascii="Times New Roman" w:cs="Times New Roman" w:eastAsia="Times New Roman" w:hAnsi="Times New Roman"/>
          <w:sz w:val="22"/>
          <w:szCs w:val="22"/>
          <w:color w:val="auto"/>
        </w:rPr>
        <w:t>” in the European Union, and (c) all supplements and amendments to any of the foregoing.</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Information Management Policies and Standards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policies and standards to ensure confidentiality, integrity,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availability and protection of Protected Data in each Party’s respective Party Environment. Information Management Policies and Standards includes, at a minimum, the requirements set forth in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(Minimum Information Security Management Standards) and shall follow applicable Security Industry Practice.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Inventions and any Patent Covering such Invention, and Study Know-How.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Internal Compliance Codes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14.4.2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Inventions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all inventions and discoveries, whether patentable, which are made or conceived in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Study or which are made or conceived by a Party through use of the Clinical Data, Samples, Sample Results, or Assay Results.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Joint Intellectual Property</w:t>
      </w:r>
      <w:r>
        <w:rPr>
          <w:rFonts w:ascii="Times New Roman" w:cs="Times New Roman" w:eastAsia="Times New Roman" w:hAnsi="Times New Roman"/>
          <w:sz w:val="22"/>
          <w:szCs w:val="22"/>
          <w:b w:val="1"/>
          <w:bCs w:val="1"/>
          <w:color w:val="auto"/>
        </w:rPr>
        <w:t xml:space="preserve">” or “Joint IP”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Joint Invention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Joint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patent that issues from a Joint Patent Application.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Joint Patent Application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Know-How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proprietary invention, innovation, improvement, development, discovery, computer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device, trade secret, method, know-how, process, technique or the like, including manufacturing, use, process, structural, operational and other related data and information, whether or not written or otherwise fixed in any form or medium, regardless of the media on which contained and whether or not patentable or copyrightable, that is not generally known or otherwise in the public domain.</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Letrozole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small molecule nonsteroidal aromatase inhibitor that is the active ingredient included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sold as Letrozole® or under the brand name Femara® as of the Effective Date.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Letrozole Class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small or large molecule that is a nonsteroidal aromatase inhibitor.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15.2.1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Manufacture</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b w:val="1"/>
          <w:bCs w:val="1"/>
          <w:u w:val="single" w:color="auto"/>
          <w:color w:val="auto"/>
        </w:rPr>
        <w:t>Manufactured</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Manufacturing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to engage in activities related to production,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manufacture, synthesis, processing, filling, finishing, packaging, labeling, shipping and holding of product or any intermediate thereof, including process development, process qualification and validation, scale-up, commercial manufacture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6" w:name="page257"/>
    <w:bookmarkEnd w:id="256"/>
    <w:p>
      <w:pPr>
        <w:jc w:val="both"/>
        <w:spacing w:after="0" w:line="239" w:lineRule="auto"/>
        <w:rPr>
          <w:sz w:val="20"/>
          <w:szCs w:val="20"/>
          <w:color w:val="auto"/>
        </w:rPr>
      </w:pPr>
      <w:r>
        <w:rPr>
          <w:rFonts w:ascii="Times New Roman" w:cs="Times New Roman" w:eastAsia="Times New Roman" w:hAnsi="Times New Roman"/>
          <w:sz w:val="22"/>
          <w:szCs w:val="22"/>
          <w:color w:val="auto"/>
        </w:rPr>
        <w:t>and analytic development, product characterization, stability testing, quality assurance and quality control, including all development activities enabling Regulatory Approval of Manufacturing. When used as a noun, “</w:t>
      </w:r>
      <w:r>
        <w:rPr>
          <w:rFonts w:ascii="Times New Roman" w:cs="Times New Roman" w:eastAsia="Times New Roman" w:hAnsi="Times New Roman"/>
          <w:sz w:val="22"/>
          <w:szCs w:val="22"/>
          <w:b w:val="1"/>
          <w:bCs w:val="1"/>
          <w:i w:val="1"/>
          <w:iCs w:val="1"/>
          <w:color w:val="auto"/>
        </w:rPr>
        <w:t>Manufacturing</w:t>
      </w:r>
      <w:r>
        <w:rPr>
          <w:rFonts w:ascii="Times New Roman" w:cs="Times New Roman" w:eastAsia="Times New Roman" w:hAnsi="Times New Roman"/>
          <w:sz w:val="22"/>
          <w:szCs w:val="22"/>
          <w:color w:val="auto"/>
        </w:rPr>
        <w:t>” means any of the foregoing activities. “</w:t>
      </w:r>
      <w:r>
        <w:rPr>
          <w:rFonts w:ascii="Times New Roman" w:cs="Times New Roman" w:eastAsia="Times New Roman" w:hAnsi="Times New Roman"/>
          <w:sz w:val="22"/>
          <w:szCs w:val="22"/>
          <w:b w:val="1"/>
          <w:bCs w:val="1"/>
          <w:i w:val="1"/>
          <w:iCs w:val="1"/>
          <w:color w:val="auto"/>
        </w:rPr>
        <w:t>Manufacturing</w:t>
      </w:r>
      <w:r>
        <w:rPr>
          <w:rFonts w:ascii="Times New Roman" w:cs="Times New Roman" w:eastAsia="Times New Roman" w:hAnsi="Times New Roman"/>
          <w:sz w:val="22"/>
          <w:szCs w:val="22"/>
          <w:color w:val="auto"/>
        </w:rPr>
        <w:t>” refers to both nonclinical and clinical Manufacturing for Research and Development, and Manufacturing for Commercialization or future business or regulatory requirements.</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Manufacturing Site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facilities where a Compound is Manufactured by or on behalf of a Party, as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Manufacturing Site may change from time to time in accordance with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(Changes to Manufacturing).</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NDA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Non-Conformance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with respect to a given unit of Compound, (i) an event that deviates from an approved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cGMP requirement with respect to the applicable Compound, such as a procedure, Specification, or operating parameter, or that requires an investigation to assess impact to the quality of the applicable Compound or (ii) that such Compound failed to meet the applicable representations and warranties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Classification of a Non-Conformance for the Novartis Compound is detailed in the Quality Agreement.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Non-filing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Novartis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Novartis Class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small or large molecule that is a CDK 4/6 inhibitor.</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Novartis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ribociclib and any drug candidate or product containing such compound, excluding,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however, any generic version of ribociclib other than a generic version owned or controlled by Novartis or its Affiliate.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Novartis Confidential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Olema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Olema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Change of Control of Olema (excluding, for such purposes, an Olema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Olema Class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small molecule estrogen receptor antagonist or selective estrogen receptor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degrader.</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Olema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Olema’s proprietary OP-1250 compound, or metabolite thereof, which inhibits the estrogen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receptor, and any drug candidate or product containing OP-1250 or any metabolite or salt thereof.</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Olema Compound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Olema Compound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the Olema Compound, (b) the Related Compounds, and (c) any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Intellectual Property Rights, including Patents, Covering or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7" w:name="page258"/>
    <w:bookmarkEnd w:id="25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relating to the Olema Compound or the Related Compounds. Olema Compound Assets include the Olema Inventions and Olema’s interest in the Joint Inventions.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Olema Compound 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Opting-out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15.2.3.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 the preamble.</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Party’s Environment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Party’s information technology system or infrastructure managed by or on behalf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Party affiliate or Party sub-contractor accessible to other Party.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Party Specific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14.4.2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all letters patent, certificates of invention, applications for certificates of invention, statutory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 registrations, priority patent filings and patent applications, including provisionals; and (b) any renewal, division, continuation (in whole or in part), or Request for Continued Examination (RCE) of any such patents, certificates of invention, statutory invention registrations and patent applications, and any and all patents or certificates of invention issuing thereon; and</w:t>
      </w:r>
    </w:p>
    <w:p>
      <w:pPr>
        <w:spacing w:after="0" w:line="1" w:lineRule="exact"/>
        <w:rPr>
          <w:sz w:val="20"/>
          <w:szCs w:val="20"/>
          <w:color w:val="auto"/>
        </w:rPr>
      </w:pPr>
    </w:p>
    <w:p>
      <w:pPr>
        <w:ind w:right="20" w:firstLine="8"/>
        <w:spacing w:after="0" w:line="237" w:lineRule="auto"/>
        <w:tabs>
          <w:tab w:leader="none" w:pos="35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reissues, reexaminations, extensions, substitutions, confirmations, registrations, revalidations, revisions, all supplementary protection certificates associated therewith, and additions of or to any of the foregoing.</w:t>
      </w:r>
    </w:p>
    <w:p>
      <w:pPr>
        <w:spacing w:after="0" w:line="174"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Permitted Uses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following activities: (i) seeking Regulatory Approval for the Study or for the use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Compound in the Study, (ii) [***], (iii) [***], (iv) the independent development or commercialization of a Party’s Compound, and (v) [***].</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individual, partnership, limited liability company, firm, corporation, association, trust,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unincorporated organization, Governmental Authority or other entity.</w:t>
      </w:r>
    </w:p>
    <w:p>
      <w:pPr>
        <w:spacing w:after="0" w:line="150" w:lineRule="exact"/>
        <w:rPr>
          <w:sz w:val="20"/>
          <w:szCs w:val="20"/>
          <w:color w:val="auto"/>
        </w:rPr>
      </w:pPr>
    </w:p>
    <w:p>
      <w:pPr>
        <w:jc w:val="both"/>
        <w:ind w:left="120" w:right="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Personal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all information in connection with this Agreement or the Study that relates to a person where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person can be identified, whether directly or indirectly (e.g., a medical insurance number, position in a company or by means of a study code assigned in a clinical trial). For the avoidance of doubt, biological samples identifiable to a person are Personal Data.</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Pharmacovigilance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5.</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Phase I Clinical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human clinical trial of a product, the principal purpose of which is a preliminary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safety in healthy individuals or patients, as described in 21 C.F.R. 312.21(a) (as amended or any replacement thereof).</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Phase II Clinical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human clinical trial of a product, the principal purpose of which is a determination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safety and efficacy in the target patient population, as described in 21 C.F.R. 312.21(b) (as amended or any replacement thereof).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8" w:name="page259"/>
    <w:bookmarkEnd w:id="258"/>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Phase III Clinical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human clinical trial of a product, the design of which is acknowledged by the FDA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sufficient for such clinical trial to satisfy the requirements of 21 C.F.R. 312.21(c) (as amended or any replacement thereof), or a similar human clinical trial, the design of which is acknowledged by the Regulatory Authority in a country or jurisdiction other than the United States to be sufficient for such clinical trial to satisfy the requirements of a pivotal efficacy and safety clinical trial.</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Project Manager(s)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Proposed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Protected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Clinical Data, Confidential Information, Protocol, CMC Data, Know-How,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Specifications and Personal Data.</w:t>
      </w:r>
    </w:p>
    <w:p>
      <w:pPr>
        <w:spacing w:after="0" w:line="150" w:lineRule="exact"/>
        <w:rPr>
          <w:sz w:val="20"/>
          <w:szCs w:val="20"/>
          <w:color w:val="auto"/>
        </w:rPr>
      </w:pPr>
    </w:p>
    <w:p>
      <w:pPr>
        <w:jc w:val="both"/>
        <w:ind w:firstLine="749"/>
        <w:spacing w:after="0" w:line="265" w:lineRule="exact"/>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Protocol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written documentation that describes the Study and sets forth specific activities to be performed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the Study, as it may be amended from time to time in accordance with this Agreement. Once agreed by the Parties and approved by applicable Regulatory Authorities, the Protocol shall be attached to this Agreement as </w:t>
      </w:r>
      <w:r>
        <w:rPr>
          <w:rFonts w:ascii="Times New Roman" w:cs="Times New Roman" w:eastAsia="Times New Roman" w:hAnsi="Times New Roman"/>
          <w:sz w:val="22"/>
          <w:szCs w:val="22"/>
          <w:u w:val="single" w:color="auto"/>
          <w:color w:val="auto"/>
        </w:rPr>
        <w:t>Appendix A-2</w:t>
      </w:r>
      <w:r>
        <w:rPr>
          <w:rFonts w:ascii="Times New Roman" w:cs="Times New Roman" w:eastAsia="Times New Roman" w:hAnsi="Times New Roman"/>
          <w:sz w:val="22"/>
          <w:szCs w:val="22"/>
          <w:color w:val="auto"/>
        </w:rPr>
        <w:t xml:space="preserve">. A synopsis of the Protocol as of the Effective Date is attached to this Agreement as </w:t>
      </w:r>
      <w:r>
        <w:rPr>
          <w:rFonts w:ascii="Times New Roman" w:cs="Times New Roman" w:eastAsia="Times New Roman" w:hAnsi="Times New Roman"/>
          <w:sz w:val="22"/>
          <w:szCs w:val="22"/>
          <w:u w:val="single" w:color="auto"/>
          <w:color w:val="auto"/>
        </w:rPr>
        <w:t>Appendix A</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Quality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Regulatory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and all permissions (other than approvals that are required to Manufacture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Party’s Compound in accordance with Applicable Law) required to be obtained from Regulatory Authorities and any other competent authority for the development, registration, importation and distribution of a Compound in the United States, Europe or other applicable jurisdictions for use in humans.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Regulatory Authorities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FDA or any governmental authority outside the United States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supranational, national, federal, provincial or local) that is the counterpart to the FDA, including the European Medicines Agency for the European Union.</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Related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Pharmacovigilance Agreement, the Data Sharing Agreement (if applicable)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Quality Agreement.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Related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with respect to the Olema Compound, (a) any salt, polymorph, amorphous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clathrates, crystal, cocrystal, deuterated form, prodrug, ester, hydrate, or solvate of the Olema Compound, or (b) any stereoisomer, tautomer or conformer of or metabolite generated by or derived from the Olema Compound or any of the compounds described in clause (a).</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Repayment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product of (a) two hundred and seventy-two million, five hundred ninety-one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thousand, four hundred seventeen US Dollars ($272,591,417) and (b) the quotient obtained by dividing (x) the number of units of Novartis Compound actually supplied to Olema under this Agreement as of immediately prior to the Repayment Trigger Event by (y) [***].</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Repayment Trigger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first to occur of: (i) completion of an Olema Change of Control; (ii) completion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an Olema Compound Transaction with a Third Party; and (iii) termination of this Agreement by Novartis in accordance with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9" w:name="page260"/>
    <w:bookmarkEnd w:id="259"/>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Representatives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with respect to a Person, their employees, directors, officers, sublicensees, subcontractors,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and advisors.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to conduct activities related to the synthesis, discovery, identification, screening, optimization,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design, profiling and characterization of compounds. When used as a noun,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Research</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any activities involved in conducting Research.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Research</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excludes (a) Development; (b) Commercialization; and (c) Manufacturing.</w:t>
      </w:r>
    </w:p>
    <w:p>
      <w:pPr>
        <w:spacing w:after="0" w:line="167" w:lineRule="exact"/>
        <w:rPr>
          <w:sz w:val="20"/>
          <w:szCs w:val="20"/>
          <w:color w:val="auto"/>
        </w:rPr>
      </w:pPr>
    </w:p>
    <w:p>
      <w:pPr>
        <w:jc w:val="both"/>
        <w:ind w:left="760" w:right="4500"/>
        <w:spacing w:after="0" w:line="456"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ROFN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the right of first negotiation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ROFN Election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ROFN Election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ROFN MFN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6.1.3.</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ROFN Negotiation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ROFN Negotiation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ROFN Scope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6.1.3.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ROFO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right of first offer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ROFO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ROFO Option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Samples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urine, blood, tissue, or other bodily fluid samples collected from patients participating in the Study.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Sample Results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SAP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Security Incident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event which may impact confidentiality, integrity or availability of Protected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or the Novartis Environment.</w:t>
      </w:r>
    </w:p>
    <w:p>
      <w:pPr>
        <w:spacing w:after="0" w:line="150" w:lineRule="exact"/>
        <w:rPr>
          <w:sz w:val="20"/>
          <w:szCs w:val="20"/>
          <w:color w:val="auto"/>
        </w:rPr>
      </w:pPr>
    </w:p>
    <w:p>
      <w:pPr>
        <w:jc w:val="both"/>
        <w:ind w:right="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Security Industry Practice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current and applicable practices as defined in the International Organization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Standardization (ISO/IEC) ISO/IEC ISO27001, ISO/IEC 27002:2013, SSAE-18, ISAE3402, National Institute of Standards and Technology (NIST) NIST 800-53, the Open Web Application Security Project (OWASP) Guide to Building Secure Web Applications, and the Center for Internet Security (CIS) Standards (or any successor to these security standards) relevant for the services provided under this Agreement.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Specifications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with respect to a given Compound, the set of requirements for such Compound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submissions to Regulatory Authorities in connection with development of such Compound and, in the case of the Novartis Compound, provided by Novartis to Olema.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0" w:name="page261"/>
    <w:bookmarkEnd w:id="260"/>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Phase III Clinical Study titled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A Phase 3 Randomized, Open-label Study of Palazestrant (OP-1250)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with Ribociclib vs. Letrozole with Ribociclib for the Treatment of Participants with ER+, HER2- Advanced or Metastatic Breast Cancer Who Have Not Received Prior Therapy for Advanced Disease (OPERA-02), </w:t>
      </w:r>
      <w:r>
        <w:rPr>
          <w:rFonts w:ascii="Times New Roman" w:cs="Times New Roman" w:eastAsia="Times New Roman" w:hAnsi="Times New Roman"/>
          <w:sz w:val="22"/>
          <w:szCs w:val="22"/>
          <w:color w:val="auto"/>
        </w:rPr>
        <w:t>to be conducted by Olema pursuant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and in accordance with this Agreement and the Protocol. The Study may also be referred to as OPERA-02.</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Study Completion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date when all of the following have occurred: (a) final lock of the Study database,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completion of analysis of whether Study endpoints have been met, and (c) submission of the Clinical Study Report to the applicable Regulatory Authority.</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Study Know-How</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means all Know-How (1) made or conceived in the performance of the Study, or (2) made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conceived by a Party through use of the Clinical Data, Samples, Sample Results or Assay Results.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means, with respect to any specified Person, any other Person controlled by such specified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through one or more intermediaries.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Territory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countries listed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E</w:t>
      </w:r>
      <w:r>
        <w:rPr>
          <w:rFonts w:ascii="Times New Roman" w:cs="Times New Roman" w:eastAsia="Times New Roman" w:hAnsi="Times New Roman"/>
          <w:sz w:val="22"/>
          <w:szCs w:val="22"/>
          <w:color w:val="auto"/>
        </w:rPr>
        <w:t>, as it may be amended by the Parties from time-to-time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of this 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Third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person or entity other than Olema, Novartis or their respective Affiliates.</w:t>
      </w:r>
    </w:p>
    <w:p>
      <w:pPr>
        <w:spacing w:after="0" w:line="20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Third Party CRO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 Third Party retained by Olema or its Affiliates or Novartis or its Affiliates (as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whose primary business is providing contract Research, Development or Manufacturing services, for the benefit of the applicable Party, and who is not (nor are its Affiliates) in the business of Commercializing pharmaceutical or biologic products.</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Trial Site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clinical site where the Study is conducted.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VAT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Section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that the terms of this Agreement are the result of negotiations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and that this Agreement shall not be construed in favor of or against either Party by reason of the extent to which such Party participated in the preparation of this Agreement. Except where the context otherwise requires, wherever used, the singular will include the plural, the plural the singular, the use of any gender will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as used herein shall be deemed to be followed by the phrase “without limitation” or like expression. The term “will” as used herein means shall. References to “Article,” “Section” or “Appendix” are references to the numbered sections of this Agreement and the appendices attached to this Agreement, unless expressly stated otherwise. Except where the context otherwise requires, references to this “Agreement” shall include the appendices attached to this Agreement.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PRINCIPLES.</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2.1. </w:t>
      </w:r>
      <w:r>
        <w:rPr>
          <w:rFonts w:ascii="Times New Roman" w:cs="Times New Roman" w:eastAsia="Times New Roman" w:hAnsi="Times New Roman"/>
          <w:sz w:val="22"/>
          <w:szCs w:val="22"/>
          <w:u w:val="single" w:color="auto"/>
          <w:color w:val="auto"/>
        </w:rPr>
        <w:t>Standard of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Party agrees to (i) act in good faith in performing its obligations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(ii) perform its obligations under this Agreement carefully and accurately, with qualified staff and on the basis of sound scientific principles and in compliance with all Applicable Laws, including GCP, GLP and GMP, as applicable, and (iii) shall notify the other Party as promptly as possible if a Manufacturing delay that is likely to adversely affect supply of (1) with respect to Novartis, the Novartis Compound, and (2) with respect to Olema, the supply of the Olema Compound or the supply of Letrozole, in each case (1) and (2) as contemplated by this Agreement.</w:t>
      </w:r>
    </w:p>
    <w:p>
      <w:pPr>
        <w:spacing w:after="0" w:line="17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u w:val="single" w:color="auto"/>
          <w:color w:val="auto"/>
        </w:rPr>
        <w:t>Manufacturing Representations and Warranties</w:t>
      </w:r>
      <w:r>
        <w:rPr>
          <w:rFonts w:ascii="Times New Roman" w:cs="Times New Roman" w:eastAsia="Times New Roman" w:hAnsi="Times New Roman"/>
          <w:sz w:val="21"/>
          <w:szCs w:val="21"/>
          <w:i w:val="1"/>
          <w:iCs w:val="1"/>
          <w:color w:val="auto"/>
        </w:rPr>
        <w:t>.</w:t>
      </w:r>
    </w:p>
    <w:p>
      <w:pPr>
        <w:spacing w:after="0" w:line="206" w:lineRule="exact"/>
        <w:rPr>
          <w:sz w:val="20"/>
          <w:szCs w:val="20"/>
          <w:color w:val="auto"/>
        </w:rPr>
      </w:pPr>
    </w:p>
    <w:p>
      <w:pPr>
        <w:jc w:val="both"/>
        <w:ind w:lef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2.2.1 </w:t>
      </w:r>
      <w:r>
        <w:rPr>
          <w:rFonts w:ascii="Times New Roman" w:cs="Times New Roman" w:eastAsia="Times New Roman" w:hAnsi="Times New Roman"/>
          <w:sz w:val="22"/>
          <w:szCs w:val="22"/>
          <w:color w:val="auto"/>
        </w:rPr>
        <w:t>Novartis agrees to [***] Manufacture and supply the Novartis Compound for purposes of the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Novartis represents and warrants to Olema that, at the time of Delivery of the Novartis Compound, the Novartis Compound shall [***]. For the avoidance of doubt, the Novartis Compound is provided solely for use in the Study and is restricted to use in patients in the Study with advanced or metastatic breast cancer pursuant to the Protocol.</w:t>
      </w:r>
    </w:p>
    <w:p>
      <w:pPr>
        <w:spacing w:after="0" w:line="172"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2.2.2 </w:t>
      </w:r>
      <w:r>
        <w:rPr>
          <w:rFonts w:ascii="Times New Roman" w:cs="Times New Roman" w:eastAsia="Times New Roman" w:hAnsi="Times New Roman"/>
          <w:sz w:val="22"/>
          <w:szCs w:val="22"/>
          <w:color w:val="auto"/>
        </w:rPr>
        <w:t>Olema agrees to Manufacture and supply the Olema Compound for purposes of the Study as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Olema represents and warrants to Novartis that, at the time of use of the Olema Compound, the Olema Compound shall [***].</w:t>
      </w:r>
    </w:p>
    <w:p>
      <w:pPr>
        <w:spacing w:after="0" w:line="167" w:lineRule="exact"/>
        <w:rPr>
          <w:sz w:val="20"/>
          <w:szCs w:val="20"/>
          <w:color w:val="auto"/>
        </w:rPr>
      </w:pPr>
    </w:p>
    <w:p>
      <w:pPr>
        <w:jc w:val="both"/>
        <w:ind w:left="200"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2.2.3 </w:t>
      </w:r>
      <w:r>
        <w:rPr>
          <w:rFonts w:ascii="Times New Roman" w:cs="Times New Roman" w:eastAsia="Times New Roman" w:hAnsi="Times New Roman"/>
          <w:sz w:val="22"/>
          <w:szCs w:val="22"/>
          <w:color w:val="auto"/>
        </w:rPr>
        <w:t>Olema agrees to supply Letrozole for purposes of the Study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represents and warrants to Novartis that, at the time of use of Letrozole in the Study, it shall [***].</w:t>
      </w:r>
    </w:p>
    <w:p>
      <w:pPr>
        <w:spacing w:after="0" w:line="150" w:lineRule="exact"/>
        <w:rPr>
          <w:sz w:val="20"/>
          <w:szCs w:val="20"/>
          <w:color w:val="auto"/>
        </w:rPr>
      </w:pPr>
    </w:p>
    <w:p>
      <w:pPr>
        <w:jc w:val="both"/>
        <w:ind w:left="2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2.2.4 </w:t>
      </w:r>
      <w:r>
        <w:rPr>
          <w:rFonts w:ascii="Times New Roman" w:cs="Times New Roman" w:eastAsia="Times New Roman" w:hAnsi="Times New Roman"/>
          <w:sz w:val="22"/>
          <w:szCs w:val="22"/>
          <w:color w:val="auto"/>
        </w:rPr>
        <w:t>Novartis represents and warrants to Olema that, at the time of Delivery of the Novartis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Novartis Compound shall [***].</w:t>
      </w:r>
    </w:p>
    <w:p>
      <w:pPr>
        <w:spacing w:after="0" w:line="150" w:lineRule="exact"/>
        <w:rPr>
          <w:sz w:val="20"/>
          <w:szCs w:val="20"/>
          <w:color w:val="auto"/>
        </w:rPr>
      </w:pPr>
    </w:p>
    <w:p>
      <w:pPr>
        <w:jc w:val="both"/>
        <w:ind w:left="20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2.2.5 </w:t>
      </w:r>
      <w:r>
        <w:rPr>
          <w:rFonts w:ascii="Times New Roman" w:cs="Times New Roman" w:eastAsia="Times New Roman" w:hAnsi="Times New Roman"/>
          <w:sz w:val="22"/>
          <w:szCs w:val="22"/>
          <w:color w:val="auto"/>
        </w:rPr>
        <w:t>Without limiting the generality of the foregoing, each Party is responsible for obtaining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regulatory approvals (including facility licenses) that are required to Manufacture its Compound in accordance with Applicable Law. For the avoidance of any doubt, Olema shall be responsible for (1) obtaining Regulatory Approvals for the Study as set forth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and (2) obtaining or confirming that all regulatory approvals (if any) and other required documentation with respect to the Manufacture of Letrozole and its use in the Study have been obtained.</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2.3.</w:t>
      </w:r>
      <w:r>
        <w:rPr>
          <w:sz w:val="20"/>
          <w:szCs w:val="20"/>
          <w:color w:val="auto"/>
        </w:rPr>
        <w:tab/>
      </w:r>
      <w:r>
        <w:rPr>
          <w:rFonts w:ascii="Times New Roman" w:cs="Times New Roman" w:eastAsia="Times New Roman" w:hAnsi="Times New Roman"/>
          <w:sz w:val="21"/>
          <w:szCs w:val="21"/>
          <w:u w:val="single" w:color="auto"/>
          <w:color w:val="auto"/>
        </w:rPr>
        <w:t xml:space="preserve">Subcontractors. </w:t>
      </w:r>
      <w:r>
        <w:rPr>
          <w:rFonts w:ascii="Times New Roman" w:cs="Times New Roman" w:eastAsia="Times New Roman" w:hAnsi="Times New Roman"/>
          <w:sz w:val="21"/>
          <w:szCs w:val="21"/>
          <w:color w:val="auto"/>
        </w:rPr>
        <w:t>Each Party shall have the right to subcontract any portion of its obligations hereunder: to</w:t>
      </w:r>
    </w:p>
    <w:p>
      <w:pPr>
        <w:spacing w:after="0" w:line="18" w:lineRule="exact"/>
        <w:rPr>
          <w:sz w:val="20"/>
          <w:szCs w:val="20"/>
          <w:color w:val="auto"/>
        </w:rPr>
      </w:pPr>
    </w:p>
    <w:p>
      <w:pPr>
        <w:jc w:val="both"/>
        <w:ind w:firstLine="8"/>
        <w:spacing w:after="0" w:line="232" w:lineRule="auto"/>
        <w:tabs>
          <w:tab w:leader="none" w:pos="26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own Affiliates or to Third Party CROs, without the other Party’s written consent; and (ii) to Third Parties (other than Third Party CROs), provided that the other Party’s Project Manager has approved (in a written document, not to be unreasonably withheld, conditioned or delayed) the use of such Third Parties in the performance of such obligations. Each Party shall remain solely and fully liable for the performance of its subcontractors. Each Party shall ensure that each of its Affiliates and subcontractors performs its obligations and grants all rights to the other Party pursuant to the terms of this Agreement, including the Appendices attached hereto. Each Party shall obtain and maintain copies of documents relating to the obligations performed by such Affiliates 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2" w:name="page263"/>
    <w:bookmarkEnd w:id="26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subcontractors that are held by or under the control of such Affiliates or subcontractors and that are required to be provided to the other Party under this Agreement.</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2.4.</w:t>
      </w:r>
      <w:r>
        <w:rPr>
          <w:sz w:val="20"/>
          <w:szCs w:val="20"/>
          <w:color w:val="auto"/>
        </w:rPr>
        <w:tab/>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2.5.</w:t>
      </w:r>
      <w:r>
        <w:rPr>
          <w:sz w:val="20"/>
          <w:szCs w:val="20"/>
          <w:color w:val="auto"/>
        </w:rPr>
        <w:tab/>
      </w:r>
      <w:r>
        <w:rPr>
          <w:rFonts w:ascii="Times New Roman" w:cs="Times New Roman" w:eastAsia="Times New Roman" w:hAnsi="Times New Roman"/>
          <w:sz w:val="21"/>
          <w:szCs w:val="21"/>
          <w:u w:val="single" w:color="auto"/>
          <w:color w:val="auto"/>
        </w:rPr>
        <w:t>Other Studies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04"/>
        <w:spacing w:after="0" w:line="244" w:lineRule="auto"/>
        <w:rPr>
          <w:sz w:val="20"/>
          <w:szCs w:val="20"/>
          <w:color w:val="auto"/>
        </w:rPr>
      </w:pPr>
      <w:r>
        <w:rPr>
          <w:rFonts w:ascii="Times New Roman" w:cs="Times New Roman" w:eastAsia="Times New Roman" w:hAnsi="Times New Roman"/>
          <w:sz w:val="22"/>
          <w:szCs w:val="22"/>
          <w:color w:val="auto"/>
        </w:rPr>
        <w:t>Nothing in this Agreement shall (i) prohibit either Party from performing clinical studies other than the Study relating to its own Compound, either individually or in combination with any other compound or product, in any therapeutic area, or (ii) create an exclusive relationship between the Parties with respect to any Compound.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CONDUCT OF THE STUDY.</w:t>
      </w:r>
    </w:p>
    <w:p>
      <w:pPr>
        <w:spacing w:after="0" w:line="1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u w:val="single" w:color="auto"/>
          <w:color w:val="auto"/>
        </w:rPr>
        <w:t>Section 3.1.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Sponsor of Study</w:t>
      </w:r>
      <w:r>
        <w:rPr>
          <w:rFonts w:ascii="Times New Roman" w:cs="Times New Roman" w:eastAsia="Times New Roman" w:hAnsi="Times New Roman"/>
          <w:sz w:val="21"/>
          <w:szCs w:val="21"/>
          <w:color w:val="auto"/>
        </w:rPr>
        <w:t>. Olema shall act as the sponsor of the Study and shall hold the IND/CTA or equivalent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 all jurisdictions where the Study will be conducted;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Olema may not grant any Third Party any right of cross-reference with respect to any portion of the Study or any portion of the IND/CTA submission containing information about the Novartis Compound or data generated through use of the Novartis Compound. Olema shall provide Novartis with drafts of all INDs, CTAs, meeting packages and other relevant documents prior to submission to Regulatory Authority(-ies), at least [***] or shorter as agreed with the Novartis team prior to Olema’s planned submission date. Novartis shall have the right (but not the obligation) to review and provide Olema with comments to any such draft submissions to Regulatory Authority(-ies) within such</w:t>
      </w:r>
    </w:p>
    <w:p>
      <w:pPr>
        <w:spacing w:after="0" w:line="3" w:lineRule="exact"/>
        <w:rPr>
          <w:sz w:val="20"/>
          <w:szCs w:val="20"/>
          <w:color w:val="auto"/>
        </w:rPr>
      </w:pPr>
    </w:p>
    <w:p>
      <w:pPr>
        <w:jc w:val="both"/>
        <w:ind w:firstLine="8"/>
        <w:spacing w:after="0" w:line="235" w:lineRule="auto"/>
        <w:tabs>
          <w:tab w:leader="none" w:pos="53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period. Olema shall (a) incorporate comments which relate to the Novartis Compound, (b) consider in good faith any other Novartis comments, and (c) provide Novartis with the final, as submitted, versions of such documentation within [***] after its submission to the applicable Regulatory Authority.</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3.2.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Unless otherwise agreed by Novartis in writing, Olema shall commence the Study 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prior to [***]. Olema shall ensure that the Study is performed in accordance with this Agreement, the Protocol and all Applicable Law. Olema shall conduct the Study only in the Territory. Olema may not enter into any site agreement or CRO agreement for a country until the country is on </w:t>
      </w:r>
      <w:r>
        <w:rPr>
          <w:rFonts w:ascii="Times New Roman" w:cs="Times New Roman" w:eastAsia="Times New Roman" w:hAnsi="Times New Roman"/>
          <w:sz w:val="22"/>
          <w:szCs w:val="22"/>
          <w:u w:val="single" w:color="auto"/>
          <w:color w:val="auto"/>
        </w:rPr>
        <w:t>Appendix E</w:t>
      </w:r>
      <w:r>
        <w:rPr>
          <w:rFonts w:ascii="Times New Roman" w:cs="Times New Roman" w:eastAsia="Times New Roman" w:hAnsi="Times New Roman"/>
          <w:sz w:val="22"/>
          <w:szCs w:val="22"/>
          <w:color w:val="auto"/>
        </w:rPr>
        <w:t>, as may be amended by the Parties from time to time in accordance with this Agreement.</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3.3.</w:t>
      </w:r>
      <w:r>
        <w:rPr>
          <w:sz w:val="20"/>
          <w:szCs w:val="20"/>
          <w:color w:val="auto"/>
        </w:rPr>
        <w:tab/>
      </w:r>
      <w:r>
        <w:rPr>
          <w:rFonts w:ascii="Times New Roman" w:cs="Times New Roman" w:eastAsia="Times New Roman" w:hAnsi="Times New Roman"/>
          <w:sz w:val="21"/>
          <w:szCs w:val="21"/>
          <w:u w:val="single" w:color="auto"/>
          <w:color w:val="auto"/>
        </w:rPr>
        <w:t>Compliance and Regulatory Discussions; Rights of Reference.</w:t>
      </w:r>
    </w:p>
    <w:p>
      <w:pPr>
        <w:spacing w:after="0" w:line="206" w:lineRule="exact"/>
        <w:rPr>
          <w:sz w:val="20"/>
          <w:szCs w:val="20"/>
          <w:color w:val="auto"/>
        </w:rPr>
      </w:pPr>
    </w:p>
    <w:p>
      <w:pPr>
        <w:jc w:val="both"/>
        <w:ind w:left="200"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3.3.1 </w:t>
      </w:r>
      <w:r>
        <w:rPr>
          <w:rFonts w:ascii="Times New Roman" w:cs="Times New Roman" w:eastAsia="Times New Roman" w:hAnsi="Times New Roman"/>
          <w:sz w:val="22"/>
          <w:szCs w:val="22"/>
          <w:color w:val="auto"/>
        </w:rPr>
        <w:t>Olema shall ensure that all Regulatory Approvals from any Regulatory Authority or ethics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committee with jurisdiction over the Study are obtained prior to initiating the Study and shall ensure that all applicable directions from such Regulatory Authorities and ethics committees are followed. Olema shall participate in and lead all discussions with any Regulatory Authority regarding the Study,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Novartis shall have the right (but not the obligation) to participate in any discussions (to the extent permitted under Applicable Law) with a Regulatory Authority regarding matters related to the Novartis Compound, including use of the Novartis Compound in the Olema Combination or the Letrozole Combination. Olema will promptly (and no later than [***] after receipt by Olema) provide Novartis with a copy of any correspondence, written reports (or excerpts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3" w:name="page264"/>
    <w:bookmarkEnd w:id="263"/>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thereof) it receives from Regulatory Authorities related to the Novartis Compound or its use in the Study, including its use for the Olema Combination or the Letrozole Combination, and shall provide Novartis with draft copies of any responses to Regulatory Authorities that may relate to the Novartis Compound or its use in the Study, including in the Olema Combination or the Letrozole Combination, at least [***] prior to submission to any Regulatory Authority, unless a shorter period of time is required by the applicable Regulatory Authority, in which case Olema will provide draft copies of any responses to such Regulatory Authorities as soon as reasonably practicable prior to submission. Novartis shall have the right (but not the obligation) to review and provide Olema with comments to any such responses to Regulatory Authority within such [***] review period,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a shorter period of time is required by a Regulatory Authority, Novartis will provide comments in a manner consistent with timelines required by such Regulatory Authority. Olema shall (a) incorporate comments containing information about the Novartis Compound, (b) consider in good faith any other Novartis comments, and (c) not submit any such response to a Regulatory Authority which may relate to the Novartis Compound or its use in the Study, including in the Olema Combination or the Letrozole Combination, without Novartis’ prior written consent.</w:t>
      </w:r>
    </w:p>
    <w:p>
      <w:pPr>
        <w:spacing w:after="0" w:line="17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3.3.2 </w:t>
      </w:r>
      <w:r>
        <w:rPr>
          <w:rFonts w:ascii="Times New Roman" w:cs="Times New Roman" w:eastAsia="Times New Roman" w:hAnsi="Times New Roman"/>
          <w:sz w:val="22"/>
          <w:szCs w:val="22"/>
          <w:color w:val="auto"/>
        </w:rPr>
        <w:t>Novartis shall provide such support to Olema as Olema may reasonably request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Olema’s preparation and initial IND/CTA submissions to Regulatory Authorities with respect to the Novartis Compound or its use in the Study, which support may include providing cross-reference rights with respect to the Novartis Compound, and the submission of quality documentation with respect to the Novartis Compound. Novartis shall have the right, but not the obligation, to review Olema-prepared benefits/risks documentation and IND summaries, and to assist Olema in responding to questions from Regulatory Authorities. Novartis shall have the right, but not the obligation, to provide such support to Olema as Olema may reasonably request with respect to the maintenance of regulatory materials relating to the Novartis Compound or its use in the Study, including use of the Novartis Compound for the Olema Combination or the Letrozole Combination. Novartis shall also have the right, but not the obligation, to attend meetings with Regulatory Authorities regarding the Novartis Compound or its use in the Study (to the extent permitted under Applicable Law), and to assist Olema in providing written responses to questions from Regulatory Authorities relating to the Novartis Compound.</w:t>
      </w:r>
    </w:p>
    <w:p>
      <w:pPr>
        <w:spacing w:after="0" w:line="17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3.3.3 </w:t>
      </w:r>
      <w:r>
        <w:rPr>
          <w:rFonts w:ascii="Times New Roman" w:cs="Times New Roman" w:eastAsia="Times New Roman" w:hAnsi="Times New Roman"/>
          <w:sz w:val="22"/>
          <w:szCs w:val="22"/>
          <w:color w:val="auto"/>
        </w:rPr>
        <w:t>Novartis hereby grants to Olema a non-exclusive, non-transferable [***] “right of reference or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defined in US FDA 21 CFR §314.3(b)), or similar “right of reference” as defined in Applicable Laws in the relevant part of the Territory, to permit FDA and such other applicable Regulatory Authorities to cross-reference the appropriate INDs and CTAs for the Novartis Compound solely to the extent necessary for Olema to obtain Regulatory Approval for the IND and CTA(s) for the Study and to conduct the Study;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 Novartis will provide any documentation necessary to effect such right of reference upon request by Olema in order to allow Olema to timely make filings to any Regulatory Authority. [***].</w:t>
      </w:r>
    </w:p>
    <w:p>
      <w:pPr>
        <w:spacing w:after="0" w:line="17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3.3.4 </w:t>
      </w:r>
      <w:r>
        <w:rPr>
          <w:rFonts w:ascii="Times New Roman" w:cs="Times New Roman" w:eastAsia="Times New Roman" w:hAnsi="Times New Roman"/>
          <w:sz w:val="22"/>
          <w:szCs w:val="22"/>
          <w:color w:val="auto"/>
        </w:rPr>
        <w:t>Novartis hereby grants to Olema a non-exclusive, non-transferable [***] “right of reference or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defined in US FDA 21 CFR 314.3(b)), or similar “right of reference” as defined in Applicable Laws in the relevant part of the Territory, with respect to Clinical Data and results related to the Olema Compound and the Olema Combination, solely as necessary for Olema to prepare, submit and maintain regulatory submissions related to the</w:t>
      </w:r>
    </w:p>
    <w:p>
      <w:pPr>
        <w:spacing w:after="0" w:line="200" w:lineRule="exact"/>
        <w:rPr>
          <w:sz w:val="20"/>
          <w:szCs w:val="20"/>
          <w:color w:val="auto"/>
        </w:rPr>
      </w:pPr>
    </w:p>
    <w:p>
      <w:pPr>
        <w:spacing w:after="0" w:line="3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08" w:right="339" w:bottom="1440" w:gutter="0" w:footer="0" w:header="0"/>
        </w:sectPr>
      </w:pPr>
    </w:p>
    <w:bookmarkStart w:id="264" w:name="page265"/>
    <w:bookmarkEnd w:id="264"/>
    <w:p>
      <w:pPr>
        <w:jc w:val="both"/>
        <w:ind w:left="200"/>
        <w:spacing w:after="0" w:line="262" w:lineRule="auto"/>
        <w:rPr>
          <w:sz w:val="20"/>
          <w:szCs w:val="20"/>
          <w:color w:val="auto"/>
        </w:rPr>
      </w:pPr>
      <w:r>
        <w:rPr>
          <w:rFonts w:ascii="Times New Roman" w:cs="Times New Roman" w:eastAsia="Times New Roman" w:hAnsi="Times New Roman"/>
          <w:sz w:val="22"/>
          <w:szCs w:val="22"/>
          <w:color w:val="auto"/>
        </w:rPr>
        <w:t xml:space="preserve">Olema Compound, and Regulatory Approvals related to the Olema Compound and the Olema Combination;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 [***].</w:t>
      </w:r>
    </w:p>
    <w:p>
      <w:pPr>
        <w:spacing w:after="0" w:line="150"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3.3.5 </w:t>
      </w:r>
      <w:r>
        <w:rPr>
          <w:rFonts w:ascii="Times New Roman" w:cs="Times New Roman" w:eastAsia="Times New Roman" w:hAnsi="Times New Roman"/>
          <w:sz w:val="22"/>
          <w:szCs w:val="22"/>
          <w:color w:val="auto"/>
        </w:rPr>
        <w:t>Olema hereby grants Novartis a non-exclusive, non-transferable [***] “right of reference”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US FDA 21 CFR 314.3(b)), or similar “right of reference” as defined in applicable regulations in the relevant part of the Territory, with respect to Clinical Data and results related to the Novartis Compound, Letrozole, the Olema Combination or the Letrozole Combination, solely as necessary for Novartis to prepare, submit and maintain regulatory submissions related to the Novartis Compound, and Regulatory Approvals related to the Novartis Compound, the Olema Combination and the Letrozole Combination.</w:t>
      </w:r>
    </w:p>
    <w:p>
      <w:pPr>
        <w:spacing w:after="0" w:line="175"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3.3.6 </w:t>
      </w:r>
      <w:r>
        <w:rPr>
          <w:rFonts w:ascii="Times New Roman" w:cs="Times New Roman" w:eastAsia="Times New Roman" w:hAnsi="Times New Roman"/>
          <w:sz w:val="22"/>
          <w:szCs w:val="22"/>
          <w:color w:val="auto"/>
        </w:rPr>
        <w:t xml:space="preserve">Each Party shall provide the other Party, or the applicable Regulatory Authority, with a cross-reference letter or similar communication to effectuate the rights of reference set forth in </w:t>
      </w:r>
      <w:r>
        <w:rPr>
          <w:rFonts w:ascii="Times New Roman" w:cs="Times New Roman" w:eastAsia="Times New Roman" w:hAnsi="Times New Roman"/>
          <w:sz w:val="22"/>
          <w:szCs w:val="22"/>
          <w:u w:val="single" w:color="auto"/>
          <w:color w:val="auto"/>
        </w:rPr>
        <w:t>Sections 3.3.2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3.3.5</w:t>
      </w:r>
      <w:r>
        <w:rPr>
          <w:rFonts w:ascii="Times New Roman" w:cs="Times New Roman" w:eastAsia="Times New Roman" w:hAnsi="Times New Roman"/>
          <w:sz w:val="22"/>
          <w:szCs w:val="22"/>
          <w:color w:val="auto"/>
        </w:rPr>
        <w:t>, as applicable, and shall execute any additional documents or instruments necessary to allow such cross-referencing.</w:t>
      </w:r>
    </w:p>
    <w:p>
      <w:pPr>
        <w:spacing w:after="0" w:line="167"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3.3.7 </w:t>
      </w:r>
      <w:r>
        <w:rPr>
          <w:rFonts w:ascii="Times New Roman" w:cs="Times New Roman" w:eastAsia="Times New Roman" w:hAnsi="Times New Roman"/>
          <w:sz w:val="22"/>
          <w:szCs w:val="22"/>
          <w:color w:val="auto"/>
        </w:rPr>
        <w:t>Notwithstanding anything to the contrary in this Agreement, neither Party shall have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access the other Party’s CMC data with respect to its Compound. Novartis will authorize FDA and other applicable Regulatory Authorities to cross-reference the appropriate Novartis Compound INDs or CTAs if and to the extent necessary to support conduct of the Study. Olema shall have no right to directly access the CMC Data. Novartis shall provide to applicable Regulatory Authorities such documents and information as may be requested by a Regulatory Authority, to the extent such documents and information are reasonably available to Novartis.</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Section 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Reports and Documentation</w:t>
      </w:r>
      <w:r>
        <w:rPr>
          <w:rFonts w:ascii="Times New Roman" w:cs="Times New Roman" w:eastAsia="Times New Roman" w:hAnsi="Times New Roman"/>
          <w:sz w:val="22"/>
          <w:szCs w:val="22"/>
          <w:color w:val="auto"/>
        </w:rPr>
        <w:t>. Olema shall maintain reports and all related documentation (paper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electronic) in good scientific manner, consistent with industry standards and in compliance with Applicable Law. Each Party shall provide to the other any Study information and documentation reasonably requested by such other Party to enable the requesting Party to (i) comply with its legal and regulatory obligations, or any request by any Regulatory Authority, in each case, to the extent related to the Study, to such Party’s Compound or to Letrozole, (ii) satisfy its contractual obligations to a subcontractor engaged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hereof, and (iii) in the case of Novartis, determine whether the Study has been performed by Olema in accordance with this Agreement, including the Protocol.</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3.5.</w:t>
      </w:r>
      <w:r>
        <w:rPr>
          <w:sz w:val="20"/>
          <w:szCs w:val="20"/>
          <w:color w:val="auto"/>
        </w:rPr>
        <w:tab/>
      </w:r>
      <w:r>
        <w:rPr>
          <w:rFonts w:ascii="Times New Roman" w:cs="Times New Roman" w:eastAsia="Times New Roman" w:hAnsi="Times New Roman"/>
          <w:sz w:val="21"/>
          <w:szCs w:val="21"/>
          <w:u w:val="single" w:color="auto"/>
          <w:color w:val="auto"/>
        </w:rPr>
        <w:t>Access to Clinical Data and BIRC Reports.</w:t>
      </w:r>
    </w:p>
    <w:p>
      <w:pPr>
        <w:spacing w:after="0" w:line="206" w:lineRule="exact"/>
        <w:rPr>
          <w:sz w:val="20"/>
          <w:szCs w:val="20"/>
          <w:color w:val="auto"/>
        </w:rPr>
      </w:pPr>
    </w:p>
    <w:p>
      <w:pPr>
        <w:jc w:val="both"/>
        <w:ind w:left="200"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3.5.1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Olema shall provide Novartis with copies of all Clinical Data, in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 agreed) form, [***] each of which shall be delivered to Novartis promptly, and in any event within [***] following receipt by Olema thereof (</w:t>
      </w:r>
      <w:r>
        <w:rPr>
          <w:rFonts w:ascii="Times New Roman" w:cs="Times New Roman" w:eastAsia="Times New Roman" w:hAnsi="Times New Roman"/>
          <w:sz w:val="22"/>
          <w:szCs w:val="22"/>
          <w:i w:val="1"/>
          <w:iCs w:val="1"/>
          <w:color w:val="auto"/>
        </w:rPr>
        <w:t>provided always</w:t>
      </w:r>
      <w:r>
        <w:rPr>
          <w:rFonts w:ascii="Times New Roman" w:cs="Times New Roman" w:eastAsia="Times New Roman" w:hAnsi="Times New Roman"/>
          <w:sz w:val="22"/>
          <w:szCs w:val="22"/>
          <w:color w:val="auto"/>
        </w:rPr>
        <w:t>, that, Olema will have no obligation to provide Novartis with Clinical Data that could compromise the data integrity of the Study), (b) as reasonably requested by Novartis (which requests shall not be more than [***]), including in order to enable Novartis to (i) track Study progress, (ii) support publications or activities needed to achieve Study Completion, or (iii) to support interpretation of Clinical Data and to conduct safety and efficacy analyses, or (c) as otherwise agreed by the Project Managers. Olema will provide Novartis with a complete copy of all Clinical Data no later than [***]. Notwithstanding the foregoing, if there is a significant safety signal, Olema must notify Novartis immediately, but in no event later than [***] after becoming aware of the safety signal.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5" w:name="page266"/>
    <w:bookmarkEnd w:id="265"/>
    <w:p>
      <w:pPr>
        <w:jc w:val="both"/>
        <w:ind w:left="200" w:firstLine="149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3.5.2 </w:t>
      </w:r>
      <w:r>
        <w:rPr>
          <w:rFonts w:ascii="Times New Roman" w:cs="Times New Roman" w:eastAsia="Times New Roman" w:hAnsi="Times New Roman"/>
          <w:sz w:val="22"/>
          <w:szCs w:val="22"/>
          <w:color w:val="auto"/>
        </w:rPr>
        <w:t>Olema shall be responsible for obtaining an ICF signed by or on behalf of each human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which shall permit Novartis and its designees and applicable Government Officials to review raw Clinical Data, including original Study subject records. The ICF shall contain appropriate clauses to permit the use of such Clinical Data, Samples Results and Assay Results for future research for any lawful purposes in all fields of use including: (i) research related to the Novartis Compound, the Olema Compound and Letrozole, (ii) research relating to the disease state or treatment for which the Clinical Data, Samples, Sample Results or Assay Results were collected, (iii) validation of techniques or assays, and (iv) regulatory purposes (collectively “</w:t>
      </w:r>
      <w:r>
        <w:rPr>
          <w:rFonts w:ascii="Times New Roman" w:cs="Times New Roman" w:eastAsia="Times New Roman" w:hAnsi="Times New Roman"/>
          <w:sz w:val="22"/>
          <w:szCs w:val="22"/>
          <w:b w:val="1"/>
          <w:bCs w:val="1"/>
          <w:color w:val="auto"/>
        </w:rPr>
        <w:t>Future Use</w:t>
      </w:r>
      <w:r>
        <w:rPr>
          <w:rFonts w:ascii="Times New Roman" w:cs="Times New Roman" w:eastAsia="Times New Roman" w:hAnsi="Times New Roman"/>
          <w:sz w:val="22"/>
          <w:szCs w:val="22"/>
          <w:color w:val="auto"/>
        </w:rPr>
        <w:t>”). The ICF shall also permit sharing of Clinical Data, Samples Results and Assay Results with (a) Novartis, its Affiliates and Third Party collaborators or licensees, and (b) any successors and assigns of either Party for such Future Use. In obtaining and documenting the Study subject informed consent, Olema shall comply with applicable regulatory requirement(s) and adhere to all Applicable Laws.</w:t>
      </w:r>
    </w:p>
    <w:p>
      <w:pPr>
        <w:spacing w:after="0" w:line="179" w:lineRule="exact"/>
        <w:rPr>
          <w:sz w:val="20"/>
          <w:szCs w:val="20"/>
          <w:color w:val="auto"/>
        </w:rPr>
      </w:pPr>
    </w:p>
    <w:p>
      <w:pPr>
        <w:jc w:val="both"/>
        <w:ind w:left="200"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3.5.3 </w:t>
      </w:r>
      <w:r>
        <w:rPr>
          <w:rFonts w:ascii="Times New Roman" w:cs="Times New Roman" w:eastAsia="Times New Roman" w:hAnsi="Times New Roman"/>
          <w:sz w:val="22"/>
          <w:szCs w:val="22"/>
          <w:color w:val="auto"/>
        </w:rPr>
        <w:t>Olema shall be responsible for obtaining authorization permitting the disclosure of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information in connection with the Study, any alteration to or waiver of any subject, and any matter involving questions of human subject protections, from the appropriate Regulatory Authority or ethics committee with jurisdiction over the Study prior to commencement of and during the performance of the Study. If the Regulatory Authority or ethics committee requires changes to the ICF related to the Novartis compound safety language shall not be implemented until Novartis is notified by Olema and gives its approval to Olema. Notwithstanding the foregoing, changes to the ICF that are required by the Regulatory Authority or ethics committee may be implemented prior to notifying Novartis, provided that said changes are required for Study subject’s immediate health, safety or welfare;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Olema shall as soon as practicable under the circumstances notify Novartis of said change to the ICF.</w:t>
      </w:r>
    </w:p>
    <w:p>
      <w:pPr>
        <w:spacing w:after="0" w:line="174"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3.5.4 </w:t>
      </w:r>
      <w:r>
        <w:rPr>
          <w:rFonts w:ascii="Times New Roman" w:cs="Times New Roman" w:eastAsia="Times New Roman" w:hAnsi="Times New Roman"/>
          <w:sz w:val="22"/>
          <w:szCs w:val="22"/>
          <w:color w:val="auto"/>
        </w:rPr>
        <w:t>Olema shall ensure that the signed Study subject ICF identifies all anticipated purposes for use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Clinical Data, Samples, Sample Results and Assay Results, and shall ensure that the ICF permits the sharing of Clinical Data, Samples, Samples Results and Assay Results:</w:t>
      </w:r>
    </w:p>
    <w:p>
      <w:pPr>
        <w:spacing w:after="0" w:line="171" w:lineRule="exact"/>
        <w:rPr>
          <w:sz w:val="20"/>
          <w:szCs w:val="20"/>
          <w:color w:val="auto"/>
        </w:rPr>
      </w:pPr>
    </w:p>
    <w:p>
      <w:pPr>
        <w:ind w:right="20" w:firstLine="1505"/>
        <w:spacing w:after="0" w:line="258" w:lineRule="auto"/>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Novartis, its Affiliates and any successors and assigns of either Party, including those located outside the European Economic Area;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Regulatory Authorities (of any country or region) for the purpose of regulatory monitoring, audits and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inspections.</w:t>
      </w:r>
    </w:p>
    <w:p>
      <w:pPr>
        <w:spacing w:after="0" w:line="18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In obtaining the signed ICF, and documenting the Study patient informed consent, Olema shall adhere to all Applicable Laws, including applicable regulatory requirement(s).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any patient informed consent for the Study was obtained by Olema prior to Novartis providing Olema with explicit written approval of the content of the ICF, and Novartis determines that the ICF is deficient for any reason, then Olema shall revise or supplement the ICF as directed by Novartis and take all reasonable steps to obtain a revised or supplemental informed consent from the Study subjects.</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3.6.</w:t>
      </w:r>
      <w:r>
        <w:rPr>
          <w:sz w:val="20"/>
          <w:szCs w:val="20"/>
          <w:color w:val="auto"/>
        </w:rPr>
        <w:tab/>
      </w:r>
      <w:r>
        <w:rPr>
          <w:rFonts w:ascii="Times New Roman" w:cs="Times New Roman" w:eastAsia="Times New Roman" w:hAnsi="Times New Roman"/>
          <w:sz w:val="21"/>
          <w:szCs w:val="21"/>
          <w:u w:val="single" w:color="auto"/>
          <w:color w:val="auto"/>
        </w:rPr>
        <w:t>Sample Collection and Ownership.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6" w:name="page267"/>
    <w:bookmarkEnd w:id="266"/>
    <w:p>
      <w:pPr>
        <w:jc w:val="both"/>
        <w:ind w:firstLine="1497"/>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3.6.1 </w:t>
      </w:r>
      <w:r>
        <w:rPr>
          <w:rFonts w:ascii="Times New Roman" w:cs="Times New Roman" w:eastAsia="Times New Roman" w:hAnsi="Times New Roman"/>
          <w:sz w:val="21"/>
          <w:szCs w:val="21"/>
          <w:color w:val="auto"/>
        </w:rPr>
        <w:t>Samples will be collected in accordance with the Protocol and ICFs. Any use of Samples by either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must comply with the applicable ICFs. All Samples shall be owned by [***]. Any data arising out of such Sample use in the conduct of the Study or as set forth in the Protocol (the “</w:t>
      </w:r>
      <w:r>
        <w:rPr>
          <w:rFonts w:ascii="Times New Roman" w:cs="Times New Roman" w:eastAsia="Times New Roman" w:hAnsi="Times New Roman"/>
          <w:sz w:val="21"/>
          <w:szCs w:val="21"/>
          <w:b w:val="1"/>
          <w:bCs w:val="1"/>
          <w:u w:val="single" w:color="auto"/>
          <w:color w:val="auto"/>
        </w:rPr>
        <w:t>Sample Results</w:t>
      </w:r>
      <w:r>
        <w:rPr>
          <w:rFonts w:ascii="Times New Roman" w:cs="Times New Roman" w:eastAsia="Times New Roman" w:hAnsi="Times New Roman"/>
          <w:sz w:val="21"/>
          <w:szCs w:val="21"/>
          <w:color w:val="auto"/>
        </w:rPr>
        <w:t>”), and any Intellectual Property rights therein, shall be owned jointly by Novartis and Olema, and each Party shall have the right to use such jointly owned Sample Results and Intellectual Property (if any) without restriction, and without notice to or accounting to the other Party. Samples will be stored for future use in [***] sample repository. If [***], and provided that sufficient quantities of Samples are available and subject to the terms of the applicable ICF and Applicable Law, [***]. To the extent any such tests are performed by [***], [***]. If the Parties agree that they no longer have a use for the Samples, then the remaining Samples will be destroyed pursuant to [***] standard operating procedures for sample retention and destruction, subject to the terms of and permission(s) granted in the ICFs signed by the applicable Study patients, and in accordance with Applicable Laws. If [***] has a continued use for the Samples, and [***] does not, the Parties shall work together to facilitate transfer of any remaining Samples from [***] to [***] or its designee.</w:t>
      </w:r>
    </w:p>
    <w:p>
      <w:pPr>
        <w:spacing w:after="0" w:line="177" w:lineRule="exact"/>
        <w:rPr>
          <w:sz w:val="20"/>
          <w:szCs w:val="20"/>
          <w:color w:val="auto"/>
        </w:rPr>
      </w:pPr>
    </w:p>
    <w:p>
      <w:pPr>
        <w:jc w:val="both"/>
        <w:ind w:left="200" w:firstLine="1497"/>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3.6.2 </w:t>
      </w:r>
      <w:r>
        <w:rPr>
          <w:rFonts w:ascii="Times New Roman" w:cs="Times New Roman" w:eastAsia="Times New Roman" w:hAnsi="Times New Roman"/>
          <w:sz w:val="22"/>
          <w:szCs w:val="22"/>
          <w:color w:val="auto"/>
        </w:rPr>
        <w:t>The conduct of assays which are proprietary to a Party, or are proprietary to a Third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conducting the assay on behalf of a Party, shall be the sole responsibility of the Party that owns, controls or has access to the assay or methods of using the assay. The Party conducting the assays (or retaining a Third Party to do so) shall be responsible for all data generation, payment (if applicable) for the conduct of the assays, and shall obtain rights of access and use of all data and results generated pursuant to the performance of the assays (collectively, “</w:t>
      </w:r>
      <w:r>
        <w:rPr>
          <w:rFonts w:ascii="Times New Roman" w:cs="Times New Roman" w:eastAsia="Times New Roman" w:hAnsi="Times New Roman"/>
          <w:sz w:val="22"/>
          <w:szCs w:val="22"/>
          <w:b w:val="1"/>
          <w:bCs w:val="1"/>
          <w:u w:val="single" w:color="auto"/>
          <w:color w:val="auto"/>
        </w:rPr>
        <w:t>Assay Results</w:t>
      </w:r>
      <w:r>
        <w:rPr>
          <w:rFonts w:ascii="Times New Roman" w:cs="Times New Roman" w:eastAsia="Times New Roman" w:hAnsi="Times New Roman"/>
          <w:sz w:val="22"/>
          <w:szCs w:val="22"/>
          <w:color w:val="auto"/>
        </w:rPr>
        <w:t>”) for the other Party in accordance with this Agreement. If necessary, and subject to availability, Novartis agrees to provide sufficient quantities of the Novartis Compound, and Olema agrees to provide sufficient quantities of the Olema Compound and Letrozole, to facilitate interference testing in bioanalytical or proprietary assays to confirm, as applicable, that the Novartis Compound, the Olema Compound or Letrozole (as the case may be), does not interfere with the other Party’s assay performance. Initial experiments may be performed to determine impact to assay performance and will follow a validated protocol or standard operating procedure. Assay Results shall be owned as follows: (a) Assay Results related solely to the Olema Compound shall be owned solely by Olema, (b) Assay Results related solely to the Novartis Compound or to the Letrozole Combination, shall be owned solely by Novartis, and (c) Assay Results related to the Olema Combination shall be jointly owned by the Parties. Except to the extent otherwise agreed in a writing signed by authorized representatives of each Party, each Party shall use the other Party’s Assay Results only for the Permitted Uses, such Party’s independent development, commercialization or other exploitation of its own Compound, and any other use expressly permitted by this Agreement. With respect to jointly owned Assay Results, each Party shall have the right to use such jointly owned Assay Results without restriction, and without notice to or accounting to the other Party.</w:t>
      </w:r>
    </w:p>
    <w:p>
      <w:pPr>
        <w:spacing w:after="0" w:line="18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3.7.</w:t>
      </w:r>
      <w:r>
        <w:rPr>
          <w:sz w:val="20"/>
          <w:szCs w:val="20"/>
          <w:color w:val="auto"/>
        </w:rPr>
        <w:tab/>
      </w:r>
      <w:r>
        <w:rPr>
          <w:rFonts w:ascii="Times New Roman" w:cs="Times New Roman" w:eastAsia="Times New Roman" w:hAnsi="Times New Roman"/>
          <w:sz w:val="21"/>
          <w:szCs w:val="21"/>
          <w:u w:val="single" w:color="auto"/>
          <w:color w:val="auto"/>
        </w:rPr>
        <w:t>Ownership of Clinical Data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3.7.1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with respect to ownership of Samples, Sample Results and Assay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Results, all Clinical Data, including raw data and results, generated pursuant to this Agreement, shall be jointly owned by Olema and Novartis. Except where expressly provided to the contrary in this Agreement, each Party and its Affiliates, and their respective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service providers, licensees and sublicensees, shall have the worldwide right to use the Clinical Data for the Permitted Uses, and for the Research, Development, Manufacture and Commercialization of its own Compound and for the Olema</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7" w:name="page268"/>
    <w:bookmarkEnd w:id="267"/>
    <w:p>
      <w:pPr>
        <w:ind w:left="200"/>
        <w:spacing w:after="0" w:line="253" w:lineRule="auto"/>
        <w:rPr>
          <w:sz w:val="20"/>
          <w:szCs w:val="20"/>
          <w:color w:val="auto"/>
        </w:rPr>
      </w:pPr>
      <w:r>
        <w:rPr>
          <w:rFonts w:ascii="Times New Roman" w:cs="Times New Roman" w:eastAsia="Times New Roman" w:hAnsi="Times New Roman"/>
          <w:sz w:val="21"/>
          <w:szCs w:val="21"/>
          <w:color w:val="auto"/>
        </w:rPr>
        <w:t>Combination. It is understood and acknowledged by the Parties that positive Clinical Data may be used (a) by either Party to obtain label changes for its respective Compound alone (e.g., the Olema Compound alone or the Novartis Compound alone), or</w:t>
      </w:r>
    </w:p>
    <w:p>
      <w:pPr>
        <w:spacing w:after="0" w:line="1" w:lineRule="exact"/>
        <w:rPr>
          <w:sz w:val="20"/>
          <w:szCs w:val="20"/>
          <w:color w:val="auto"/>
        </w:rPr>
      </w:pPr>
    </w:p>
    <w:p>
      <w:pPr>
        <w:jc w:val="both"/>
        <w:ind w:left="200" w:hanging="5"/>
        <w:spacing w:after="0" w:line="232" w:lineRule="auto"/>
        <w:tabs>
          <w:tab w:leader="none" w:pos="55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Party to obtain Regulatory Approval for the Olema Combination, or (c) by Novartis to obtain Regulatory Approval for the Letrozole Combination. In such event, the Parties will enter into good faith discussions regarding potential regulatory submission strategies for the Olema Compound or the Novartis Compound, or for the Olema Combination or the Letrozole Combination;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nothing in this Agreement shall limit in any way the right of a Party to obtain label changes for its respective Compound alone, or to pursue regulatory submissions of such Party’s Compound alone. Similarly, if either Party believes that reference to data from studies conducted by or on behalf of the other Party (other than the Study) is necessary for such Party to obtain label changes for its Compound, the Parties will discuss in good faith appropriate terms for possible access to or rights to reference such data for such purpose.</w:t>
      </w:r>
    </w:p>
    <w:p>
      <w:pPr>
        <w:spacing w:after="0" w:line="176"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3.7.2 </w:t>
      </w:r>
      <w:r>
        <w:rPr>
          <w:rFonts w:ascii="Times New Roman" w:cs="Times New Roman" w:eastAsia="Times New Roman" w:hAnsi="Times New Roman"/>
          <w:sz w:val="22"/>
          <w:szCs w:val="22"/>
          <w:color w:val="auto"/>
        </w:rPr>
        <w:t>Each Party shall, and does hereby, assign, and shall cause its Affiliates to so assign, to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without additional compensation, such right, title and interest in and to any Clinical Data as is necessary to fully effect the foregoing, and agrees to execute all instruments as may be reasonably necessary to effect same.</w:t>
      </w:r>
    </w:p>
    <w:p>
      <w:pPr>
        <w:spacing w:after="0" w:line="16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3.8. </w:t>
      </w:r>
      <w:r>
        <w:rPr>
          <w:rFonts w:ascii="Times New Roman" w:cs="Times New Roman" w:eastAsia="Times New Roman" w:hAnsi="Times New Roman"/>
          <w:sz w:val="21"/>
          <w:szCs w:val="21"/>
          <w:u w:val="single" w:color="auto"/>
          <w:color w:val="auto"/>
        </w:rPr>
        <w:t>Roles of Project Managers</w:t>
      </w:r>
      <w:r>
        <w:rPr>
          <w:rFonts w:ascii="Times New Roman" w:cs="Times New Roman" w:eastAsia="Times New Roman" w:hAnsi="Times New Roman"/>
          <w:sz w:val="21"/>
          <w:szCs w:val="21"/>
          <w:color w:val="auto"/>
        </w:rPr>
        <w:t>. Each Party shall designate a project manager (a “</w:t>
      </w:r>
      <w:r>
        <w:rPr>
          <w:rFonts w:ascii="Times New Roman" w:cs="Times New Roman" w:eastAsia="Times New Roman" w:hAnsi="Times New Roman"/>
          <w:sz w:val="21"/>
          <w:szCs w:val="21"/>
          <w:b w:val="1"/>
          <w:bCs w:val="1"/>
          <w:u w:val="single" w:color="auto"/>
          <w:color w:val="auto"/>
        </w:rPr>
        <w:t>Project Manager</w:t>
      </w:r>
      <w:r>
        <w:rPr>
          <w:rFonts w:ascii="Times New Roman" w:cs="Times New Roman" w:eastAsia="Times New Roman" w:hAnsi="Times New Roman"/>
          <w:sz w:val="21"/>
          <w:szCs w:val="21"/>
          <w:color w:val="auto"/>
        </w:rPr>
        <w:t>”) who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be responsible for implementing and coordinating activities and facilitating the exchange of scientific information between the Parties with respect to the Study, including use of Samples pursuant to </w:t>
      </w:r>
      <w:r>
        <w:rPr>
          <w:rFonts w:ascii="Times New Roman" w:cs="Times New Roman" w:eastAsia="Times New Roman" w:hAnsi="Times New Roman"/>
          <w:sz w:val="21"/>
          <w:szCs w:val="21"/>
          <w:u w:val="single" w:color="auto"/>
          <w:color w:val="auto"/>
        </w:rPr>
        <w:t>Section 3.6.1</w:t>
      </w:r>
      <w:r>
        <w:rPr>
          <w:rFonts w:ascii="Times New Roman" w:cs="Times New Roman" w:eastAsia="Times New Roman" w:hAnsi="Times New Roman"/>
          <w:sz w:val="21"/>
          <w:szCs w:val="21"/>
          <w:color w:val="auto"/>
        </w:rPr>
        <w:t xml:space="preserve"> and the conduct of assays as described in </w:t>
      </w:r>
      <w:r>
        <w:rPr>
          <w:rFonts w:ascii="Times New Roman" w:cs="Times New Roman" w:eastAsia="Times New Roman" w:hAnsi="Times New Roman"/>
          <w:sz w:val="21"/>
          <w:szCs w:val="21"/>
          <w:u w:val="single" w:color="auto"/>
          <w:color w:val="auto"/>
        </w:rPr>
        <w:t>Section 3.6.2</w:t>
      </w:r>
      <w:r>
        <w:rPr>
          <w:rFonts w:ascii="Times New Roman" w:cs="Times New Roman" w:eastAsia="Times New Roman" w:hAnsi="Times New Roman"/>
          <w:sz w:val="21"/>
          <w:szCs w:val="21"/>
          <w:color w:val="auto"/>
        </w:rPr>
        <w:t>. Each Party shall notify the other Party in writing of the identity and contact details of their Project Manager no later than [***] after the Effective Date. The Project Managers shall meet as soon as practicable after the Effective Date and then, except as otherwise agreed by the Parties, not less than [***], and more often as reasonably considered necessary at the request of Novartis, to provide an update on Study progress. Prior to each meeting of the Project Managers, the Olema Project Manager shall provide an update in writing to the Novartis Project Manager, which update shall contain information about overall Study progress, recruitment status, preliminary efficacy, safety and tolerability, available biomarker information and other information relevant to the conduct of the Study. The Olema Project Manager shall supplement the update as necessary to reflect any material information discussed at such meetings. Olema’s Project Manager shall schedule reviews of Clinical Data in accordance with Data Protection Laws and the Data Sharing Agreement (if applicable). Each Party may change i]ts designated Project Manager from time to time by written notice to the other Party. Any Project Manager may designate a substitute to temporarily perform the functions of such Project Manager upon written notice to the other Party’s Project Manager. Each Project Manager will be charged with creating and maintaining a collaborative work environment. Each Project Manager also will:</w:t>
      </w:r>
    </w:p>
    <w:p>
      <w:pPr>
        <w:spacing w:after="0" w:line="182" w:lineRule="exact"/>
        <w:rPr>
          <w:sz w:val="20"/>
          <w:szCs w:val="20"/>
          <w:color w:val="auto"/>
        </w:rPr>
      </w:pPr>
    </w:p>
    <w:p>
      <w:pPr>
        <w:ind w:right="20" w:firstLine="1505"/>
        <w:spacing w:after="0" w:line="258" w:lineRule="auto"/>
        <w:tabs>
          <w:tab w:leader="none" w:pos="192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point of communication both internally within the Parties’ organizations and between the Parties regarding the Study;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in coordinating collaborative efforts under this Agreement, if any, and any external communications;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the point of first referral for any disputes arising under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8" w:name="page269"/>
    <w:bookmarkEnd w:id="268"/>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If a dispute arises and the Project Managers, after good faith efforts, are unable to resolve the dispute within [***] after it is referred to them, the dispute shall be elevated in the first instance to the Parties’ respective Alliance Managers.</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Section 3.9.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Alliance Manager</w:t>
      </w:r>
      <w:r>
        <w:rPr>
          <w:rFonts w:ascii="Times New Roman" w:cs="Times New Roman" w:eastAsia="Times New Roman" w:hAnsi="Times New Roman"/>
          <w:sz w:val="22"/>
          <w:szCs w:val="22"/>
          <w:color w:val="auto"/>
        </w:rPr>
        <w:t>. Each Party shall appoint an alliance representative (an “</w:t>
      </w:r>
      <w:r>
        <w:rPr>
          <w:rFonts w:ascii="Times New Roman" w:cs="Times New Roman" w:eastAsia="Times New Roman" w:hAnsi="Times New Roman"/>
          <w:sz w:val="22"/>
          <w:szCs w:val="22"/>
          <w:b w:val="1"/>
          <w:bCs w:val="1"/>
          <w:u w:val="single" w:color="auto"/>
          <w:color w:val="auto"/>
        </w:rPr>
        <w:t>Alliance Manager</w:t>
      </w:r>
      <w:r>
        <w:rPr>
          <w:rFonts w:ascii="Times New Roman" w:cs="Times New Roman" w:eastAsia="Times New Roman" w:hAnsi="Times New Roman"/>
          <w:sz w:val="22"/>
          <w:szCs w:val="22"/>
          <w:color w:val="auto"/>
        </w:rPr>
        <w:t>”)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possesses a general understanding of development, regulatory, manufacturing, and commercialization matters. Each Party shall notify the other Party in writing of the identity and contact details of its Alliance Manager as soon as possible (and in any event no later than [***]) after the Effective Date, and in any event prior to the first shipment of Novartis Compound to Olema pursuant to this Agreement. Each Party may change its designated Alliance Manager from time to time by written notice to the other Party. The Alliance Managers will be the point of first referral in all matters relating to the ROFN. If a dispute arises in relation to the rights and obligations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or is referred to the Alliance Managers pursuant to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and the Alliance Managers, after good faith efforts, are unable to resolve the dispute within [***] after it is referred to them, it shall be elevated to Olema’s [***] (if such dispute is related to the rights and obligations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and to [***], and to Novartis’ [***].</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Section 3.10.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Supply Chain Representative</w:t>
      </w:r>
      <w:r>
        <w:rPr>
          <w:rFonts w:ascii="Times New Roman" w:cs="Times New Roman" w:eastAsia="Times New Roman" w:hAnsi="Times New Roman"/>
          <w:sz w:val="22"/>
          <w:szCs w:val="22"/>
          <w:color w:val="auto"/>
        </w:rPr>
        <w:t>. Each Party shall appoint a supply chain representative (a “</w:t>
      </w:r>
      <w:r>
        <w:rPr>
          <w:rFonts w:ascii="Times New Roman" w:cs="Times New Roman" w:eastAsia="Times New Roman" w:hAnsi="Times New Roman"/>
          <w:sz w:val="22"/>
          <w:szCs w:val="22"/>
          <w:b w:val="1"/>
          <w:bCs w:val="1"/>
          <w:u w:val="single" w:color="auto"/>
          <w:color w:val="auto"/>
        </w:rPr>
        <w:t>Supply Chain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Representative</w:t>
      </w:r>
      <w:r>
        <w:rPr>
          <w:rFonts w:ascii="Times New Roman" w:cs="Times New Roman" w:eastAsia="Times New Roman" w:hAnsi="Times New Roman"/>
          <w:sz w:val="22"/>
          <w:szCs w:val="22"/>
          <w:color w:val="auto"/>
        </w:rPr>
        <w:t>”). Each Party shall notify the other Party in writing of the identity and contact details of its Supply Chain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Representative as soon as possible (and in any event no later than [***]) after the Effective Date. Each Party may change its designated Supply Chain Representative from time to time by written notice to the other Party. The Olema Supply Chain Representative shall provide Novartis’ Supply Chain Representative with an initial forecast and an updated rolling quarterly forecast. The Supply Chain Representatives shall review the quantities of Novartis Compound needed for the Study (in accordance with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and Appendix C) and meet to discuss at an agreed upon frequency, if needed, for the forecast and any other supply chain issues that may arise during the Study. If a dispute arises and the Supply Chain Representatives are unable, after good faith efforts, to resolve the dispute within [***] after the dispute is referred to them, the dispute shall be elevated in the first instance to the Parties’ respective Project Managers.</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u w:val="single" w:color="auto"/>
          <w:color w:val="auto"/>
        </w:rPr>
        <w:t>Section 3.11.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Clinical Study Report</w:t>
      </w:r>
      <w:r>
        <w:rPr>
          <w:rFonts w:ascii="Times New Roman" w:cs="Times New Roman" w:eastAsia="Times New Roman" w:hAnsi="Times New Roman"/>
          <w:sz w:val="21"/>
          <w:szCs w:val="21"/>
          <w:color w:val="auto"/>
        </w:rPr>
        <w:t>. Olema (through its Project Manager) shall provide Novartis (through the Novartis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Project Manager) with (i) an electronic copy of the draft final Clinical Study Report, and Novartis shall review and provide any comments within ten (10) Business Days after receipt thereof; and (ii) the final version of the Clinical Study Report as submitted to the applicable Regulatory Authority. Olema shall consider in good faith any comments provided by Novartis to the draft final Clinical Study Report, and shall not include any statements relating to the (i) Novartis Compound, (ii) Olema Combination, or</w:t>
      </w:r>
    </w:p>
    <w:p>
      <w:pPr>
        <w:ind w:firstLine="8"/>
        <w:spacing w:after="0" w:line="237" w:lineRule="auto"/>
        <w:tabs>
          <w:tab w:leader="none" w:pos="42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Letrozole Combination which have not been approved by Novartis. Clinical Study Reports may include appropriate redactions for data related solely to the Olema Compound when necessary.</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Section 3.12.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Future Business Opportunities</w:t>
      </w:r>
      <w:r>
        <w:rPr>
          <w:rFonts w:ascii="Times New Roman" w:cs="Times New Roman" w:eastAsia="Times New Roman" w:hAnsi="Times New Roman"/>
          <w:sz w:val="22"/>
          <w:szCs w:val="22"/>
          <w:color w:val="auto"/>
        </w:rPr>
        <w:t>. Notwithstanding anything in this Agreement to the contrary, each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acknowledges and agrees that the other Party may have present or future business activities or opportunities, including business activities or opportunities with Third Parties, involving (a) Olema Class Compounds or Letrozole Class Compounds, in the case of Novartis, or (b) Novartis Class Compounds or Letrozole Class Compounds, in the case of Olema, or (c) other similar products, programs, technologies or processes. Accordingly, each Party acknowledges and agrees that, subject always to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nothing in this Agreement shall be construed as a representation or inference that the other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9" w:name="page270"/>
    <w:bookmarkEnd w:id="269"/>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Party will not develop for itself, or enter into business relationships with Third Parties regarding, any products, programs, studies (including combination studies), technologies or processes that are similar to or that may compete with the Olema Combination, the Letrozole Combination, or any other product, program, technology or process, including any Olema Class Compound, Novartis Class Compound or Letrozole Class Compound;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the Clinical Data, Joint Inventions, and the other Party’s Confidential Information are used only for the Permitted Use and any other use expressly permitted by this Agreement.</w:t>
      </w:r>
    </w:p>
    <w:p>
      <w:pPr>
        <w:spacing w:after="0" w:line="16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3.13.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Party Owned Materials</w:t>
      </w:r>
      <w:r>
        <w:rPr>
          <w:rFonts w:ascii="Times New Roman" w:cs="Times New Roman" w:eastAsia="Times New Roman" w:hAnsi="Times New Roman"/>
          <w:sz w:val="22"/>
          <w:szCs w:val="22"/>
          <w:color w:val="auto"/>
        </w:rPr>
        <w:t>. Subject always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nothing in this Agreement shall prohibit or restrict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Party from licensing, assigning or otherwise transferring to an Affiliate or Third Party its Compound and its interest in the Clinical Data, Confidential Information or Joint Inventions;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 and (ii) [***].</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PROTOCOL AND RELATED DOCUMENTS.</w:t>
      </w:r>
    </w:p>
    <w:p>
      <w:pPr>
        <w:spacing w:after="0" w:line="178"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Section 4.1. </w:t>
      </w:r>
      <w:r>
        <w:rPr>
          <w:rFonts w:ascii="Times New Roman" w:cs="Times New Roman" w:eastAsia="Times New Roman" w:hAnsi="Times New Roman"/>
          <w:sz w:val="22"/>
          <w:szCs w:val="22"/>
          <w:u w:val="single" w:color="auto"/>
          <w:color w:val="auto"/>
        </w:rPr>
        <w:t>Protocol</w:t>
      </w:r>
      <w:r>
        <w:rPr>
          <w:rFonts w:ascii="Times New Roman" w:cs="Times New Roman" w:eastAsia="Times New Roman" w:hAnsi="Times New Roman"/>
          <w:sz w:val="22"/>
          <w:szCs w:val="22"/>
          <w:color w:val="auto"/>
        </w:rPr>
        <w:t>. The Protocol synopsis for the Study is attached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A-1</w:t>
      </w:r>
      <w:r>
        <w:rPr>
          <w:rFonts w:ascii="Times New Roman" w:cs="Times New Roman" w:eastAsia="Times New Roman" w:hAnsi="Times New Roman"/>
          <w:sz w:val="22"/>
          <w:szCs w:val="22"/>
          <w:color w:val="auto"/>
        </w:rPr>
        <w:t>. The Protocol will be agreed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Novartis and Olema prior to Delivery of the Novartis Compound to Olema. Once agreed and approved, the Protocol will be attached to this Agreement as </w:t>
      </w:r>
      <w:r>
        <w:rPr>
          <w:rFonts w:ascii="Times New Roman" w:cs="Times New Roman" w:eastAsia="Times New Roman" w:hAnsi="Times New Roman"/>
          <w:sz w:val="22"/>
          <w:szCs w:val="22"/>
          <w:u w:val="single" w:color="auto"/>
          <w:color w:val="auto"/>
        </w:rPr>
        <w:t>Appendix A-2</w:t>
      </w:r>
      <w:r>
        <w:rPr>
          <w:rFonts w:ascii="Times New Roman" w:cs="Times New Roman" w:eastAsia="Times New Roman" w:hAnsi="Times New Roman"/>
          <w:sz w:val="22"/>
          <w:szCs w:val="22"/>
          <w:color w:val="auto"/>
        </w:rPr>
        <w:t xml:space="preserve">. Olema may amend the Protocol from time to time;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Olema, through its Project Manager, shall provide a copy of any proposed amendments to the Protocol to Novartis (through the Novartis Project Manager) for review and comment prior to adoption of such amendments. Novartis shall have [***] after its receipt of the proposed Protocol amendment to provide any comments to Olema (through its Project Manager), unless a shorter period of time is required by a Regulatory Authority, in which case Novartis will provide comments in a manner consistent with timelines required by any such Regulatory Authority. Olema shall reasonably consider in good faith any comments provided by Novartis regarding the proposed Protocol amendments, and shall use reasonable efforts to incorporate Novartis’ comments;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always, </w:t>
      </w:r>
      <w:r>
        <w:rPr>
          <w:rFonts w:ascii="Times New Roman" w:cs="Times New Roman" w:eastAsia="Times New Roman" w:hAnsi="Times New Roman"/>
          <w:sz w:val="22"/>
          <w:szCs w:val="22"/>
          <w:color w:val="auto"/>
        </w:rPr>
        <w:t>that any material changes to the Protocol (other than those relating solely to the Olema Compound) and any changes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(whether or not material) relating to the Novartis Compound, including its use in the Study or in a Combination, shall require Novartis’ prior written consent, not to be unreasonably withheld, conditioned or delayed. For clarity, “material changes” to the Protocol include, (i) the dose and dosing regimen for the Novartis Compound, Letrozole or any Combination, (ii) exclusion criteria or inclusion criteria and other safety measures (including AE management guidelines) applicable to the Novartis Compound, Letrozole or any Combination, and (iii) changes that may impact the quantities of Novartis Compound or Letrozole to be supplied hereunder. Additionally, Olema will not make any changes to the Protocol with regard to the safety information regarding the Novartis Compound or its use in a Combination or for the Study, nor shall Olema make any changes to the Protocol that would affect the amount of Novartis Compound to be supplied hereunder, without the prior written consent of Novartis, such consent not to be unreasonably withheld, conditioned or delayed. Novartis shall provide Olema with the following information about the Novartis Compound: (i) Specifications, (ii) investigator brochure, (iii) standard protocol sections, and (iv) pharmacy manual, and for the avoidance of doubt, Olema shall not change any of the information referenced in clauses (i) – (iv) without Novartis’ prior written consent.</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4.2.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Patient Informed Consent</w:t>
      </w:r>
      <w:r>
        <w:rPr>
          <w:rFonts w:ascii="Times New Roman" w:cs="Times New Roman" w:eastAsia="Times New Roman" w:hAnsi="Times New Roman"/>
          <w:sz w:val="22"/>
          <w:szCs w:val="22"/>
          <w:color w:val="auto"/>
        </w:rPr>
        <w:t>. Olema shall prepare the patient informed consent form for the Study (“</w:t>
      </w:r>
      <w:r>
        <w:rPr>
          <w:rFonts w:ascii="Times New Roman" w:cs="Times New Roman" w:eastAsia="Times New Roman" w:hAnsi="Times New Roman"/>
          <w:sz w:val="22"/>
          <w:szCs w:val="22"/>
          <w:b w:val="1"/>
          <w:bCs w:val="1"/>
          <w:u w:val="single" w:color="auto"/>
          <w:color w:val="auto"/>
        </w:rPr>
        <w:t>ICF</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consultation with Novartis, it being understood and agreed that the portion of the ICF relating to the safety of the Novartis Compound will be provided to Olema by Novartis. Olema shall obtain Novartis’ prior written consent prior 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0" w:name="page271"/>
    <w:bookmarkEnd w:id="270"/>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using the ICF;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such consent right shall be limited to the portion(s) of the ICF relating to the Novartis Compound, the Olema Combination or the Letrozole Combination. Any changes to the ICF that relate solely to safety information regarding the Novartis Compound (when used alone or when used in a Combination) shall be subject to Novartis’ review and prior written consent. Any such proposed changes to the ICF will be sent in writing to Novartis’ Project Manager. Novartis will provide such consent, or a written explanation for why such consent is being withheld, within [***] after receiving a copy of Olema’s proposed changes.</w:t>
      </w:r>
    </w:p>
    <w:p>
      <w:pPr>
        <w:spacing w:after="0" w:line="1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Section 4.3.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Sunshine Reporting</w:t>
      </w:r>
      <w:r>
        <w:rPr>
          <w:rFonts w:ascii="Times New Roman" w:cs="Times New Roman" w:eastAsia="Times New Roman" w:hAnsi="Times New Roman"/>
          <w:sz w:val="22"/>
          <w:szCs w:val="22"/>
          <w:color w:val="auto"/>
        </w:rPr>
        <w:t>. Olema will be responsible for reporting payments and other transfers of value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health care professionals (e.g. investigators, steering committee members, data monitoring committee members, consultants, etc.) in connection with the Study in accordance with reporting requirements, if any, under Applicable Law (including the Physician Payment Sunshine Act and analogous state gift laws applicable to the activities hereunder, and the European Federation of Pharmaceutical Industries and Associations Disclosure Code of Transfers of Value) and Olema policies (unless inconsistent with Applicable Law). Novartis shall provide all information required for such reporting regarding the value of the Novartis Compound provided for use in the Study. Such information shall be provided to the point of contact within Olema’s clinical supplies group who is identified to Novartis in writing upon the execution of the Agreement and thereafter promptly following any change to such point of contact. Novartis shall provide the necessary information regarding the value of the Novartis Compound within [***] after the Effective Date. If at any time during the term of this Agreement, the value of the Novartis Compound provided to Olema changes, Novartis shall notify Olema of such revised value, and the effective date of such revised value, within [***] after such change in value.</w:t>
      </w:r>
    </w:p>
    <w:p>
      <w:pPr>
        <w:spacing w:after="0" w:line="18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4.4.</w:t>
      </w:r>
      <w:r>
        <w:rPr>
          <w:sz w:val="20"/>
          <w:szCs w:val="20"/>
          <w:color w:val="auto"/>
        </w:rPr>
        <w:tab/>
      </w:r>
      <w:r>
        <w:rPr>
          <w:rFonts w:ascii="Times New Roman" w:cs="Times New Roman" w:eastAsia="Times New Roman" w:hAnsi="Times New Roman"/>
          <w:sz w:val="21"/>
          <w:szCs w:val="21"/>
          <w:u w:val="single" w:color="auto"/>
          <w:color w:val="auto"/>
        </w:rPr>
        <w:t>Statistical Analysis Plan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Olema shall provide Novartis with a draft statistical analysis plan (“</w:t>
      </w:r>
      <w:r>
        <w:rPr>
          <w:rFonts w:ascii="Times New Roman" w:cs="Times New Roman" w:eastAsia="Times New Roman" w:hAnsi="Times New Roman"/>
          <w:sz w:val="22"/>
          <w:szCs w:val="22"/>
          <w:b w:val="1"/>
          <w:bCs w:val="1"/>
          <w:u w:val="single" w:color="auto"/>
          <w:color w:val="auto"/>
        </w:rPr>
        <w:t>SAP</w:t>
      </w:r>
      <w:r>
        <w:rPr>
          <w:rFonts w:ascii="Times New Roman" w:cs="Times New Roman" w:eastAsia="Times New Roman" w:hAnsi="Times New Roman"/>
          <w:sz w:val="22"/>
          <w:szCs w:val="22"/>
          <w:color w:val="auto"/>
        </w:rPr>
        <w:t xml:space="preserve">”) for the Study. Novartis shall have the right, but not the obligation to provide comments to the SAP, such comments (if any) to be provided within [***] after Novartis’ receipt of the draft SAP. Olema shall have the final decision regarding the contents of the SAP; however, Olema shall reasonably consider any comments provided by Novartis regarding the SAP before finalizing. If any material changes are proposed to the Protocol (as defined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above), Olema shall provide a copy of any proposed amendments to the SAP to Novartis for review and comment, and Olema shall reasonably consider any comments provided by Novartis regarding the proposed amendments to the SAP.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ADVERSE EVENT REPORTING.</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Olema will be solely responsible for compliance with all Applicable Law pertaining to safety reporting for the Study and related activities. The Parties (or their respective Affiliates) will execute a pharmacovigilance agreement (the “</w:t>
      </w:r>
      <w:r>
        <w:rPr>
          <w:rFonts w:ascii="Times New Roman" w:cs="Times New Roman" w:eastAsia="Times New Roman" w:hAnsi="Times New Roman"/>
          <w:sz w:val="22"/>
          <w:szCs w:val="22"/>
          <w:b w:val="1"/>
          <w:bCs w:val="1"/>
          <w:u w:val="single" w:color="auto"/>
          <w:color w:val="auto"/>
        </w:rPr>
        <w:t>Pharmacovigilance Agreement</w:t>
      </w:r>
      <w:r>
        <w:rPr>
          <w:rFonts w:ascii="Times New Roman" w:cs="Times New Roman" w:eastAsia="Times New Roman" w:hAnsi="Times New Roman"/>
          <w:sz w:val="22"/>
          <w:szCs w:val="22"/>
          <w:color w:val="auto"/>
        </w:rPr>
        <w:t>”) prior to [***] to ensure the exchange of relevant safety data within appropriate timeframes and in appropriate format to enable the Parties to fulfill local and international regulatory reporting obligations and to facilitate appropriate safety reviews. The Pharmacovigilance Agreement will include safety data exchange procedures governing the coordination of collection, investigation, reporting, and exchange of information concerning any Adverse Events, pregnancy reports, and any other safety information arising from or related to the use of the Compounds in the Study, in accordance with Applicable Law. Such guidelines and procedures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1" w:name="page272"/>
    <w:bookmarkEnd w:id="271"/>
    <w:p>
      <w:pPr>
        <w:jc w:val="both"/>
        <w:spacing w:after="0" w:line="244" w:lineRule="auto"/>
        <w:rPr>
          <w:sz w:val="20"/>
          <w:szCs w:val="20"/>
          <w:color w:val="auto"/>
        </w:rPr>
      </w:pPr>
      <w:r>
        <w:rPr>
          <w:rFonts w:ascii="Times New Roman" w:cs="Times New Roman" w:eastAsia="Times New Roman" w:hAnsi="Times New Roman"/>
          <w:sz w:val="22"/>
          <w:szCs w:val="22"/>
          <w:color w:val="auto"/>
        </w:rPr>
        <w:t>shall be in accordance with, and enable the Parties and their Affiliates to fulfill, local and international regulatory reporting obligations to Government Authorities. Without limiting the generality of the foregoing, if there is a significant safety signal, Olema must notify Novartis immediately, but in no event later than [***] after Olema becomes aware of the safety signal.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ROFN, ROFO, RIGHT TO RECEIVE NOTICE AND REPAYMENT OBLIGATION.</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6.1.</w:t>
      </w:r>
      <w:r>
        <w:rPr>
          <w:sz w:val="20"/>
          <w:szCs w:val="20"/>
          <w:color w:val="auto"/>
        </w:rPr>
        <w:tab/>
      </w:r>
      <w:r>
        <w:rPr>
          <w:rFonts w:ascii="Times New Roman" w:cs="Times New Roman" w:eastAsia="Times New Roman" w:hAnsi="Times New Roman"/>
          <w:sz w:val="21"/>
          <w:szCs w:val="21"/>
          <w:u w:val="single" w:color="auto"/>
          <w:color w:val="auto"/>
        </w:rPr>
        <w:t>Right of First Negotiation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6.1.1 </w:t>
      </w:r>
      <w:r>
        <w:rPr>
          <w:rFonts w:ascii="Times New Roman" w:cs="Times New Roman" w:eastAsia="Times New Roman" w:hAnsi="Times New Roman"/>
          <w:sz w:val="22"/>
          <w:szCs w:val="22"/>
          <w:color w:val="auto"/>
        </w:rPr>
        <w:t>Except as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Olema shall not, and shall cause its Affiliates not to, (a)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(other than Olema or any of its Affiliates) any right, license or sublicense to Exploit any of the Olema Compound Assets (alone or in combination with any other agent), in any field or territory (or any option to acquire any such right, license or sublicense), other than any such grant to a Third Party service provider for the sole purpose of performing Research, Development or Manufacturing services on behalf of Olema or any of its Affiliates, or (b) sell or otherwise transfer to any Person (other than Olema or any of its Affiliates) any or all of the Olema Compound Assets (or grant any Person (other than Olema or any of its Affiliates) an option to acquire any or all of the Olema Compound Assets) (each of (a) and (b), an “</w:t>
      </w:r>
      <w:r>
        <w:rPr>
          <w:rFonts w:ascii="Times New Roman" w:cs="Times New Roman" w:eastAsia="Times New Roman" w:hAnsi="Times New Roman"/>
          <w:sz w:val="22"/>
          <w:szCs w:val="22"/>
          <w:b w:val="1"/>
          <w:bCs w:val="1"/>
          <w:u w:val="single" w:color="auto"/>
          <w:color w:val="auto"/>
        </w:rPr>
        <w:t>Olema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Compound Transaction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 Olema Compound Transaction expressly excludes (x) any transaction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qualifies as an Olema Change of Control, (y) any transaction pursuant to which Olema is supplied with a Third Party’s proprietary pharmaceutical product solely to pursue a combination clinical trial with the Olema Compound, and (z) any transaction pursuant to which Olema supplies a Third Party with the Olema Compound solely for such Third Party to pursue a combination clinical trial with such Third Party’s proprietary pharmaceutical product, and </w:t>
      </w:r>
      <w:r>
        <w:rPr>
          <w:rFonts w:ascii="Times New Roman" w:cs="Times New Roman" w:eastAsia="Times New Roman" w:hAnsi="Times New Roman"/>
          <w:sz w:val="22"/>
          <w:szCs w:val="22"/>
          <w:i w:val="1"/>
          <w:iCs w:val="1"/>
          <w:color w:val="auto"/>
        </w:rPr>
        <w:t>provided, always,</w:t>
      </w:r>
      <w:r>
        <w:rPr>
          <w:rFonts w:ascii="Times New Roman" w:cs="Times New Roman" w:eastAsia="Times New Roman" w:hAnsi="Times New Roman"/>
          <w:sz w:val="22"/>
          <w:szCs w:val="22"/>
          <w:color w:val="auto"/>
        </w:rPr>
        <w:t xml:space="preserve"> that in the case of (y) and (z) such Third Party is not granted the right to Commercialize the Olema Compound.</w:t>
      </w:r>
    </w:p>
    <w:p>
      <w:pPr>
        <w:spacing w:after="0" w:line="182" w:lineRule="exact"/>
        <w:rPr>
          <w:sz w:val="20"/>
          <w:szCs w:val="20"/>
          <w:color w:val="auto"/>
        </w:rPr>
      </w:pPr>
    </w:p>
    <w:p>
      <w:pPr>
        <w:jc w:val="both"/>
        <w:ind w:left="200" w:firstLine="149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6.1.2 </w:t>
      </w:r>
      <w:r>
        <w:rPr>
          <w:rFonts w:ascii="Times New Roman" w:cs="Times New Roman" w:eastAsia="Times New Roman" w:hAnsi="Times New Roman"/>
          <w:sz w:val="21"/>
          <w:szCs w:val="21"/>
          <w:color w:val="auto"/>
        </w:rPr>
        <w:t>Olema hereby grants Novartis a right of first negotiation with respect to any Olema Compound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If Olema or any of its Affiliates or any of its or their Representatives desires to or does, at any time, (a) solicit or entertain any Third Party proposal or indication of interest (in writing or otherwise) with respect to or that contemplates an Olema Compound Transaction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ordinary course discussions conducted by Olema in good faith with Third Parties regarding Olema’s scientific programs, potential collaborations and partnerships and other similar matters that do not give rise to an Olema Compound Transaction shall not by themselves constitute solicitation or entertainment of an Olema Compound Transaction), or (b) negotiate (including in response to any proposal or indication of interest (in writing or otherwise) received by Olema or any of its Affiliates from a Third Party), enter into or perform under, in each case, any written definitive agreement with a Third Party with respect to or that contemplates an Olema Compound Transaction (an “</w:t>
      </w:r>
      <w:r>
        <w:rPr>
          <w:rFonts w:ascii="Times New Roman" w:cs="Times New Roman" w:eastAsia="Times New Roman" w:hAnsi="Times New Roman"/>
          <w:sz w:val="21"/>
          <w:szCs w:val="21"/>
          <w:b w:val="1"/>
          <w:bCs w:val="1"/>
          <w:u w:val="single" w:color="auto"/>
          <w:color w:val="auto"/>
        </w:rPr>
        <w:t>Olema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Compound Agreement</w:t>
      </w:r>
      <w:r>
        <w:rPr>
          <w:rFonts w:ascii="Times New Roman" w:cs="Times New Roman" w:eastAsia="Times New Roman" w:hAnsi="Times New Roman"/>
          <w:sz w:val="21"/>
          <w:szCs w:val="21"/>
          <w:color w:val="auto"/>
        </w:rPr>
        <w:t>”), then Olema shall provide written notice to Novartis regarding such Olema Compound Transaction,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written notice shall include [***] (a “</w:t>
      </w:r>
      <w:r>
        <w:rPr>
          <w:rFonts w:ascii="Times New Roman" w:cs="Times New Roman" w:eastAsia="Times New Roman" w:hAnsi="Times New Roman"/>
          <w:sz w:val="21"/>
          <w:szCs w:val="21"/>
          <w:b w:val="1"/>
          <w:bCs w:val="1"/>
          <w:u w:val="single" w:color="auto"/>
          <w:color w:val="auto"/>
        </w:rPr>
        <w:t>ROFN Negotiation Notice</w:t>
      </w:r>
      <w:r>
        <w:rPr>
          <w:rFonts w:ascii="Times New Roman" w:cs="Times New Roman" w:eastAsia="Times New Roman" w:hAnsi="Times New Roman"/>
          <w:sz w:val="21"/>
          <w:szCs w:val="21"/>
          <w:color w:val="auto"/>
        </w:rPr>
        <w:t>”). If Novartis notifies Olema in writing of its election to exercise its right of first negotiation in respect of such Olema Compound Transaction (such notice from Novartis, a “</w:t>
      </w:r>
      <w:r>
        <w:rPr>
          <w:rFonts w:ascii="Times New Roman" w:cs="Times New Roman" w:eastAsia="Times New Roman" w:hAnsi="Times New Roman"/>
          <w:sz w:val="21"/>
          <w:szCs w:val="21"/>
          <w:b w:val="1"/>
          <w:bCs w:val="1"/>
          <w:u w:val="single" w:color="auto"/>
          <w:color w:val="auto"/>
        </w:rPr>
        <w:t>ROFN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Election Notice</w:t>
      </w:r>
      <w:r>
        <w:rPr>
          <w:rFonts w:ascii="Times New Roman" w:cs="Times New Roman" w:eastAsia="Times New Roman" w:hAnsi="Times New Roman"/>
          <w:sz w:val="21"/>
          <w:szCs w:val="21"/>
          <w:color w:val="auto"/>
        </w:rPr>
        <w:t>”) within thirty (30) days after a ROFN Negotiation Notice is given (“</w:t>
      </w:r>
      <w:r>
        <w:rPr>
          <w:rFonts w:ascii="Times New Roman" w:cs="Times New Roman" w:eastAsia="Times New Roman" w:hAnsi="Times New Roman"/>
          <w:sz w:val="21"/>
          <w:szCs w:val="21"/>
          <w:b w:val="1"/>
          <w:bCs w:val="1"/>
          <w:u w:val="single" w:color="auto"/>
          <w:color w:val="auto"/>
        </w:rPr>
        <w:t>ROFN Election Period</w:t>
      </w:r>
      <w:r>
        <w:rPr>
          <w:rFonts w:ascii="Times New Roman" w:cs="Times New Roman" w:eastAsia="Times New Roman" w:hAnsi="Times New Roman"/>
          <w:sz w:val="21"/>
          <w:szCs w:val="21"/>
          <w:color w:val="auto"/>
        </w:rPr>
        <w:t>”), then Olema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Novartis shall promptly enter into exclusive good faith negotiations with respect to such Olema Compound Transaction for a period of one hundred and twenty (120) days after such ROFN Election Notice is given, or such longer period as may otherwise be mutually agreed by the Alliance Managers (the “</w:t>
      </w:r>
      <w:r>
        <w:rPr>
          <w:rFonts w:ascii="Times New Roman" w:cs="Times New Roman" w:eastAsia="Times New Roman" w:hAnsi="Times New Roman"/>
          <w:sz w:val="21"/>
          <w:szCs w:val="21"/>
          <w:b w:val="1"/>
          <w:bCs w:val="1"/>
          <w:u w:val="single" w:color="auto"/>
          <w:color w:val="auto"/>
        </w:rPr>
        <w:t>ROFN Negotiation Period</w:t>
      </w: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2" w:name="page273"/>
    <w:bookmarkEnd w:id="272"/>
    <w:p>
      <w:pPr>
        <w:jc w:val="both"/>
        <w:ind w:left="5"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6.1.3 </w:t>
      </w:r>
      <w:r>
        <w:rPr>
          <w:rFonts w:ascii="Times New Roman" w:cs="Times New Roman" w:eastAsia="Times New Roman" w:hAnsi="Times New Roman"/>
          <w:sz w:val="22"/>
          <w:szCs w:val="22"/>
          <w:color w:val="auto"/>
        </w:rPr>
        <w:t>If Olema and Novartis fail to enter into an Olema Compound Agreement (notwithstanding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faith negotiations) during an applicable ROFN Negotiation Period, or if Novartis fails to deliver a ROFN Election Notice to Olema within an applicable ROFN Election Period, then Olema shall thereafter be free to solicit or entertain any proposal or indication of interest (in writing or otherwise) relating to and negotiate and enter into an Olema Compound Agreement with a Third Party relating to the Olema Compound Assets specified in the applicable ROFN Negotiation Notice;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 For clarity, if Olema or any of its Affiliates proposes at any time to solicit or entertain any proposal or indication of interest (in writing or otherwise) relating to, or negotiate (including in response to any inquiry or proposal received by Olema or any of its Affiliates from a Third Party), enter into or perform under any Olema Compound Agreement relating to the Olema Compound that [***].</w:t>
      </w:r>
    </w:p>
    <w:p>
      <w:pPr>
        <w:spacing w:after="0" w:line="174" w:lineRule="exact"/>
        <w:rPr>
          <w:sz w:val="20"/>
          <w:szCs w:val="20"/>
          <w:color w:val="auto"/>
        </w:rPr>
      </w:pPr>
    </w:p>
    <w:p>
      <w:pPr>
        <w:ind w:left="565"/>
        <w:spacing w:after="0"/>
        <w:tabs>
          <w:tab w:leader="none" w:pos="1844" w:val="left"/>
        </w:tabs>
        <w:rPr>
          <w:sz w:val="20"/>
          <w:szCs w:val="20"/>
          <w:color w:val="auto"/>
        </w:rPr>
      </w:pPr>
      <w:r>
        <w:rPr>
          <w:rFonts w:ascii="Times New Roman" w:cs="Times New Roman" w:eastAsia="Times New Roman" w:hAnsi="Times New Roman"/>
          <w:sz w:val="22"/>
          <w:szCs w:val="22"/>
          <w:b w:val="1"/>
          <w:bCs w:val="1"/>
          <w:u w:val="single" w:color="auto"/>
          <w:color w:val="auto"/>
        </w:rPr>
        <w:t>Section 6.2.</w:t>
      </w:r>
      <w:r>
        <w:rPr>
          <w:sz w:val="20"/>
          <w:szCs w:val="20"/>
          <w:color w:val="auto"/>
        </w:rPr>
        <w:tab/>
      </w:r>
      <w:r>
        <w:rPr>
          <w:rFonts w:ascii="Times New Roman" w:cs="Times New Roman" w:eastAsia="Times New Roman" w:hAnsi="Times New Roman"/>
          <w:sz w:val="21"/>
          <w:szCs w:val="21"/>
          <w:u w:val="single" w:color="auto"/>
          <w:color w:val="auto"/>
        </w:rPr>
        <w:t>Right of First Offer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5"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6.2.1 </w:t>
      </w:r>
      <w:r>
        <w:rPr>
          <w:rFonts w:ascii="Times New Roman" w:cs="Times New Roman" w:eastAsia="Times New Roman" w:hAnsi="Times New Roman"/>
          <w:sz w:val="22"/>
          <w:szCs w:val="22"/>
          <w:color w:val="auto"/>
        </w:rPr>
        <w:t>If the board of directors of Olema (the “</w:t>
      </w:r>
      <w:r>
        <w:rPr>
          <w:rFonts w:ascii="Times New Roman" w:cs="Times New Roman" w:eastAsia="Times New Roman" w:hAnsi="Times New Roman"/>
          <w:sz w:val="22"/>
          <w:szCs w:val="22"/>
          <w:b w:val="1"/>
          <w:bCs w:val="1"/>
          <w:u w:val="single" w:color="auto"/>
          <w:color w:val="auto"/>
        </w:rPr>
        <w:t>Olema Board</w:t>
      </w:r>
      <w:r>
        <w:rPr>
          <w:rFonts w:ascii="Times New Roman" w:cs="Times New Roman" w:eastAsia="Times New Roman" w:hAnsi="Times New Roman"/>
          <w:sz w:val="22"/>
          <w:szCs w:val="22"/>
          <w:color w:val="auto"/>
        </w:rPr>
        <w:t>”) or a duly authorized committee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Olema Board determines (whether or not by formal action) that Olema should pursue or explore an Olema Change of Control, other than in response to an unsolicited bona fide Acquisition Proposal (a “</w:t>
      </w:r>
      <w:r>
        <w:rPr>
          <w:rFonts w:ascii="Times New Roman" w:cs="Times New Roman" w:eastAsia="Times New Roman" w:hAnsi="Times New Roman"/>
          <w:sz w:val="22"/>
          <w:szCs w:val="22"/>
          <w:b w:val="1"/>
          <w:bCs w:val="1"/>
          <w:u w:val="single" w:color="auto"/>
          <w:color w:val="auto"/>
        </w:rPr>
        <w:t>Proposed Sale</w:t>
      </w:r>
      <w:r>
        <w:rPr>
          <w:rFonts w:ascii="Times New Roman" w:cs="Times New Roman" w:eastAsia="Times New Roman" w:hAnsi="Times New Roman"/>
          <w:sz w:val="22"/>
          <w:szCs w:val="22"/>
          <w:color w:val="auto"/>
        </w:rPr>
        <w:t>”), Olema shall promptly (and in any event within [***]) following such determination by the Olema Board or such committee thereof, deliver a written notice (a “</w:t>
      </w:r>
      <w:r>
        <w:rPr>
          <w:rFonts w:ascii="Times New Roman" w:cs="Times New Roman" w:eastAsia="Times New Roman" w:hAnsi="Times New Roman"/>
          <w:sz w:val="22"/>
          <w:szCs w:val="22"/>
          <w:b w:val="1"/>
          <w:bCs w:val="1"/>
          <w:u w:val="single" w:color="auto"/>
          <w:color w:val="auto"/>
        </w:rPr>
        <w:t>ROFO Notice</w:t>
      </w:r>
      <w:r>
        <w:rPr>
          <w:rFonts w:ascii="Times New Roman" w:cs="Times New Roman" w:eastAsia="Times New Roman" w:hAnsi="Times New Roman"/>
          <w:sz w:val="22"/>
          <w:szCs w:val="22"/>
          <w:color w:val="auto"/>
        </w:rPr>
        <w:t>”) to Novartis of such determination. The ROFO Notice shall include [***].</w:t>
      </w:r>
    </w:p>
    <w:p>
      <w:pPr>
        <w:spacing w:after="0" w:line="177" w:lineRule="exact"/>
        <w:rPr>
          <w:sz w:val="20"/>
          <w:szCs w:val="20"/>
          <w:color w:val="auto"/>
        </w:rPr>
      </w:pPr>
    </w:p>
    <w:p>
      <w:pPr>
        <w:jc w:val="both"/>
        <w:ind w:left="5" w:firstLine="149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6.2.2 </w:t>
      </w:r>
      <w:r>
        <w:rPr>
          <w:rFonts w:ascii="Times New Roman" w:cs="Times New Roman" w:eastAsia="Times New Roman" w:hAnsi="Times New Roman"/>
          <w:sz w:val="21"/>
          <w:szCs w:val="21"/>
          <w:color w:val="auto"/>
        </w:rPr>
        <w:t>From the date on which the Olema Board or a duly authorized committee of the Olema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determines (whether or not by formal action) that Olema should pursue or explore a Proposed Sale through the date that is forty-five (45) days after the later of (a) the date on which the ROFO Notice is given to Novartis, (b) the date on which Novartis is first given Olema’s notice that the Data Room has been populated [***] (which may be concurrent with delivery of the ROFO Notice) and (c) entry by the Parties into the NDA (the “</w:t>
      </w:r>
      <w:r>
        <w:rPr>
          <w:rFonts w:ascii="Times New Roman" w:cs="Times New Roman" w:eastAsia="Times New Roman" w:hAnsi="Times New Roman"/>
          <w:sz w:val="21"/>
          <w:szCs w:val="21"/>
          <w:b w:val="1"/>
          <w:bCs w:val="1"/>
          <w:u w:val="single" w:color="auto"/>
          <w:color w:val="auto"/>
        </w:rPr>
        <w:t>ROFO Option Period</w:t>
      </w:r>
      <w:r>
        <w:rPr>
          <w:rFonts w:ascii="Times New Roman" w:cs="Times New Roman" w:eastAsia="Times New Roman" w:hAnsi="Times New Roman"/>
          <w:sz w:val="21"/>
          <w:szCs w:val="21"/>
          <w:color w:val="auto"/>
        </w:rPr>
        <w:t>”), Novartis shall have the exclusive right (but no obligation) to [***] negotiate with Olema and its Representatives the definitive terms and conditions of the Proposed Sale. Promptly after the ROFO Notice is given (and in no event no more than ten (10) Business Days after it is given), Novartis shall determine whether it elects to [***] negotiate a Proposed Sale in accordance with the preceding sentence and give notice to Olema in writing of Novartis’ decision. In the event Novartis determines that it does intend to conduct such</w:t>
      </w:r>
    </w:p>
    <w:p>
      <w:pPr>
        <w:spacing w:after="0" w:line="5" w:lineRule="exact"/>
        <w:rPr>
          <w:sz w:val="20"/>
          <w:szCs w:val="20"/>
          <w:color w:val="auto"/>
        </w:rPr>
      </w:pPr>
    </w:p>
    <w:p>
      <w:pPr>
        <w:jc w:val="both"/>
        <w:ind w:left="5" w:hanging="5"/>
        <w:spacing w:after="0" w:line="231" w:lineRule="auto"/>
        <w:tabs>
          <w:tab w:leader="none" w:pos="57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negotiation, the Parties shall negotiate in good faith the terms of a non-disclosure agreement [***] (an “</w:t>
      </w:r>
      <w:r>
        <w:rPr>
          <w:rFonts w:ascii="Times New Roman" w:cs="Times New Roman" w:eastAsia="Times New Roman" w:hAnsi="Times New Roman"/>
          <w:sz w:val="22"/>
          <w:szCs w:val="22"/>
          <w:b w:val="1"/>
          <w:bCs w:val="1"/>
          <w:u w:val="single" w:color="auto"/>
          <w:color w:val="auto"/>
        </w:rPr>
        <w:t>NDA</w:t>
      </w:r>
      <w:r>
        <w:rPr>
          <w:rFonts w:ascii="Times New Roman" w:cs="Times New Roman" w:eastAsia="Times New Roman" w:hAnsi="Times New Roman"/>
          <w:sz w:val="22"/>
          <w:szCs w:val="22"/>
          <w:color w:val="auto"/>
        </w:rPr>
        <w:t>”). Promptly, and in any event within twenty-four (24) hours after the later of [***], Olema shall grant Novartis and its applicable Affiliates and Representatives access to the Data Room. After access to the Data Room is provided, during the ROFO Option Period, Olema shall, shall cause its Affiliates to and shall direct its applicable Third Party Representatives to (i) cooperate with Novartis’ and its applicable Affiliates’ and Representatives’ due diligence review of Olema and its business, including by providing reasonable access to information and personnel of Olema and its Affiliates and updating the Data Room pursuant to reasonable requests of Novartis’ employees and Representatives as soon as practicable after receipt of such requests, and (ii) negotiate in good faith with Novartis and its applicable Affiliates and Representatives, to the extent Novartis wishes to negotiate, the terms and conditions of such Proposed Sale. Notwithstanding the foregoing, in the event that Novartis notifies Olema that it does not intend to conduct such [***] negotiation, or Novartis does not respond to Olema within the ten (10) Business Day</w:t>
      </w:r>
    </w:p>
    <w:p>
      <w:pPr>
        <w:spacing w:after="0" w:line="200" w:lineRule="exact"/>
        <w:rPr>
          <w:sz w:val="20"/>
          <w:szCs w:val="20"/>
          <w:color w:val="auto"/>
        </w:rPr>
      </w:pPr>
    </w:p>
    <w:p>
      <w:pPr>
        <w:spacing w:after="0" w:line="392"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478155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5"/>
          </w:cols>
          <w:pgMar w:left="515" w:top="1404" w:right="339" w:bottom="1440" w:gutter="0" w:footer="0" w:header="0"/>
        </w:sectPr>
      </w:pPr>
    </w:p>
    <w:bookmarkStart w:id="273" w:name="page274"/>
    <w:bookmarkEnd w:id="273"/>
    <w:p>
      <w:pPr>
        <w:jc w:val="both"/>
        <w:ind w:left="200"/>
        <w:spacing w:after="0" w:line="258" w:lineRule="auto"/>
        <w:rPr>
          <w:sz w:val="20"/>
          <w:szCs w:val="20"/>
          <w:color w:val="auto"/>
        </w:rPr>
      </w:pPr>
      <w:r>
        <w:rPr>
          <w:rFonts w:ascii="Times New Roman" w:cs="Times New Roman" w:eastAsia="Times New Roman" w:hAnsi="Times New Roman"/>
          <w:sz w:val="22"/>
          <w:szCs w:val="22"/>
          <w:color w:val="auto"/>
        </w:rPr>
        <w:t>period described above, then the ROFO Option Period shall terminate when Olema is given notice thereof or the expiration of such period, whichever first occurs.</w:t>
      </w:r>
    </w:p>
    <w:p>
      <w:pPr>
        <w:spacing w:after="0" w:line="154" w:lineRule="exact"/>
        <w:rPr>
          <w:sz w:val="20"/>
          <w:szCs w:val="20"/>
          <w:color w:val="auto"/>
        </w:rPr>
      </w:pPr>
    </w:p>
    <w:p>
      <w:pPr>
        <w:jc w:val="both"/>
        <w:ind w:left="20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6.2.3 </w:t>
      </w:r>
      <w:r>
        <w:rPr>
          <w:rFonts w:ascii="Times New Roman" w:cs="Times New Roman" w:eastAsia="Times New Roman" w:hAnsi="Times New Roman"/>
          <w:sz w:val="22"/>
          <w:szCs w:val="22"/>
          <w:color w:val="auto"/>
        </w:rPr>
        <w:t>If Olema and Novartis fail to enter into a definitive agreement with respect to a Proposed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(notwithstanding good faith negotiations) during the applicable ROFO Option Period, then Olema shall thereafter be free to pursue, explore or consummate a Proposed Sale with a Third Party. If Olema or any of its Affiliates does not enter into or perform under any written definitive agreement with a Third Party that provides for the consummation of such Proposed Sale, or stops pursuing the Proposed Sale with a Third Party, the ROFO in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shall once again apply with respect to any other Proposed Sale which the Olema Board or a duly authorized committee of the Olema Board determines (whether or not by formal action) that Olema should pursue or explore.</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u w:val="single" w:color="auto"/>
          <w:color w:val="auto"/>
        </w:rPr>
        <w:t>Section 6.3.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Right to Receive Notice of Acquisition Proposal.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Olema or its Affiliates receive an unsolicited bona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fide Acquisition Proposal from a Third Party, Olema shall promptly notify its Board of Directors (or an applicable committee thereof) of the receipt thereof and request that they consider the merits of such Acquisition Proposal. If, after such consideration, the Board of Directors of Olema (or an applicable committee thereof) authorizes Olema to engage in negotiations with the Third Party providing such Acquisition Proposal or its Affiliates or its or their Representatives with regard to an Olema Change of Control, then Olema shall notify Novartis in writing within twenty-four (24) hours of receipt of such authorization from Olema’s Board of Directors (or an applicable committee thereof) (an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Acquisition Proposal Notice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Subject to any confidentiality obligations Olema may have, the Acquisition Proposal Notice shall outline the nature of the proposed transaction in the Acquisition Proposal received from the relevant Third Party and, to the extent possible in light of any confidentiality obligations, include a summary of the key structural, non-financial terms of such Acquisition Proposal. During the period following receipt of a bona fide Acquisition Proposal and prior to the Acquisition Proposal Notice being given to Novartis in accordance with the preceding sentence, Olema shall not, and shall procure that its Affiliates and Representatives shall not, (a) provide access to information (including to any Data Room) or personnel of Olema, its Affiliates and Representatives to such Third Party or any of its Affiliates or Representatives related to such Acquisition Proposal (other than to describe Olema’s obligations under this Agreement), (b) enter into any non-disclosure agreement or exclusivity arrangement with such Third Party or any of its Affiliates or Representatives related to such Acquisition Proposal, or (c) engage in negotiations the terms of such Acquisition Proposal with, such Third Party or any of its Affiliates or Representatives related to such Acquisition Proposal.</w:t>
      </w:r>
    </w:p>
    <w:p>
      <w:pPr>
        <w:spacing w:after="0" w:line="17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u w:val="single" w:color="auto"/>
          <w:color w:val="auto"/>
        </w:rPr>
        <w:t>Section 6.4.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Repayment Obligation</w:t>
      </w:r>
      <w:r>
        <w:rPr>
          <w:rFonts w:ascii="Times New Roman" w:cs="Times New Roman" w:eastAsia="Times New Roman" w:hAnsi="Times New Roman"/>
          <w:sz w:val="22"/>
          <w:szCs w:val="22"/>
          <w:color w:val="auto"/>
        </w:rPr>
        <w:t>. On or promptly (and in any event within [***]) after the Repayment Trigger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Event, Olema shall pay, or procure the payment of, the Repayment Amount to Novartis by means of an electronic wire transfer of immediately available funds to an account designated in advance in writing by Novartis to Olema. For the avoidance of doubt, the Repayment Amount is due and payable only once, notwithstanding that one or more Repayment Trigger Events may occur. Olema’s obligation to pay the Repayment Amount to Novartis shall be satisfied in full immediately upon receipt of the Repayment Amount by Novartis in accordance with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Notwithstanding the foregoing, if this Agreement is terminated pursuant to </w:t>
      </w:r>
      <w:r>
        <w:rPr>
          <w:rFonts w:ascii="Times New Roman" w:cs="Times New Roman" w:eastAsia="Times New Roman" w:hAnsi="Times New Roman"/>
          <w:sz w:val="22"/>
          <w:szCs w:val="22"/>
          <w:u w:val="single" w:color="auto"/>
          <w:color w:val="auto"/>
        </w:rPr>
        <w:t>Section 7.6, Section 7.7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prior to the consummation of an Olema Change of Control or Olema Compound Transaction, then Olema shall not be obligated to pay the Repayment Amount unless (a) an Olema Change of Control or Olema Compound Transaction occurs after such termination and (b) prior to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4" w:name="page275"/>
    <w:bookmarkEnd w:id="274"/>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of such Olema Change of Control or Olema Compound Transaction (as applicable) Olema or its Affiliates (or the applicable acquirer, successor, licensee or optionholder of Olema or its Affiliates) enrolls a subject in any Clinical Study involving the Olema Combination or submits any filing with any Regulatory Authority relating to the Olema Combination, in which case the Repayment Amount shall become due and payable within thirty (30) days after such enrollment date or submission date (as applicable). The provisions of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shall be binding on all acquirers, successors, licensees or optionholders of Olema or its Affiliates.</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6.5.</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6.5.1 </w:t>
      </w:r>
      <w:r>
        <w:rPr>
          <w:rFonts w:ascii="Times New Roman" w:cs="Times New Roman" w:eastAsia="Times New Roman" w:hAnsi="Times New Roman"/>
          <w:sz w:val="22"/>
          <w:szCs w:val="22"/>
          <w:color w:val="auto"/>
        </w:rPr>
        <w:t>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until the first to occur of: (a) the date which is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hundred and twenty (120) days after filing of the New Drug Application for the Olema Combination, (b)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6.5.2</w:t>
      </w:r>
      <w:r>
        <w:rPr>
          <w:rFonts w:ascii="Times New Roman" w:cs="Times New Roman" w:eastAsia="Times New Roman" w:hAnsi="Times New Roman"/>
          <w:sz w:val="22"/>
          <w:szCs w:val="22"/>
          <w:color w:val="auto"/>
        </w:rPr>
        <w:t xml:space="preserve">, one (1) year after any expiration or termination of this Agreement, and (c) such time as this Agreement is terminated by Olema in accordance with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200" w:firstLine="1497"/>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6.5.2 </w:t>
      </w:r>
      <w:r>
        <w:rPr>
          <w:rFonts w:ascii="Times New Roman" w:cs="Times New Roman" w:eastAsia="Times New Roman" w:hAnsi="Times New Roman"/>
          <w:sz w:val="22"/>
          <w:szCs w:val="22"/>
          <w:color w:val="auto"/>
        </w:rPr>
        <w:t>If this Agreement is terminated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7.6, Section 7.7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consummation of an Olema Change of Control or Olema Compound Transaction, then the provisions of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shall survive until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such Olema Change of Control or Olema Compound Transaction (as applicable) or, if payment of the Repayment Amount is required, until the next Business Day after the Repayment Amount has been received by Novartis.</w:t>
      </w:r>
    </w:p>
    <w:p>
      <w:pPr>
        <w:spacing w:after="0" w:line="177" w:lineRule="exact"/>
        <w:rPr>
          <w:sz w:val="20"/>
          <w:szCs w:val="20"/>
          <w:color w:val="auto"/>
        </w:rPr>
      </w:pPr>
    </w:p>
    <w:p>
      <w:pPr>
        <w:jc w:val="both"/>
        <w:ind w:left="2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6.5.3 </w:t>
      </w:r>
      <w:r>
        <w:rPr>
          <w:rFonts w:ascii="Times New Roman" w:cs="Times New Roman" w:eastAsia="Times New Roman" w:hAnsi="Times New Roman"/>
          <w:sz w:val="22"/>
          <w:szCs w:val="22"/>
          <w:color w:val="auto"/>
        </w:rPr>
        <w:t>Olema shall not enter into any agreement that prevents it from complying with, or materially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restricts its ability to comply with, its obligations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 AND TERMINATION.</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7.1.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commence on the Effective Date and shall continue in full force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effect until the fifth anniversary of the date on which the first dose of the Olema Compound is administered to the first Study subject, unless earlier terminated by either Party pursuant to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7.2. </w:t>
      </w:r>
      <w:r>
        <w:rPr>
          <w:rFonts w:ascii="Times New Roman" w:cs="Times New Roman" w:eastAsia="Times New Roman" w:hAnsi="Times New Roman"/>
          <w:sz w:val="22"/>
          <w:szCs w:val="22"/>
          <w:u w:val="single" w:color="auto"/>
          <w:color w:val="auto"/>
        </w:rPr>
        <w:t>Termination for Failure to Initiate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Novartis may terminate this Agreement upon written notice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Olema if Olema has failed to commence the Study on or prior to March 31, 2026, or such later date as may have been approved by Novartis in accordance with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7.3.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Termination for Material Breach</w:t>
      </w:r>
      <w:r>
        <w:rPr>
          <w:rFonts w:ascii="Times New Roman" w:cs="Times New Roman" w:eastAsia="Times New Roman" w:hAnsi="Times New Roman"/>
          <w:sz w:val="22"/>
          <w:szCs w:val="22"/>
          <w:color w:val="auto"/>
        </w:rPr>
        <w:t>. Either Party may terminate this Agreement if the other Party commits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material breach of this Agreement, and such material breach continues for [***] after receipt of written notice thereof from the non-breaching Party;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if such material breach can be cured but cannot reasonably be cured within such [***] period, and the breaching Party is using its good faith efforts to cure such breach, the breaching Party shall be given an additional [***] to cure such breach. [***].</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7.4.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Termination for Bankruptcy</w:t>
      </w:r>
      <w:r>
        <w:rPr>
          <w:rFonts w:ascii="Times New Roman" w:cs="Times New Roman" w:eastAsia="Times New Roman" w:hAnsi="Times New Roman"/>
          <w:sz w:val="22"/>
          <w:szCs w:val="22"/>
          <w:color w:val="auto"/>
        </w:rPr>
        <w:t>. A Party may terminate this Agreement upon written notice to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if, at any time, the other Party (i) files in any court or agency pursuant to any statute or regulation of any state, country or jurisdiction, a petition in bankruptcy or for the appointment of a receiver or trustee of such other Party or of such other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5" w:name="page276"/>
    <w:bookmarkEnd w:id="275"/>
    <w:p>
      <w:pPr>
        <w:jc w:val="both"/>
        <w:spacing w:after="0" w:line="238" w:lineRule="auto"/>
        <w:rPr>
          <w:sz w:val="20"/>
          <w:szCs w:val="20"/>
          <w:color w:val="auto"/>
        </w:rPr>
      </w:pPr>
      <w:r>
        <w:rPr>
          <w:rFonts w:ascii="Times New Roman" w:cs="Times New Roman" w:eastAsia="Times New Roman" w:hAnsi="Times New Roman"/>
          <w:sz w:val="22"/>
          <w:szCs w:val="22"/>
          <w:color w:val="auto"/>
        </w:rPr>
        <w:t>Party’s assets, (ii) proposes a written agreement of composition or extension of its debts, (iii) is served an involuntary petition against it, filed in any bankruptcy proceeding, and such petition shall not be dismissed or stayed within [***] after the filing thereof, (iv) proposes or is to be a party to any dissolution or liquidation, or (v) shall make an assignment for the benefit of its creditors (“</w:t>
      </w:r>
      <w:r>
        <w:rPr>
          <w:rFonts w:ascii="Times New Roman" w:cs="Times New Roman" w:eastAsia="Times New Roman" w:hAnsi="Times New Roman"/>
          <w:sz w:val="22"/>
          <w:szCs w:val="22"/>
          <w:b w:val="1"/>
          <w:bCs w:val="1"/>
          <w:u w:val="single" w:color="auto"/>
          <w:color w:val="auto"/>
        </w:rPr>
        <w:t>Insolvency Proceedings</w:t>
      </w:r>
      <w:r>
        <w:rPr>
          <w:rFonts w:ascii="Times New Roman" w:cs="Times New Roman" w:eastAsia="Times New Roman" w:hAnsi="Times New Roman"/>
          <w:sz w:val="22"/>
          <w:szCs w:val="22"/>
          <w:color w:val="auto"/>
        </w:rPr>
        <w:t>”). The Party that is subject to Insolvency Proceedings shall, as soon as reasonably practicable, notify the other Party in writing of such Insolvency Proceedings.</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Section 7.5.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Termination for Anti-Corruption Matters</w:t>
      </w:r>
      <w:r>
        <w:rPr>
          <w:rFonts w:ascii="Times New Roman" w:cs="Times New Roman" w:eastAsia="Times New Roman" w:hAnsi="Times New Roman"/>
          <w:sz w:val="22"/>
          <w:szCs w:val="22"/>
          <w:color w:val="auto"/>
        </w:rPr>
        <w:t>. Either Party shall be entitled to terminate this Agreement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entirety immediately upon written notice to the other Party, if such other Party fails to perform its obligations in accordance with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The non-terminating Party shall have no claim against the terminating Party for compensation for any loss of whatever nature by virtue of the termination of this Agreement in accordance with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To the extent (and only to the extent) that Applicable Law provides for any such compensation to be paid to the non-terminating Party upon the termination of this Agreement, the non-terminating Party hereby expressly agrees (to the extent possible under Applicable Law) to waive or to repay to the Party terminating this Agreement any such compensation or indemnity.</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7.6.</w:t>
      </w:r>
      <w:r>
        <w:rPr>
          <w:sz w:val="20"/>
          <w:szCs w:val="20"/>
          <w:color w:val="auto"/>
        </w:rPr>
        <w:tab/>
      </w:r>
      <w:r>
        <w:rPr>
          <w:rFonts w:ascii="Times New Roman" w:cs="Times New Roman" w:eastAsia="Times New Roman" w:hAnsi="Times New Roman"/>
          <w:sz w:val="21"/>
          <w:szCs w:val="21"/>
          <w:u w:val="single" w:color="auto"/>
          <w:color w:val="auto"/>
        </w:rPr>
        <w:t>Termination for Patient Safety or Efficacy.</w:t>
      </w:r>
    </w:p>
    <w:p>
      <w:pPr>
        <w:spacing w:after="0" w:line="206"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7.6.1 </w:t>
      </w:r>
      <w:r>
        <w:rPr>
          <w:rFonts w:ascii="Times New Roman" w:cs="Times New Roman" w:eastAsia="Times New Roman" w:hAnsi="Times New Roman"/>
          <w:sz w:val="22"/>
          <w:szCs w:val="22"/>
          <w:color w:val="auto"/>
        </w:rPr>
        <w:t>If Novartis reasonably believes, based on the Clinical Data or other relevant information,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Study may unreasonably affect patient safety or that the Novartis Compound or Letrozole is being used in the Study in an unsafe manner, Novartis shall promptly notify Olema. Olema may, within [***] after receipt of Novartis’ notice, propose modifications to address any safety issue identified and shall promptly act to implement such modifications. If Novartis, in its sole discretion, believes that any modifications proposed by Olema will not resolve the patient safety issue, Novartis may terminate this Agreement effective upon written notice to Olema.</w:t>
      </w:r>
    </w:p>
    <w:p>
      <w:pPr>
        <w:spacing w:after="0" w:line="175" w:lineRule="exact"/>
        <w:rPr>
          <w:sz w:val="20"/>
          <w:szCs w:val="20"/>
          <w:color w:val="auto"/>
        </w:rPr>
      </w:pPr>
    </w:p>
    <w:p>
      <w:pPr>
        <w:jc w:val="both"/>
        <w:ind w:lef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7.6.2 </w:t>
      </w:r>
      <w:r>
        <w:rPr>
          <w:rFonts w:ascii="Times New Roman" w:cs="Times New Roman" w:eastAsia="Times New Roman" w:hAnsi="Times New Roman"/>
          <w:sz w:val="22"/>
          <w:szCs w:val="22"/>
          <w:color w:val="auto"/>
        </w:rPr>
        <w:t>If Olema determines that the Study may unreasonably affect patient safety, Olema shall promptly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notify Novartis in writing. Olema shall discuss and consult with Novartis regarding the patient safety concerns. Olema may, after discussion and reasonable consultation with Novartis regarding the patient safety concerns, terminate this Agreement effective upon written notice to Novartis.</w:t>
      </w:r>
    </w:p>
    <w:p>
      <w:pPr>
        <w:spacing w:after="0" w:line="172" w:lineRule="exact"/>
        <w:rPr>
          <w:sz w:val="20"/>
          <w:szCs w:val="20"/>
          <w:color w:val="auto"/>
        </w:rPr>
      </w:pPr>
    </w:p>
    <w:p>
      <w:pPr>
        <w:jc w:val="both"/>
        <w:ind w:lef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7.6.3 </w:t>
      </w:r>
      <w:r>
        <w:rPr>
          <w:rFonts w:ascii="Times New Roman" w:cs="Times New Roman" w:eastAsia="Times New Roman" w:hAnsi="Times New Roman"/>
          <w:sz w:val="22"/>
          <w:szCs w:val="22"/>
          <w:color w:val="auto"/>
        </w:rPr>
        <w:t>Either Party may terminate this Agreement with immediate effect upon written notice to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following a joint decision by the Parties that the Olema Combination does not, or based on available evidence is not expected to, achieve a level of efficacy sufficiently superior to either the Novartis Compound or the Olema Compound as a monotherapy, or to the Letrozole Combination, to warrant the continuation of the Study.</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Section 7.7.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Termination for Regulatory 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Party may terminate this Agreement immediately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notice to the other Party if any Regulatory Authority takes any action, or raises any objection, that prevents the terminating Party from supplying its Compound for the Study, or that prevents the supplier of Letrozole from supplying Letrozole for the Study. Additionally, either Party shall have the right to terminate this Agreement immediately upon written notice to the other Party if it determines in its sole discretion to discontinue development or Commercialization of its Compound, for medical, scientific, legal or other reasons, or if the Manufacture or Commercialization of Letrozole is discontinued for medical, scientific, legal or other reasons.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6" w:name="page277"/>
    <w:bookmarkEnd w:id="276"/>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7.8. </w:t>
      </w:r>
      <w:r>
        <w:rPr>
          <w:rFonts w:ascii="Times New Roman" w:cs="Times New Roman" w:eastAsia="Times New Roman" w:hAnsi="Times New Roman"/>
          <w:sz w:val="22"/>
          <w:szCs w:val="22"/>
          <w:u w:val="single" w:color="auto"/>
          <w:color w:val="auto"/>
        </w:rPr>
        <w:t>Termination for Clinical Hold.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Clinical Hold should arise at any time after the Effective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will meet to discuss the basis for the Clinical Hold, how long the Clinical Hold is expected to last, and how they might address the cause of Clinical Hold. If, after [***] from the date of the Clinical Hold, either Party reasonably concludes that (a) the cause of the Clinical Hold adversely impacts the Study and is not solvable, or (b) unacceptable and material additional costs/delays have been or will continue be incurred to resolve the cause of the Clinical Hold and continue to conduct of the Study, then such Party may terminate this Agreement immediately by written notice to the other Party.</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7.9.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Termination for Change of Control</w:t>
      </w:r>
      <w:r>
        <w:rPr>
          <w:rFonts w:ascii="Times New Roman" w:cs="Times New Roman" w:eastAsia="Times New Roman" w:hAnsi="Times New Roman"/>
          <w:sz w:val="22"/>
          <w:szCs w:val="22"/>
          <w:color w:val="auto"/>
        </w:rPr>
        <w:t>. Either Party may terminate this Agreement upon written notice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within [***] after such other Party’s completion of any Change of Control.</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7.10.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Termination for Olema Compound Transaction with a Third Party</w:t>
      </w:r>
      <w:r>
        <w:rPr>
          <w:rFonts w:ascii="Times New Roman" w:cs="Times New Roman" w:eastAsia="Times New Roman" w:hAnsi="Times New Roman"/>
          <w:sz w:val="22"/>
          <w:szCs w:val="22"/>
          <w:color w:val="auto"/>
        </w:rPr>
        <w:t>. Novartis may terminate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upon written notice to Olema within [***] after Olema’s completion of any Olema Compound Transaction with a Third Party.</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7.11.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Termination for Force Majeure</w:t>
      </w:r>
      <w:r>
        <w:rPr>
          <w:rFonts w:ascii="Times New Roman" w:cs="Times New Roman" w:eastAsia="Times New Roman" w:hAnsi="Times New Roman"/>
          <w:sz w:val="22"/>
          <w:szCs w:val="22"/>
          <w:color w:val="auto"/>
        </w:rPr>
        <w:t>. A Party may terminate this Agreement upon written notice if one (1)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more events of Force Majeure (as defined in </w:t>
      </w:r>
      <w:r>
        <w:rPr>
          <w:rFonts w:ascii="Times New Roman" w:cs="Times New Roman" w:eastAsia="Times New Roman" w:hAnsi="Times New Roman"/>
          <w:sz w:val="22"/>
          <w:szCs w:val="22"/>
          <w:u w:val="single" w:color="auto"/>
          <w:color w:val="auto"/>
        </w:rPr>
        <w:t>Section 17.2</w:t>
      </w:r>
      <w:r>
        <w:rPr>
          <w:rFonts w:ascii="Times New Roman" w:cs="Times New Roman" w:eastAsia="Times New Roman" w:hAnsi="Times New Roman"/>
          <w:sz w:val="22"/>
          <w:szCs w:val="22"/>
          <w:color w:val="auto"/>
        </w:rPr>
        <w:t>) delay performance by the other Party for more than [***] or an aggregate of [***] in any [***] period.</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7.12.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Termination for Study Termination</w:t>
      </w:r>
      <w:r>
        <w:rPr>
          <w:rFonts w:ascii="Times New Roman" w:cs="Times New Roman" w:eastAsia="Times New Roman" w:hAnsi="Times New Roman"/>
          <w:sz w:val="22"/>
          <w:szCs w:val="22"/>
          <w:color w:val="auto"/>
        </w:rPr>
        <w:t>. Subject to the mechanism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Olema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have the right to terminate this Agreement upon written notice to Novartis if Olema terminates the Study for any reason other than those described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above. [***].</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Section 7.13.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Clinical Trial Wind-Down.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this Agreement is terminated by Novartis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then if the Study is on-going as of the effective date of termination, unless agreed otherwise by the Parties in writing, Olema shall ensure that no additional Study subjects are entered into the Study, and the Parties shall work together to plan for the appropriate and ethical completion or wind-down of the Study in an orderly fashion, to address patient safety and the rights of any subjects that are current participants in the Study and in consultation with any relevant ethical committee or institutional review board.</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Section 7.14.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Return of Novartis Compound and Reporting Study Results</w:t>
      </w:r>
      <w:r>
        <w:rPr>
          <w:rFonts w:ascii="Times New Roman" w:cs="Times New Roman" w:eastAsia="Times New Roman" w:hAnsi="Times New Roman"/>
          <w:sz w:val="22"/>
          <w:szCs w:val="22"/>
          <w:color w:val="auto"/>
        </w:rPr>
        <w:t>. Upon termination of this Agreement,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provided in the following sentence, Olema shall promptly (i) destroy, and cause to be destroyed, all unused Novartis Compound pursuant to Novartis’ instructions and (ii) remain obligated to deliver to Novartis the Clinical Data for the Study, each in the form available as of the effective date of termination. Notwithstanding the foregoing, in the event that Olema has paid the Repayment Amount, then Olema shall have the right to retain all unused Novartis Compound. If Novartis requests that Olema destroy the unused Novartis Compound, upon request Olema shall provide written certification of such destruction.</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Section 7.15.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Studies</w:t>
      </w:r>
      <w:r>
        <w:rPr>
          <w:rFonts w:ascii="Times New Roman" w:cs="Times New Roman" w:eastAsia="Times New Roman" w:hAnsi="Times New Roman"/>
          <w:sz w:val="22"/>
          <w:szCs w:val="22"/>
          <w:color w:val="auto"/>
        </w:rPr>
        <w:t>), the first sentence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Compliance and Regulatory Discussions; Rights of Reference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Sample Collection and 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Ownership of Clinical Data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Study Report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Future Business Opportunities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xml:space="preserve">), the last sentence of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Termination for Material Breach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7" w:name="page278"/>
    <w:bookmarkEnd w:id="277"/>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Clinical Trial Wind-Down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Return of Novartis Compound and Reporting Study Results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 Prejudice to Claims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Return of Confidential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Joint Inventions and Patent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Prosecutions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Olema Inventions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Novartis Inventions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 Transfer of Proprietary Rights Not Specified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14.5</w:t>
      </w:r>
      <w:r>
        <w:rPr>
          <w:rFonts w:ascii="Times New Roman" w:cs="Times New Roman" w:eastAsia="Times New Roman" w:hAnsi="Times New Roman"/>
          <w:sz w:val="22"/>
          <w:szCs w:val="22"/>
          <w:i w:val="1"/>
          <w:iCs w:val="1"/>
          <w:color w:val="auto"/>
        </w:rPr>
        <w:t xml:space="preserve"> (No Other Representations and Warranties)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15.2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15.4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Limitation of Liability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 Additional Obligations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Dispute Resolution and Jurisdiction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Relationship of the Parties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Construction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Adverse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Reporting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Costs of the Study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(Reprints; Rights of Cross-Reference)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Press Releases and Publications</w:t>
      </w:r>
      <w:r>
        <w:rPr>
          <w:rFonts w:ascii="Times New Roman" w:cs="Times New Roman" w:eastAsia="Times New Roman" w:hAnsi="Times New Roman"/>
          <w:sz w:val="22"/>
          <w:szCs w:val="22"/>
          <w:color w:val="auto"/>
        </w:rPr>
        <w:t>) shall survive the expiration or termination of this Agreement.</w:t>
      </w:r>
    </w:p>
    <w:p>
      <w:pPr>
        <w:spacing w:after="0" w:line="17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7.16.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 Prejudice to Claims</w:t>
      </w:r>
      <w:r>
        <w:rPr>
          <w:rFonts w:ascii="Times New Roman" w:cs="Times New Roman" w:eastAsia="Times New Roman" w:hAnsi="Times New Roman"/>
          <w:sz w:val="22"/>
          <w:szCs w:val="22"/>
          <w:color w:val="auto"/>
        </w:rPr>
        <w:t>. Termination of this Agreement shall be without prejudice to any claim or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action of either Party against the other Party for any prior breach of this Agreement.</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Section 7.17.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Return of Confidential Information</w:t>
      </w:r>
      <w:r>
        <w:rPr>
          <w:rFonts w:ascii="Times New Roman" w:cs="Times New Roman" w:eastAsia="Times New Roman" w:hAnsi="Times New Roman"/>
          <w:sz w:val="22"/>
          <w:szCs w:val="22"/>
          <w:color w:val="auto"/>
        </w:rPr>
        <w:t>. Upon termination of this Agreement, each Party and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promptly return to the other Party or destroy any Confidential Information of the other Party (other than Clinical Data and Inventions) except that the receiving Party shall have the right to retain one copy for legal, regulatory, or record-keeping purposes. The receiving party shall not be required to return information in an intangible or electronic format containing Confidential Information from automated back-up or archival systems;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said stored information shall be destroyed in accordance with the receiving Party’s internal standard operating practices.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COSTS OF THE STUDY.</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The Parties agree that (i) Novartis shall provide the Novartis Compound for use in the Study, as described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below, free of charge to Olema;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Olema shall be responsible for shipping costs; and (ii) Olema shall bear all other costs associated with the conduct of the Study (including all costs associated with the supply of Letrozole), and the performance of its obligations under this Agreement. For the avoidance of doubt, Olema will not be required to reimburse Novartis for any costs or expenses incurred by Novartis or its Affiliates in connection with the Study and Novartis will not be required to reimburse Olema for any costs or expenses incurred by Olema or its Affiliates in connection with the Study.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SUPPLY AND USE OF COMPOUNDS.</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Section 9.1.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Supply of Novartis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Novartis or its Affiliates will [***] supply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supply), or cause to be supplied, the quantities of the Novartis Compound as set forth on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xml:space="preserve">, on the timelines set forth in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xml:space="preserve">, in each case, for use in the Study. If Olema determines that the quantities of Novartis Compound set forth on Appendix C are not sufficient to complete the Study (due to, for example, the addition of Study sites or countries), Olema shall so notify Novartis, and the Parties, acting through their respective Supply Chain Representatives, shall discuss in good faith whether and in what quantity Novartis is able to supply additional Novartis Compound, the timeline and cost to Olema for such supply. Notwithstanding the foregoing, Novartis shall have no obligation to provide any quantities of Novartis Compound beyond the amounts set forth on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xml:space="preserve"> If Novartis agrees to provide additional quantities of the Novartis Compound,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8" w:name="page279"/>
    <w:bookmarkEnd w:id="278"/>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xml:space="preserve"> and the Quality Documentation will be updated accordingly by the Parties on a semi-annual basis, which updates can be affected by the Supply Chain Representatives’ mutual written agreement without the need for a written amendment to this Agreement.</w:t>
      </w:r>
    </w:p>
    <w:p>
      <w:pPr>
        <w:spacing w:after="0" w:line="16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9.2.</w:t>
      </w:r>
      <w:r>
        <w:rPr>
          <w:sz w:val="20"/>
          <w:szCs w:val="20"/>
          <w:color w:val="auto"/>
        </w:rPr>
        <w:tab/>
      </w:r>
      <w:r>
        <w:rPr>
          <w:rFonts w:ascii="Times New Roman" w:cs="Times New Roman" w:eastAsia="Times New Roman" w:hAnsi="Times New Roman"/>
          <w:sz w:val="21"/>
          <w:szCs w:val="21"/>
          <w:u w:val="single" w:color="auto"/>
          <w:color w:val="auto"/>
        </w:rPr>
        <w:t>Delivery of Novartis Compound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9.2.1 </w:t>
      </w:r>
      <w:r>
        <w:rPr>
          <w:rFonts w:ascii="Times New Roman" w:cs="Times New Roman" w:eastAsia="Times New Roman" w:hAnsi="Times New Roman"/>
          <w:sz w:val="22"/>
          <w:szCs w:val="22"/>
          <w:color w:val="auto"/>
        </w:rPr>
        <w:t>Novartis will deliver the Novartis Compound [***] (Incoterms 2020)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quantities of the Novartis Compound). Title and risk of loss for the Novartis Compound shall transfer from Novartis to Olema at Delivery. Olema shall participate to enable such shipments pursuant to Applicable Law, including country-specific importation requirements. All costs associated with the shipping, transportation, warehousing and distribution of the Novartis Compound (including any costs arising based on the declaration of value on any import, export or customs documents delivered by Novartis to Olema in connection with the distribution of the Novartis Compound) shall be borne by Olema. [***]. Olema will, or will cause its designee to: (i) take delivery of the Novartis Compound supplied hereunder; (ii) perform the acceptance procedures assigned to it under the Quality Agreement; (iii) subsequently label and pack, as appropriate (in accordance with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and promptly ship the Novartis Compound to the Study sites, in compliance with the Quality Agreement; (iv) store and handle the Novartis Compound in accordance with all storage and handling instructions provided by Novartis and Incoterms [***], and (v) provide the following information to Novartis at its request: (a) any applicable chain of custody forms, (b) in-transport temperature recorder(s), (c) records and receipt verification documentation, (d) usage and inventory reconciliation documentation related to the Novartis Compound and (e) such other transport or storage documentation as may be reasonably requested by Novartis. For the avoidance of doubt, upon Delivery to Olema, Novartis shall have no liability for safety, health and environmental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SHE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aspects associated with Olema inspection testing, handling or shipping of the Novartis Compound.</w:t>
      </w:r>
    </w:p>
    <w:p>
      <w:pPr>
        <w:spacing w:after="0" w:line="174"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9.2.2 </w:t>
      </w:r>
      <w:r>
        <w:rPr>
          <w:rFonts w:ascii="Times New Roman" w:cs="Times New Roman" w:eastAsia="Times New Roman" w:hAnsi="Times New Roman"/>
          <w:sz w:val="22"/>
          <w:szCs w:val="22"/>
          <w:color w:val="auto"/>
        </w:rPr>
        <w:t>Olema shall be solely responsible, at its own cost, for (a) supplying (including Manufacturing,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acceptance and release testing) the Olema Compound for the Study, (b) supplying Letrozole for the Study, it being understood that Olema intends to commercially source Letrozole for the Study, and (c) the subsequent handling, storage, transportation, warehousing and distribution of the Olema Compound and Letrozole used for the Study. In addition, except for the Novartis Compound, Olema shall be responsible for supplying all other materials, supplies, compounds and agents required for the conduct of the Study in accordance with the Protocol and this Agreement.</w:t>
      </w:r>
    </w:p>
    <w:p>
      <w:pPr>
        <w:spacing w:after="0" w:line="17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9.3.</w:t>
      </w:r>
      <w:r>
        <w:rPr>
          <w:sz w:val="20"/>
          <w:szCs w:val="20"/>
          <w:color w:val="auto"/>
        </w:rPr>
        <w:tab/>
      </w:r>
      <w:r>
        <w:rPr>
          <w:rFonts w:ascii="Times New Roman" w:cs="Times New Roman" w:eastAsia="Times New Roman" w:hAnsi="Times New Roman"/>
          <w:sz w:val="21"/>
          <w:szCs w:val="21"/>
          <w:u w:val="single" w:color="auto"/>
          <w:color w:val="auto"/>
        </w:rPr>
        <w:t>Labeling and Packaging; Use, Handling and Storage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9.3.1 </w:t>
      </w:r>
      <w:r>
        <w:rPr>
          <w:rFonts w:ascii="Times New Roman" w:cs="Times New Roman" w:eastAsia="Times New Roman" w:hAnsi="Times New Roman"/>
          <w:sz w:val="22"/>
          <w:szCs w:val="22"/>
          <w:color w:val="auto"/>
        </w:rPr>
        <w:t>The Parties’ obligations with respect to the labeling and packaging of the Novartis Compound are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set forth in the Quality Agreement. Notwithstanding the foregoing or anything to the contrary contained in this Agreement, Novartis shall provide the Novartis Compound to Olema in the form set forth on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and, unless otherwise agreed to by the Parties in writing, Olema shall be responsible for any applicable labeling, packaging, leafleting, and release of the Novartis Compound as study medication in accordance with the Quality Agreement.</w:t>
      </w:r>
    </w:p>
    <w:p>
      <w:pPr>
        <w:spacing w:after="0" w:line="177"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9.3.2 </w:t>
      </w:r>
      <w:r>
        <w:rPr>
          <w:rFonts w:ascii="Times New Roman" w:cs="Times New Roman" w:eastAsia="Times New Roman" w:hAnsi="Times New Roman"/>
          <w:sz w:val="22"/>
          <w:szCs w:val="22"/>
          <w:color w:val="auto"/>
        </w:rPr>
        <w:t>Olema shall (i) use the Novartis Compound solely for purposes of performing the Study; (ii) not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Novartis Compound in any manner inconsistent with this Agreement or for any commercial purpose; and (iii) use, store, transport, handle and dispose of the Novartis Compound in compliance with the Specifications, Applicable Law,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9" w:name="page280"/>
    <w:bookmarkEnd w:id="279"/>
    <w:p>
      <w:pPr>
        <w:jc w:val="both"/>
        <w:ind w:left="200"/>
        <w:spacing w:after="0" w:line="239" w:lineRule="auto"/>
        <w:rPr>
          <w:sz w:val="20"/>
          <w:szCs w:val="20"/>
          <w:color w:val="auto"/>
        </w:rPr>
      </w:pPr>
      <w:r>
        <w:rPr>
          <w:rFonts w:ascii="Times New Roman" w:cs="Times New Roman" w:eastAsia="Times New Roman" w:hAnsi="Times New Roman"/>
          <w:sz w:val="22"/>
          <w:szCs w:val="22"/>
          <w:color w:val="auto"/>
        </w:rPr>
        <w:t>this Agreement and the Quality Agreement. Olema shall not reverse engineer, reverse compile, disassemble or otherwise attempt to derive the composition or underlying information, structure or ideas of the Novartis Compound, and in particular shall not analyze the Novartis Compound by physical, chemical or biochemical means, except as necessary to perform its obligations under this Agreement and the Quality Agreement.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Section 9.4.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Changes to Manufacturing</w:t>
      </w:r>
      <w:r>
        <w:rPr>
          <w:rFonts w:ascii="Times New Roman" w:cs="Times New Roman" w:eastAsia="Times New Roman" w:hAnsi="Times New Roman"/>
          <w:sz w:val="22"/>
          <w:szCs w:val="22"/>
          <w:color w:val="auto"/>
        </w:rPr>
        <w:t>. Novartis may make changes from time to time to the Novartis Compound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Manufacturing Site or adapt the specifications of the Novartis Compound;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any such changes shall be in accordance with the Quality Agreement and proper notice is provided to Olema of such changes as set forth in the Quality Agreement.</w:t>
      </w:r>
    </w:p>
    <w:p>
      <w:pPr>
        <w:spacing w:after="0" w:line="17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9.5.</w:t>
      </w:r>
      <w:r>
        <w:rPr>
          <w:sz w:val="20"/>
          <w:szCs w:val="20"/>
          <w:color w:val="auto"/>
        </w:rPr>
        <w:tab/>
      </w:r>
      <w:r>
        <w:rPr>
          <w:rFonts w:ascii="Times New Roman" w:cs="Times New Roman" w:eastAsia="Times New Roman" w:hAnsi="Times New Roman"/>
          <w:sz w:val="21"/>
          <w:szCs w:val="21"/>
          <w:u w:val="single" w:color="auto"/>
          <w:color w:val="auto"/>
        </w:rPr>
        <w:t>Product Testing; Noncompliance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49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9.5.1 </w:t>
      </w:r>
      <w:r>
        <w:rPr>
          <w:rFonts w:ascii="Times New Roman" w:cs="Times New Roman" w:eastAsia="Times New Roman" w:hAnsi="Times New Roman"/>
          <w:sz w:val="22"/>
          <w:szCs w:val="22"/>
          <w:u w:val="single" w:color="auto"/>
          <w:color w:val="auto"/>
        </w:rPr>
        <w:t>After Manufacturer’s Release</w:t>
      </w:r>
      <w:r>
        <w:rPr>
          <w:rFonts w:ascii="Times New Roman" w:cs="Times New Roman" w:eastAsia="Times New Roman" w:hAnsi="Times New Roman"/>
          <w:sz w:val="22"/>
          <w:szCs w:val="22"/>
          <w:color w:val="auto"/>
        </w:rPr>
        <w:t>. After manufacturer’s release of the Novartis Compound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concurrently with Delivery of the Novartis Compound to Olema, Novartis shall provide Olema with such certificates and documentation as are described in the Quality Agreement. Olema shall take all steps necessary to determine that the Novartis Compound is suitable for release before making such Novartis Compound available for human use, including those steps and procedures set forth in the Quality Agreement. Novartis shall provide reasonable cooperation or assistance as reasonably requested by Olema in connection with such determination with respect to the Novartis Compound. After Delivery of the Novartis Compound to Olema (as provided in </w:t>
      </w:r>
      <w:r>
        <w:rPr>
          <w:rFonts w:ascii="Times New Roman" w:cs="Times New Roman" w:eastAsia="Times New Roman" w:hAnsi="Times New Roman"/>
          <w:sz w:val="22"/>
          <w:szCs w:val="22"/>
          <w:u w:val="single" w:color="auto"/>
          <w:color w:val="auto"/>
        </w:rPr>
        <w:t>Section 9.2.1</w:t>
      </w:r>
      <w:r>
        <w:rPr>
          <w:rFonts w:ascii="Times New Roman" w:cs="Times New Roman" w:eastAsia="Times New Roman" w:hAnsi="Times New Roman"/>
          <w:sz w:val="22"/>
          <w:szCs w:val="22"/>
          <w:color w:val="auto"/>
        </w:rPr>
        <w:t>), Olema shall be responsible for storage and maintenance of the Novartis Compound, which storage and maintenance shall be in compliance with the Specifications, the Quality Agreement and Applicable Law, and Olema shall be responsible for any failure of the Novartis Compound to meet the Specifications to the extent caused by shipping, storage or handling conditions after Delivery to Olema hereunder.</w:t>
      </w:r>
    </w:p>
    <w:p>
      <w:pPr>
        <w:spacing w:after="0" w:line="179" w:lineRule="exact"/>
        <w:rPr>
          <w:sz w:val="20"/>
          <w:szCs w:val="20"/>
          <w:color w:val="auto"/>
        </w:rPr>
      </w:pPr>
    </w:p>
    <w:p>
      <w:pPr>
        <w:ind w:left="1700"/>
        <w:spacing w:after="0"/>
        <w:tabs>
          <w:tab w:leader="none" w:pos="2540" w:val="left"/>
        </w:tabs>
        <w:rPr>
          <w:sz w:val="20"/>
          <w:szCs w:val="20"/>
          <w:color w:val="auto"/>
        </w:rPr>
      </w:pPr>
      <w:r>
        <w:rPr>
          <w:rFonts w:ascii="Times New Roman" w:cs="Times New Roman" w:eastAsia="Times New Roman" w:hAnsi="Times New Roman"/>
          <w:sz w:val="22"/>
          <w:szCs w:val="22"/>
          <w:b w:val="1"/>
          <w:bCs w:val="1"/>
          <w:color w:val="auto"/>
        </w:rPr>
        <w:t>9.5.2</w:t>
      </w:r>
      <w:r>
        <w:rPr>
          <w:sz w:val="20"/>
          <w:szCs w:val="20"/>
          <w:color w:val="auto"/>
        </w:rPr>
        <w:tab/>
      </w:r>
      <w:r>
        <w:rPr>
          <w:rFonts w:ascii="Times New Roman" w:cs="Times New Roman" w:eastAsia="Times New Roman" w:hAnsi="Times New Roman"/>
          <w:sz w:val="21"/>
          <w:szCs w:val="21"/>
          <w:color w:val="auto"/>
        </w:rPr>
        <w:t>Non-Conformance.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-11430</wp:posOffset>
            </wp:positionV>
            <wp:extent cx="15767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190" w:lineRule="exact"/>
        <w:rPr>
          <w:sz w:val="20"/>
          <w:szCs w:val="20"/>
          <w:color w:val="auto"/>
        </w:rPr>
      </w:pPr>
    </w:p>
    <w:p>
      <w:pPr>
        <w:jc w:val="both"/>
        <w:ind w:firstLine="1505"/>
        <w:spacing w:after="0" w:line="238" w:lineRule="auto"/>
        <w:tabs>
          <w:tab w:leader="none" w:pos="192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Olema becomes aware that the Novartis Compound may have a Non-Conformance, despite testing and quality assurance activities (including any activities conducted by Olema under </w:t>
      </w:r>
      <w:r>
        <w:rPr>
          <w:rFonts w:ascii="Times New Roman" w:cs="Times New Roman" w:eastAsia="Times New Roman" w:hAnsi="Times New Roman"/>
          <w:sz w:val="22"/>
          <w:szCs w:val="22"/>
          <w:u w:val="single" w:color="auto"/>
          <w:color w:val="auto"/>
        </w:rPr>
        <w:t>Section 9.5.1</w:t>
      </w:r>
      <w:r>
        <w:rPr>
          <w:rFonts w:ascii="Times New Roman" w:cs="Times New Roman" w:eastAsia="Times New Roman" w:hAnsi="Times New Roman"/>
          <w:sz w:val="22"/>
          <w:szCs w:val="22"/>
          <w:color w:val="auto"/>
        </w:rPr>
        <w:t xml:space="preserve">), Olema shall immediately notify Novartis in accordance with the procedures set forth in the Quality Agreement. The Parties shall investigate any Non-Conformance in accordance with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Investigations</w:t>
      </w:r>
      <w:r>
        <w:rPr>
          <w:rFonts w:ascii="Times New Roman" w:cs="Times New Roman" w:eastAsia="Times New Roman" w:hAnsi="Times New Roman"/>
          <w:sz w:val="22"/>
          <w:szCs w:val="22"/>
          <w:color w:val="auto"/>
        </w:rPr>
        <w:t xml:space="preserve">) and any discrepancy between them shall be resolved in accordance with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Resolution of Discrepancies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shipment of the Novartis Compound (or portion thereof) has a Non-Conformance at the time of Delivery to Olema, then unless otherwise agreed to by the Parties, [***]. If any quantities of the Novartis Compound are lost or damaged after Delivery, Novartis will not be obligated to replace same, and if Novartis does elect to do so, Novartis may elect to charge Olema a reasonable replacement cost to replace such Novartis Compound lost or damaged after Delivery.</w:t>
      </w:r>
    </w:p>
    <w:p>
      <w:pPr>
        <w:spacing w:after="0" w:line="17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9.6.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Resolution of Discrepancies</w:t>
      </w:r>
      <w:r>
        <w:rPr>
          <w:rFonts w:ascii="Times New Roman" w:cs="Times New Roman" w:eastAsia="Times New Roman" w:hAnsi="Times New Roman"/>
          <w:sz w:val="22"/>
          <w:szCs w:val="22"/>
          <w:color w:val="auto"/>
        </w:rPr>
        <w:t>. Disagreements regarding any determination of Non-Conformance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Novartis Compound by Olema shall be resolved in accordance with the Quality Agreement.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0" w:name="page281"/>
    <w:bookmarkEnd w:id="280"/>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9.7.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Investigations</w:t>
      </w:r>
      <w:r>
        <w:rPr>
          <w:rFonts w:ascii="Times New Roman" w:cs="Times New Roman" w:eastAsia="Times New Roman" w:hAnsi="Times New Roman"/>
          <w:sz w:val="22"/>
          <w:szCs w:val="22"/>
          <w:color w:val="auto"/>
        </w:rPr>
        <w:t>. The process for investigations of any Non-Conformance of the Novartis Compound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handled in accordance with the Quality Agreement.</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Section 9.8.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Shortage; Allocation</w:t>
      </w:r>
      <w:r>
        <w:rPr>
          <w:rFonts w:ascii="Times New Roman" w:cs="Times New Roman" w:eastAsia="Times New Roman" w:hAnsi="Times New Roman"/>
          <w:sz w:val="22"/>
          <w:szCs w:val="22"/>
          <w:color w:val="auto"/>
        </w:rPr>
        <w:t>. If the Novartis Compound is in short supply as a result of a Manufacturing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disruption, Manufacturing difficulties or other similar event such that Novartis reasonably believes that it will not be able to fulfill its supply obligations hereunder with respect to the Novartis Compound, Novartis will provide prompt written notice to Olema thereof (including the shipments of Novartis Compound hereunder expected to be impacted and the quantity of the Novartis Compound that Novartis reasonably determines it will be able to supply) and, upon request, the Parties will promptly discuss such situation. Notwithstanding anything to the contrary contained herein, in the event of a shortage of the Novartis Compound, [***];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 shall [***].</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9.9.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Manufacturing Records</w:t>
      </w:r>
      <w:r>
        <w:rPr>
          <w:rFonts w:ascii="Times New Roman" w:cs="Times New Roman" w:eastAsia="Times New Roman" w:hAnsi="Times New Roman"/>
          <w:sz w:val="22"/>
          <w:szCs w:val="22"/>
          <w:color w:val="auto"/>
        </w:rPr>
        <w:t>. Each Party shall maintain complete and accurate records in all material respects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pertaining to the Manufacture of its Compound to be used in the Study. Olema shall be responsible for maintaining complete and accurate records in all material respects pertaining to the Manufacture of Letrozole.</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Section 9.10.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Quality</w:t>
      </w:r>
      <w:r>
        <w:rPr>
          <w:rFonts w:ascii="Times New Roman" w:cs="Times New Roman" w:eastAsia="Times New Roman" w:hAnsi="Times New Roman"/>
          <w:sz w:val="22"/>
          <w:szCs w:val="22"/>
          <w:color w:val="auto"/>
        </w:rPr>
        <w:t>. As soon as practicable after the Effective Date, but in any event before the first shipment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Novartis Compound to Olema pursuant to this Agreement, the Parties shall enter into a quality agreement (the “</w:t>
      </w:r>
      <w:r>
        <w:rPr>
          <w:rFonts w:ascii="Times New Roman" w:cs="Times New Roman" w:eastAsia="Times New Roman" w:hAnsi="Times New Roman"/>
          <w:sz w:val="22"/>
          <w:szCs w:val="22"/>
          <w:b w:val="1"/>
          <w:bCs w:val="1"/>
          <w:u w:val="single" w:color="auto"/>
          <w:color w:val="auto"/>
        </w:rPr>
        <w:t>Quality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The Quality Agreement shall outline the roles and responsibilities of each Party relative to the quality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manufacture, testing and release of the Novartis Compound for the Study. Quality matters related to the Manufacture of the Novartis Compound shall be governed by the terms of the Quality Agreement in addition to the relevant quality provisions of this Agreement. To the extent any provision set forth in the Quality Agreement conflicts with any provision of this Agreement, the provision set forth in the Quality Agreement shall control, but only to the extent such conflict relates to quality matters regarding the Novartis Compound supplied to Olema hereunder.</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9.11.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Audits and Inspections</w:t>
      </w:r>
      <w:r>
        <w:rPr>
          <w:rFonts w:ascii="Times New Roman" w:cs="Times New Roman" w:eastAsia="Times New Roman" w:hAnsi="Times New Roman"/>
          <w:sz w:val="22"/>
          <w:szCs w:val="22"/>
          <w:color w:val="auto"/>
        </w:rPr>
        <w:t>. The Parties’ audit and inspection rights under this Agreement shall be governed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Quality Agreement.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Section 9.12.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Recalls</w:t>
      </w:r>
      <w:r>
        <w:rPr>
          <w:rFonts w:ascii="Times New Roman" w:cs="Times New Roman" w:eastAsia="Times New Roman" w:hAnsi="Times New Roman"/>
          <w:sz w:val="22"/>
          <w:szCs w:val="22"/>
          <w:color w:val="auto"/>
        </w:rPr>
        <w:t>. Upon discovery that a Novartis Compound should be recalled or corrected, or may be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recalled or corrected, the discovering Party shall give prompt notice to the QA contact of the other Party, all subject to the terms of the Quality Agreement. The recall procedures are set forth in the Quality Agreement. If a recall occurs as the result of a Non-Conformance of the Novartis Compound, or due to any fault of Novartis, [***].</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Section 9.13.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VAT; Customs Duties</w:t>
      </w:r>
      <w:r>
        <w:rPr>
          <w:rFonts w:ascii="Times New Roman" w:cs="Times New Roman" w:eastAsia="Times New Roman" w:hAnsi="Times New Roman"/>
          <w:sz w:val="22"/>
          <w:szCs w:val="22"/>
          <w:color w:val="auto"/>
        </w:rPr>
        <w:t>. Any payments made under this Agreement are exclusive of any value added,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goods and services, sales, use, excise, consumption and other similar indirect taxes (“</w:t>
      </w:r>
      <w:r>
        <w:rPr>
          <w:rFonts w:ascii="Times New Roman" w:cs="Times New Roman" w:eastAsia="Times New Roman" w:hAnsi="Times New Roman"/>
          <w:sz w:val="22"/>
          <w:szCs w:val="22"/>
          <w:b w:val="1"/>
          <w:bCs w:val="1"/>
          <w:u w:val="single" w:color="auto"/>
          <w:color w:val="auto"/>
        </w:rPr>
        <w:t>VAT</w:t>
      </w:r>
      <w:r>
        <w:rPr>
          <w:rFonts w:ascii="Times New Roman" w:cs="Times New Roman" w:eastAsia="Times New Roman" w:hAnsi="Times New Roman"/>
          <w:sz w:val="22"/>
          <w:szCs w:val="22"/>
          <w:color w:val="auto"/>
        </w:rPr>
        <w:t>”), which shall be added thereon as applicable. Where VAT is properly charged by the supplying Party and added to a payment made under this Agreement, the Party making the payment will pay the amount of VAT only on receipt of a valid tax invoice from the supplying Party issued in accordance with the laws and regulations of the country in which the VAT is chargeable. For the avoidance of doubt, (i) Novartis will not be charged for import VAT or any sales tax and duty which could be raised by local customs or VAT authorities related to shipments of the Novartis Compound to Olema, its designee warehouse, or the country where the Study takes place, (ii) Novartis shall only provide a proforma invoice indicating the price at which the Novartis Compound is available in the country importing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1" w:name="page282"/>
    <w:bookmarkEnd w:id="281"/>
    <w:p>
      <w:pPr>
        <w:jc w:val="both"/>
        <w:spacing w:after="0" w:line="239" w:lineRule="auto"/>
        <w:rPr>
          <w:sz w:val="20"/>
          <w:szCs w:val="20"/>
          <w:color w:val="auto"/>
        </w:rPr>
      </w:pPr>
      <w:r>
        <w:rPr>
          <w:rFonts w:ascii="Times New Roman" w:cs="Times New Roman" w:eastAsia="Times New Roman" w:hAnsi="Times New Roman"/>
          <w:sz w:val="22"/>
          <w:szCs w:val="22"/>
          <w:color w:val="auto"/>
        </w:rPr>
        <w:t>Novartis Compound, and (iii) Novartis shall not be responsible for any customs duties or other costs associated with the export of the Novartis Compound [***]. The Parties agree to cooperate with one another and use reasonable efforts to minimize and ensure that any VAT does not represent an unnecessary cost with respect to any payments made under this Agreement, including use of available VAT exemptions, zero-ratings, reduced-ratings, suspensions or other reliefs.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CONFIDENTIALITY.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 xml:space="preserve">Section 10.1. </w:t>
      </w:r>
      <w:r>
        <w:rPr>
          <w:rFonts w:ascii="Times New Roman" w:cs="Times New Roman" w:eastAsia="Times New Roman" w:hAnsi="Times New Roman"/>
          <w:sz w:val="22"/>
          <w:szCs w:val="22"/>
          <w:u w:val="single" w:color="auto"/>
          <w:color w:val="auto"/>
        </w:rPr>
        <w:t>Treatment of Confidential Information.</w:t>
      </w:r>
    </w:p>
    <w:p>
      <w:pPr>
        <w:spacing w:after="0" w:line="206" w:lineRule="exact"/>
        <w:rPr>
          <w:sz w:val="20"/>
          <w:szCs w:val="20"/>
          <w:color w:val="auto"/>
        </w:rPr>
      </w:pPr>
    </w:p>
    <w:p>
      <w:pPr>
        <w:jc w:val="both"/>
        <w:ind w:left="200"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10.1.1 </w:t>
      </w:r>
      <w:r>
        <w:rPr>
          <w:rFonts w:ascii="Times New Roman" w:cs="Times New Roman" w:eastAsia="Times New Roman" w:hAnsi="Times New Roman"/>
          <w:sz w:val="22"/>
          <w:szCs w:val="22"/>
          <w:color w:val="auto"/>
        </w:rPr>
        <w:t>Olema and Novartis agree to hold in confidence any Confidential Information of the other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neither Party shall use Confidential Information of the other Party except for the performance of the Study and for Permitted Uses and any other use expressly permitted by this Agreement. Neither Party shall, without the prior written consent of the other Party, disclose any Confidential Information of the other Party to any Third Party except to the extent the disclosure (i) is required by Applicable Law; or (ii) is pursuant to the terms of this Agreement as necessary for the conduct of the Study; and in each case ((i) through (ii)) provided that the disclosing Party gives reasonable advance written notice to the other Party before making such disclosure. For the avoidance of doubt, Olema may, without Novartis’ consent, disclose Novartis Confidential Information to Study Sites and clinical trial investigators performing the Study, the data safety monitoring and advisory board relating to the Study, and Regulatory Authorities working with Olema on the Study, in each case to the extent necessary for the performance of the Study and to comply with Applicable Law and this Agreement; </w:t>
      </w:r>
      <w:r>
        <w:rPr>
          <w:rFonts w:ascii="Times New Roman" w:cs="Times New Roman" w:eastAsia="Times New Roman" w:hAnsi="Times New Roman"/>
          <w:sz w:val="22"/>
          <w:szCs w:val="22"/>
          <w:i w:val="1"/>
          <w:iCs w:val="1"/>
          <w:color w:val="auto"/>
        </w:rPr>
        <w:t xml:space="preserve">provided that </w:t>
      </w:r>
      <w:r>
        <w:rPr>
          <w:rFonts w:ascii="Times New Roman" w:cs="Times New Roman" w:eastAsia="Times New Roman" w:hAnsi="Times New Roman"/>
          <w:sz w:val="22"/>
          <w:szCs w:val="22"/>
          <w:color w:val="auto"/>
        </w:rPr>
        <w:t>such persons (other than governmental entities) are bound to Olema by written obligations of confidentiality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non-use at least as stringent as the obligations contained herein. Notwithstanding anything in this Agreement to the contrary, each Party has the right to disclose, without the consent of or any notification to the other Party, any pharmacovigilance information originating from itself, its Affiliates, and the other Party, to Regulatory Authorities, investigators, ethical committees and internal review boards, and any other Third Parties that have a need to know such information according to each Party’s Risk Management and Adverse Event Reporting requirements.</w:t>
      </w:r>
    </w:p>
    <w:p>
      <w:pPr>
        <w:spacing w:after="0" w:line="174" w:lineRule="exact"/>
        <w:rPr>
          <w:sz w:val="20"/>
          <w:szCs w:val="20"/>
          <w:color w:val="auto"/>
        </w:rPr>
      </w:pPr>
    </w:p>
    <w:p>
      <w:pPr>
        <w:jc w:val="both"/>
        <w:ind w:left="200" w:firstLine="149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10.1.2 </w:t>
      </w:r>
      <w:r>
        <w:rPr>
          <w:rFonts w:ascii="Times New Roman" w:cs="Times New Roman" w:eastAsia="Times New Roman" w:hAnsi="Times New Roman"/>
          <w:sz w:val="21"/>
          <w:szCs w:val="21"/>
          <w:color w:val="auto"/>
        </w:rPr>
        <w:t>Novartis covenants not to disclose any unpublished Clinical Data related to the Olema Compound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Letrozole and other documentation prepared specifically for use in connection with the Study to any Third Party in connection with Novartis’ independent research, development or commercialization of the Novartis Compound in combination with any Third Party’s Olema Class Compound unless disclosed pursuant to </w:t>
      </w:r>
      <w:r>
        <w:rPr>
          <w:rFonts w:ascii="Times New Roman" w:cs="Times New Roman" w:eastAsia="Times New Roman" w:hAnsi="Times New Roman"/>
          <w:sz w:val="21"/>
          <w:szCs w:val="21"/>
          <w:u w:val="single" w:color="auto"/>
          <w:color w:val="auto"/>
        </w:rPr>
        <w:t>Article 13</w:t>
      </w:r>
      <w:r>
        <w:rPr>
          <w:rFonts w:ascii="Times New Roman" w:cs="Times New Roman" w:eastAsia="Times New Roman" w:hAnsi="Times New Roman"/>
          <w:sz w:val="21"/>
          <w:szCs w:val="21"/>
          <w:color w:val="auto"/>
        </w:rPr>
        <w:t xml:space="preserve"> herein, or with written consent from Olema, and Olema covenants not to disclose any unpublished Clinical Data related to the Novartis Compound or Letrozole and other documentation prepared specifically for use in connection with the Study to any Third Party in connection with Olema’s independent research, development or commercialization of the Olema Compound or Letrozole in combination with any Third Party’s Novartis Class Compound unless disclosed pursuant to </w:t>
      </w:r>
      <w:r>
        <w:rPr>
          <w:rFonts w:ascii="Times New Roman" w:cs="Times New Roman" w:eastAsia="Times New Roman" w:hAnsi="Times New Roman"/>
          <w:sz w:val="21"/>
          <w:szCs w:val="21"/>
          <w:u w:val="single" w:color="auto"/>
          <w:color w:val="auto"/>
        </w:rPr>
        <w:t>Article 13</w:t>
      </w:r>
      <w:r>
        <w:rPr>
          <w:rFonts w:ascii="Times New Roman" w:cs="Times New Roman" w:eastAsia="Times New Roman" w:hAnsi="Times New Roman"/>
          <w:sz w:val="21"/>
          <w:szCs w:val="21"/>
          <w:color w:val="auto"/>
        </w:rPr>
        <w:t xml:space="preserve"> herein, or with written consent from Novartis.</w:t>
      </w:r>
    </w:p>
    <w:p>
      <w:pPr>
        <w:spacing w:after="0" w:line="172"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10.1.3 </w:t>
      </w:r>
      <w:r>
        <w:rPr>
          <w:rFonts w:ascii="Times New Roman" w:cs="Times New Roman" w:eastAsia="Times New Roman" w:hAnsi="Times New Roman"/>
          <w:sz w:val="22"/>
          <w:szCs w:val="22"/>
          <w:i w:val="1"/>
          <w:iCs w:val="1"/>
          <w:u w:val="single" w:color="auto"/>
          <w:color w:val="auto"/>
        </w:rPr>
        <w:t>Protected Information Audits.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Novartis or its designated Third Party will have the right to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assessments of Olema’s implemented technical and operational measures and its testing to ensure the security, availability, integrity and resilience of Protected Information and the Novartis Environment. After completion of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2" w:name="page283"/>
    <w:bookmarkEnd w:id="282"/>
    <w:p>
      <w:pPr>
        <w:jc w:val="both"/>
        <w:ind w:left="200"/>
        <w:spacing w:after="0" w:line="238" w:lineRule="auto"/>
        <w:rPr>
          <w:sz w:val="20"/>
          <w:szCs w:val="20"/>
          <w:color w:val="auto"/>
        </w:rPr>
      </w:pPr>
      <w:r>
        <w:rPr>
          <w:rFonts w:ascii="Times New Roman" w:cs="Times New Roman" w:eastAsia="Times New Roman" w:hAnsi="Times New Roman"/>
          <w:sz w:val="22"/>
          <w:szCs w:val="22"/>
          <w:color w:val="auto"/>
        </w:rPr>
        <w:t xml:space="preserve">audit, Novartis will provide Olema with a remediation plan identifying any gaps and the timelines for remediation. Olema shall remediate any identified high or critical gaps set forth in the remediation plan and in accordance with the timelines set forth therein. Olema’s failure to remediate high or critical gaps according to the remediation plan shall constitute a material breach of this Agreement, and Novartis shall have the right (but not the obligation), without limiting any of its other rights and remedies, to terminate this Agreement for material breach in accordance with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2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10.1.4 </w:t>
      </w:r>
      <w:r>
        <w:rPr>
          <w:rFonts w:ascii="Times New Roman" w:cs="Times New Roman" w:eastAsia="Times New Roman" w:hAnsi="Times New Roman"/>
          <w:sz w:val="22"/>
          <w:szCs w:val="22"/>
          <w:color w:val="auto"/>
        </w:rPr>
        <w:t>Each Party shall develop, maintain, periodically review, update and train the other Party’s personnel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its Information Management Policies and Standards.</w:t>
      </w:r>
    </w:p>
    <w:p>
      <w:pPr>
        <w:spacing w:after="0" w:line="150"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10.2.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Jointly Owned Confidential Information</w:t>
      </w:r>
      <w:r>
        <w:rPr>
          <w:rFonts w:ascii="Times New Roman" w:cs="Times New Roman" w:eastAsia="Times New Roman" w:hAnsi="Times New Roman"/>
          <w:sz w:val="22"/>
          <w:szCs w:val="22"/>
          <w:color w:val="auto"/>
        </w:rPr>
        <w:t>. Notwithstanding the foregoing, Joint Inventions shall constitute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Confidential Information of both Parties and, subject to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10.2.1 </w:t>
      </w:r>
      <w:r>
        <w:rPr>
          <w:rFonts w:ascii="Times New Roman" w:cs="Times New Roman" w:eastAsia="Times New Roman" w:hAnsi="Times New Roman"/>
          <w:sz w:val="22"/>
          <w:szCs w:val="22"/>
          <w:color w:val="auto"/>
        </w:rPr>
        <w:t>Olema shall have the right to (i) use Joint Confidential Information in connection with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development, commercialization or other exploitation of any proprietary Olema compound including the Olema Compound (alone or in combination with the Novartis Compound or other pharmaceutical agents) without the consent of, or any obligation to account to, Novartis; and (ii) disclose Joint Confidential Information to Third Parties only for the Permitted Use after the Third Party agrees in writing to be bound by terms of confidentiality and non-use that are consistent with this Agreement; and</w:t>
      </w:r>
    </w:p>
    <w:p>
      <w:pPr>
        <w:spacing w:after="0" w:line="175"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10.2.2 </w:t>
      </w:r>
      <w:r>
        <w:rPr>
          <w:rFonts w:ascii="Times New Roman" w:cs="Times New Roman" w:eastAsia="Times New Roman" w:hAnsi="Times New Roman"/>
          <w:sz w:val="22"/>
          <w:szCs w:val="22"/>
          <w:color w:val="auto"/>
        </w:rPr>
        <w:t>Novartis shall have the right to (i) use Joint Confidential Information in connection with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development, commercialization or other exploitation of any proprietary Novartis compound including the Novartis Compound (alone or in combination with the Olema Compound, Letrozole or other pharmaceutical agents) without the consent of, or any obligation to account to, Olema; and (ii) disclose Joint Confidential Information to Third Parties only for the Permitted Use after the Third Party agrees in writing to be bound by terms of confidentiality and non-use that are consistent with this Agreement.</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Section 10.3.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Disclosure of Confidential Information</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with respect to publication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Study results, Inventions relating solely to the Novartis Compound that constitute Confidential Information and Clinical Data relating solely to the Novartis Compound shall constitute Confidential Information solely owned by Novartis (“</w:t>
      </w:r>
      <w:r>
        <w:rPr>
          <w:rFonts w:ascii="Times New Roman" w:cs="Times New Roman" w:eastAsia="Times New Roman" w:hAnsi="Times New Roman"/>
          <w:sz w:val="22"/>
          <w:szCs w:val="22"/>
          <w:b w:val="1"/>
          <w:bCs w:val="1"/>
          <w:u w:val="single" w:color="auto"/>
          <w:color w:val="auto"/>
        </w:rPr>
        <w:t>Novartis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Confidential Information</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with respect to publication of the Study results, Inventions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to the Olema Compound that constitute Confidential Information and Clinical Data relating solely to the Olema Compound shall constitute Confidential Information solely owned by Olema (“</w:t>
      </w:r>
      <w:r>
        <w:rPr>
          <w:rFonts w:ascii="Times New Roman" w:cs="Times New Roman" w:eastAsia="Times New Roman" w:hAnsi="Times New Roman"/>
          <w:sz w:val="22"/>
          <w:szCs w:val="22"/>
          <w:b w:val="1"/>
          <w:bCs w:val="1"/>
          <w:u w:val="single" w:color="auto"/>
          <w:color w:val="auto"/>
        </w:rPr>
        <w:t>Olema Confidential Information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Novartis may use and disclose to Third Parties any Novartis Confidential Information for any purpose without obligation or accounting to Olema. Subject to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Olema may use and disclose to Third Parties any Olema Confidential Information for any purpose without obligation or accounting to Novartis.</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10.4.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Confidential Information with Personal Data</w:t>
      </w:r>
      <w:r>
        <w:rPr>
          <w:rFonts w:ascii="Times New Roman" w:cs="Times New Roman" w:eastAsia="Times New Roman" w:hAnsi="Times New Roman"/>
          <w:sz w:val="22"/>
          <w:szCs w:val="22"/>
          <w:color w:val="auto"/>
        </w:rPr>
        <w:t>. All Confidential Information containing Personal Data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handled in accordance with Data Protection Laws and, where applicable, the Data Sharing Agreement.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3" w:name="page284"/>
    <w:bookmarkEnd w:id="283"/>
    <w:p>
      <w:pPr>
        <w:spacing w:after="0" w:line="200" w:lineRule="exact"/>
        <w:rPr>
          <w:sz w:val="20"/>
          <w:szCs w:val="20"/>
          <w:color w:val="auto"/>
        </w:rPr>
      </w:pPr>
    </w:p>
    <w:p>
      <w:pPr>
        <w:spacing w:after="0" w:line="2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u w:val="single" w:color="auto"/>
          <w:color w:val="auto"/>
        </w:rPr>
        <w:t>ARTICLE 11.</w:t>
      </w:r>
    </w:p>
    <w:p>
      <w:pPr>
        <w:spacing w:after="0" w:line="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u w:val="single" w:color="auto"/>
          <w:color w:val="auto"/>
        </w:rPr>
        <w:t>INTELLECTUAL PROPERTY.</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u w:val="single" w:color="auto"/>
          <w:color w:val="auto"/>
        </w:rPr>
        <w:t xml:space="preserve">Section 11.1. </w:t>
      </w:r>
      <w:r>
        <w:rPr>
          <w:rFonts w:ascii="Times New Roman" w:cs="Times New Roman" w:eastAsia="Times New Roman" w:hAnsi="Times New Roman"/>
          <w:sz w:val="22"/>
          <w:szCs w:val="22"/>
          <w:u w:val="single" w:color="auto"/>
          <w:color w:val="auto"/>
        </w:rPr>
        <w:t>Joint Inventions and Patent Prosecution.</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11.1.1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rights to Inventions relating to or Covering the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Combination or the Letrozole Combination (each a “</w:t>
      </w:r>
      <w:r>
        <w:rPr>
          <w:rFonts w:ascii="Times New Roman" w:cs="Times New Roman" w:eastAsia="Times New Roman" w:hAnsi="Times New Roman"/>
          <w:sz w:val="22"/>
          <w:szCs w:val="22"/>
          <w:b w:val="1"/>
          <w:bCs w:val="1"/>
          <w:u w:val="single" w:color="auto"/>
          <w:color w:val="auto"/>
        </w:rPr>
        <w:t>Joint Invention</w:t>
      </w:r>
      <w:r>
        <w:rPr>
          <w:rFonts w:ascii="Times New Roman" w:cs="Times New Roman" w:eastAsia="Times New Roman" w:hAnsi="Times New Roman"/>
          <w:sz w:val="22"/>
          <w:szCs w:val="22"/>
          <w:color w:val="auto"/>
        </w:rPr>
        <w:t>”) and any Intellectual Property Rights therein shall be owned jointly by Olema and Novartis (collectively “</w:t>
      </w:r>
      <w:r>
        <w:rPr>
          <w:rFonts w:ascii="Times New Roman" w:cs="Times New Roman" w:eastAsia="Times New Roman" w:hAnsi="Times New Roman"/>
          <w:sz w:val="22"/>
          <w:szCs w:val="22"/>
          <w:b w:val="1"/>
          <w:bCs w:val="1"/>
          <w:u w:val="single" w:color="auto"/>
          <w:color w:val="auto"/>
        </w:rPr>
        <w:t>Joint IP</w:t>
      </w:r>
      <w:r>
        <w:rPr>
          <w:rFonts w:ascii="Times New Roman" w:cs="Times New Roman" w:eastAsia="Times New Roman" w:hAnsi="Times New Roman"/>
          <w:sz w:val="22"/>
          <w:szCs w:val="22"/>
          <w:color w:val="auto"/>
        </w:rPr>
        <w:t>”). For those countries where a specific license is required for a joint owner of a Joint Invention to exploit such Joint Invention and any Joint IP in such countries, (i) Novartis hereby grants to Olema a perpetual, irrevocable, non-exclusive, worldwide, royalty-free, fully paid-up license, transferable and sublicensable, under Novartis’ entire right, title and interest in and to all Joint Inventions and Joint IP to use and exploit such Joint Inventions and Joint IP in such country or countries, for any and all uses, without the consent of or accounting to Novartis, and (ii) Olema hereby grants to Novartis a perpetual, irrevocable, non-exclusive, worldwide, royalty-free, fully paid-up license, transferable and sublicensable, under Olema’s entire right, title and interest in and to all Joint Inventions and Joint IP to use and exploit such Joint Inventions and Joint IP in such country or countries, for any and all uses, without the consent of or accounting to Olema. For clarity, the terms of this Agreement do not provide Olema or Novartis with any rights, title or interest or any license to the other Party’s or its Affiliates’ Background Intellectual Property, except as necessary to conduct the Study. Each Party shall have the right to freely exploit the Joint Inventions and the Joint IP, both within and outside the scope of the Study, without the consent of, accounting to or any other obligation to the other Party, and each Party may grant licenses (with a right to sublicense) to Third Parties under such Party’s interest in the Joint Inventions and Joint IP, subject to the terms of and its obligations under this Agreement.</w:t>
      </w:r>
    </w:p>
    <w:p>
      <w:pPr>
        <w:spacing w:after="0" w:line="174"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11.1.2 </w:t>
      </w:r>
      <w:r>
        <w:rPr>
          <w:rFonts w:ascii="Times New Roman" w:cs="Times New Roman" w:eastAsia="Times New Roman" w:hAnsi="Times New Roman"/>
          <w:sz w:val="22"/>
          <w:szCs w:val="22"/>
          <w:color w:val="auto"/>
        </w:rPr>
        <w:t>As needed after the Effective Date, the Parties’ respective patent representatives shall meet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or virtually) to discuss the patenting strategy for any Joint Inventions which may arise. In particular, the Parties shall discuss which Party will file a patent application (including any provisional, substitution, divisional, continuation, continuation in part, reissue, renewal, re-examination, extension, supplementary protection certificate and the like) with respect to each Joint Invention (each, a “</w:t>
      </w:r>
      <w:r>
        <w:rPr>
          <w:rFonts w:ascii="Times New Roman" w:cs="Times New Roman" w:eastAsia="Times New Roman" w:hAnsi="Times New Roman"/>
          <w:sz w:val="22"/>
          <w:szCs w:val="22"/>
          <w:b w:val="1"/>
          <w:bCs w:val="1"/>
          <w:u w:val="single" w:color="auto"/>
          <w:color w:val="auto"/>
        </w:rPr>
        <w:t>Joint Patent Application</w:t>
      </w:r>
      <w:r>
        <w:rPr>
          <w:rFonts w:ascii="Times New Roman" w:cs="Times New Roman" w:eastAsia="Times New Roman" w:hAnsi="Times New Roman"/>
          <w:sz w:val="22"/>
          <w:szCs w:val="22"/>
          <w:color w:val="auto"/>
        </w:rPr>
        <w:t>”) and whether the Parties wish to appoint joint patent counsel. In any event, the Parties shall consult and reasonably cooperate with one another in the preparation, filing, prosecution (including prosecution strategy) and maintenance of such patent application(s) and resulting Joint Patents and shall equally share the expenses associated with the prosecution and maintenance of the Joint Patent Applications and resulting Joint Patents. If one Party (the “</w:t>
      </w:r>
      <w:r>
        <w:rPr>
          <w:rFonts w:ascii="Times New Roman" w:cs="Times New Roman" w:eastAsia="Times New Roman" w:hAnsi="Times New Roman"/>
          <w:sz w:val="22"/>
          <w:szCs w:val="22"/>
          <w:b w:val="1"/>
          <w:bCs w:val="1"/>
          <w:u w:val="single" w:color="auto"/>
          <w:color w:val="auto"/>
        </w:rPr>
        <w:t>Filing Party</w:t>
      </w:r>
      <w:r>
        <w:rPr>
          <w:rFonts w:ascii="Times New Roman" w:cs="Times New Roman" w:eastAsia="Times New Roman" w:hAnsi="Times New Roman"/>
          <w:sz w:val="22"/>
          <w:szCs w:val="22"/>
          <w:color w:val="auto"/>
        </w:rPr>
        <w:t>”) wishes to file a patent application for a Joint Invention and the other Party (the “</w:t>
      </w:r>
      <w:r>
        <w:rPr>
          <w:rFonts w:ascii="Times New Roman" w:cs="Times New Roman" w:eastAsia="Times New Roman" w:hAnsi="Times New Roman"/>
          <w:sz w:val="22"/>
          <w:szCs w:val="22"/>
          <w:b w:val="1"/>
          <w:bCs w:val="1"/>
          <w:u w:val="single" w:color="auto"/>
          <w:color w:val="auto"/>
        </w:rPr>
        <w:t>Non-filing Party</w:t>
      </w:r>
      <w:r>
        <w:rPr>
          <w:rFonts w:ascii="Times New Roman" w:cs="Times New Roman" w:eastAsia="Times New Roman" w:hAnsi="Times New Roman"/>
          <w:sz w:val="22"/>
          <w:szCs w:val="22"/>
          <w:color w:val="auto"/>
        </w:rPr>
        <w:t>”) does not wish to file a patent application for a Joint Invention, or does not wish to file in a particular country or jurisdiction, the Non-filing Party shall execute such documents and perform such acts at the Filing Party’s expense as may be reasonably necessary to effect an assignment of such Joint Invention to the Filing Party (in such country or all countries, as applicable) in a timely manner to allow the Filing Party to prosecute such patent application. Likewise, if a Party (the “</w:t>
      </w:r>
      <w:r>
        <w:rPr>
          <w:rFonts w:ascii="Times New Roman" w:cs="Times New Roman" w:eastAsia="Times New Roman" w:hAnsi="Times New Roman"/>
          <w:sz w:val="22"/>
          <w:szCs w:val="22"/>
          <w:b w:val="1"/>
          <w:bCs w:val="1"/>
          <w:u w:val="single" w:color="auto"/>
          <w:color w:val="auto"/>
        </w:rPr>
        <w:t>Opting-out Party</w:t>
      </w:r>
      <w:r>
        <w:rPr>
          <w:rFonts w:ascii="Times New Roman" w:cs="Times New Roman" w:eastAsia="Times New Roman" w:hAnsi="Times New Roman"/>
          <w:sz w:val="22"/>
          <w:szCs w:val="22"/>
          <w:color w:val="auto"/>
        </w:rPr>
        <w:t>”) wishes to discontinue the prosecution and maintenance of a Joint Patent Application or Joint Patent, the other Party (the “</w:t>
      </w:r>
      <w:r>
        <w:rPr>
          <w:rFonts w:ascii="Times New Roman" w:cs="Times New Roman" w:eastAsia="Times New Roman" w:hAnsi="Times New Roman"/>
          <w:sz w:val="22"/>
          <w:szCs w:val="22"/>
          <w:b w:val="1"/>
          <w:bCs w:val="1"/>
          <w:u w:val="single" w:color="auto"/>
          <w:color w:val="auto"/>
        </w:rPr>
        <w:t>Continuing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 at its sole discretion, may continue such prosecution and maintenance. In such event, the Opting-out Party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 such</w:t>
      </w:r>
    </w:p>
    <w:p>
      <w:pPr>
        <w:spacing w:after="0" w:line="200" w:lineRule="exact"/>
        <w:rPr>
          <w:sz w:val="20"/>
          <w:szCs w:val="20"/>
          <w:color w:val="auto"/>
        </w:rPr>
      </w:pPr>
    </w:p>
    <w:p>
      <w:pPr>
        <w:spacing w:after="0" w:line="38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284" w:name="page285"/>
    <w:bookmarkEnd w:id="284"/>
    <w:p>
      <w:pPr>
        <w:jc w:val="both"/>
        <w:ind w:left="5"/>
        <w:spacing w:after="0" w:line="233" w:lineRule="auto"/>
        <w:rPr>
          <w:sz w:val="20"/>
          <w:szCs w:val="20"/>
          <w:color w:val="auto"/>
        </w:rPr>
      </w:pPr>
      <w:r>
        <w:rPr>
          <w:rFonts w:ascii="Times New Roman" w:cs="Times New Roman" w:eastAsia="Times New Roman" w:hAnsi="Times New Roman"/>
          <w:sz w:val="22"/>
          <w:szCs w:val="22"/>
          <w:color w:val="auto"/>
        </w:rPr>
        <w:t>documents and perform such acts at the Continuing Party’s expense as may be reasonably necessary to effect an assignment of such Joint Patent Application to the Continuing Party (in such country or all countries, as applicable) in a timely manner to allow the Continuing Party to prosecute and maintain such patent application. Any Joint Patent Application, Joint Patent or Joint Invention so assigned shall thereafter be owned solely by the Continuing Party or Filing Party (as applicable), and any patent claiming such Joint Invention in the applicable country or countries when issued, shall not be a Joint Patent. The Filing Party or Continuing Party (as applicable) hereby grants the Opting-out Party or Non-Filing Party (as applicable) a perpetual, irrevocable, non-exclusive, royalty-free fully paid-up license under such solely owned Joint Patent Applications and Joint Patents to practice any Joint Invention claimed therein solely for the purposes of developing and commercializing its respective Compound for use in the Olema Combination or the Letrozole Combination (as applicable) which license shall not be transferable or sublicensable to any Third Party except to (A) Affiliates of the Opting-out Party or Non-Filing Party (as applicable), and (B) Third Parties engaged in developing, manufacturing or marketing that Party’s Compound for or on behalf of that Party or its Affiliates.</w:t>
      </w:r>
    </w:p>
    <w:p>
      <w:pPr>
        <w:spacing w:after="0" w:line="181" w:lineRule="exact"/>
        <w:rPr>
          <w:sz w:val="20"/>
          <w:szCs w:val="20"/>
          <w:color w:val="auto"/>
        </w:rPr>
      </w:pPr>
    </w:p>
    <w:p>
      <w:pPr>
        <w:jc w:val="both"/>
        <w:ind w:left="5"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11.1.3 </w:t>
      </w:r>
      <w:r>
        <w:rPr>
          <w:rFonts w:ascii="Times New Roman" w:cs="Times New Roman" w:eastAsia="Times New Roman" w:hAnsi="Times New Roman"/>
          <w:sz w:val="22"/>
          <w:szCs w:val="22"/>
          <w:color w:val="auto"/>
        </w:rPr>
        <w:t>Except as expressly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neither Party shall (1) file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application based on the other Party’s Confidential Information, or (2) provide assistance to any Third Party for any such application, without the other Party’s prior written authorization.</w:t>
      </w:r>
    </w:p>
    <w:p>
      <w:pPr>
        <w:spacing w:after="0" w:line="167" w:lineRule="exact"/>
        <w:rPr>
          <w:sz w:val="20"/>
          <w:szCs w:val="20"/>
          <w:color w:val="auto"/>
        </w:rPr>
      </w:pPr>
    </w:p>
    <w:p>
      <w:pPr>
        <w:jc w:val="both"/>
        <w:ind w:left="5" w:firstLine="1497"/>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11.1.4 </w:t>
      </w:r>
      <w:r>
        <w:rPr>
          <w:rFonts w:ascii="Times New Roman" w:cs="Times New Roman" w:eastAsia="Times New Roman" w:hAnsi="Times New Roman"/>
          <w:sz w:val="21"/>
          <w:szCs w:val="21"/>
          <w:color w:val="auto"/>
        </w:rPr>
        <w:t>Olema shall have the first right to initiate legal action to enforce the Joint Patents against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infringement, and to protect the Joint Inventions from misappropriation, by any Third Party where such infringement or misappropriation results from the development or sale of an Olema Class Compound, or to defend any declaratory judgment action relating thereto, at its sole expense (subject to </w:t>
      </w:r>
      <w:r>
        <w:rPr>
          <w:rFonts w:ascii="Times New Roman" w:cs="Times New Roman" w:eastAsia="Times New Roman" w:hAnsi="Times New Roman"/>
          <w:sz w:val="21"/>
          <w:szCs w:val="21"/>
          <w:u w:val="single" w:color="auto"/>
          <w:color w:val="auto"/>
        </w:rPr>
        <w:t>Section 11.1.5</w:t>
      </w:r>
      <w:r>
        <w:rPr>
          <w:rFonts w:ascii="Times New Roman" w:cs="Times New Roman" w:eastAsia="Times New Roman" w:hAnsi="Times New Roman"/>
          <w:sz w:val="21"/>
          <w:szCs w:val="21"/>
          <w:color w:val="auto"/>
        </w:rPr>
        <w:t>). If Olema fails to initiate or defend any such action within</w:t>
      </w:r>
    </w:p>
    <w:p>
      <w:pPr>
        <w:spacing w:after="0" w:line="2" w:lineRule="exact"/>
        <w:rPr>
          <w:sz w:val="20"/>
          <w:szCs w:val="20"/>
          <w:color w:val="auto"/>
        </w:rPr>
      </w:pPr>
    </w:p>
    <w:p>
      <w:pPr>
        <w:jc w:val="both"/>
        <w:ind w:left="5" w:hanging="5"/>
        <w:spacing w:after="0" w:line="232" w:lineRule="auto"/>
        <w:tabs>
          <w:tab w:leader="none" w:pos="5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being first notified of such infringement or misappropriation, Novartis shall have the right to do so at its sole expense (subject to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Similarly, Novartis shall have the first right to initiate legal action to enforce the Joint Patents against infringement and to protect the Joint Inventions from misappropriation, by any Third Party where such infringement or misappropriation results from the development or sale of a Novartis Class Compound or a Letrozole Class Compound, or to defend any declaratory judgment action relating thereto, at its sole expense (subject to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If Novartis fails to initiate or defend any such action within [***] after being first notified of such infringement, Olema shall have the right to do so at its sole expense (subject to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w:t>
      </w:r>
    </w:p>
    <w:p>
      <w:pPr>
        <w:spacing w:after="0" w:line="177" w:lineRule="exact"/>
        <w:rPr>
          <w:sz w:val="20"/>
          <w:szCs w:val="20"/>
          <w:color w:val="auto"/>
        </w:rPr>
      </w:pPr>
    </w:p>
    <w:p>
      <w:pPr>
        <w:jc w:val="both"/>
        <w:ind w:left="5"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11.1.5 </w:t>
      </w:r>
      <w:r>
        <w:rPr>
          <w:rFonts w:ascii="Times New Roman" w:cs="Times New Roman" w:eastAsia="Times New Roman" w:hAnsi="Times New Roman"/>
          <w:sz w:val="22"/>
          <w:szCs w:val="22"/>
          <w:color w:val="auto"/>
        </w:rPr>
        <w:t>If either Party brings a prosecution or enforcement action or proceeding against a Third Party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any Joint Patent, the other Party agrees to be joined as a party plaintiff where necessary and to provide the first Party with reasonable assistance and authority to file and prosecute the action or proceeding. The Party controlling such action or proceeding (the “</w:t>
      </w:r>
      <w:r>
        <w:rPr>
          <w:rFonts w:ascii="Times New Roman" w:cs="Times New Roman" w:eastAsia="Times New Roman" w:hAnsi="Times New Roman"/>
          <w:sz w:val="22"/>
          <w:szCs w:val="22"/>
          <w:b w:val="1"/>
          <w:bCs w:val="1"/>
          <w:u w:val="single" w:color="auto"/>
          <w:color w:val="auto"/>
        </w:rPr>
        <w:t>Controlling Party</w:t>
      </w:r>
      <w:r>
        <w:rPr>
          <w:rFonts w:ascii="Times New Roman" w:cs="Times New Roman" w:eastAsia="Times New Roman" w:hAnsi="Times New Roman"/>
          <w:sz w:val="22"/>
          <w:szCs w:val="22"/>
          <w:color w:val="auto"/>
        </w:rPr>
        <w:t>”) shall keep the Party not controlling such action or proceeding (the “</w:t>
      </w:r>
      <w:r>
        <w:rPr>
          <w:rFonts w:ascii="Times New Roman" w:cs="Times New Roman" w:eastAsia="Times New Roman" w:hAnsi="Times New Roman"/>
          <w:sz w:val="22"/>
          <w:szCs w:val="22"/>
          <w:b w:val="1"/>
          <w:bCs w:val="1"/>
          <w:u w:val="single" w:color="auto"/>
          <w:color w:val="auto"/>
        </w:rPr>
        <w:t>Non-Controlling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 advised of the proposed litigation strategy and all material documents, communications and actions, and provide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Non-Controlling Party with an opportunity to review and comment on such material documents, communications, actions and proposed litigation strategy, which the Controlling Party must consider in good faith. If, in the reasonable judgment of the Non-Controlling Party, the proposed litigation strategy would materially adversely affect the value of the Non-Controlling Party’s Intellectual Property arising under this Agreement, or the</w:t>
      </w:r>
    </w:p>
    <w:p>
      <w:pPr>
        <w:spacing w:after="0" w:line="200" w:lineRule="exact"/>
        <w:rPr>
          <w:sz w:val="20"/>
          <w:szCs w:val="20"/>
          <w:color w:val="auto"/>
        </w:rPr>
      </w:pPr>
    </w:p>
    <w:p>
      <w:pPr>
        <w:spacing w:after="0" w:line="383"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478155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5"/>
          </w:cols>
          <w:pgMar w:left="515" w:top="1408" w:right="339" w:bottom="1440" w:gutter="0" w:footer="0" w:header="0"/>
        </w:sectPr>
      </w:pPr>
    </w:p>
    <w:bookmarkStart w:id="285" w:name="page286"/>
    <w:bookmarkEnd w:id="285"/>
    <w:p>
      <w:pPr>
        <w:ind w:left="200"/>
        <w:spacing w:after="0" w:line="258" w:lineRule="auto"/>
        <w:rPr>
          <w:sz w:val="20"/>
          <w:szCs w:val="20"/>
          <w:color w:val="auto"/>
        </w:rPr>
      </w:pPr>
      <w:r>
        <w:rPr>
          <w:rFonts w:ascii="Times New Roman" w:cs="Times New Roman" w:eastAsia="Times New Roman" w:hAnsi="Times New Roman"/>
          <w:sz w:val="22"/>
          <w:szCs w:val="22"/>
          <w:color w:val="auto"/>
        </w:rPr>
        <w:t>Non-Controlling Party’s Background IP, the Parties agree to jointly determine a litigation strategy reasonably acceptable to both Parties. [***].</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Section 11.2.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Olema Inventions</w:t>
      </w:r>
      <w:r>
        <w:rPr>
          <w:rFonts w:ascii="Times New Roman" w:cs="Times New Roman" w:eastAsia="Times New Roman" w:hAnsi="Times New Roman"/>
          <w:sz w:val="22"/>
          <w:szCs w:val="22"/>
          <w:color w:val="auto"/>
        </w:rPr>
        <w:t>. 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the Parties agree that all rights to Inventions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to the Olema Compound and any Intellectual Property rights therein are the exclusive property of Olema (“</w:t>
      </w:r>
      <w:r>
        <w:rPr>
          <w:rFonts w:ascii="Times New Roman" w:cs="Times New Roman" w:eastAsia="Times New Roman" w:hAnsi="Times New Roman"/>
          <w:sz w:val="22"/>
          <w:szCs w:val="22"/>
          <w:b w:val="1"/>
          <w:bCs w:val="1"/>
          <w:u w:val="single" w:color="auto"/>
          <w:color w:val="auto"/>
        </w:rPr>
        <w:t>Olema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Olema IP</w:t>
      </w:r>
      <w:r>
        <w:rPr>
          <w:rFonts w:ascii="Times New Roman" w:cs="Times New Roman" w:eastAsia="Times New Roman" w:hAnsi="Times New Roman"/>
          <w:sz w:val="22"/>
          <w:szCs w:val="22"/>
          <w:color w:val="auto"/>
        </w:rPr>
        <w:t>”). Olema shall be entitled to file in its own name relevant patent applications and to 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resulting Patent(s) Covering Olema Inventions. For the avoidance of doubt, any Invention generically encompassing the Olema Compound (and not any Novartis proprietary compound including the Novartis Compound) within its scope, even where the Olema Compound is not disclosed per se, is the exclusive property of Olema. Novartis hereby assigns and agrees to assign to Olema its entire right, title and interest in, to and under the Olema Inventions and any Intellectual Property Rights therein, and agrees to take all actions as may be necessary or appropriate to give effect to Olema’s sole ownership of the Olema IP, including executing and providing, and causing its Representatives to execute and provide all documents, instruments, affidavits, evidence and testimony, and to take such other actions as are reasonably necessary and requested by Olema, to effect such assignments and to perfect Olema’s ownership Olema IP.</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Section 11.3.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Novartis Inventions</w:t>
      </w:r>
      <w:r>
        <w:rPr>
          <w:rFonts w:ascii="Times New Roman" w:cs="Times New Roman" w:eastAsia="Times New Roman" w:hAnsi="Times New Roman"/>
          <w:sz w:val="22"/>
          <w:szCs w:val="22"/>
          <w:color w:val="auto"/>
        </w:rPr>
        <w:t>. 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the Parties agree that all rights to Inventions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to the Novartis Compound and any Intellectual Property rights therein are the exclusive property of Novartis (“</w:t>
      </w:r>
      <w:r>
        <w:rPr>
          <w:rFonts w:ascii="Times New Roman" w:cs="Times New Roman" w:eastAsia="Times New Roman" w:hAnsi="Times New Roman"/>
          <w:sz w:val="22"/>
          <w:szCs w:val="22"/>
          <w:b w:val="1"/>
          <w:bCs w:val="1"/>
          <w:u w:val="single" w:color="auto"/>
          <w:color w:val="auto"/>
        </w:rPr>
        <w:t>Novartis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“Novartis IP</w:t>
      </w:r>
      <w:r>
        <w:rPr>
          <w:rFonts w:ascii="Times New Roman" w:cs="Times New Roman" w:eastAsia="Times New Roman" w:hAnsi="Times New Roman"/>
          <w:sz w:val="22"/>
          <w:szCs w:val="22"/>
          <w:color w:val="auto"/>
        </w:rPr>
        <w:t>”). Novartis shall be entitled to file in its own name relevant patent applications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 the resulting Patent(s) Covering Novartis Inventions. For the avoidance of doubt, any Invention generically encompassing the Novartis Compound (and not any Olema proprietary compound including the Olema Compound) within its scope, even where the Novartis Compound is not disclosed per se, is and shall be the exclusive property of Novartis. Olema hereby assigns, and agrees to assign, to Novartis its entire right, title and interest in, to and under the Novartis Inventions and any Intellectual Property Rights therein, and agrees to take all actions as may be necessary or appropriate to give effect to Novartis’ sole ownership of Novartis IP, including executing and providing, and causing its Representatives to execute and provide all documents, instruments, affidavits, evidence and testimony, and to take such other actions as are reasonably necessary and requested by Novartis, to effect such assignments and to perfect Novartis’s ownership of the Novartis IP.</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11.4. </w:t>
      </w:r>
      <w:r>
        <w:rPr>
          <w:rFonts w:ascii="Times New Roman" w:cs="Times New Roman" w:eastAsia="Times New Roman" w:hAnsi="Times New Roman"/>
          <w:sz w:val="22"/>
          <w:szCs w:val="22"/>
          <w:u w:val="single" w:color="auto"/>
          <w:color w:val="auto"/>
        </w:rPr>
        <w:t>Mutual Freedom to Operate for Combination Inventions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11.4.1 </w:t>
      </w:r>
      <w:r>
        <w:rPr>
          <w:rFonts w:ascii="Times New Roman" w:cs="Times New Roman" w:eastAsia="Times New Roman" w:hAnsi="Times New Roman"/>
          <w:sz w:val="22"/>
          <w:szCs w:val="22"/>
          <w:color w:val="auto"/>
        </w:rPr>
        <w:t>Olema hereby grants to Novartis a non-exclusive, worldwide, royalty-free, fully paid-up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its Background IP, solely to practice the Olema Combination for the Study pursuant to this Agreement. In no event shall Novartis have the right to exploit any Olema Background IP to Develop, Manufacture or Commercialize the Olema Compound or an Olema Class Compound, either alone or as part of a combination (including the Olema Combination). The foregoing license is and shall be transferable and sublicensable solely to Novartis’ Affiliates and to Third Parties engaged in Developing, Manufacturing or Commercializing the Novartis Compound for or on behalf of Novartis or its Affiliates.</w:t>
      </w:r>
    </w:p>
    <w:p>
      <w:pPr>
        <w:spacing w:after="0" w:line="175"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11.4.2 </w:t>
      </w:r>
      <w:r>
        <w:rPr>
          <w:rFonts w:ascii="Times New Roman" w:cs="Times New Roman" w:eastAsia="Times New Roman" w:hAnsi="Times New Roman"/>
          <w:sz w:val="22"/>
          <w:szCs w:val="22"/>
          <w:color w:val="auto"/>
        </w:rPr>
        <w:t>Novartis hereby grants to Olema a non-exclusive, worldwide, royalty-free, fully paid-up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its Background IP, solely to practice the Olema Combination and the Letrozole Combination, for the Study pursuant to this Agreement. In no event shall Olema have the right to exploit any Novartis Background IP to Develop,</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6" w:name="page287"/>
    <w:bookmarkEnd w:id="286"/>
    <w:p>
      <w:pPr>
        <w:jc w:val="both"/>
        <w:ind w:left="200"/>
        <w:spacing w:after="0" w:line="239" w:lineRule="auto"/>
        <w:rPr>
          <w:sz w:val="20"/>
          <w:szCs w:val="20"/>
          <w:color w:val="auto"/>
        </w:rPr>
      </w:pPr>
      <w:r>
        <w:rPr>
          <w:rFonts w:ascii="Times New Roman" w:cs="Times New Roman" w:eastAsia="Times New Roman" w:hAnsi="Times New Roman"/>
          <w:sz w:val="22"/>
          <w:szCs w:val="22"/>
          <w:color w:val="auto"/>
        </w:rPr>
        <w:t>Manufacture or Commercialize the Novartis Compound or a Novartis Class Compound, or Letrozole or a Letrozole Class Compound, either alone or as part of a combination (including the Olema Combination and the Letrozole Combination). The foregoing license is and shall be transferable and sublicensable solely to Olema’s Affiliates and to Third Parties engaged in the performance of the Study for or on behalf of Olema.</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Section 11.5.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 Transfer of Proprietary Rights Not Specified</w:t>
      </w:r>
      <w:r>
        <w:rPr>
          <w:rFonts w:ascii="Times New Roman" w:cs="Times New Roman" w:eastAsia="Times New Roman" w:hAnsi="Times New Roman"/>
          <w:sz w:val="22"/>
          <w:szCs w:val="22"/>
          <w:color w:val="auto"/>
        </w:rPr>
        <w:t>. The Parties acknowledge and agree that neither Olema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its Affiliates nor Novartis or its Affiliates transfers to the other Party or its Affiliates by operation of this Agreement any of their patent right, copyright, trademark or other proprietary rights except as expressly set forth herein. For clarity, the terms of this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do not provide Novartis or Olema with any right, title or interest in or to, or any license under the Background IP of either Party which does not claim or Cover the Olema Combination or the Letrozole Combination, except and solely to the extent necessary for Olema and Novartis to conduct the Study.</w:t>
      </w:r>
    </w:p>
    <w:p>
      <w:pPr>
        <w:spacing w:after="0" w:line="175" w:lineRule="exact"/>
        <w:rPr>
          <w:sz w:val="20"/>
          <w:szCs w:val="20"/>
          <w:color w:val="auto"/>
        </w:rPr>
      </w:pPr>
    </w:p>
    <w:p>
      <w:pPr>
        <w:ind w:left="2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11.5.1 </w:t>
      </w:r>
      <w:r>
        <w:rPr>
          <w:rFonts w:ascii="Times New Roman" w:cs="Times New Roman" w:eastAsia="Times New Roman" w:hAnsi="Times New Roman"/>
          <w:sz w:val="22"/>
          <w:szCs w:val="22"/>
          <w:color w:val="auto"/>
        </w:rPr>
        <w:t>Notwithstanding the foregoing, the licenses granted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terminate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or termination of this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REPRINTS AND RIGHTS OF CROSS-REFERENCE.</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Consistent with applicable copyright and other laws, each Party may use, refer to, and disseminate reprints of scientific, medical and other published articles and materials from journals, conferences or symposia relating to the Study which disclose the name of the other Party, provided such use does not constitute an endorsement of any commercial product or service by the other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PRESS RELEASES AND PUBLICATIONS.</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Section 13.1.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 Public Announcements</w:t>
      </w:r>
      <w:r>
        <w:rPr>
          <w:rFonts w:ascii="Times New Roman" w:cs="Times New Roman" w:eastAsia="Times New Roman" w:hAnsi="Times New Roman"/>
          <w:sz w:val="22"/>
          <w:szCs w:val="22"/>
          <w:color w:val="auto"/>
        </w:rPr>
        <w:t>. Neither Party shall make or issue any press release or public announcement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connection with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either Party may disclose the terms of this Agreement and make any other public written disclosure regarding the existence of, or performance under, this Agreement, to the extent required, in the reasonable opinion of such Party’s legal counsel, to comply with: (a) Applicable Laws, including the rules and regulations promulgated by the United States Securities and Exchange Commission; or (b) any equivalent Governmental Authority, securities exchange or securities regulator in any country in the Territory. Prior to disclosing this Agreement or any of the terms hereof pursuant to this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the Parties shall consult with one another with respect to the timing, form, and content of such disclosure. If so requested by the other Party, the Party subject to such obligation shall use commercially reasonable efforts to obtain an order protecting to the maximum extent possible the confidentiality of such provisions of this Agreement as reasonably requested by the other Party. If the Parties are unable to agree on the form or content of any required disclosure, such disclosure shall be limited to the minimum required as reasonably determined by the disclosing Party in consultation with its legal counsel. Without limiting the foregoing, Olema shall provide Novartis with each proposed filing by Olema with the United States Securities and Exchange Commission or any equivalent Governmental Authority, securities exchange or securities regulator in any country in the Territory which discloses the existence of this Agreement or describes the terms of this Agreement (including any filings of this Agreement) at least [***] prior to submission of such filing, and shall reasonably consider and in good-faith incorporate any and all of Novartis’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22"/>
          <w:szCs w:val="22"/>
          <w:color w:val="auto"/>
        </w:rPr>
        <w:t>comments relating to such filing, including the provisions of this Agreement for which confidential treatment should be sought.</w:t>
      </w:r>
    </w:p>
    <w:p>
      <w:pPr>
        <w:spacing w:after="0" w:line="20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Section 13.2.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Registration of Clinical Trial</w:t>
      </w:r>
      <w:r>
        <w:rPr>
          <w:rFonts w:ascii="Times New Roman" w:cs="Times New Roman" w:eastAsia="Times New Roman" w:hAnsi="Times New Roman"/>
          <w:sz w:val="22"/>
          <w:szCs w:val="22"/>
          <w:color w:val="auto"/>
        </w:rPr>
        <w:t>. To the extent required by Applicable Law, Olema will register the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Clinical Trials Registry located at www.clinicaltrials.gov and www.clinicaltrialsregister.eu. Olema is committed to timely publication of the results after Study Completion, after taking appropriate action to secure intellectual property rights (if any) arising from the Study. The publication of the results of the Study will be in accordance with the Protocol. Novartis agrees not to publish any results of the Study involving the Olema Compound prior to the timely publication of such Study results by Olema. Olema agrees not to publish any results of the Study involving the Novartis Compound or the Letrozole Compound prior to the timely publication of such Study results by Novartis.</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13.3.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Review of Materials</w:t>
      </w:r>
      <w:r>
        <w:rPr>
          <w:rFonts w:ascii="Times New Roman" w:cs="Times New Roman" w:eastAsia="Times New Roman" w:hAnsi="Times New Roman"/>
          <w:sz w:val="22"/>
          <w:szCs w:val="22"/>
          <w:color w:val="auto"/>
        </w:rPr>
        <w:t>. The Parties agree that prior to submission of the results of the Study for publication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presentation or any other dissemination or public disclosure of the Study results, including oral dissemination, the publishing Party shall invite the other Party to comment on the content of the material to be published, presented, or disclosed in accordance with the following procedure, and shall obtain the non-publishing Party’s approval prior to submission for publication, presentation or other disclosure:</w:t>
      </w:r>
    </w:p>
    <w:p>
      <w:pPr>
        <w:spacing w:after="0" w:line="177" w:lineRule="exact"/>
        <w:rPr>
          <w:sz w:val="20"/>
          <w:szCs w:val="20"/>
          <w:color w:val="auto"/>
        </w:rPr>
      </w:pPr>
    </w:p>
    <w:p>
      <w:pPr>
        <w:jc w:val="both"/>
        <w:ind w:left="200"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13.3.1 </w:t>
      </w:r>
      <w:r>
        <w:rPr>
          <w:rFonts w:ascii="Times New Roman" w:cs="Times New Roman" w:eastAsia="Times New Roman" w:hAnsi="Times New Roman"/>
          <w:sz w:val="22"/>
          <w:szCs w:val="22"/>
          <w:color w:val="auto"/>
        </w:rPr>
        <w:t>The publishing Party shall provide the non-publishing Party with the opportunity to review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comment on any proposed publication at least [***] prior to its intended date of submission for publication.</w:t>
      </w:r>
    </w:p>
    <w:p>
      <w:pPr>
        <w:spacing w:after="0" w:line="150"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13.3.2 </w:t>
      </w:r>
      <w:r>
        <w:rPr>
          <w:rFonts w:ascii="Times New Roman" w:cs="Times New Roman" w:eastAsia="Times New Roman" w:hAnsi="Times New Roman"/>
          <w:sz w:val="22"/>
          <w:szCs w:val="22"/>
          <w:color w:val="auto"/>
        </w:rPr>
        <w:t>The publishing Party shall (a) consider in good faith any comments provided by the non-publishing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within [***] after the non-publishing Party’s receipt of the proposed publication, (b) comply with any requests received from the non-publishing Party within such [***] review period to remove its Confidential Information from the proposed publication, and (c) will delay submission of the proposed publication for a period up to [***] (as requested by the non-publishing Party) if the non-publishing Party reasonably requests such a delay, including for the purpose of preparing and filing a patent application.</w:t>
      </w:r>
    </w:p>
    <w:p>
      <w:pPr>
        <w:spacing w:after="0" w:line="175"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13.3.3 </w:t>
      </w:r>
      <w:r>
        <w:rPr>
          <w:rFonts w:ascii="Times New Roman" w:cs="Times New Roman" w:eastAsia="Times New Roman" w:hAnsi="Times New Roman"/>
          <w:sz w:val="22"/>
          <w:szCs w:val="22"/>
          <w:color w:val="auto"/>
        </w:rPr>
        <w:t>The publishing Party shall provide the non-publishing Party with a copy of the publication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manuscript at the time of its submission, and shall acknowledge the contributions of the non-publishing Party in all publications as scientifically appropriate.</w:t>
      </w:r>
    </w:p>
    <w:p>
      <w:pPr>
        <w:spacing w:after="0" w:line="167" w:lineRule="exact"/>
        <w:rPr>
          <w:sz w:val="20"/>
          <w:szCs w:val="20"/>
          <w:color w:val="auto"/>
        </w:rPr>
      </w:pPr>
    </w:p>
    <w:p>
      <w:pPr>
        <w:jc w:val="both"/>
        <w:ind w:left="20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13.3.4 </w:t>
      </w:r>
      <w:r>
        <w:rPr>
          <w:rFonts w:ascii="Times New Roman" w:cs="Times New Roman" w:eastAsia="Times New Roman" w:hAnsi="Times New Roman"/>
          <w:sz w:val="22"/>
          <w:szCs w:val="22"/>
          <w:color w:val="auto"/>
        </w:rPr>
        <w:t>Novartis shall have the sole right to control any statement in any publication or presentation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relating solely to the Novartis Compound or to the Letrozole Combination. Olema shall have the sole right to control any statement in any publication or presentation to the extent relating solely to the Olema Compound. Olema and Novartis shall jointly control any statement in any publication or presentation relating to the Olema Combination or relating solely to Letrozole.</w:t>
      </w:r>
    </w:p>
    <w:p>
      <w:pPr>
        <w:spacing w:after="0" w:line="17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13.4.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Each Party agrees to identify the other Party and acknowledge the other Party’s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support in any publication or other disclosure of the Study results.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REPRESENTATIONS AND WARRANTIES; DISCLAIMERS.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14.1.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General Representations</w:t>
      </w:r>
      <w:r>
        <w:rPr>
          <w:rFonts w:ascii="Times New Roman" w:cs="Times New Roman" w:eastAsia="Times New Roman" w:hAnsi="Times New Roman"/>
          <w:sz w:val="22"/>
          <w:szCs w:val="22"/>
          <w:color w:val="auto"/>
        </w:rPr>
        <w:t>. Each of Olema and Novartis represents and warrants to the other that:</w:t>
      </w:r>
    </w:p>
    <w:p>
      <w:pPr>
        <w:spacing w:after="0" w:line="206" w:lineRule="exact"/>
        <w:rPr>
          <w:sz w:val="20"/>
          <w:szCs w:val="20"/>
          <w:color w:val="auto"/>
        </w:rPr>
      </w:pPr>
    </w:p>
    <w:p>
      <w:pPr>
        <w:jc w:val="both"/>
        <w:ind w:left="2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14.1.1 </w:t>
      </w:r>
      <w:r>
        <w:rPr>
          <w:rFonts w:ascii="Times New Roman" w:cs="Times New Roman" w:eastAsia="Times New Roman" w:hAnsi="Times New Roman"/>
          <w:sz w:val="22"/>
          <w:szCs w:val="22"/>
          <w:color w:val="auto"/>
        </w:rPr>
        <w:t>it is a corporation duly organized, validly existing, and in good standing under the laws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of formation;</w:t>
      </w:r>
    </w:p>
    <w:p>
      <w:pPr>
        <w:spacing w:after="0" w:line="150"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14.1.2 </w:t>
      </w:r>
      <w:r>
        <w:rPr>
          <w:rFonts w:ascii="Times New Roman" w:cs="Times New Roman" w:eastAsia="Times New Roman" w:hAnsi="Times New Roman"/>
          <w:sz w:val="22"/>
          <w:szCs w:val="22"/>
          <w:color w:val="auto"/>
        </w:rPr>
        <w:t>it has full corporate power and authority to execute, deliver, and perform this Agreement, and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all corporate action required by law and its organizational documents to authorize the execution and delivery of this Agreement and the consummation of the transactions contemplated by this Agreement;</w:t>
      </w:r>
    </w:p>
    <w:p>
      <w:pPr>
        <w:spacing w:after="0" w:line="167" w:lineRule="exact"/>
        <w:rPr>
          <w:sz w:val="20"/>
          <w:szCs w:val="20"/>
          <w:color w:val="auto"/>
        </w:rPr>
      </w:pPr>
    </w:p>
    <w:p>
      <w:pPr>
        <w:ind w:left="1700"/>
        <w:spacing w:after="0"/>
        <w:tabs>
          <w:tab w:leader="none" w:pos="2540" w:val="left"/>
        </w:tabs>
        <w:rPr>
          <w:sz w:val="20"/>
          <w:szCs w:val="20"/>
          <w:color w:val="auto"/>
        </w:rPr>
      </w:pPr>
      <w:r>
        <w:rPr>
          <w:rFonts w:ascii="Times New Roman" w:cs="Times New Roman" w:eastAsia="Times New Roman" w:hAnsi="Times New Roman"/>
          <w:sz w:val="22"/>
          <w:szCs w:val="22"/>
          <w:b w:val="1"/>
          <w:bCs w:val="1"/>
          <w:color w:val="auto"/>
        </w:rPr>
        <w:t>14.1.3</w:t>
      </w:r>
      <w:r>
        <w:rPr>
          <w:sz w:val="20"/>
          <w:szCs w:val="20"/>
          <w:color w:val="auto"/>
        </w:rPr>
        <w:tab/>
      </w:r>
      <w:r>
        <w:rPr>
          <w:rFonts w:ascii="Times New Roman" w:cs="Times New Roman" w:eastAsia="Times New Roman" w:hAnsi="Times New Roman"/>
          <w:sz w:val="21"/>
          <w:szCs w:val="21"/>
          <w:color w:val="auto"/>
        </w:rPr>
        <w:t>this Agreement constitutes a valid and binding agreement enforceable against it in accordance with</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its terms;</w:t>
      </w:r>
    </w:p>
    <w:p>
      <w:pPr>
        <w:spacing w:after="0" w:line="178" w:lineRule="exact"/>
        <w:rPr>
          <w:sz w:val="20"/>
          <w:szCs w:val="20"/>
          <w:color w:val="auto"/>
        </w:rPr>
      </w:pPr>
    </w:p>
    <w:p>
      <w:pPr>
        <w:jc w:val="both"/>
        <w:ind w:left="2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14.1.4 </w:t>
      </w:r>
      <w:r>
        <w:rPr>
          <w:rFonts w:ascii="Times New Roman" w:cs="Times New Roman" w:eastAsia="Times New Roman" w:hAnsi="Times New Roman"/>
          <w:sz w:val="22"/>
          <w:szCs w:val="22"/>
          <w:color w:val="auto"/>
        </w:rPr>
        <w:t>all consents, approvals and authorizations from all governmental authorities or other Third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be obtained by such Party in connection with this Agreement have been obtained;</w:t>
      </w:r>
    </w:p>
    <w:p>
      <w:pPr>
        <w:spacing w:after="0" w:line="150" w:lineRule="exact"/>
        <w:rPr>
          <w:sz w:val="20"/>
          <w:szCs w:val="20"/>
          <w:color w:val="auto"/>
        </w:rPr>
      </w:pPr>
    </w:p>
    <w:p>
      <w:pPr>
        <w:jc w:val="both"/>
        <w:ind w:lef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14.1.5 </w:t>
      </w:r>
      <w:r>
        <w:rPr>
          <w:rFonts w:ascii="Times New Roman" w:cs="Times New Roman" w:eastAsia="Times New Roman" w:hAnsi="Times New Roman"/>
          <w:sz w:val="22"/>
          <w:szCs w:val="22"/>
          <w:color w:val="auto"/>
        </w:rPr>
        <w:t>the execution and delivery of this Agreement and all other instruments and documents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executed pursuant to this Agreement, and the consummation of the transactions contemplated hereby, do not and will not (i) conflict with or result in a breach of any provision of its organizational documents, (ii) conflict with or result in a breach of any agreement to which it is a party; or (iii) violate any Applicable Law; and</w:t>
      </w:r>
    </w:p>
    <w:p>
      <w:pPr>
        <w:spacing w:after="0" w:line="172" w:lineRule="exact"/>
        <w:rPr>
          <w:sz w:val="20"/>
          <w:szCs w:val="20"/>
          <w:color w:val="auto"/>
        </w:rPr>
      </w:pPr>
    </w:p>
    <w:p>
      <w:pPr>
        <w:jc w:val="both"/>
        <w:ind w:left="20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14.1.6 </w:t>
      </w:r>
      <w:r>
        <w:rPr>
          <w:rFonts w:ascii="Times New Roman" w:cs="Times New Roman" w:eastAsia="Times New Roman" w:hAnsi="Times New Roman"/>
          <w:sz w:val="22"/>
          <w:szCs w:val="22"/>
          <w:color w:val="auto"/>
        </w:rPr>
        <w:t>Olema represents and warrants to Novartis as of the Effective Date that, to the best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it is not aware of any pending or threatened litigation (and has not received any written communication) that alleges that its activities related to this Agreement have violated, or that by conducting the activities as contemplated in this Agreement it would violate, any of the intellectual property rights of any other Person (after giving effect to the license grants in this Agreement).</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14.2.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 Guaranteed Results.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Party undertakes that the Study shall lead to any particular result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both Parties agree and understand that the success of the Study is not guaranteed. Neither Party accepts any responsibility for any use of the Clinical Data by the other Party nor for advice or information given in connection therewith.</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14.3. </w:t>
      </w: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14.3.1 </w:t>
      </w:r>
      <w:r>
        <w:rPr>
          <w:rFonts w:ascii="Times New Roman" w:cs="Times New Roman" w:eastAsia="Times New Roman" w:hAnsi="Times New Roman"/>
          <w:sz w:val="22"/>
          <w:szCs w:val="22"/>
          <w:color w:val="auto"/>
        </w:rPr>
        <w:t>In performing their respective obligations hereunder, the Parties acknowledge that the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policies of Olema and Novartis and their respective Affiliates require that each Party’s business be conducted within the letter and spirit of all Applicable Law. By signing this Agreement, each Party agrees to conduct the business contemplated herein in a manner which is consistent with all Applicable Law, including the U.S. Foreign Corrupt Practices Act of 1977 (as amended, the “</w:t>
      </w:r>
      <w:r>
        <w:rPr>
          <w:rFonts w:ascii="Times New Roman" w:cs="Times New Roman" w:eastAsia="Times New Roman" w:hAnsi="Times New Roman"/>
          <w:sz w:val="22"/>
          <w:szCs w:val="22"/>
          <w:b w:val="1"/>
          <w:bCs w:val="1"/>
          <w:u w:val="single" w:color="auto"/>
          <w:color w:val="auto"/>
        </w:rPr>
        <w:t>FCPA</w:t>
      </w:r>
      <w:r>
        <w:rPr>
          <w:rFonts w:ascii="Times New Roman" w:cs="Times New Roman" w:eastAsia="Times New Roman" w:hAnsi="Times New Roman"/>
          <w:sz w:val="22"/>
          <w:szCs w:val="22"/>
          <w:color w:val="auto"/>
        </w:rPr>
        <w:t>”), the UK Bribery Act, and any laws enacted to implement the Organization of Economic Cooperation and Development Convention on Combating Bribery of Foreign Officials in International Business Transactions and good business ethics, and its ethics and other corporate policies, and to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9" w:name="page290"/>
    <w:bookmarkEnd w:id="289"/>
    <w:p>
      <w:pPr>
        <w:ind w:left="200"/>
        <w:spacing w:after="0" w:line="258" w:lineRule="auto"/>
        <w:rPr>
          <w:sz w:val="20"/>
          <w:szCs w:val="20"/>
          <w:color w:val="auto"/>
        </w:rPr>
      </w:pPr>
      <w:r>
        <w:rPr>
          <w:rFonts w:ascii="Times New Roman" w:cs="Times New Roman" w:eastAsia="Times New Roman" w:hAnsi="Times New Roman"/>
          <w:sz w:val="22"/>
          <w:szCs w:val="22"/>
          <w:color w:val="auto"/>
        </w:rPr>
        <w:t>abide by the spirit of the other Party’s applicable ethics and compliance guidelines which may be provided by such other Party from time to time.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Specifically, each Party agrees that it and its Affiliates, and its and its Affiliates’ Representatives and anyone acting on its or their behalf, in connection with the performance of this Agreement, have not made, offered, given, promised to give, authorized, ratified, offered to make or taken any action in furtherance of, and will not, directly or indirectly, make, offer, promise to give, authorize, ratify or offer to make, or take any action in furtherance of, any payment or transfer of anything of value to any person or to any Government Official to do or omit to do an act in violation of a lawful or otherwise required duty or for the purpose of securing any improper advantage or inducing the person or Government Official to improperly influence the act or decision of any organization, including any government or government instrumentality, to assist Novartis or Olema in obtaining or retaining business.</w:t>
      </w:r>
    </w:p>
    <w:p>
      <w:pPr>
        <w:spacing w:after="0" w:line="174" w:lineRule="exact"/>
        <w:rPr>
          <w:sz w:val="20"/>
          <w:szCs w:val="20"/>
          <w:color w:val="auto"/>
        </w:rPr>
      </w:pPr>
    </w:p>
    <w:p>
      <w:pPr>
        <w:jc w:val="both"/>
        <w:ind w:lef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14.3.2 </w:t>
      </w:r>
      <w:r>
        <w:rPr>
          <w:rFonts w:ascii="Times New Roman" w:cs="Times New Roman" w:eastAsia="Times New Roman" w:hAnsi="Times New Roman"/>
          <w:sz w:val="22"/>
          <w:szCs w:val="22"/>
          <w:color w:val="auto"/>
        </w:rPr>
        <w:t>Each Party shall not contact, or otherwise knowingly meet with, any Government Official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 of discussing activities arising out of or in connection with this Agreement, without the prior written approval of the other Party, except where such meeting is compliant with the purpose and terms of this Agreement and in compliance with Applicable Law.</w:t>
      </w:r>
    </w:p>
    <w:p>
      <w:pPr>
        <w:spacing w:after="0" w:line="172" w:lineRule="exact"/>
        <w:rPr>
          <w:sz w:val="20"/>
          <w:szCs w:val="20"/>
          <w:color w:val="auto"/>
        </w:rPr>
      </w:pPr>
    </w:p>
    <w:p>
      <w:pPr>
        <w:jc w:val="both"/>
        <w:ind w:left="200" w:firstLine="149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14.3.3 </w:t>
      </w:r>
      <w:r>
        <w:rPr>
          <w:rFonts w:ascii="Times New Roman" w:cs="Times New Roman" w:eastAsia="Times New Roman" w:hAnsi="Times New Roman"/>
          <w:sz w:val="22"/>
          <w:szCs w:val="22"/>
          <w:color w:val="auto"/>
        </w:rPr>
        <w:t>Each Party represents that: (i) it has no impediment to enter into the transaction contemplated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(ii) it (or, to the knowledge of such Party, any individual engaged by a Party) is not excluded, disqualified, debarred, or suspended for conducting clinical trials, proposed for suspension or debarment, or otherwise ineligible for government programs or convicted of a criminal offense related to the provision of healthcare items or services; (iii) no individual involved in the Study or, to the knowledge of such Party, engaged by a Party has been debarred under Subsection (a) or (b) of Section 306 of the Federal Food, Drug and Cosmetic Act (21 U.S.C. 335a) and no person on any of the FDA clinical investigator enforcement lists (including the (1) Disqualified/Totally Restricted List, (2) Restricted List and (3) Adequate Assurances List) is involved in the Study or any other activity with respect to a Compound, (iv) to the best of its knowledge, is not under investigation by a Regulatory Authority nor is there any basis for any investigation for either (ii) or (iii) and (v) will provide timely notice if any of (i) through (iv) occur;</w:t>
      </w:r>
    </w:p>
    <w:p>
      <w:pPr>
        <w:spacing w:after="0" w:line="179" w:lineRule="exact"/>
        <w:rPr>
          <w:sz w:val="20"/>
          <w:szCs w:val="20"/>
          <w:color w:val="auto"/>
        </w:rPr>
      </w:pPr>
    </w:p>
    <w:p>
      <w:pPr>
        <w:jc w:val="both"/>
        <w:ind w:left="200"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14.3.4 </w:t>
      </w:r>
      <w:r>
        <w:rPr>
          <w:rFonts w:ascii="Times New Roman" w:cs="Times New Roman" w:eastAsia="Times New Roman" w:hAnsi="Times New Roman"/>
          <w:sz w:val="22"/>
          <w:szCs w:val="22"/>
          <w:color w:val="auto"/>
        </w:rPr>
        <w:t>Each Party represents and warrants that except as disclosed to the other in writing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commencement of this Agreement: (i) it does not have any interest which directly or indirectly conflicts with its proper and ethical performance of this Agreement; (ii) it shall maintain arm’s length relations with all Third Parties with which it deals for or on behalf of the other in performance of this Agreement; and (iii) it has provided complete and accurate information to the other Party in the course of negotiating this Agreement, including disclosure of any Representatives, owners or persons directly or indirectly retained by such Party, if any, in relation to the performance of this Agreement who are Government Officials or relatives of Government Officials. Each Party shall make all further disclosures as necessary to the other Party to ensure the information provided remains complete and accurate throughout the term of this Agreement. Subject to the foregoing, each Party agrees that it shall not hire or retain any Government Official to assist in its performance of this Agreement, with the sole exception of conduct of or participation in clinical trials under this Agreement, provided that such hiring or retention shall be subject to the completion by the hiring or retaining Party of a satisfactory anti-corruption and bribery (e.g., FCPA) due diligence review of such Government Official. Each Party further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0" w:name="page291"/>
    <w:bookmarkEnd w:id="290"/>
    <w:p>
      <w:pPr>
        <w:jc w:val="both"/>
        <w:ind w:left="200"/>
        <w:spacing w:after="0" w:line="258" w:lineRule="auto"/>
        <w:rPr>
          <w:sz w:val="20"/>
          <w:szCs w:val="20"/>
          <w:color w:val="auto"/>
        </w:rPr>
      </w:pPr>
      <w:r>
        <w:rPr>
          <w:rFonts w:ascii="Times New Roman" w:cs="Times New Roman" w:eastAsia="Times New Roman" w:hAnsi="Times New Roman"/>
          <w:sz w:val="22"/>
          <w:szCs w:val="22"/>
          <w:color w:val="auto"/>
        </w:rPr>
        <w:t>covenants that any future information and documentation submitted to the other Party as part of further due diligence or a certification shall be complete and accurate.</w:t>
      </w:r>
    </w:p>
    <w:p>
      <w:pPr>
        <w:spacing w:after="0" w:line="154" w:lineRule="exact"/>
        <w:rPr>
          <w:sz w:val="20"/>
          <w:szCs w:val="20"/>
          <w:color w:val="auto"/>
        </w:rPr>
      </w:pPr>
    </w:p>
    <w:p>
      <w:pPr>
        <w:jc w:val="both"/>
        <w:ind w:left="20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14.3.5 </w:t>
      </w:r>
      <w:r>
        <w:rPr>
          <w:rFonts w:ascii="Times New Roman" w:cs="Times New Roman" w:eastAsia="Times New Roman" w:hAnsi="Times New Roman"/>
          <w:sz w:val="22"/>
          <w:szCs w:val="22"/>
          <w:color w:val="auto"/>
        </w:rPr>
        <w:t>Each Party shall ensure that all transactions under the Agreement are properly and accurately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recorded in all material respects on its books and records and that each document upon which entries in such books and records are based is complete and accurate in all material respects. Each Party further represents, warrants and covenants that all books, records, invoices and other documents relating to payments and expenses under this Agreement are and shall be complete and accurate and reflect in reasonable detail the character and amount of transactions and expenditures. Each Party must maintain a system of internal accounting controls reasonably designed to ensure that no off-the-books or similar funds or accounts will be maintained or used in connection with this Agreement.</w:t>
      </w:r>
    </w:p>
    <w:p>
      <w:pPr>
        <w:spacing w:after="0" w:line="176" w:lineRule="exact"/>
        <w:rPr>
          <w:sz w:val="20"/>
          <w:szCs w:val="20"/>
          <w:color w:val="auto"/>
        </w:rPr>
      </w:pPr>
    </w:p>
    <w:p>
      <w:pPr>
        <w:jc w:val="both"/>
        <w:ind w:lef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14.3.6 </w:t>
      </w:r>
      <w:r>
        <w:rPr>
          <w:rFonts w:ascii="Times New Roman" w:cs="Times New Roman" w:eastAsia="Times New Roman" w:hAnsi="Times New Roman"/>
          <w:sz w:val="22"/>
          <w:szCs w:val="22"/>
          <w:color w:val="auto"/>
        </w:rPr>
        <w:t>Each Party agrees that if the other Party believes in good faith that there has been a possible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violation of any provision of this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such other Party may make full disclosure of such belief and related information needed to support such belief at any time and for any reason to any competent government bodies and its agencies, and to whoever such Party determines in good faith has a legitimate need to know.</w:t>
      </w:r>
    </w:p>
    <w:p>
      <w:pPr>
        <w:spacing w:after="0" w:line="172" w:lineRule="exact"/>
        <w:rPr>
          <w:sz w:val="20"/>
          <w:szCs w:val="20"/>
          <w:color w:val="auto"/>
        </w:rPr>
      </w:pPr>
    </w:p>
    <w:p>
      <w:pPr>
        <w:jc w:val="both"/>
        <w:ind w:left="2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14.3.7 </w:t>
      </w:r>
      <w:r>
        <w:rPr>
          <w:rFonts w:ascii="Times New Roman" w:cs="Times New Roman" w:eastAsia="Times New Roman" w:hAnsi="Times New Roman"/>
          <w:sz w:val="22"/>
          <w:szCs w:val="22"/>
          <w:color w:val="auto"/>
        </w:rPr>
        <w:t>Each Party agrees to ensure that all Representatives performing its obligations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provided ethics and compliance training in accordance with such Party’s corporate policies and procedures.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14.4.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14.4.1 </w:t>
      </w:r>
      <w:r>
        <w:rPr>
          <w:rFonts w:ascii="Times New Roman" w:cs="Times New Roman" w:eastAsia="Times New Roman" w:hAnsi="Times New Roman"/>
          <w:sz w:val="22"/>
          <w:szCs w:val="22"/>
          <w:u w:val="single" w:color="auto"/>
          <w:color w:val="auto"/>
        </w:rPr>
        <w:t>Compliance with Party Specific Regulations</w:t>
      </w:r>
      <w:r>
        <w:rPr>
          <w:rFonts w:ascii="Times New Roman" w:cs="Times New Roman" w:eastAsia="Times New Roman" w:hAnsi="Times New Roman"/>
          <w:sz w:val="22"/>
          <w:szCs w:val="22"/>
          <w:color w:val="auto"/>
        </w:rPr>
        <w:t>. The Parties agree to cooperate with each other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be required to ensure that each is able to fully meet its obligations with respect to the Party Specific Regulations applicable to it. Neither Party shall be obligated to pursue any course of conduct that would result in such Party being in material breach of any Party Specific Regulation applicable to it. All Party Specific Regulations are binding only in accordance with their terms and only upon the Party to which they relate.</w:t>
      </w:r>
    </w:p>
    <w:p>
      <w:pPr>
        <w:spacing w:after="0" w:line="177" w:lineRule="exact"/>
        <w:rPr>
          <w:sz w:val="20"/>
          <w:szCs w:val="20"/>
          <w:color w:val="auto"/>
        </w:rPr>
      </w:pPr>
    </w:p>
    <w:p>
      <w:pPr>
        <w:jc w:val="both"/>
        <w:ind w:left="200"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14.4.2 </w:t>
      </w:r>
      <w:r>
        <w:rPr>
          <w:rFonts w:ascii="Times New Roman" w:cs="Times New Roman" w:eastAsia="Times New Roman" w:hAnsi="Times New Roman"/>
          <w:sz w:val="22"/>
          <w:szCs w:val="22"/>
          <w:u w:val="single" w:color="auto"/>
          <w:color w:val="auto"/>
        </w:rPr>
        <w:t>Compliance with Internal Compliance Codes</w:t>
      </w:r>
      <w:r>
        <w:rPr>
          <w:rFonts w:ascii="Times New Roman" w:cs="Times New Roman" w:eastAsia="Times New Roman" w:hAnsi="Times New Roman"/>
          <w:sz w:val="22"/>
          <w:szCs w:val="22"/>
          <w:color w:val="auto"/>
        </w:rPr>
        <w:t>. All Internal Compliance Codes shall apply only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Party to which they relate. The Parties agree to cooperate with each other to ensure that each Party can comply with the substance of its respective Internal Compliance Codes and, to the extent practicable, to operate in a manner consistent with its usual compliance related processes. “</w:t>
      </w:r>
      <w:r>
        <w:rPr>
          <w:rFonts w:ascii="Times New Roman" w:cs="Times New Roman" w:eastAsia="Times New Roman" w:hAnsi="Times New Roman"/>
          <w:sz w:val="22"/>
          <w:szCs w:val="22"/>
          <w:b w:val="1"/>
          <w:bCs w:val="1"/>
          <w:u w:val="single" w:color="auto"/>
          <w:color w:val="auto"/>
        </w:rPr>
        <w:t>Internal Compliance Codes</w:t>
      </w:r>
      <w:r>
        <w:rPr>
          <w:rFonts w:ascii="Times New Roman" w:cs="Times New Roman" w:eastAsia="Times New Roman" w:hAnsi="Times New Roman"/>
          <w:sz w:val="22"/>
          <w:szCs w:val="22"/>
          <w:color w:val="auto"/>
        </w:rPr>
        <w:t>” means a Party’s internal policies and procedures intended to ensure that a Party complies with Applicable Laws, Party Specific Regulations, and such Party’s internal ethical, medical and similar standards. “</w:t>
      </w:r>
      <w:r>
        <w:rPr>
          <w:rFonts w:ascii="Times New Roman" w:cs="Times New Roman" w:eastAsia="Times New Roman" w:hAnsi="Times New Roman"/>
          <w:sz w:val="22"/>
          <w:szCs w:val="22"/>
          <w:b w:val="1"/>
          <w:bCs w:val="1"/>
          <w:u w:val="single" w:color="auto"/>
          <w:color w:val="auto"/>
        </w:rPr>
        <w:t>Party Specific Regulations</w:t>
      </w:r>
      <w:r>
        <w:rPr>
          <w:rFonts w:ascii="Times New Roman" w:cs="Times New Roman" w:eastAsia="Times New Roman" w:hAnsi="Times New Roman"/>
          <w:sz w:val="22"/>
          <w:szCs w:val="22"/>
          <w:color w:val="auto"/>
        </w:rPr>
        <w:t>” means all judgments, decrees, orders or similar decisions issued by 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pursuant to this Agreement.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Section 14.5.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 OTHER REPRESENTATIONS AND WARRANTIES</w:t>
      </w:r>
      <w:r>
        <w:rPr>
          <w:rFonts w:ascii="Times New Roman" w:cs="Times New Roman" w:eastAsia="Times New Roman" w:hAnsi="Times New Roman"/>
          <w:sz w:val="22"/>
          <w:szCs w:val="22"/>
          <w:color w:val="auto"/>
        </w:rPr>
        <w:t>. EXCEPT AS EXPRESSLY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 NOVARTIS MAKES NO WARRANTIES, EXPRESS OR IMPLIED, INCLUDING ANY WARRANTY OF MERCHANTABILITY OR FITNESS FOR A PARTICULAR PURPOSE, WITH RESPECT TO THE NOVARTIS COMPOUND, LETROZOLE OR THE STUDY; AND (B) OLEMA MAKES NO</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1" w:name="page292"/>
    <w:bookmarkEnd w:id="29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WARRANTIES, EXPRESS OR IMPLIED, INCLUDING ANY WARRANTY OF MERCHANTABILITY OR FITNESS FOR A PARTICULAR PURPOSE, WITH RESPECT TO THE OLEMA COMPOUND, LETROZOLE OR THE STUDY.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INSURANCE; INDEMNIFICATION; LIMITATION OF LIABILITY.</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15.1.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Each Party warrants that it maintains a policy or program of insurance or self-insurance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levels sufficient to support the indemnification obligations assumed herein with carriers that are financially stable and reputable. Upon written request, a Party shall provide evidence of such insurance. In addition, Olema, as sponsor of the Study, shall secure and maintain the necessary clinical trial insurance, as required by Applicable Law, for the Study to be conducted under this Agreement.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 xml:space="preserve">Section 15.2. </w:t>
      </w:r>
      <w:r>
        <w:rPr>
          <w:rFonts w:ascii="Times New Roman" w:cs="Times New Roman" w:eastAsia="Times New Roman" w:hAnsi="Times New Roman"/>
          <w:sz w:val="22"/>
          <w:szCs w:val="22"/>
          <w:u w:val="single" w:color="auto"/>
          <w:color w:val="auto"/>
        </w:rPr>
        <w:t>Indemnification.</w:t>
      </w:r>
    </w:p>
    <w:p>
      <w:pPr>
        <w:spacing w:after="0" w:line="206" w:lineRule="exact"/>
        <w:rPr>
          <w:sz w:val="20"/>
          <w:szCs w:val="20"/>
          <w:color w:val="auto"/>
        </w:rPr>
      </w:pPr>
    </w:p>
    <w:p>
      <w:pPr>
        <w:jc w:val="both"/>
        <w:ind w:left="200"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15.2.1 </w:t>
      </w:r>
      <w:r>
        <w:rPr>
          <w:rFonts w:ascii="Times New Roman" w:cs="Times New Roman" w:eastAsia="Times New Roman" w:hAnsi="Times New Roman"/>
          <w:sz w:val="22"/>
          <w:szCs w:val="22"/>
          <w:u w:val="single" w:color="auto"/>
          <w:color w:val="auto"/>
        </w:rPr>
        <w:t>Indemnification by Olema</w:t>
      </w:r>
      <w:r>
        <w:rPr>
          <w:rFonts w:ascii="Times New Roman" w:cs="Times New Roman" w:eastAsia="Times New Roman" w:hAnsi="Times New Roman"/>
          <w:sz w:val="22"/>
          <w:szCs w:val="22"/>
          <w:color w:val="auto"/>
        </w:rPr>
        <w:t>. Olema agrees to defend, indemnify and hold harmless Novartis,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and its and their Representatives from and against any loss, damage, reasonable costs and expenses (including reasonable attorneys’ fees and expenses) incurred in connection with any claim, proceeding, or investigation by a Third Party arising out of this Agreement or the Study (a “</w:t>
      </w:r>
      <w:r>
        <w:rPr>
          <w:rFonts w:ascii="Times New Roman" w:cs="Times New Roman" w:eastAsia="Times New Roman" w:hAnsi="Times New Roman"/>
          <w:sz w:val="22"/>
          <w:szCs w:val="22"/>
          <w:b w:val="1"/>
          <w:bCs w:val="1"/>
          <w:u w:val="single" w:color="auto"/>
          <w:color w:val="auto"/>
        </w:rPr>
        <w:t>Liability</w:t>
      </w:r>
      <w:r>
        <w:rPr>
          <w:rFonts w:ascii="Times New Roman" w:cs="Times New Roman" w:eastAsia="Times New Roman" w:hAnsi="Times New Roman"/>
          <w:sz w:val="22"/>
          <w:szCs w:val="22"/>
          <w:color w:val="auto"/>
        </w:rPr>
        <w:t>”), except to the extent that such Liability (A) was directly caused by (i) negligence or willful misconduct on the part of Novartis (or any of its Affiliates, or its and their Representatives); (ii) a breach on the part of Novartis of any of its representations and warranties or any other covenants or obligations of Novartis under this Agreement; or (iii) a breach of Applicable Law by Novartis; or (B) is determined to be attributable to a Non-Conformance of the Novartis Compound at the time of Delivery.</w:t>
      </w:r>
    </w:p>
    <w:p>
      <w:pPr>
        <w:spacing w:after="0" w:line="178" w:lineRule="exact"/>
        <w:rPr>
          <w:sz w:val="20"/>
          <w:szCs w:val="20"/>
          <w:color w:val="auto"/>
        </w:rPr>
      </w:pPr>
    </w:p>
    <w:p>
      <w:pPr>
        <w:jc w:val="both"/>
        <w:ind w:left="20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15.2.2 </w:t>
      </w:r>
      <w:r>
        <w:rPr>
          <w:rFonts w:ascii="Times New Roman" w:cs="Times New Roman" w:eastAsia="Times New Roman" w:hAnsi="Times New Roman"/>
          <w:sz w:val="22"/>
          <w:szCs w:val="22"/>
          <w:u w:val="single" w:color="auto"/>
          <w:color w:val="auto"/>
        </w:rPr>
        <w:t>Indemnification by Novartis</w:t>
      </w:r>
      <w:r>
        <w:rPr>
          <w:rFonts w:ascii="Times New Roman" w:cs="Times New Roman" w:eastAsia="Times New Roman" w:hAnsi="Times New Roman"/>
          <w:sz w:val="22"/>
          <w:szCs w:val="22"/>
          <w:color w:val="auto"/>
        </w:rPr>
        <w:t>. Novartis agrees to defend, indemnify and hold harmless Olema,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and its and their Representatives from and against any Liability to the extent that such Liability (A) was directly caused by (i) negligence or willful misconduct on the part of Novartis (or any of its Affiliates, or its and their employees, directors, subcontractors or agents); (ii) a breach on the part of Novartis of any of its representations and warranties or any other covenants or obligations of Novartis under this Agreement; or (iii) a breach of Applicable Law by Novartis; or (B) is determined to be attributable to a Non-Conformance of the Novartis Compound at the time of Delivery.</w:t>
      </w:r>
    </w:p>
    <w:p>
      <w:pPr>
        <w:spacing w:after="0" w:line="175" w:lineRule="exact"/>
        <w:rPr>
          <w:sz w:val="20"/>
          <w:szCs w:val="20"/>
          <w:color w:val="auto"/>
        </w:rPr>
      </w:pPr>
    </w:p>
    <w:p>
      <w:pPr>
        <w:jc w:val="both"/>
        <w:ind w:left="200" w:firstLine="149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15.2.3 </w:t>
      </w: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The obligations of Novartis and Olema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15.2.3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conditioned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delivery of written notice to Novartis or Olema, as the case may be, of any potential Liability within a reasonable time after a Party becomes aware of such potential Liability. The indemnifying Party’s obligation to defend, indemnify and hold harmless the indemnified Party will be reduced to the extent any delay by the indemnified Party results in actual prejudice to the indemnifying Party. A Party will have the right to assume the defense of any suit or claim related to the Liability (using counsel reasonably satisfactory to the other Party) if it has assumed responsibility for the suit or claim in writing. The other Party may participate in (but not control) the defense thereof at its sole cost and expense. The Party controlling such defense (the “</w:t>
      </w:r>
      <w:r>
        <w:rPr>
          <w:rFonts w:ascii="Times New Roman" w:cs="Times New Roman" w:eastAsia="Times New Roman" w:hAnsi="Times New Roman"/>
          <w:sz w:val="22"/>
          <w:szCs w:val="22"/>
          <w:b w:val="1"/>
          <w:bCs w:val="1"/>
          <w:u w:val="single" w:color="auto"/>
          <w:color w:val="auto"/>
        </w:rPr>
        <w:t>Defending Party</w:t>
      </w:r>
      <w:r>
        <w:rPr>
          <w:rFonts w:ascii="Times New Roman" w:cs="Times New Roman" w:eastAsia="Times New Roman" w:hAnsi="Times New Roman"/>
          <w:sz w:val="22"/>
          <w:szCs w:val="22"/>
          <w:color w:val="auto"/>
        </w:rPr>
        <w:t>”) shall keep the other Party (the “</w:t>
      </w:r>
      <w:r>
        <w:rPr>
          <w:rFonts w:ascii="Times New Roman" w:cs="Times New Roman" w:eastAsia="Times New Roman" w:hAnsi="Times New Roman"/>
          <w:sz w:val="22"/>
          <w:szCs w:val="22"/>
          <w:b w:val="1"/>
          <w:bCs w:val="1"/>
          <w:u w:val="single" w:color="auto"/>
          <w:color w:val="auto"/>
        </w:rPr>
        <w:t>Other Party</w:t>
      </w:r>
      <w:r>
        <w:rPr>
          <w:rFonts w:ascii="Times New Roman" w:cs="Times New Roman" w:eastAsia="Times New Roman" w:hAnsi="Times New Roman"/>
          <w:sz w:val="22"/>
          <w:szCs w:val="22"/>
          <w:color w:val="auto"/>
        </w:rPr>
        <w:t>”) advised of the status of such action, suit, proceeding or claim and the defense thereof and shall consider recommendations made by the Other Party with respect thereto. The Defending Party shall not agree to any settlement of such action, suit, proceeding or claim without the prior written consent of the Other Party, which shall not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2" w:name="page293"/>
    <w:bookmarkEnd w:id="292"/>
    <w:p>
      <w:pPr>
        <w:jc w:val="both"/>
        <w:ind w:left="200" w:right="20"/>
        <w:spacing w:after="0" w:line="239" w:lineRule="auto"/>
        <w:rPr>
          <w:sz w:val="20"/>
          <w:szCs w:val="20"/>
          <w:color w:val="auto"/>
        </w:rPr>
      </w:pPr>
      <w:r>
        <w:rPr>
          <w:rFonts w:ascii="Times New Roman" w:cs="Times New Roman" w:eastAsia="Times New Roman" w:hAnsi="Times New Roman"/>
          <w:sz w:val="22"/>
          <w:szCs w:val="22"/>
          <w:color w:val="auto"/>
        </w:rPr>
        <w:t>be unreasonably withheld. The Defending Party shall not agree to any settlement of such action, suit, proceeding or claim or consent to any judgment in respect thereof that does not include a complete and unconditional release of the Other Party from all liability with respect thereto or that imposes any liability or obligation on the Other Party without the prior written consent of the Other Party.</w:t>
      </w:r>
    </w:p>
    <w:p>
      <w:pPr>
        <w:spacing w:after="0" w:line="176" w:lineRule="exact"/>
        <w:rPr>
          <w:sz w:val="20"/>
          <w:szCs w:val="20"/>
          <w:color w:val="auto"/>
        </w:rPr>
      </w:pPr>
    </w:p>
    <w:p>
      <w:pPr>
        <w:ind w:left="760"/>
        <w:spacing w:after="0"/>
        <w:tabs>
          <w:tab w:leader="none" w:pos="2120" w:val="left"/>
          <w:tab w:leader="none" w:pos="3700" w:val="left"/>
        </w:tabs>
        <w:rPr>
          <w:sz w:val="20"/>
          <w:szCs w:val="20"/>
          <w:color w:val="auto"/>
        </w:rPr>
      </w:pPr>
      <w:r>
        <w:rPr>
          <w:rFonts w:ascii="Times New Roman" w:cs="Times New Roman" w:eastAsia="Times New Roman" w:hAnsi="Times New Roman"/>
          <w:sz w:val="22"/>
          <w:szCs w:val="22"/>
          <w:b w:val="1"/>
          <w:bCs w:val="1"/>
          <w:u w:val="single" w:color="auto"/>
          <w:color w:val="auto"/>
        </w:rPr>
        <w:t>Section 15.3.</w:t>
      </w:r>
      <w:r>
        <w:rPr>
          <w:sz w:val="20"/>
          <w:szCs w:val="20"/>
          <w:color w:val="auto"/>
        </w:rPr>
        <w:tab/>
      </w:r>
      <w:r>
        <w:rPr>
          <w:rFonts w:ascii="Times New Roman" w:cs="Times New Roman" w:eastAsia="Times New Roman" w:hAnsi="Times New Roman"/>
          <w:sz w:val="22"/>
          <w:szCs w:val="22"/>
          <w:u w:val="single" w:color="auto"/>
          <w:color w:val="auto"/>
        </w:rPr>
        <w:t>Study Subjects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Olema and its Affiliates shall not offer compensation on behalf of Novartis or 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Affiliates to any Study subject, or bind Novartis or its Affiliates to any indemnification obligations in favor of any Study subject.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Likewise, Novartis and its Affiliates shall not offer compensation on behalf of Olema or its Affiliates to any Study subject or bind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Olema or its Affiliates to any indemnification obligations in favor of any Study subject.</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Section 15.4.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FOR DAMAGES AVAILABLE FOR BREACH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CONFIDENTIALITY OR NON-USE OBLIGATIONS IN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NEITHER PARTY SHALL BE LIABLE TO THE OTHER PARTY FOR INDIRECT, INCIDENTAL, CONSEQUENTIAL OR SPECIAL DAMAGES, INCLUDING LOST PROFITS, ARISING FROM OR RELATING TO THIS AGREEMENT OR SUCH PARTY’S PERFORMANCE HEREUNDER, REGARDLESS OF ANY NOTICE OF THE POSSIBILITY OF SUCH DAMAGES AND REGARDLESS OF THE CAUSE OF ACTION (WHETHER IN CONTRACT, TORT, BREACH OF WARRANTY OR OTHERWISE). NOTWITHSTANDING THE FOREGOING, THE LIMITATIONS OF LIABILITY SET FORTH IN THIS SECTION SHALL NOT APPLY TO OR SERVE TO LIMIT THE OBLIGATIONS OR LIABILITY OF EITHER PARTY OR ITS INSURER, AFFILIATE(S) OR REPRESENTATIVES PROVIDED FOR, IMPOSED BY, OR ARISING OUT OF BREACHES OF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(CONFIDENTIALITY) OR SECTION 15.2 (INDEMNIFICATION).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DATA PRIVACY</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16.1.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the terms “</w:t>
      </w:r>
      <w:r>
        <w:rPr>
          <w:rFonts w:ascii="Times New Roman" w:cs="Times New Roman" w:eastAsia="Times New Roman" w:hAnsi="Times New Roman"/>
          <w:sz w:val="22"/>
          <w:szCs w:val="22"/>
          <w:b w:val="1"/>
          <w:bCs w:val="1"/>
          <w:u w:val="single" w:color="auto"/>
          <w:color w:val="auto"/>
        </w:rPr>
        <w:t>joint-controller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controller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processor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data subject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processing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process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special categories of personal data</w:t>
      </w:r>
      <w:r>
        <w:rPr>
          <w:rFonts w:ascii="Times New Roman" w:cs="Times New Roman" w:eastAsia="Times New Roman" w:hAnsi="Times New Roman"/>
          <w:sz w:val="22"/>
          <w:szCs w:val="22"/>
          <w:color w:val="auto"/>
        </w:rPr>
        <w:t>” have the meanings given in EU Data Protection Law.</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16.2.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Disclosure of Data</w:t>
      </w:r>
      <w:r>
        <w:rPr>
          <w:rFonts w:ascii="Times New Roman" w:cs="Times New Roman" w:eastAsia="Times New Roman" w:hAnsi="Times New Roman"/>
          <w:sz w:val="22"/>
          <w:szCs w:val="22"/>
          <w:color w:val="auto"/>
        </w:rPr>
        <w:t>. Olema will disclose the personal data described in this Agreement to Novartis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process strictly for the purposes described in this Agreement (or as otherwise agreed in writing by the Parties) (the “</w:t>
      </w:r>
      <w:r>
        <w:rPr>
          <w:rFonts w:ascii="Times New Roman" w:cs="Times New Roman" w:eastAsia="Times New Roman" w:hAnsi="Times New Roman"/>
          <w:sz w:val="22"/>
          <w:szCs w:val="22"/>
          <w:b w:val="1"/>
          <w:bCs w:val="1"/>
          <w:u w:val="single" w:color="auto"/>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16.3.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Controller</w:t>
      </w:r>
      <w:r>
        <w:rPr>
          <w:rFonts w:ascii="Times New Roman" w:cs="Times New Roman" w:eastAsia="Times New Roman" w:hAnsi="Times New Roman"/>
          <w:sz w:val="22"/>
          <w:szCs w:val="22"/>
          <w:color w:val="auto"/>
        </w:rPr>
        <w:t>. The Parties acknowledge that Olema is a controller of the Personal Data it discloses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Novartis, and that Novartis will process the Personal Data as a separate and independent controller strictly for the Permitted Purpose. In no event will the Parties process the Personal Data as joint controllers.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16.4.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Each Party shall be individually and separately responsible for complying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obligations that apply to it as a controller under EU Data Protection Law. In particular:</w:t>
      </w:r>
    </w:p>
    <w:p>
      <w:pPr>
        <w:spacing w:after="0" w:line="150"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16.4.1 </w:t>
      </w:r>
      <w:r>
        <w:rPr>
          <w:rFonts w:ascii="Times New Roman" w:cs="Times New Roman" w:eastAsia="Times New Roman" w:hAnsi="Times New Roman"/>
          <w:sz w:val="22"/>
          <w:szCs w:val="22"/>
          <w:color w:val="auto"/>
        </w:rPr>
        <w:t>Olema shall be responsible for complying with all necessary transparency and lawfulness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under Data Protection Law in order to disclose the Personal Data to Novartis to process for the Permitted Purpose;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3" w:name="page294"/>
    <w:bookmarkEnd w:id="293"/>
    <w:p>
      <w:pPr>
        <w:jc w:val="both"/>
        <w:ind w:left="2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16.4.2 </w:t>
      </w:r>
      <w:r>
        <w:rPr>
          <w:rFonts w:ascii="Times New Roman" w:cs="Times New Roman" w:eastAsia="Times New Roman" w:hAnsi="Times New Roman"/>
          <w:sz w:val="22"/>
          <w:szCs w:val="22"/>
          <w:color w:val="auto"/>
        </w:rPr>
        <w:t>Novartis shall be separately and independently responsible for complying with Data Protection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respect of its processing of Personal Data it receives from Olema.</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Section 16.5.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Unless and until the Parties have executed a Data Sharing Agreement, Olema shall:</w:t>
      </w:r>
    </w:p>
    <w:p>
      <w:pPr>
        <w:spacing w:after="0" w:line="206" w:lineRule="exact"/>
        <w:rPr>
          <w:sz w:val="20"/>
          <w:szCs w:val="20"/>
          <w:color w:val="auto"/>
        </w:rPr>
      </w:pPr>
    </w:p>
    <w:p>
      <w:pPr>
        <w:jc w:val="both"/>
        <w:ind w:left="200"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16.5.1 </w:t>
      </w:r>
      <w:r>
        <w:rPr>
          <w:rFonts w:ascii="Times New Roman" w:cs="Times New Roman" w:eastAsia="Times New Roman" w:hAnsi="Times New Roman"/>
          <w:sz w:val="22"/>
          <w:szCs w:val="22"/>
          <w:color w:val="auto"/>
        </w:rPr>
        <w:t>not provide to Novartis any Personal Data in connection with the Study, including any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relates to an identified or identifiable person;</w:t>
      </w:r>
    </w:p>
    <w:p>
      <w:pPr>
        <w:spacing w:after="0" w:line="150" w:lineRule="exact"/>
        <w:rPr>
          <w:sz w:val="20"/>
          <w:szCs w:val="20"/>
          <w:color w:val="auto"/>
        </w:rPr>
      </w:pPr>
    </w:p>
    <w:p>
      <w:pPr>
        <w:jc w:val="both"/>
        <w:ind w:lef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16.5.2 </w:t>
      </w:r>
      <w:r>
        <w:rPr>
          <w:rFonts w:ascii="Times New Roman" w:cs="Times New Roman" w:eastAsia="Times New Roman" w:hAnsi="Times New Roman"/>
          <w:sz w:val="22"/>
          <w:szCs w:val="22"/>
          <w:color w:val="auto"/>
        </w:rPr>
        <w:t>only provide to Novartis analyses of Clinical Data in an anonymized form according to the highest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anonymization standards and techniques to prevent re-identification of Personal Data and provide details of the anonymization process to Novartis whenever requested, i.e. having removed all patient identifiers that might have facilitated the tracing or tracking of such data back to an individual patient; and</w:t>
      </w:r>
    </w:p>
    <w:p>
      <w:pPr>
        <w:spacing w:after="0" w:line="172"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16.5.3 </w:t>
      </w:r>
      <w:r>
        <w:rPr>
          <w:rFonts w:ascii="Times New Roman" w:cs="Times New Roman" w:eastAsia="Times New Roman" w:hAnsi="Times New Roman"/>
          <w:sz w:val="22"/>
          <w:szCs w:val="22"/>
          <w:color w:val="auto"/>
        </w:rPr>
        <w:t>ensure that no Personal Data will be transferred to Novartis by ensuring adequate training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and implementing appropriate IT controls. Novartis will, at no time, engage in any activity to re-identify anonymized data by any means whatsoever including by singling out, linking back or matching with other datasets.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16.6.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Data Controller</w:t>
      </w:r>
      <w:r>
        <w:rPr>
          <w:rFonts w:ascii="Times New Roman" w:cs="Times New Roman" w:eastAsia="Times New Roman" w:hAnsi="Times New Roman"/>
          <w:sz w:val="22"/>
          <w:szCs w:val="22"/>
          <w:color w:val="auto"/>
        </w:rPr>
        <w:t>. For the purposes of the Study, Olema shall be the data controller (as defined in GDPR)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is solely responsible for adherence to all data protection laws, as they relate to the Study. In particular:</w:t>
      </w:r>
    </w:p>
    <w:p>
      <w:pPr>
        <w:spacing w:after="0" w:line="178" w:lineRule="exact"/>
        <w:rPr>
          <w:sz w:val="20"/>
          <w:szCs w:val="20"/>
          <w:color w:val="auto"/>
        </w:rPr>
      </w:pPr>
    </w:p>
    <w:p>
      <w:pPr>
        <w:jc w:val="both"/>
        <w:ind w:left="2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16.6.1 </w:t>
      </w:r>
      <w:r>
        <w:rPr>
          <w:rFonts w:ascii="Times New Roman" w:cs="Times New Roman" w:eastAsia="Times New Roman" w:hAnsi="Times New Roman"/>
          <w:sz w:val="22"/>
          <w:szCs w:val="22"/>
          <w:color w:val="auto"/>
        </w:rPr>
        <w:t>Olema shall not provide to Novartis any Personal Data in connection with the Study,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that relates to an identified or identifiable person.</w:t>
      </w:r>
    </w:p>
    <w:p>
      <w:pPr>
        <w:spacing w:after="0" w:line="150"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16.6.2 </w:t>
      </w:r>
      <w:r>
        <w:rPr>
          <w:rFonts w:ascii="Times New Roman" w:cs="Times New Roman" w:eastAsia="Times New Roman" w:hAnsi="Times New Roman"/>
          <w:sz w:val="22"/>
          <w:szCs w:val="22"/>
          <w:color w:val="auto"/>
        </w:rPr>
        <w:t>Olema shall only provide to Novartis Study Data, or analyses of Clinical Data, in an anonymized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i.e. having removed all patient identifiers that might have facilitated the tracing or tracking of such data back to an individual patient.</w:t>
      </w:r>
    </w:p>
    <w:p>
      <w:pPr>
        <w:spacing w:after="0" w:line="167"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16.6.3 </w:t>
      </w:r>
      <w:r>
        <w:rPr>
          <w:rFonts w:ascii="Times New Roman" w:cs="Times New Roman" w:eastAsia="Times New Roman" w:hAnsi="Times New Roman"/>
          <w:sz w:val="22"/>
          <w:szCs w:val="22"/>
          <w:color w:val="auto"/>
        </w:rPr>
        <w:t>Olema shall ensure that appropriate informed consent and authorization has been obtained from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patients whose data is included in the Clinical Data for, amongst other things, the collection, storage, processing and sharing of their data for the purpose of the Study.</w:t>
      </w:r>
    </w:p>
    <w:p>
      <w:pPr>
        <w:spacing w:after="0" w:line="167" w:lineRule="exact"/>
        <w:rPr>
          <w:sz w:val="20"/>
          <w:szCs w:val="20"/>
          <w:color w:val="auto"/>
        </w:rPr>
      </w:pPr>
    </w:p>
    <w:p>
      <w:pPr>
        <w:jc w:val="both"/>
        <w:ind w:lef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16.6.4 </w:t>
      </w:r>
      <w:r>
        <w:rPr>
          <w:rFonts w:ascii="Times New Roman" w:cs="Times New Roman" w:eastAsia="Times New Roman" w:hAnsi="Times New Roman"/>
          <w:sz w:val="22"/>
          <w:szCs w:val="22"/>
          <w:color w:val="auto"/>
        </w:rPr>
        <w:t>Notwithstanding anything to the contrary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if, in Novartis’ opinion, it should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necessary for Olema to share with Novartis any Personal Data in connection with the Study, the Parties shall, as soon as reasonably practicable, negotiate in good faith, and enter into the Data Sharing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78"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u w:val="single" w:color="auto"/>
          <w:color w:val="auto"/>
        </w:rPr>
        <w:t>Section 17.1.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Use of Name</w:t>
      </w:r>
      <w:r>
        <w:rPr>
          <w:rFonts w:ascii="Times New Roman" w:cs="Times New Roman" w:eastAsia="Times New Roman" w:hAnsi="Times New Roman"/>
          <w:sz w:val="21"/>
          <w:szCs w:val="21"/>
          <w:color w:val="auto"/>
        </w:rPr>
        <w:t>. Except as expressly provided herein, neither Party shall have any right, express or implied,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use in any manner the name (alone or as part of another name) or other designation of the other Party or any other trade name, trademark, logo, marks or other words, names, symbols or of the other Party for any purpose in connection with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4" w:name="page295"/>
    <w:bookmarkEnd w:id="294"/>
    <w:p>
      <w:pPr>
        <w:jc w:val="both"/>
        <w:spacing w:after="0" w:line="258" w:lineRule="auto"/>
        <w:rPr>
          <w:sz w:val="20"/>
          <w:szCs w:val="20"/>
          <w:color w:val="auto"/>
        </w:rPr>
      </w:pPr>
      <w:r>
        <w:rPr>
          <w:rFonts w:ascii="Times New Roman" w:cs="Times New Roman" w:eastAsia="Times New Roman" w:hAnsi="Times New Roman"/>
          <w:sz w:val="22"/>
          <w:szCs w:val="22"/>
          <w:color w:val="auto"/>
        </w:rPr>
        <w:t>performance of this Agreement. These restrictions shall not apply to any information required by law to be disclosed to any governmental entity.</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Section 17.2.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If in the performance of this Agreement, one of the Parties is prevented, hindered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delayed by reason of any cause beyond such Party’s reasonable control (e.g., war, fire, widespread disease or pandemic (such as COVID-19), acts of governmental authorities (such as quarantines or business shutdowns or other limitations on business operations, or other laws, regulations or orders to address other events or circumstances that would be a Force Majeure under this Agreement), civil commotion (such as riots or protests), cyber-attacks (such as hacking, viruses, ransomware or other compromises to IT systems), strikes, governmental laws), such Party shall be excused from performance to the extent that it is necessarily prevented, hindered or delayed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The non-performing Party will notify the other Party of such Force Majeure within [***] after such occurrence by giving written notice to the other Party stating the nature of the event, its anticipated duration, and any action being taken to avoid or minimize its effect. The suspension of performance will be of no greater scope and no longer duration than is necessary and the non-performing Party will use commercially reasonable efforts to remedy its inability to perform.</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Section 17.3.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The Parties agree to the full and complete performance of the mutual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contained in this Agreement. This Agreement constitutes the sole, full and complete agreement by and between the Parties with respect to the subject matter of this Agreement, and all prior agreements, understandings, promises and representations, whether written or oral, with respect thereto are superseded by this Agreement, including the CDA. No amendments, changes, additions, deletions or modifications to or of this Agreement shall be valid unless reduced to writing and signed by the Parties hereto.</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17.4.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Prevailing Terms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17.4.1 </w:t>
      </w:r>
      <w:r>
        <w:rPr>
          <w:rFonts w:ascii="Times New Roman" w:cs="Times New Roman" w:eastAsia="Times New Roman" w:hAnsi="Times New Roman"/>
          <w:sz w:val="22"/>
          <w:szCs w:val="22"/>
          <w:color w:val="auto"/>
        </w:rPr>
        <w:t>If there is a conflict between this Agreement, including the exhibits and appendices attached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Pharmacovigilance Agreement, the terms of this Agreement shall prevail and govern except to the extent such inconsistent term relates directly to the pharmacovigilance responsibilities of the Parties (including the exchange of safety data), in which case the terms of the Pharmacovigilance Agreement shall prevail and govern.</w:t>
      </w:r>
    </w:p>
    <w:p>
      <w:pPr>
        <w:spacing w:after="0" w:line="172" w:lineRule="exact"/>
        <w:rPr>
          <w:sz w:val="20"/>
          <w:szCs w:val="20"/>
          <w:color w:val="auto"/>
        </w:rPr>
      </w:pPr>
    </w:p>
    <w:p>
      <w:pPr>
        <w:jc w:val="both"/>
        <w:ind w:left="200"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17.4.2 </w:t>
      </w:r>
      <w:r>
        <w:rPr>
          <w:rFonts w:ascii="Times New Roman" w:cs="Times New Roman" w:eastAsia="Times New Roman" w:hAnsi="Times New Roman"/>
          <w:sz w:val="22"/>
          <w:szCs w:val="22"/>
          <w:color w:val="auto"/>
        </w:rPr>
        <w:t>If there is a conflict between this agreement, including the exhibits and appendices attached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Quality Agreement, the Quality Agreement shall prevail.</w:t>
      </w:r>
    </w:p>
    <w:p>
      <w:pPr>
        <w:spacing w:after="0" w:line="150" w:lineRule="exact"/>
        <w:rPr>
          <w:sz w:val="20"/>
          <w:szCs w:val="20"/>
          <w:color w:val="auto"/>
        </w:rPr>
      </w:pPr>
    </w:p>
    <w:p>
      <w:pPr>
        <w:jc w:val="both"/>
        <w:ind w:left="200"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17.4.3 </w:t>
      </w:r>
      <w:r>
        <w:rPr>
          <w:rFonts w:ascii="Times New Roman" w:cs="Times New Roman" w:eastAsia="Times New Roman" w:hAnsi="Times New Roman"/>
          <w:sz w:val="22"/>
          <w:szCs w:val="22"/>
          <w:color w:val="auto"/>
        </w:rPr>
        <w:t>If there is a conflict between this agreement, including the exhibits and appendices attached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Data Sharing Agreement, the Data Sharing Agreement shall prevail.</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Section 17.5.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Assignment and Sub-Contracting</w:t>
      </w:r>
      <w:r>
        <w:rPr>
          <w:rFonts w:ascii="Times New Roman" w:cs="Times New Roman" w:eastAsia="Times New Roman" w:hAnsi="Times New Roman"/>
          <w:sz w:val="22"/>
          <w:szCs w:val="22"/>
          <w:color w:val="auto"/>
        </w:rPr>
        <w:t>. Neither Party shall assign or transfer its rights or obligations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in part or in whole without the prior written consent of the other Party;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 (a) either Party may assign this Agreement to (i) one or more of its Affiliates, (ii) a Third Party that merges with, consolidates with or acquires substantially all of the assets or voting control of the assigning Party, or (iii) to a Third Party that acquires all the rights of the assigning Party to the Olema Compound, in the case of Olema, or the Novartis Compound, in the case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5" w:name="page296"/>
    <w:bookmarkEnd w:id="29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Novartis; and (b) any and all rights and obligations of either Party may be exercised or performed by its Affiliates, provided that such Affiliates agree to be bound by this Agreement. If this Agreement is assigned or transferred to an Affiliate, the assigning/transferring Party shall remain jointly and severally liable with the assignee/transferee Affiliate for the assigned rights and obligations. Any assignment or attempted assignment by any Party in violation of the terms of this </w:t>
      </w:r>
      <w:r>
        <w:rPr>
          <w:rFonts w:ascii="Times New Roman" w:cs="Times New Roman" w:eastAsia="Times New Roman" w:hAnsi="Times New Roman"/>
          <w:sz w:val="22"/>
          <w:szCs w:val="22"/>
          <w:u w:val="single" w:color="auto"/>
          <w:color w:val="auto"/>
        </w:rPr>
        <w:t>Section 17.5</w:t>
      </w:r>
      <w:r>
        <w:rPr>
          <w:rFonts w:ascii="Times New Roman" w:cs="Times New Roman" w:eastAsia="Times New Roman" w:hAnsi="Times New Roman"/>
          <w:sz w:val="22"/>
          <w:szCs w:val="22"/>
          <w:color w:val="auto"/>
        </w:rPr>
        <w:t xml:space="preserve"> shall be null and void and of no legal effect.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17.6.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Invalid Provision</w:t>
      </w:r>
      <w:r>
        <w:rPr>
          <w:rFonts w:ascii="Times New Roman" w:cs="Times New Roman" w:eastAsia="Times New Roman" w:hAnsi="Times New Roman"/>
          <w:sz w:val="22"/>
          <w:szCs w:val="22"/>
          <w:color w:val="auto"/>
        </w:rPr>
        <w:t>. If any provision of this Agreement is held to be illegal, invalid or unenforceable,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remaining provisions shall remain in full force and effect and will not be affected by the illegal, invalid or unenforceable provision. In lieu of the illegal, invalid or unenforceable provision, the Parties shall negotiate in good faith to agree upon a reasonable provision that is legal, valid and enforceable to carry out as nearly as practicable the original intention of the entire Agreement.</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17.7.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 Additional Obligations</w:t>
      </w:r>
      <w:r>
        <w:rPr>
          <w:rFonts w:ascii="Times New Roman" w:cs="Times New Roman" w:eastAsia="Times New Roman" w:hAnsi="Times New Roman"/>
          <w:sz w:val="22"/>
          <w:szCs w:val="22"/>
          <w:color w:val="auto"/>
        </w:rPr>
        <w:t>. Olema and Novartis have no obligation to renew this Agreement or apply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any clinical trial other than the Study.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17.8.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Dispute Resolution and Jurisdiction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17.8.1 </w:t>
      </w:r>
      <w:r>
        <w:rPr>
          <w:rFonts w:ascii="Times New Roman" w:cs="Times New Roman" w:eastAsia="Times New Roman" w:hAnsi="Times New Roman"/>
          <w:sz w:val="22"/>
          <w:szCs w:val="22"/>
          <w:color w:val="auto"/>
        </w:rPr>
        <w:t>The Parties shall attempt in good faith to resolve all claims, disputes or controversies,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statutory or sounding in tort, contract or equitable principles, arising out of, relating to or in any way concerning this Agreement or any term or condition thereof, including with respect to the formation, applicability, breach, termination, validity or enforceability thereof, or the performance by either Party of its obligations hereunder, whether before or after termination of this Agreement (each a “</w:t>
      </w:r>
      <w:r>
        <w:rPr>
          <w:rFonts w:ascii="Times New Roman" w:cs="Times New Roman" w:eastAsia="Times New Roman" w:hAnsi="Times New Roman"/>
          <w:sz w:val="22"/>
          <w:szCs w:val="22"/>
          <w:b w:val="1"/>
          <w:bCs w:val="1"/>
          <w:u w:val="single" w:color="auto"/>
          <w:color w:val="auto"/>
        </w:rPr>
        <w:t>Dispute</w:t>
      </w:r>
      <w:r>
        <w:rPr>
          <w:rFonts w:ascii="Times New Roman" w:cs="Times New Roman" w:eastAsia="Times New Roman" w:hAnsi="Times New Roman"/>
          <w:sz w:val="22"/>
          <w:szCs w:val="22"/>
          <w:color w:val="auto"/>
        </w:rPr>
        <w:t>”), in an amicable manner through the Project Managers or the Alliance Managers (as applicable). If the Project Managers or the Alliance Managers (as applicable) are unable to resolve any ongoing Dispute, then either Party’s Alliance Manager may, by providing written notice to the other Party, have such matter referred to the Executive Officers, who shall attempt in good faith to resolve the Dispute. Any final decision mutually agreed to by the Executive Officers with respect to such Dispute shall be conclusive and binding on the Parties. If no resolution is made by the Executive Officers in good faith negotiations within [***] after such Dispute is referred to them, or such other longer time as the Executive Officers may otherwise agree upon, then [***] Novartis shall have the right to terminate this Agreement with immediate effect and without any liability.</w:t>
      </w:r>
    </w:p>
    <w:p>
      <w:pPr>
        <w:spacing w:after="0" w:line="185" w:lineRule="exact"/>
        <w:rPr>
          <w:sz w:val="20"/>
          <w:szCs w:val="20"/>
          <w:color w:val="auto"/>
        </w:rPr>
      </w:pPr>
    </w:p>
    <w:p>
      <w:pPr>
        <w:jc w:val="both"/>
        <w:ind w:left="200" w:firstLine="1497"/>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17.8.2 </w:t>
      </w:r>
      <w:r>
        <w:rPr>
          <w:rFonts w:ascii="Times New Roman" w:cs="Times New Roman" w:eastAsia="Times New Roman" w:hAnsi="Times New Roman"/>
          <w:sz w:val="21"/>
          <w:szCs w:val="21"/>
          <w:color w:val="auto"/>
        </w:rPr>
        <w:t>This Agreement and any Dispute shall be governed by and construed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substantive laws of the State of New York, without giving effect to its choice of law principles;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United Nations Convention on Contracts for International Sale of Goods shall not apply. TO THE EXTENT NOT PROHIBITED BY APPLICABLE LAW THAT CANNOT BE WAIVED, THE PARTIES HEREBY WAIVE, AND COVENANT THAT THEY WILL NOT ASSERT (WHETHER AS PLAINTIFF, DEFENDANT OR OTHERWISE), ANY RIGHT TO TRIAL BY JURY IN ANY ACTION ARISING IN WHOLE OR IN PART UNDER OR IN CONNECTION WITH THIS AGREEMENT,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ITS RIGHT TO TRIAL BY JURY IN ANY PROCEEDING WHATSOEVER BETWEEN THEM RELATING TO THIS AGREEMENT WILL INSTEAD BE TRIED IN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6" w:name="page297"/>
    <w:bookmarkEnd w:id="296"/>
    <w:p>
      <w:pPr>
        <w:ind w:left="200"/>
        <w:spacing w:after="0"/>
        <w:rPr>
          <w:sz w:val="20"/>
          <w:szCs w:val="20"/>
          <w:color w:val="auto"/>
        </w:rPr>
      </w:pPr>
      <w:r>
        <w:rPr>
          <w:rFonts w:ascii="Times New Roman" w:cs="Times New Roman" w:eastAsia="Times New Roman" w:hAnsi="Times New Roman"/>
          <w:sz w:val="22"/>
          <w:szCs w:val="22"/>
          <w:color w:val="auto"/>
        </w:rPr>
        <w:t>A COURT OF COMPETENT JURISDICTION BY A JUDGE SITTING WITHOUT A JURY.</w:t>
      </w:r>
    </w:p>
    <w:p>
      <w:pPr>
        <w:spacing w:after="0" w:line="202" w:lineRule="exact"/>
        <w:rPr>
          <w:sz w:val="20"/>
          <w:szCs w:val="20"/>
          <w:color w:val="auto"/>
        </w:rPr>
      </w:pPr>
    </w:p>
    <w:p>
      <w:pPr>
        <w:jc w:val="both"/>
        <w:ind w:left="200" w:firstLine="149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17.8.3 </w:t>
      </w:r>
      <w:r>
        <w:rPr>
          <w:rFonts w:ascii="Times New Roman" w:cs="Times New Roman" w:eastAsia="Times New Roman" w:hAnsi="Times New Roman"/>
          <w:sz w:val="22"/>
          <w:szCs w:val="22"/>
          <w:color w:val="auto"/>
        </w:rPr>
        <w:t>Nothing contained in this Agreement shall deny either Party the right to seek injunctive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equitable relief concerning a Dispute from a court of competent jurisdiction in the context of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emergency or prospective irreparable harm, and such an action may be filed or maintained notwithstanding any ongoing discussions between the Parties. For the avoidance of doubt, if either Party (a) discloses Confidential Information of the other Party other than as permitted under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(b) uses (in the case of Olema) the Novartis Compound or Novartis’ Background Intellectual Property or (in the case of Novartis) Letrozole, the Olema Compound or Olema’s Background Intellectual Property in any manner other than as expressly permitted under this Agreement or (c) otherwise is in material breach of this Agreement and such material breach could cause immediate harm to the value of Olema Compound or the Letrozole (if Novartis is in material breach) or the Novartis Compound (if Olema is in material breach), the other Party shall have the right to seek an injunction or other equitable relief precluding the other Party from continuing its activities related to the Study without waiting for the conclusion of the dispute resolution procedures under </w:t>
      </w:r>
      <w:r>
        <w:rPr>
          <w:rFonts w:ascii="Times New Roman" w:cs="Times New Roman" w:eastAsia="Times New Roman" w:hAnsi="Times New Roman"/>
          <w:sz w:val="22"/>
          <w:szCs w:val="22"/>
          <w:u w:val="single" w:color="auto"/>
          <w:color w:val="auto"/>
        </w:rPr>
        <w:t>Section 17.8.1</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Section 17.9.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that are required or permitted hereunder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deemed to have been sufficiently given for all purposes if such notice or communication is: (a) delivered personally, or (b) sent by internationally recognized overnight courier. Unless otherwise specified by the relevant Party in writing, the mailing addresses of the Parties shall be as follows:</w:t>
      </w:r>
    </w:p>
    <w:p>
      <w:pPr>
        <w:spacing w:after="0" w:line="1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If to Olema, to:</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Olema Pharmaceuticals, Inc.</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780 Brannan Street, San Francisco, CA 94103</w:t>
      </w:r>
    </w:p>
    <w:p>
      <w:pPr>
        <w:ind w:left="3000"/>
        <w:spacing w:after="0"/>
        <w:rPr>
          <w:sz w:val="20"/>
          <w:szCs w:val="20"/>
          <w:color w:val="auto"/>
        </w:rPr>
      </w:pPr>
      <w:r>
        <w:rPr>
          <w:rFonts w:ascii="Times New Roman" w:cs="Times New Roman" w:eastAsia="Times New Roman" w:hAnsi="Times New Roman"/>
          <w:sz w:val="22"/>
          <w:szCs w:val="22"/>
          <w:color w:val="auto"/>
        </w:rPr>
        <w:t>Attention: [***]</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If to Novartis, to:</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Novartis Pharma AG</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Lichtstrasse 35</w:t>
      </w:r>
    </w:p>
    <w:p>
      <w:pPr>
        <w:ind w:left="3000"/>
        <w:spacing w:after="0" w:line="230" w:lineRule="auto"/>
        <w:rPr>
          <w:sz w:val="20"/>
          <w:szCs w:val="20"/>
          <w:color w:val="auto"/>
        </w:rPr>
      </w:pPr>
      <w:r>
        <w:rPr>
          <w:rFonts w:ascii="Times New Roman" w:cs="Times New Roman" w:eastAsia="Times New Roman" w:hAnsi="Times New Roman"/>
          <w:sz w:val="22"/>
          <w:szCs w:val="22"/>
          <w:color w:val="auto"/>
        </w:rPr>
        <w:t>CH-4056 Basel, Switzerland</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Attention: [***]</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Novartis Pharma AG</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Lichtstrasse 35</w:t>
      </w:r>
    </w:p>
    <w:p>
      <w:pPr>
        <w:ind w:left="3000"/>
        <w:spacing w:after="0" w:line="230" w:lineRule="auto"/>
        <w:rPr>
          <w:sz w:val="20"/>
          <w:szCs w:val="20"/>
          <w:color w:val="auto"/>
        </w:rPr>
      </w:pPr>
      <w:r>
        <w:rPr>
          <w:rFonts w:ascii="Times New Roman" w:cs="Times New Roman" w:eastAsia="Times New Roman" w:hAnsi="Times New Roman"/>
          <w:sz w:val="22"/>
          <w:szCs w:val="22"/>
          <w:color w:val="auto"/>
        </w:rPr>
        <w:t>CH-4056 Basel, Switzerland</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Attention: [***]</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Any notice or communication shall be deemed to have been received when delivered. It is understood and agreed that this </w:t>
      </w:r>
      <w:r>
        <w:rPr>
          <w:rFonts w:ascii="Times New Roman" w:cs="Times New Roman" w:eastAsia="Times New Roman" w:hAnsi="Times New Roman"/>
          <w:sz w:val="22"/>
          <w:szCs w:val="22"/>
          <w:u w:val="single" w:color="auto"/>
          <w:color w:val="auto"/>
        </w:rPr>
        <w:t>Section 17.9</w:t>
      </w:r>
      <w:r>
        <w:rPr>
          <w:rFonts w:ascii="Times New Roman" w:cs="Times New Roman" w:eastAsia="Times New Roman" w:hAnsi="Times New Roman"/>
          <w:sz w:val="22"/>
          <w:szCs w:val="22"/>
          <w:color w:val="auto"/>
        </w:rPr>
        <w:t xml:space="preserve"> is not intended to govern the day-to-day business communications necessary between the Parties in performing their duties, in due course, under the terms of this Agreement.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7" w:name="page298"/>
    <w:bookmarkEnd w:id="297"/>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Section 17.10.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The relationship between the Parties is and shall be that of independent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contractors, and does not and shall not constitute a partnership, joint venture, agency or fiduciary relationship. Neither Party shall have the authority to make any statements, representations or commitments of any kind, or take any actions, which are binding on the other Party, except with the prior written consent of the other Party to do so. All persons employed by a Party will be the employees of such Party and not of the other Party and all costs and obligations incurred by reason of any such employment shall be for the account and expense of such Party.</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Section 17.11.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Party shall duly execute and deliver, or cause to be duly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such further instruments and do and cause to be done such further acts and things, including the filing of such assignments, agreements, documents and instruments, as may be necessary or as the other Party may reasonably request in order to perfect any license, assignment or other transfer or any properties or rights under, or pursuant, to this Agreement.</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17.12. </w:t>
      </w:r>
      <w:r>
        <w:rPr>
          <w:rFonts w:ascii="Times New Roman" w:cs="Times New Roman" w:eastAsia="Times New Roman" w:hAnsi="Times New Roman"/>
          <w:sz w:val="22"/>
          <w:szCs w:val="22"/>
          <w:u w:val="single" w:color="auto"/>
          <w:color w:val="auto"/>
        </w:rPr>
        <w:t>Extension to Affiliates</w:t>
      </w:r>
      <w:r>
        <w:rPr>
          <w:rFonts w:ascii="Times New Roman" w:cs="Times New Roman" w:eastAsia="Times New Roman" w:hAnsi="Times New Roman"/>
          <w:sz w:val="22"/>
          <w:szCs w:val="22"/>
          <w:color w:val="auto"/>
        </w:rPr>
        <w:t>. Novartis shall have the right to extend the rights, immunities and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in this Agreement to one or more of its Affiliates. All applicable terms and provisions of this Agreement shall apply to any such Affiliate to which this Agreement has been extended to the same extent as such terms and provisions apply to Novartis. Novartis shall remain primarily liable for any acts or omissions of its Affiliates.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17.13.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English Language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written and executed in the English language. Any translation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language shall not be an official version of this Agreement and, in the event of any conflict in interpretation between the English version and such translation, the English version shall prevail.</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17.14.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Counterparts and Due Execution</w:t>
      </w:r>
      <w:r>
        <w:rPr>
          <w:rFonts w:ascii="Times New Roman" w:cs="Times New Roman" w:eastAsia="Times New Roman" w:hAnsi="Times New Roman"/>
          <w:sz w:val="22"/>
          <w:szCs w:val="22"/>
          <w:color w:val="auto"/>
        </w:rPr>
        <w:t>. This Agreement may be executed in two (2) or more counterparts,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shall be deemed an original, but all of which together shall constitute one and the 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8" w:name="page299"/>
    <w:bookmarkEnd w:id="298"/>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respective authorized representatives of the Parties have executed this Agreement as of the Effective Date.</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OLEMA PHARMACEUTICALS INC.</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Sean Bohen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7221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1722120" cy="8890"/>
                    </a:xfrm>
                    <a:prstGeom prst="rect">
                      <a:avLst/>
                    </a:prstGeom>
                    <a:noFill/>
                  </pic:spPr>
                </pic:pic>
              </a:graphicData>
            </a:graphic>
          </wp:anchor>
        </w:drawing>
      </w:r>
    </w:p>
    <w:p>
      <w:pPr>
        <w:spacing w:after="0" w:line="186"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Sean Bohen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-13970</wp:posOffset>
            </wp:positionV>
            <wp:extent cx="15544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86"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-13970</wp:posOffset>
            </wp:positionV>
            <wp:extent cx="16230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1623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NOVARTIS PHARMA AG</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David Benathan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4478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86"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David Benathan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-13970</wp:posOffset>
            </wp:positionV>
            <wp:extent cx="15544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86"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-13970</wp:posOffset>
            </wp:positionV>
            <wp:extent cx="18973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1897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NOVARTIS PHARMA AG</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Ian James Hiscock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7221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1722120" cy="8890"/>
                    </a:xfrm>
                    <a:prstGeom prst="rect">
                      <a:avLst/>
                    </a:prstGeom>
                    <a:noFill/>
                  </pic:spPr>
                </pic:pic>
              </a:graphicData>
            </a:graphic>
          </wp:anchor>
        </w:drawing>
      </w:r>
    </w:p>
    <w:p>
      <w:pPr>
        <w:spacing w:after="0" w:line="186" w:lineRule="exact"/>
        <w:rPr>
          <w:sz w:val="20"/>
          <w:szCs w:val="20"/>
          <w:color w:val="auto"/>
        </w:rPr>
      </w:pPr>
    </w:p>
    <w:p>
      <w:pPr>
        <w:ind w:left="4500"/>
        <w:spacing w:after="0"/>
        <w:tabs>
          <w:tab w:leader="none" w:pos="5400" w:val="left"/>
        </w:tabs>
        <w:rPr>
          <w:sz w:val="20"/>
          <w:szCs w:val="20"/>
          <w:color w:val="auto"/>
        </w:rPr>
      </w:pPr>
      <w:r>
        <w:rPr>
          <w:rFonts w:ascii="Times New Roman" w:cs="Times New Roman" w:eastAsia="Times New Roman" w:hAnsi="Times New Roman"/>
          <w:sz w:val="22"/>
          <w:szCs w:val="22"/>
          <w:color w:val="auto"/>
        </w:rPr>
        <w:t>Name:</w:t>
        <w:tab/>
        <w:t>Ian James Hiscock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-13970</wp:posOffset>
            </wp:positionV>
            <wp:extent cx="15544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86"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-13970</wp:posOffset>
            </wp:positionV>
            <wp:extent cx="18973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1897380" cy="8890"/>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99" w:name="page300"/>
    <w:bookmarkEnd w:id="29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PROTOCOL SYNOPSIS; PROTOCOL</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1029335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B</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1"/>
          <w:szCs w:val="21"/>
          <w:b w:val="1"/>
          <w:bCs w:val="1"/>
          <w:u w:val="single" w:color="auto"/>
          <w:color w:val="auto"/>
        </w:rPr>
        <w:t>MINIMUM INFORMATION SECURITY MANAGEMENT STANDARDS</w:t>
      </w:r>
    </w:p>
    <w:p>
      <w:pPr>
        <w:spacing w:after="0" w:line="22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1026795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C</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SUPPLY OF COMPOUNDS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320" w:type="dxa"/>
            <w:vAlign w:val="bottom"/>
            <w:tcBorders>
              <w:top w:val="single" w:sz="8" w:color="auto"/>
              <w:left w:val="single" w:sz="8" w:color="auto"/>
              <w:right w:val="single" w:sz="8" w:color="auto"/>
            </w:tcBorders>
          </w:tcPr>
          <w:p>
            <w:pPr>
              <w:spacing w:after="0"/>
              <w:rPr>
                <w:sz w:val="19"/>
                <w:szCs w:val="19"/>
                <w:color w:val="auto"/>
              </w:rPr>
            </w:pPr>
          </w:p>
        </w:tc>
        <w:tc>
          <w:tcPr>
            <w:tcW w:w="128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9"/>
              </w:rPr>
              <w:t>Total</w:t>
            </w:r>
          </w:p>
        </w:tc>
        <w:tc>
          <w:tcPr>
            <w:tcW w:w="1000" w:type="dxa"/>
            <w:vAlign w:val="bottom"/>
            <w:tcBorders>
              <w:top w:val="single" w:sz="8" w:color="auto"/>
              <w:right w:val="single" w:sz="8" w:color="auto"/>
            </w:tcBorders>
          </w:tcPr>
          <w:p>
            <w:pPr>
              <w:jc w:val="right"/>
              <w:ind w:right="172"/>
              <w:spacing w:after="0" w:line="228" w:lineRule="exact"/>
              <w:rPr>
                <w:sz w:val="20"/>
                <w:szCs w:val="20"/>
                <w:color w:val="auto"/>
              </w:rPr>
            </w:pPr>
            <w:r>
              <w:rPr>
                <w:rFonts w:ascii="Times New Roman" w:cs="Times New Roman" w:eastAsia="Times New Roman" w:hAnsi="Times New Roman"/>
                <w:sz w:val="22"/>
                <w:szCs w:val="22"/>
                <w:b w:val="1"/>
                <w:bCs w:val="1"/>
                <w:color w:val="auto"/>
              </w:rPr>
              <w:t>[***]</w:t>
            </w:r>
          </w:p>
        </w:tc>
        <w:tc>
          <w:tcPr>
            <w:tcW w:w="1440" w:type="dxa"/>
            <w:vAlign w:val="bottom"/>
            <w:tcBorders>
              <w:top w:val="single" w:sz="8" w:color="auto"/>
              <w:right w:val="single" w:sz="8" w:color="auto"/>
            </w:tcBorders>
          </w:tcPr>
          <w:p>
            <w:pPr>
              <w:jc w:val="right"/>
              <w:ind w:right="392"/>
              <w:spacing w:after="0" w:line="228" w:lineRule="exact"/>
              <w:rPr>
                <w:sz w:val="20"/>
                <w:szCs w:val="20"/>
                <w:color w:val="auto"/>
              </w:rPr>
            </w:pPr>
            <w:r>
              <w:rPr>
                <w:rFonts w:ascii="Times New Roman" w:cs="Times New Roman" w:eastAsia="Times New Roman" w:hAnsi="Times New Roman"/>
                <w:sz w:val="22"/>
                <w:szCs w:val="22"/>
                <w:b w:val="1"/>
                <w:bCs w:val="1"/>
                <w:color w:val="auto"/>
              </w:rPr>
              <w:t>[***]</w:t>
            </w:r>
          </w:p>
        </w:tc>
        <w:tc>
          <w:tcPr>
            <w:tcW w:w="1460" w:type="dxa"/>
            <w:vAlign w:val="bottom"/>
            <w:tcBorders>
              <w:top w:val="single" w:sz="8" w:color="auto"/>
              <w:right w:val="single" w:sz="8" w:color="auto"/>
            </w:tcBorders>
          </w:tcPr>
          <w:p>
            <w:pPr>
              <w:jc w:val="right"/>
              <w:ind w:right="412"/>
              <w:spacing w:after="0" w:line="228" w:lineRule="exact"/>
              <w:rPr>
                <w:sz w:val="20"/>
                <w:szCs w:val="20"/>
                <w:color w:val="auto"/>
              </w:rPr>
            </w:pPr>
            <w:r>
              <w:rPr>
                <w:rFonts w:ascii="Times New Roman" w:cs="Times New Roman" w:eastAsia="Times New Roman" w:hAnsi="Times New Roman"/>
                <w:sz w:val="22"/>
                <w:szCs w:val="22"/>
                <w:b w:val="1"/>
                <w:bCs w:val="1"/>
                <w:color w:val="auto"/>
              </w:rPr>
              <w:t>[***]</w:t>
            </w:r>
          </w:p>
        </w:tc>
        <w:tc>
          <w:tcPr>
            <w:tcW w:w="1360" w:type="dxa"/>
            <w:vAlign w:val="bottom"/>
            <w:tcBorders>
              <w:top w:val="single" w:sz="8" w:color="auto"/>
              <w:right w:val="single" w:sz="8" w:color="auto"/>
            </w:tcBorders>
          </w:tcPr>
          <w:p>
            <w:pPr>
              <w:jc w:val="right"/>
              <w:ind w:right="352"/>
              <w:spacing w:after="0" w:line="228" w:lineRule="exact"/>
              <w:rPr>
                <w:sz w:val="20"/>
                <w:szCs w:val="20"/>
                <w:color w:val="auto"/>
              </w:rPr>
            </w:pPr>
            <w:r>
              <w:rPr>
                <w:rFonts w:ascii="Times New Roman" w:cs="Times New Roman" w:eastAsia="Times New Roman" w:hAnsi="Times New Roman"/>
                <w:sz w:val="22"/>
                <w:szCs w:val="22"/>
                <w:b w:val="1"/>
                <w:bCs w:val="1"/>
                <w:color w:val="auto"/>
              </w:rPr>
              <w:t>[***]</w:t>
            </w:r>
          </w:p>
        </w:tc>
        <w:tc>
          <w:tcPr>
            <w:tcW w:w="1380" w:type="dxa"/>
            <w:vAlign w:val="bottom"/>
            <w:tcBorders>
              <w:top w:val="single" w:sz="8" w:color="auto"/>
              <w:right w:val="single" w:sz="8" w:color="auto"/>
            </w:tcBorders>
          </w:tcPr>
          <w:p>
            <w:pPr>
              <w:jc w:val="right"/>
              <w:ind w:right="352"/>
              <w:spacing w:after="0" w:line="228" w:lineRule="exact"/>
              <w:rPr>
                <w:sz w:val="20"/>
                <w:szCs w:val="20"/>
                <w:color w:val="auto"/>
              </w:rPr>
            </w:pPr>
            <w:r>
              <w:rPr>
                <w:rFonts w:ascii="Times New Roman" w:cs="Times New Roman" w:eastAsia="Times New Roman" w:hAnsi="Times New Roman"/>
                <w:sz w:val="22"/>
                <w:szCs w:val="22"/>
                <w:b w:val="1"/>
                <w:bCs w:val="1"/>
                <w:color w:val="auto"/>
              </w:rPr>
              <w:t>[***]</w:t>
            </w:r>
          </w:p>
        </w:tc>
      </w:tr>
      <w:tr>
        <w:trPr>
          <w:trHeight w:val="286"/>
        </w:trPr>
        <w:tc>
          <w:tcPr>
            <w:tcW w:w="3320" w:type="dxa"/>
            <w:vAlign w:val="bottom"/>
            <w:tcBorders>
              <w:left w:val="single" w:sz="8" w:color="auto"/>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Amount</w:t>
            </w:r>
          </w:p>
        </w:tc>
        <w:tc>
          <w:tcPr>
            <w:tcW w:w="100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254"/>
        </w:trPr>
        <w:tc>
          <w:tcPr>
            <w:tcW w:w="3320" w:type="dxa"/>
            <w:vAlign w:val="bottom"/>
            <w:tcBorders>
              <w:left w:val="single" w:sz="8" w:color="auto"/>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r>
      <w:tr>
        <w:trPr>
          <w:trHeight w:val="246"/>
        </w:trPr>
        <w:tc>
          <w:tcPr>
            <w:tcW w:w="3320" w:type="dxa"/>
            <w:vAlign w:val="bottom"/>
            <w:tcBorders>
              <w:right w:val="single" w:sz="8" w:color="auto"/>
            </w:tcBorders>
          </w:tcPr>
          <w:p>
            <w:pPr>
              <w:ind w:left="120"/>
              <w:spacing w:after="0" w:line="246" w:lineRule="exact"/>
              <w:rPr>
                <w:sz w:val="20"/>
                <w:szCs w:val="20"/>
                <w:color w:val="auto"/>
              </w:rPr>
            </w:pPr>
            <w:r>
              <w:rPr>
                <w:rFonts w:ascii="Times New Roman" w:cs="Times New Roman" w:eastAsia="Times New Roman" w:hAnsi="Times New Roman"/>
                <w:sz w:val="22"/>
                <w:szCs w:val="22"/>
                <w:b w:val="1"/>
                <w:bCs w:val="1"/>
                <w:color w:val="auto"/>
              </w:rPr>
              <w:t>Ribo [***]</w:t>
            </w:r>
          </w:p>
        </w:tc>
        <w:tc>
          <w:tcPr>
            <w:tcW w:w="128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Borders>
              <w:right w:val="single" w:sz="8" w:color="auto"/>
            </w:tcBorders>
          </w:tcPr>
          <w:p>
            <w:pPr>
              <w:jc w:val="right"/>
              <w:ind w:right="172"/>
              <w:spacing w:after="0" w:line="246" w:lineRule="exact"/>
              <w:rPr>
                <w:sz w:val="20"/>
                <w:szCs w:val="20"/>
                <w:color w:val="auto"/>
              </w:rPr>
            </w:pPr>
            <w:r>
              <w:rPr>
                <w:rFonts w:ascii="Times New Roman" w:cs="Times New Roman" w:eastAsia="Times New Roman" w:hAnsi="Times New Roman"/>
                <w:sz w:val="22"/>
                <w:szCs w:val="22"/>
                <w:b w:val="1"/>
                <w:bCs w:val="1"/>
                <w:color w:val="auto"/>
              </w:rPr>
              <w:t>[***]</w:t>
            </w:r>
          </w:p>
        </w:tc>
        <w:tc>
          <w:tcPr>
            <w:tcW w:w="1440" w:type="dxa"/>
            <w:vAlign w:val="bottom"/>
            <w:tcBorders>
              <w:right w:val="single" w:sz="8" w:color="auto"/>
            </w:tcBorders>
          </w:tcPr>
          <w:p>
            <w:pPr>
              <w:jc w:val="right"/>
              <w:ind w:right="392"/>
              <w:spacing w:after="0" w:line="246" w:lineRule="exact"/>
              <w:rPr>
                <w:sz w:val="20"/>
                <w:szCs w:val="20"/>
                <w:color w:val="auto"/>
              </w:rPr>
            </w:pPr>
            <w:r>
              <w:rPr>
                <w:rFonts w:ascii="Times New Roman" w:cs="Times New Roman" w:eastAsia="Times New Roman" w:hAnsi="Times New Roman"/>
                <w:sz w:val="22"/>
                <w:szCs w:val="22"/>
                <w:b w:val="1"/>
                <w:bCs w:val="1"/>
                <w:color w:val="auto"/>
              </w:rPr>
              <w:t>[***]</w:t>
            </w:r>
          </w:p>
        </w:tc>
        <w:tc>
          <w:tcPr>
            <w:tcW w:w="1460" w:type="dxa"/>
            <w:vAlign w:val="bottom"/>
            <w:tcBorders>
              <w:right w:val="single" w:sz="8" w:color="auto"/>
            </w:tcBorders>
          </w:tcPr>
          <w:p>
            <w:pPr>
              <w:jc w:val="right"/>
              <w:ind w:right="412"/>
              <w:spacing w:after="0" w:line="246" w:lineRule="exact"/>
              <w:rPr>
                <w:sz w:val="20"/>
                <w:szCs w:val="20"/>
                <w:color w:val="auto"/>
              </w:rPr>
            </w:pPr>
            <w:r>
              <w:rPr>
                <w:rFonts w:ascii="Times New Roman" w:cs="Times New Roman" w:eastAsia="Times New Roman" w:hAnsi="Times New Roman"/>
                <w:sz w:val="22"/>
                <w:szCs w:val="22"/>
                <w:b w:val="1"/>
                <w:bCs w:val="1"/>
                <w:color w:val="auto"/>
              </w:rPr>
              <w:t>[***]</w:t>
            </w:r>
          </w:p>
        </w:tc>
        <w:tc>
          <w:tcPr>
            <w:tcW w:w="1360" w:type="dxa"/>
            <w:vAlign w:val="bottom"/>
            <w:tcBorders>
              <w:right w:val="single" w:sz="8" w:color="auto"/>
            </w:tcBorders>
          </w:tcPr>
          <w:p>
            <w:pPr>
              <w:jc w:val="right"/>
              <w:ind w:right="352"/>
              <w:spacing w:after="0" w:line="246" w:lineRule="exact"/>
              <w:rPr>
                <w:sz w:val="20"/>
                <w:szCs w:val="20"/>
                <w:color w:val="auto"/>
              </w:rPr>
            </w:pPr>
            <w:r>
              <w:rPr>
                <w:rFonts w:ascii="Times New Roman" w:cs="Times New Roman" w:eastAsia="Times New Roman" w:hAnsi="Times New Roman"/>
                <w:sz w:val="22"/>
                <w:szCs w:val="22"/>
                <w:b w:val="1"/>
                <w:bCs w:val="1"/>
                <w:color w:val="auto"/>
              </w:rPr>
              <w:t>[***]</w:t>
            </w:r>
          </w:p>
        </w:tc>
        <w:tc>
          <w:tcPr>
            <w:tcW w:w="1380" w:type="dxa"/>
            <w:vAlign w:val="bottom"/>
            <w:tcBorders>
              <w:right w:val="single" w:sz="8" w:color="auto"/>
            </w:tcBorders>
          </w:tcPr>
          <w:p>
            <w:pPr>
              <w:jc w:val="right"/>
              <w:ind w:right="352"/>
              <w:spacing w:after="0" w:line="246" w:lineRule="exact"/>
              <w:rPr>
                <w:sz w:val="20"/>
                <w:szCs w:val="20"/>
                <w:color w:val="auto"/>
              </w:rPr>
            </w:pPr>
            <w:r>
              <w:rPr>
                <w:rFonts w:ascii="Times New Roman" w:cs="Times New Roman" w:eastAsia="Times New Roman" w:hAnsi="Times New Roman"/>
                <w:sz w:val="22"/>
                <w:szCs w:val="22"/>
                <w:b w:val="1"/>
                <w:bCs w:val="1"/>
                <w:color w:val="auto"/>
              </w:rPr>
              <w:t>[***]</w:t>
            </w:r>
          </w:p>
        </w:tc>
      </w:tr>
      <w:tr>
        <w:trPr>
          <w:trHeight w:val="169"/>
        </w:trPr>
        <w:tc>
          <w:tcPr>
            <w:tcW w:w="332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r>
      <w:tr>
        <w:trPr>
          <w:trHeight w:val="708"/>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Novartis Shipping Address</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918"/>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Olema Delivery </w:t>
            </w:r>
            <w:r>
              <w:rPr>
                <w:rFonts w:ascii="Times New Roman" w:cs="Times New Roman" w:eastAsia="Times New Roman" w:hAnsi="Times New Roman"/>
                <w:sz w:val="22"/>
                <w:szCs w:val="22"/>
                <w:color w:val="auto"/>
              </w:rPr>
              <w:t>Address</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15"/>
        </w:trPr>
        <w:tc>
          <w:tcPr>
            <w:tcW w:w="3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DATA SHARING AGREEMENT</w:t>
      </w: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1026795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03" w:name="page304"/>
    <w:bookmarkEnd w:id="303"/>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Appendix E</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u w:val="single" w:color="auto"/>
          <w:color w:val="auto"/>
        </w:rPr>
        <w:t>LIST OF PRE-APPROVED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1036955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04" w:name="page305"/>
    <w:bookmarkEnd w:id="304"/>
    <w:p>
      <w:pPr>
        <w:ind w:left="96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1034415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22"/>
          <w:szCs w:val="22"/>
          <w:b w:val="1"/>
          <w:bCs w:val="1"/>
          <w:color w:val="auto"/>
        </w:rPr>
        <w:t>Exhibit 10.26</w:t>
      </w:r>
    </w:p>
    <w:p>
      <w:pPr>
        <w:spacing w:after="0" w:line="237" w:lineRule="exact"/>
        <w:rPr>
          <w:sz w:val="20"/>
          <w:szCs w:val="20"/>
          <w:color w:val="auto"/>
        </w:rPr>
      </w:pPr>
    </w:p>
    <w:p>
      <w:pPr>
        <w:ind w:right="360" w:firstLine="8"/>
        <w:spacing w:after="0" w:line="244" w:lineRule="auto"/>
        <w:tabs>
          <w:tab w:leader="none" w:pos="12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CERTAIN CONFIDENTIAL INFORMATION CONTAINED IN THIS DOCUMENT, MARKED BY BRACKETS, HAS BEEN OMITTED BECAUSE IT IS BOTH (I) NOT MATERIAL AND (II) IS THE TYPE THAT THE REGISTRANT TREATS AS PRIVATE OR CONFIDENTIAL.</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 Number No.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Drug Discovery Collaboration and License Agreement</w:t>
      </w:r>
    </w:p>
    <w:p>
      <w:pPr>
        <w:spacing w:after="0" w:line="200" w:lineRule="exact"/>
        <w:rPr>
          <w:sz w:val="20"/>
          <w:szCs w:val="20"/>
          <w:color w:val="auto"/>
        </w:rPr>
      </w:pPr>
    </w:p>
    <w:p>
      <w:pPr>
        <w:spacing w:after="0" w:line="2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THIS AMENDMENT NO. 1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is made and entered into as of the date of the last signature below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by and between Olema Pharmaceuticals, Inc., a Delaware corporation with a business address of 780 Brannan Street, San Francisco,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 94103 (hereinafter “</w:t>
      </w:r>
      <w:r>
        <w:rPr>
          <w:rFonts w:ascii="Times New Roman" w:cs="Times New Roman" w:eastAsia="Times New Roman" w:hAnsi="Times New Roman"/>
          <w:sz w:val="19"/>
          <w:szCs w:val="19"/>
          <w:b w:val="1"/>
          <w:bCs w:val="1"/>
          <w:color w:val="auto"/>
        </w:rPr>
        <w:t>Olema</w:t>
      </w:r>
      <w:r>
        <w:rPr>
          <w:rFonts w:ascii="Times New Roman" w:cs="Times New Roman" w:eastAsia="Times New Roman" w:hAnsi="Times New Roman"/>
          <w:sz w:val="19"/>
          <w:szCs w:val="19"/>
          <w:color w:val="auto"/>
        </w:rPr>
        <w:t>”) and Aurigene Oncology Limited (</w:t>
      </w:r>
      <w:r>
        <w:rPr>
          <w:rFonts w:ascii="Times New Roman" w:cs="Times New Roman" w:eastAsia="Times New Roman" w:hAnsi="Times New Roman"/>
          <w:sz w:val="19"/>
          <w:szCs w:val="19"/>
          <w:i w:val="1"/>
          <w:iCs w:val="1"/>
          <w:color w:val="auto"/>
        </w:rPr>
        <w:t>earlier known as Aurigene Discovery Technologies Limited</w:t>
      </w:r>
      <w:r>
        <w:rPr>
          <w:rFonts w:ascii="Times New Roman" w:cs="Times New Roman" w:eastAsia="Times New Roman" w:hAnsi="Times New Roman"/>
          <w:sz w:val="19"/>
          <w:szCs w:val="19"/>
          <w:color w:val="auto"/>
        </w:rPr>
        <w:t>), a</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corporation organized under the laws of India, </w:t>
      </w:r>
      <w:r>
        <w:rPr>
          <w:rFonts w:ascii="Times New Roman" w:cs="Times New Roman" w:eastAsia="Times New Roman" w:hAnsi="Times New Roman"/>
          <w:sz w:val="21"/>
          <w:szCs w:val="21"/>
          <w:color w:val="auto"/>
        </w:rPr>
        <w:t>having its principal place of business at 39-40(P), KIADB Industrial Area, Electronics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City Phase II, Hosur Road, Bangalore-560100, India (hereinafter “</w:t>
      </w:r>
      <w:r>
        <w:rPr>
          <w:rFonts w:ascii="Times New Roman" w:cs="Times New Roman" w:eastAsia="Times New Roman" w:hAnsi="Times New Roman"/>
          <w:sz w:val="21"/>
          <w:szCs w:val="21"/>
          <w:b w:val="1"/>
          <w:bCs w:val="1"/>
          <w:color w:val="auto"/>
        </w:rPr>
        <w:t>Aurigene</w:t>
      </w:r>
      <w:r>
        <w:rPr>
          <w:rFonts w:ascii="Times New Roman" w:cs="Times New Roman" w:eastAsia="Times New Roman" w:hAnsi="Times New Roman"/>
          <w:sz w:val="21"/>
          <w:szCs w:val="21"/>
          <w:color w:val="auto"/>
        </w:rPr>
        <w:t>”). Olema and Aurigene are sometimes referred to herein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0" w:lineRule="exact"/>
        <w:rPr>
          <w:sz w:val="20"/>
          <w:szCs w:val="20"/>
          <w:color w:val="auto"/>
        </w:rPr>
      </w:pPr>
    </w:p>
    <w:p>
      <w:pPr>
        <w:spacing w:after="0" w:line="2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under the terms of the Drug Discovery Collaboration and License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June 7, 2022,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Parties, the Parties desired to pursue a collaborative research program more particularly described in the Agreement; 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Parties hereto wish to amend the Agreement and they desire to memorialize such changes in this Amendment No. 1;</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following mutual promises, covenants and conditions hereinafter set forth, the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as follows:</w:t>
      </w:r>
    </w:p>
    <w:p>
      <w:pPr>
        <w:spacing w:after="0" w:line="395" w:lineRule="exact"/>
        <w:rPr>
          <w:sz w:val="20"/>
          <w:szCs w:val="20"/>
          <w:color w:val="auto"/>
        </w:rPr>
      </w:pPr>
    </w:p>
    <w:p>
      <w:pPr>
        <w:ind w:left="760" w:hanging="378"/>
        <w:spacing w:after="0" w:line="273" w:lineRule="auto"/>
        <w:tabs>
          <w:tab w:leader="none" w:pos="7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of Corporate Address: </w:t>
      </w:r>
      <w:r>
        <w:rPr>
          <w:rFonts w:ascii="Times New Roman" w:cs="Times New Roman" w:eastAsia="Times New Roman" w:hAnsi="Times New Roman"/>
          <w:sz w:val="20"/>
          <w:szCs w:val="20"/>
          <w:color w:val="auto"/>
        </w:rPr>
        <w:t>The corporate headquarters address of Olema Pharmaceuticals, Inc. has changed to 780 Brannan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Street, San Francisco, CA 94103.</w:t>
      </w:r>
    </w:p>
    <w:p>
      <w:pPr>
        <w:spacing w:after="0" w:line="16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of name: </w:t>
      </w:r>
      <w:r>
        <w:rPr>
          <w:rFonts w:ascii="Times New Roman" w:cs="Times New Roman" w:eastAsia="Times New Roman" w:hAnsi="Times New Roman"/>
          <w:sz w:val="20"/>
          <w:szCs w:val="20"/>
          <w:color w:val="auto"/>
        </w:rPr>
        <w:t>The name Aurigene Discovery Technologies Limited has changed to Aurigene Oncology Limited.</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Article 3.4, Research Term, </w:t>
      </w:r>
      <w:r>
        <w:rPr>
          <w:rFonts w:ascii="Times New Roman" w:cs="Times New Roman" w:eastAsia="Times New Roman" w:hAnsi="Times New Roman"/>
          <w:sz w:val="20"/>
          <w:szCs w:val="20"/>
          <w:color w:val="auto"/>
        </w:rPr>
        <w:t>shall be extended through [ * ].</w:t>
      </w:r>
    </w:p>
    <w:p>
      <w:pPr>
        <w:spacing w:after="0" w:line="224" w:lineRule="exact"/>
        <w:rPr>
          <w:rFonts w:ascii="Times New Roman" w:cs="Times New Roman" w:eastAsia="Times New Roman" w:hAnsi="Times New Roman"/>
          <w:sz w:val="20"/>
          <w:szCs w:val="20"/>
          <w:color w:val="auto"/>
        </w:rPr>
      </w:pPr>
    </w:p>
    <w:p>
      <w:pPr>
        <w:ind w:left="760" w:right="20" w:hanging="378"/>
        <w:spacing w:after="0" w:line="262" w:lineRule="auto"/>
        <w:tabs>
          <w:tab w:leader="none" w:pos="7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Article 11.1, Notices, is hereby amended such that Olema and Aurigene address and contact is replaced with the following:</w:t>
      </w:r>
    </w:p>
    <w:p>
      <w:pPr>
        <w:spacing w:after="0" w:line="172" w:lineRule="exact"/>
        <w:rPr>
          <w:sz w:val="20"/>
          <w:szCs w:val="20"/>
          <w:color w:val="auto"/>
        </w:rPr>
      </w:pPr>
    </w:p>
    <w:p>
      <w:pPr>
        <w:ind w:left="860"/>
        <w:spacing w:after="0"/>
        <w:tabs>
          <w:tab w:leader="none" w:pos="2020" w:val="left"/>
        </w:tabs>
        <w:rPr>
          <w:sz w:val="20"/>
          <w:szCs w:val="20"/>
          <w:color w:val="auto"/>
        </w:rPr>
      </w:pPr>
      <w:r>
        <w:rPr>
          <w:rFonts w:ascii="Times New Roman" w:cs="Times New Roman" w:eastAsia="Times New Roman" w:hAnsi="Times New Roman"/>
          <w:sz w:val="20"/>
          <w:szCs w:val="20"/>
          <w:color w:val="auto"/>
        </w:rPr>
        <w:t>If to Olema:</w:t>
      </w:r>
      <w:r>
        <w:rPr>
          <w:sz w:val="20"/>
          <w:szCs w:val="20"/>
          <w:color w:val="auto"/>
        </w:rPr>
        <w:tab/>
      </w:r>
      <w:r>
        <w:rPr>
          <w:rFonts w:ascii="Times New Roman" w:cs="Times New Roman" w:eastAsia="Times New Roman" w:hAnsi="Times New Roman"/>
          <w:sz w:val="19"/>
          <w:szCs w:val="19"/>
          <w:color w:val="auto"/>
        </w:rPr>
        <w:t>Olema Pharmaceuticals, Inc.</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780 Brannan Street</w:t>
      </w:r>
    </w:p>
    <w:p>
      <w:pPr>
        <w:ind w:left="2260"/>
        <w:spacing w:after="0"/>
        <w:rPr>
          <w:sz w:val="20"/>
          <w:szCs w:val="20"/>
          <w:color w:val="auto"/>
        </w:rPr>
      </w:pPr>
      <w:r>
        <w:rPr>
          <w:rFonts w:ascii="Times New Roman" w:cs="Times New Roman" w:eastAsia="Times New Roman" w:hAnsi="Times New Roman"/>
          <w:sz w:val="20"/>
          <w:szCs w:val="20"/>
          <w:color w:val="auto"/>
        </w:rPr>
        <w:t>San Francisco, CA 94103</w:t>
      </w:r>
    </w:p>
    <w:p>
      <w:pPr>
        <w:ind w:left="2260"/>
        <w:spacing w:after="0"/>
        <w:rPr>
          <w:sz w:val="20"/>
          <w:szCs w:val="20"/>
          <w:color w:val="auto"/>
        </w:rPr>
      </w:pPr>
      <w:r>
        <w:rPr>
          <w:rFonts w:ascii="Times New Roman" w:cs="Times New Roman" w:eastAsia="Times New Roman" w:hAnsi="Times New Roman"/>
          <w:sz w:val="20"/>
          <w:szCs w:val="20"/>
          <w:color w:val="auto"/>
        </w:rPr>
        <w:t>Attention: Legal Department</w:t>
      </w:r>
    </w:p>
    <w:p>
      <w:pPr>
        <w:ind w:left="2260"/>
        <w:spacing w:after="0"/>
        <w:rPr>
          <w:sz w:val="20"/>
          <w:szCs w:val="20"/>
          <w:color w:val="auto"/>
        </w:rPr>
      </w:pPr>
      <w:r>
        <w:rPr>
          <w:rFonts w:ascii="Times New Roman" w:cs="Times New Roman" w:eastAsia="Times New Roman" w:hAnsi="Times New Roman"/>
          <w:sz w:val="20"/>
          <w:szCs w:val="20"/>
          <w:color w:val="auto"/>
        </w:rPr>
        <w:t>Phone: [ * ]</w:t>
      </w:r>
    </w:p>
    <w:p>
      <w:pPr>
        <w:ind w:left="2260"/>
        <w:spacing w:after="0"/>
        <w:rPr>
          <w:sz w:val="20"/>
          <w:szCs w:val="20"/>
          <w:color w:val="auto"/>
        </w:rPr>
      </w:pPr>
      <w:r>
        <w:rPr>
          <w:rFonts w:ascii="Times New Roman" w:cs="Times New Roman" w:eastAsia="Times New Roman" w:hAnsi="Times New Roman"/>
          <w:sz w:val="20"/>
          <w:szCs w:val="20"/>
          <w:color w:val="auto"/>
        </w:rPr>
        <w:t>Email: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06" w:name="page307"/>
    <w:bookmarkEnd w:id="306"/>
    <w:p>
      <w:pPr>
        <w:ind w:right="200" w:firstLine="8"/>
        <w:spacing w:after="0" w:line="244" w:lineRule="auto"/>
        <w:tabs>
          <w:tab w:leader="none" w:pos="12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CERTAIN CONFIDENTIAL INFORMATION CONTAINED IN THIS DOCUMENT, MARKED BY BRACKETS, HAS BEEN OMITTED BECAUSE IT IS BOTH (I) NOT MATERIAL AND (II) IS THE TYPE THAT THE REGISTRANT TREATS AS PRIVATE OR CONFIDENTIAL.</w:t>
      </w:r>
    </w:p>
    <w:p>
      <w:pPr>
        <w:spacing w:after="0" w:line="2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If to Aurigene: Aurigene Oncology Limited</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39-40(P), KIADB Industrial Area,</w:t>
      </w:r>
    </w:p>
    <w:p>
      <w:pPr>
        <w:ind w:left="2260"/>
        <w:spacing w:after="0"/>
        <w:rPr>
          <w:sz w:val="20"/>
          <w:szCs w:val="20"/>
          <w:color w:val="auto"/>
        </w:rPr>
      </w:pPr>
      <w:r>
        <w:rPr>
          <w:rFonts w:ascii="Times New Roman" w:cs="Times New Roman" w:eastAsia="Times New Roman" w:hAnsi="Times New Roman"/>
          <w:sz w:val="20"/>
          <w:szCs w:val="20"/>
          <w:color w:val="auto"/>
        </w:rPr>
        <w:t>Electronics City Phase 2, Hosur Road</w:t>
      </w:r>
    </w:p>
    <w:p>
      <w:pPr>
        <w:ind w:left="2260"/>
        <w:spacing w:after="0"/>
        <w:rPr>
          <w:sz w:val="20"/>
          <w:szCs w:val="20"/>
          <w:color w:val="auto"/>
        </w:rPr>
      </w:pPr>
      <w:r>
        <w:rPr>
          <w:rFonts w:ascii="Times New Roman" w:cs="Times New Roman" w:eastAsia="Times New Roman" w:hAnsi="Times New Roman"/>
          <w:sz w:val="20"/>
          <w:szCs w:val="20"/>
          <w:color w:val="auto"/>
        </w:rPr>
        <w:t>Bangalore - 560100 Karnataka India</w:t>
      </w:r>
    </w:p>
    <w:p>
      <w:pPr>
        <w:ind w:left="2260"/>
        <w:spacing w:after="0"/>
        <w:rPr>
          <w:sz w:val="20"/>
          <w:szCs w:val="20"/>
          <w:color w:val="auto"/>
        </w:rPr>
      </w:pPr>
      <w:r>
        <w:rPr>
          <w:rFonts w:ascii="Times New Roman" w:cs="Times New Roman" w:eastAsia="Times New Roman" w:hAnsi="Times New Roman"/>
          <w:sz w:val="20"/>
          <w:szCs w:val="20"/>
          <w:color w:val="auto"/>
        </w:rPr>
        <w:t>Attn: Chief Executive Officer</w:t>
      </w:r>
    </w:p>
    <w:p>
      <w:pPr>
        <w:ind w:left="2260"/>
        <w:spacing w:after="0"/>
        <w:rPr>
          <w:sz w:val="20"/>
          <w:szCs w:val="20"/>
          <w:color w:val="auto"/>
        </w:rPr>
      </w:pPr>
      <w:r>
        <w:rPr>
          <w:rFonts w:ascii="Times New Roman" w:cs="Times New Roman" w:eastAsia="Times New Roman" w:hAnsi="Times New Roman"/>
          <w:sz w:val="20"/>
          <w:szCs w:val="20"/>
          <w:color w:val="auto"/>
        </w:rPr>
        <w:t>Email: [ * ]</w:t>
      </w:r>
    </w:p>
    <w:p>
      <w:pPr>
        <w:spacing w:after="0" w:line="200" w:lineRule="exact"/>
        <w:rPr>
          <w:sz w:val="20"/>
          <w:szCs w:val="20"/>
          <w:color w:val="auto"/>
        </w:rPr>
      </w:pPr>
    </w:p>
    <w:p>
      <w:pPr>
        <w:spacing w:after="0" w:line="233" w:lineRule="exact"/>
        <w:rPr>
          <w:sz w:val="20"/>
          <w:szCs w:val="20"/>
          <w:color w:val="auto"/>
        </w:rPr>
      </w:pPr>
    </w:p>
    <w:p>
      <w:pPr>
        <w:ind w:left="760" w:hanging="378"/>
        <w:spacing w:after="0"/>
        <w:tabs>
          <w:tab w:leader="none" w:pos="7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Defined Terms. </w:t>
      </w:r>
      <w:r>
        <w:rPr>
          <w:rFonts w:ascii="Times New Roman" w:cs="Times New Roman" w:eastAsia="Times New Roman" w:hAnsi="Times New Roman"/>
          <w:sz w:val="20"/>
          <w:szCs w:val="20"/>
          <w:color w:val="auto"/>
        </w:rPr>
        <w:t>All initially capitalized terms not defined herein shall have the meaning ascribed to them in the Agreement.</w:t>
      </w:r>
    </w:p>
    <w:p>
      <w:pPr>
        <w:spacing w:after="0" w:line="229" w:lineRule="exact"/>
        <w:rPr>
          <w:rFonts w:ascii="Times New Roman" w:cs="Times New Roman" w:eastAsia="Times New Roman" w:hAnsi="Times New Roman"/>
          <w:sz w:val="20"/>
          <w:szCs w:val="20"/>
          <w:color w:val="auto"/>
        </w:rPr>
      </w:pPr>
    </w:p>
    <w:p>
      <w:pPr>
        <w:ind w:left="760" w:right="60" w:hanging="378"/>
        <w:spacing w:after="0" w:line="273" w:lineRule="auto"/>
        <w:tabs>
          <w:tab w:leader="none" w:pos="7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Other Modifications. </w:t>
      </w:r>
      <w:r>
        <w:rPr>
          <w:rFonts w:ascii="Times New Roman" w:cs="Times New Roman" w:eastAsia="Times New Roman" w:hAnsi="Times New Roman"/>
          <w:sz w:val="20"/>
          <w:szCs w:val="20"/>
          <w:color w:val="auto"/>
        </w:rPr>
        <w:t>All other terms, covenants, conditions, and obligations of the Agreement shall remain in full force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except as modified herein.</w:t>
      </w:r>
    </w:p>
    <w:p>
      <w:pPr>
        <w:spacing w:after="0" w:line="165" w:lineRule="exact"/>
        <w:rPr>
          <w:rFonts w:ascii="Times New Roman" w:cs="Times New Roman" w:eastAsia="Times New Roman" w:hAnsi="Times New Roman"/>
          <w:sz w:val="20"/>
          <w:szCs w:val="20"/>
          <w:color w:val="auto"/>
        </w:rPr>
      </w:pPr>
    </w:p>
    <w:p>
      <w:pPr>
        <w:ind w:left="760" w:hanging="378"/>
        <w:spacing w:after="0" w:line="250" w:lineRule="auto"/>
        <w:tabs>
          <w:tab w:leader="none" w:pos="7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 Electronic Transmission</w:t>
      </w:r>
      <w:r>
        <w:rPr>
          <w:rFonts w:ascii="Times New Roman" w:cs="Times New Roman" w:eastAsia="Times New Roman" w:hAnsi="Times New Roman"/>
          <w:sz w:val="20"/>
          <w:szCs w:val="20"/>
          <w:color w:val="auto"/>
        </w:rPr>
        <w:t>. This Amendment may be executed in one or more counterparts, each of which shall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purposes be deemed to be an original and all of which shall constitute the same instrument. Copies of signatures sent by facsimile transmission, or any other electronic means are deemed to be originals for purposes of execution and proof of this Amendment.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Amendment as of the Effective Date.</w:t>
      </w:r>
    </w:p>
    <w:p>
      <w:pPr>
        <w:spacing w:after="0" w:line="200" w:lineRule="exact"/>
        <w:rPr>
          <w:sz w:val="20"/>
          <w:szCs w:val="20"/>
          <w:color w:val="auto"/>
        </w:rPr>
      </w:pPr>
    </w:p>
    <w:p>
      <w:pPr>
        <w:spacing w:after="0" w:line="245"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0"/>
          <w:szCs w:val="20"/>
          <w:b w:val="1"/>
          <w:bCs w:val="1"/>
          <w:color w:val="auto"/>
        </w:rPr>
        <w:t>OLEMA PHARMACEUTICALS, INC.</w:t>
      </w:r>
      <w:r>
        <w:rPr>
          <w:sz w:val="20"/>
          <w:szCs w:val="20"/>
          <w:color w:val="auto"/>
        </w:rPr>
        <w:tab/>
      </w:r>
      <w:r>
        <w:rPr>
          <w:rFonts w:ascii="Times New Roman" w:cs="Times New Roman" w:eastAsia="Times New Roman" w:hAnsi="Times New Roman"/>
          <w:sz w:val="19"/>
          <w:szCs w:val="19"/>
          <w:b w:val="1"/>
          <w:bCs w:val="1"/>
          <w:color w:val="auto"/>
        </w:rPr>
        <w:t>AURIGENE ONCOLOGY LIMITED</w:t>
      </w:r>
    </w:p>
    <w:p>
      <w:pPr>
        <w:sectPr>
          <w:pgSz w:w="11900" w:h="16838" w:orient="portrait"/>
          <w:cols w:equalWidth="0" w:num="1">
            <w:col w:w="11080"/>
          </w:cols>
          <w:pgMar w:left="320" w:top="1246" w:right="499" w:bottom="1440" w:gutter="0" w:footer="0" w:header="0"/>
        </w:sect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 /s/ Sean Bohen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7721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Print Name: Sean Bohen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772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0772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 5/2/2024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7721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Murali Ramachandra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10795</wp:posOffset>
            </wp:positionV>
            <wp:extent cx="34290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Print Name: Murali Ramachandra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18415</wp:posOffset>
            </wp:positionV>
            <wp:extent cx="34290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10795</wp:posOffset>
            </wp:positionV>
            <wp:extent cx="34290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5/2/2024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10795</wp:posOffset>
            </wp:positionV>
            <wp:extent cx="34290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1035685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720"/>
            <w:col w:w="5140"/>
          </w:cols>
          <w:pgMar w:left="320" w:top="1246" w:right="499" w:bottom="1440" w:gutter="0" w:footer="0" w:header="0"/>
          <w:type w:val="continuous"/>
        </w:sectPr>
      </w:pPr>
    </w:p>
    <w:bookmarkStart w:id="307" w:name="page308"/>
    <w:bookmarkEnd w:id="307"/>
    <w:p>
      <w:pPr>
        <w:jc w:val="right"/>
        <w:spacing w:after="0"/>
        <w:rPr>
          <w:sz w:val="20"/>
          <w:szCs w:val="20"/>
          <w:color w:val="auto"/>
        </w:rPr>
      </w:pPr>
      <w:r>
        <w:rPr>
          <w:rFonts w:ascii="Times New Roman" w:cs="Times New Roman" w:eastAsia="Times New Roman" w:hAnsi="Times New Roman"/>
          <w:sz w:val="22"/>
          <w:szCs w:val="22"/>
          <w:b w:val="1"/>
          <w:bCs w:val="1"/>
          <w:color w:val="auto"/>
        </w:rPr>
        <w:t>Exhibit 10.27</w:t>
      </w:r>
    </w:p>
    <w:p>
      <w:pPr>
        <w:spacing w:after="0" w:line="237" w:lineRule="exact"/>
        <w:rPr>
          <w:sz w:val="20"/>
          <w:szCs w:val="20"/>
          <w:color w:val="auto"/>
        </w:rPr>
      </w:pPr>
    </w:p>
    <w:p>
      <w:pPr>
        <w:ind w:right="360" w:firstLine="8"/>
        <w:spacing w:after="0" w:line="244" w:lineRule="auto"/>
        <w:tabs>
          <w:tab w:leader="none" w:pos="12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CERTAIN CONFIDENTIAL INFORMATION CONTAINED IN THIS DOCUMENT, MARKED BY BRACKETS, HAS BEEN OMITTED BECAUSE IT IS BOTH (I) NOT MATERIAL AND (II) IS THE TYPE THAT THE REGISTRANT TREATS AS PRIVATE OR CONFIDENTIAL.</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 Number No.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Drug Discovery Collaboration and License Agreement</w:t>
      </w:r>
    </w:p>
    <w:p>
      <w:pPr>
        <w:spacing w:after="0" w:line="200" w:lineRule="exact"/>
        <w:rPr>
          <w:sz w:val="20"/>
          <w:szCs w:val="20"/>
          <w:color w:val="auto"/>
        </w:rPr>
      </w:pP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THIS AMENDMENT NO. 2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made and entered into as of the date of the last signature below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Olema Pharmaceuticals, Inc., a Delaware corporation with a business address of 780 Brannan Street, San Francisco,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 94103 (hereinafter “</w:t>
      </w:r>
      <w:r>
        <w:rPr>
          <w:rFonts w:ascii="Times New Roman" w:cs="Times New Roman" w:eastAsia="Times New Roman" w:hAnsi="Times New Roman"/>
          <w:sz w:val="20"/>
          <w:szCs w:val="20"/>
          <w:b w:val="1"/>
          <w:bCs w:val="1"/>
          <w:color w:val="auto"/>
        </w:rPr>
        <w:t>Olema</w:t>
      </w:r>
      <w:r>
        <w:rPr>
          <w:rFonts w:ascii="Times New Roman" w:cs="Times New Roman" w:eastAsia="Times New Roman" w:hAnsi="Times New Roman"/>
          <w:sz w:val="20"/>
          <w:szCs w:val="20"/>
          <w:color w:val="auto"/>
        </w:rPr>
        <w:t>”) and Aurigene Oncology Limited (</w:t>
      </w:r>
      <w:r>
        <w:rPr>
          <w:rFonts w:ascii="Times New Roman" w:cs="Times New Roman" w:eastAsia="Times New Roman" w:hAnsi="Times New Roman"/>
          <w:sz w:val="20"/>
          <w:szCs w:val="20"/>
          <w:i w:val="1"/>
          <w:iCs w:val="1"/>
          <w:color w:val="auto"/>
        </w:rPr>
        <w:t>earlier known as Aurigene Discovery Technologies Limited</w:t>
      </w:r>
      <w:r>
        <w:rPr>
          <w:rFonts w:ascii="Times New Roman" w:cs="Times New Roman" w:eastAsia="Times New Roman" w:hAnsi="Times New Roman"/>
          <w:sz w:val="20"/>
          <w:szCs w:val="20"/>
          <w:color w:val="auto"/>
        </w:rPr>
        <w:t>), a corporation organized under the laws of India, having its principal place of business at 39-40(P), KIADB Industrial Area, Electronics City Phase II, Hosur Road, Bangalore-560100, India (hereinafter “</w:t>
      </w:r>
      <w:r>
        <w:rPr>
          <w:rFonts w:ascii="Times New Roman" w:cs="Times New Roman" w:eastAsia="Times New Roman" w:hAnsi="Times New Roman"/>
          <w:sz w:val="20"/>
          <w:szCs w:val="20"/>
          <w:b w:val="1"/>
          <w:bCs w:val="1"/>
          <w:color w:val="auto"/>
        </w:rPr>
        <w:t>Aurigene</w:t>
      </w:r>
      <w:r>
        <w:rPr>
          <w:rFonts w:ascii="Times New Roman" w:cs="Times New Roman" w:eastAsia="Times New Roman" w:hAnsi="Times New Roman"/>
          <w:sz w:val="20"/>
          <w:szCs w:val="20"/>
          <w:color w:val="auto"/>
        </w:rPr>
        <w:t>”). Olema and Aurigene are sometimes referred to herein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0" w:lineRule="exact"/>
        <w:rPr>
          <w:sz w:val="20"/>
          <w:szCs w:val="20"/>
          <w:color w:val="auto"/>
        </w:rPr>
      </w:pPr>
    </w:p>
    <w:p>
      <w:pPr>
        <w:spacing w:after="0" w:line="2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under the terms of the Drug Discovery Collaboration and License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June 7, 2022,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Parties, the Parties desired to pursue a collaborative research program more particularly described in the Agreement; 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Parties hereto wish to amend the Agreement and they desire to memorialize such changes in this Amendment No. 2;</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following mutual promises, covenants and conditions hereinafter set forth, the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as 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60" w:hanging="378"/>
        <w:spacing w:after="0"/>
        <w:tabs>
          <w:tab w:leader="none" w:pos="76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Article 3.4, Research Term, </w:t>
      </w:r>
      <w:r>
        <w:rPr>
          <w:rFonts w:ascii="Times New Roman" w:cs="Times New Roman" w:eastAsia="Times New Roman" w:hAnsi="Times New Roman"/>
          <w:sz w:val="20"/>
          <w:szCs w:val="20"/>
          <w:color w:val="auto"/>
        </w:rPr>
        <w:t>shall be extended through [ * ].</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Defined Terms. </w:t>
      </w:r>
      <w:r>
        <w:rPr>
          <w:rFonts w:ascii="Times New Roman" w:cs="Times New Roman" w:eastAsia="Times New Roman" w:hAnsi="Times New Roman"/>
          <w:sz w:val="20"/>
          <w:szCs w:val="20"/>
          <w:color w:val="auto"/>
        </w:rPr>
        <w:t>All initially capitalized terms not defined herein shall have the meaning ascribed to them in the Agreement.</w:t>
      </w:r>
    </w:p>
    <w:p>
      <w:pPr>
        <w:spacing w:after="0" w:line="229" w:lineRule="exact"/>
        <w:rPr>
          <w:rFonts w:ascii="Times New Roman" w:cs="Times New Roman" w:eastAsia="Times New Roman" w:hAnsi="Times New Roman"/>
          <w:sz w:val="20"/>
          <w:szCs w:val="20"/>
          <w:color w:val="auto"/>
        </w:rPr>
      </w:pPr>
    </w:p>
    <w:p>
      <w:pPr>
        <w:ind w:left="760" w:right="220" w:hanging="378"/>
        <w:spacing w:after="0" w:line="273" w:lineRule="auto"/>
        <w:tabs>
          <w:tab w:leader="none" w:pos="76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Other Modifications. </w:t>
      </w:r>
      <w:r>
        <w:rPr>
          <w:rFonts w:ascii="Times New Roman" w:cs="Times New Roman" w:eastAsia="Times New Roman" w:hAnsi="Times New Roman"/>
          <w:sz w:val="20"/>
          <w:szCs w:val="20"/>
          <w:color w:val="auto"/>
        </w:rPr>
        <w:t>All other terms, covenants, conditions, and obligations of the Agreement shall remain in full force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except as modified herein.</w:t>
      </w:r>
    </w:p>
    <w:p>
      <w:pPr>
        <w:spacing w:after="0" w:line="165" w:lineRule="exact"/>
        <w:rPr>
          <w:rFonts w:ascii="Times New Roman" w:cs="Times New Roman" w:eastAsia="Times New Roman" w:hAnsi="Times New Roman"/>
          <w:sz w:val="20"/>
          <w:szCs w:val="20"/>
          <w:color w:val="auto"/>
        </w:rPr>
      </w:pPr>
    </w:p>
    <w:p>
      <w:pPr>
        <w:ind w:left="760" w:right="160" w:hanging="378"/>
        <w:spacing w:after="0" w:line="250" w:lineRule="auto"/>
        <w:tabs>
          <w:tab w:leader="none" w:pos="76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 Electronic Transmission</w:t>
      </w:r>
      <w:r>
        <w:rPr>
          <w:rFonts w:ascii="Times New Roman" w:cs="Times New Roman" w:eastAsia="Times New Roman" w:hAnsi="Times New Roman"/>
          <w:sz w:val="20"/>
          <w:szCs w:val="20"/>
          <w:color w:val="auto"/>
        </w:rPr>
        <w:t>. This Amendment may be executed in one or more counterparts, each of which shall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purposes be deemed to be an original and all of which shall constitute the same instrument. Copies of signatures sent by facsimile transmission, or any other electronic means are deemed to be originals for purposes of execution and proof of this Amendment.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08" w:name="page309"/>
    <w:bookmarkEnd w:id="308"/>
    <w:p>
      <w:pPr>
        <w:ind w:firstLine="8"/>
        <w:spacing w:after="0" w:line="244" w:lineRule="auto"/>
        <w:tabs>
          <w:tab w:leader="none" w:pos="12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CERTAIN CONFIDENTIAL INFORMATION CONTAINED IN THIS DOCUMENT, MARKED BY BRACKETS, HAS BEEN OMITTED BECAUSE IT IS BOTH (I) NOT MATERIAL AND (II) IS THE TYPE THAT THE REGISTRANT TREATS AS PRIVATE OR CONFIDENTIAL.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Amendment as of the Effective Date.</w:t>
      </w:r>
    </w:p>
    <w:p>
      <w:pPr>
        <w:spacing w:after="0" w:line="200" w:lineRule="exact"/>
        <w:rPr>
          <w:sz w:val="20"/>
          <w:szCs w:val="20"/>
          <w:color w:val="auto"/>
        </w:rPr>
      </w:pPr>
    </w:p>
    <w:p>
      <w:pPr>
        <w:spacing w:after="0" w:line="245"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0"/>
          <w:szCs w:val="20"/>
          <w:b w:val="1"/>
          <w:bCs w:val="1"/>
          <w:color w:val="auto"/>
        </w:rPr>
        <w:t>OLEMA PHARMACEUTICALS, INC.</w:t>
      </w:r>
      <w:r>
        <w:rPr>
          <w:sz w:val="20"/>
          <w:szCs w:val="20"/>
          <w:color w:val="auto"/>
        </w:rPr>
        <w:tab/>
      </w:r>
      <w:r>
        <w:rPr>
          <w:rFonts w:ascii="Times New Roman" w:cs="Times New Roman" w:eastAsia="Times New Roman" w:hAnsi="Times New Roman"/>
          <w:sz w:val="19"/>
          <w:szCs w:val="19"/>
          <w:b w:val="1"/>
          <w:bCs w:val="1"/>
          <w:color w:val="auto"/>
        </w:rPr>
        <w:t>AURIGENE ONCOLOGY LIMITED</w:t>
      </w:r>
    </w:p>
    <w:p>
      <w:pPr>
        <w:sectPr>
          <w:pgSz w:w="11900" w:h="16838" w:orient="portrait"/>
          <w:cols w:equalWidth="0" w:num="1">
            <w:col w:w="10880"/>
          </w:cols>
          <w:pgMar w:left="320" w:top="760" w:right="699" w:bottom="1440" w:gutter="0" w:footer="0" w:header="0"/>
        </w:sect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 /s/ Sean Bohen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772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Print Name: Sean Bohen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07721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Title: CEO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0772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 11/15/2024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7721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Murali Ramachandra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10795</wp:posOffset>
            </wp:positionV>
            <wp:extent cx="34290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Print Name: Murali Ramachandra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18415</wp:posOffset>
            </wp:positionV>
            <wp:extent cx="34290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10795</wp:posOffset>
            </wp:positionV>
            <wp:extent cx="34290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0"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21"/>
          <w:szCs w:val="21"/>
          <w:color w:val="auto"/>
        </w:rPr>
        <w:t>Date: 11/7/2024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18415</wp:posOffset>
            </wp:positionV>
            <wp:extent cx="34290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1042670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720"/>
            <w:col w:w="4940"/>
          </w:cols>
          <w:pgMar w:left="320" w:top="760" w:right="699" w:bottom="1440" w:gutter="0" w:footer="0" w:header="0"/>
          <w:type w:val="continuous"/>
        </w:sectPr>
      </w:pPr>
    </w:p>
    <w:bookmarkStart w:id="309" w:name="page310"/>
    <w:bookmarkEnd w:id="309"/>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lema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hanging="752"/>
        <w:spacing w:after="0"/>
        <w:tabs>
          <w:tab w:leader="none" w:pos="760"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During the course of your relationship with </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lema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you may receive material information that is not yet public (“</w:t>
      </w:r>
      <w:r>
        <w:rPr>
          <w:rFonts w:ascii="Times New Roman" w:cs="Times New Roman" w:eastAsia="Times New Roman" w:hAnsi="Times New Roman"/>
          <w:sz w:val="20"/>
          <w:szCs w:val="20"/>
          <w:b w:val="1"/>
          <w:bCs w:val="1"/>
          <w:i w:val="1"/>
          <w:iCs w:val="1"/>
          <w:color w:val="auto"/>
        </w:rPr>
        <w:t>material nonpublic information</w:t>
      </w:r>
      <w:r>
        <w:rPr>
          <w:rFonts w:ascii="Times New Roman" w:cs="Times New Roman" w:eastAsia="Times New Roman" w:hAnsi="Times New Roman"/>
          <w:sz w:val="20"/>
          <w:szCs w:val="20"/>
          <w:color w:val="auto"/>
        </w:rPr>
        <w:t>”) about the Company or about other publicly traded companies with which the Company has business relationships. Material nonpublic information may give you, or someone you pass that information on to, a leg up over others when deciding whether to buy, sell or otherwise transact in the Company’s securities or the securities of another publicly traded company. This policy sets forth guidelines with respect to transactions in the Company’s securities by our directors, officers, other employees and consultants who are advised that they are subject to this policy and who may become aware of material nonpublic information (“</w:t>
      </w:r>
      <w:r>
        <w:rPr>
          <w:rFonts w:ascii="Times New Roman" w:cs="Times New Roman" w:eastAsia="Times New Roman" w:hAnsi="Times New Roman"/>
          <w:sz w:val="20"/>
          <w:szCs w:val="20"/>
          <w:b w:val="1"/>
          <w:bCs w:val="1"/>
          <w:i w:val="1"/>
          <w:iCs w:val="1"/>
          <w:color w:val="auto"/>
        </w:rPr>
        <w:t>designated consultants</w:t>
      </w:r>
      <w:r>
        <w:rPr>
          <w:rFonts w:ascii="Times New Roman" w:cs="Times New Roman" w:eastAsia="Times New Roman" w:hAnsi="Times New Roman"/>
          <w:sz w:val="20"/>
          <w:szCs w:val="20"/>
          <w:color w:val="auto"/>
        </w:rPr>
        <w:t>”) and the other persons subject to this policy as described below.</w:t>
      </w:r>
    </w:p>
    <w:p>
      <w:pPr>
        <w:spacing w:after="0" w:line="179" w:lineRule="exact"/>
        <w:rPr>
          <w:sz w:val="20"/>
          <w:szCs w:val="20"/>
          <w:color w:val="auto"/>
        </w:rPr>
      </w:pPr>
    </w:p>
    <w:p>
      <w:pPr>
        <w:ind w:left="760" w:hanging="752"/>
        <w:spacing w:after="0"/>
        <w:tabs>
          <w:tab w:leader="none" w:pos="760" w:val="left"/>
        </w:tabs>
        <w:numPr>
          <w:ilvl w:val="0"/>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tatement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It is the policy of the Company that an employee, director or designated consultant of the Company (or any other person subject to this policy) who is aware of material nonpublic information relating to the Company may not, directly or indirectly:</w:t>
      </w:r>
    </w:p>
    <w:p>
      <w:pPr>
        <w:spacing w:after="0" w:line="159" w:lineRule="exact"/>
        <w:rPr>
          <w:sz w:val="20"/>
          <w:szCs w:val="20"/>
          <w:color w:val="auto"/>
        </w:rPr>
      </w:pPr>
    </w:p>
    <w:p>
      <w:pPr>
        <w:ind w:left="1500" w:hanging="743"/>
        <w:spacing w:after="0" w:line="269" w:lineRule="auto"/>
        <w:tabs>
          <w:tab w:leader="none" w:pos="150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transactions in the Company’s securities, except as otherwise specified under the heading “Exceptions to this Policy” below;</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purchase or sale of any of the Company’s securities;</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to persons within the Company whose jobs do not require them to have that information, or outside of the Company to other persons, such as family, friends, business associates, and investors, unless the disclosure is made in accordance with the Company’s policies regarding the protection or authorized external disclosure of information regarding the Company; or</w:t>
      </w:r>
    </w:p>
    <w:p>
      <w:pPr>
        <w:spacing w:after="0" w:line="17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anyone engaged in the above activities.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0" w:name="page311"/>
    <w:bookmarkEnd w:id="310"/>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 the person to whom the insider disclosed material nonpublic information, and to the “tipper,” the insider himself or herself. In such cases, you can be held liable for your own transactions, as well as the transactions by a tippee and even the transactions of a tippee’s tippee. For these and other reasons, it is the policy of the Company that no employee, director or designated consultant of the Company (or any other person subject to this policy) may either (a) recommend to another person that they buy, hold, or sell the Company’s securities at any time or (b) disclose material nonpublic information to persons within the Company whose jobs do not require them to have that information, or outside of the Company to other persons (unless the disclosure is made in accordance with the Company’s policies regarding the protection or authorized external disclosure of information regarding the Company).</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addition, it is the policy of the Company that no employee, director or designated consultant of the Company (or any other person subject to this policy) who, in the course of working for the Company, learns of or is otherwise aware of material nonpublic information about another publicly traded company with which the Company does business, including a supplier, partner or collaborator of the Company, may trade in that company’s securities until the information becomes public or is no longer material.</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are no exceptions to this policy, except as specifically noted above or below.</w:t>
      </w:r>
    </w:p>
    <w:p>
      <w:pPr>
        <w:spacing w:after="0" w:line="212" w:lineRule="exact"/>
        <w:rPr>
          <w:sz w:val="20"/>
          <w:szCs w:val="20"/>
          <w:color w:val="auto"/>
        </w:rPr>
      </w:pPr>
    </w:p>
    <w:p>
      <w:pPr>
        <w:ind w:left="760" w:hanging="752"/>
        <w:spacing w:after="0"/>
        <w:tabs>
          <w:tab w:leader="none" w:pos="760" w:val="left"/>
        </w:tabs>
        <w:numPr>
          <w:ilvl w:val="0"/>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ransactions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 this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include not only purchases and sales of the Company’s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80" w:lineRule="exact"/>
        <w:rPr>
          <w:sz w:val="20"/>
          <w:szCs w:val="20"/>
          <w:color w:val="auto"/>
        </w:rPr>
      </w:pPr>
    </w:p>
    <w:p>
      <w:pPr>
        <w:ind w:left="760" w:hanging="752"/>
        <w:spacing w:after="0"/>
        <w:tabs>
          <w:tab w:leader="none" w:pos="76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ersons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his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This policy applies to you and all other employees, directors, officers and designated consultants of the Company and its subsidiaries. This policy also applies to persons with whom you share a household, persons who are your economic dependents, and any other individuals or entities whose transactions in securities you influence, direct, or control (including, e.g., a venture or other investment fund, if you influence, direct, or control transactions by the fund). However, this policy does not apply to any entity that invests in securities in the ordinary course of its business (e.g., a venture or other investment fund) if (and only if) such entity has established and certified to the Company that it has its own insider trading controls and procedures in compliance with applicable securities laws with respect to trading in the Company’s securities. The foregoing persons who are deemed subject to this policy are referred to in this policy as “</w:t>
      </w:r>
      <w:r>
        <w:rPr>
          <w:rFonts w:ascii="Times New Roman" w:cs="Times New Roman" w:eastAsia="Times New Roman" w:hAnsi="Times New Roman"/>
          <w:sz w:val="20"/>
          <w:szCs w:val="20"/>
          <w:b w:val="1"/>
          <w:bCs w:val="1"/>
          <w:i w:val="1"/>
          <w:iCs w:val="1"/>
          <w:color w:val="auto"/>
        </w:rPr>
        <w:t>Related Persons</w:t>
      </w:r>
      <w:r>
        <w:rPr>
          <w:rFonts w:ascii="Times New Roman" w:cs="Times New Roman" w:eastAsia="Times New Roman" w:hAnsi="Times New Roman"/>
          <w:sz w:val="20"/>
          <w:szCs w:val="20"/>
          <w:color w:val="auto"/>
        </w:rPr>
        <w:t>.” You are responsible for making sure that your Related Persons comply with this policy.</w:t>
      </w:r>
    </w:p>
    <w:p>
      <w:pPr>
        <w:spacing w:after="0" w:line="185" w:lineRule="exact"/>
        <w:rPr>
          <w:sz w:val="20"/>
          <w:szCs w:val="20"/>
          <w:color w:val="auto"/>
        </w:rPr>
      </w:pPr>
    </w:p>
    <w:p>
      <w:pPr>
        <w:ind w:left="760" w:hanging="752"/>
        <w:spacing w:after="0"/>
        <w:tabs>
          <w:tab w:leader="none" w:pos="760"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aterial</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onpublic</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1" w:name="page312"/>
    <w:bookmarkEnd w:id="311"/>
    <w:p>
      <w:pPr>
        <w:jc w:val="both"/>
        <w:spacing w:after="0" w:line="243" w:lineRule="auto"/>
        <w:rPr>
          <w:sz w:val="20"/>
          <w:szCs w:val="20"/>
          <w:color w:val="auto"/>
        </w:rPr>
      </w:pPr>
      <w:r>
        <w:rPr>
          <w:rFonts w:ascii="Times New Roman" w:cs="Times New Roman" w:eastAsia="Times New Roman" w:hAnsi="Times New Roman"/>
          <w:sz w:val="20"/>
          <w:szCs w:val="20"/>
          <w:color w:val="auto"/>
        </w:rPr>
        <w:t>that both positive and negative information can be material. There is no bright-line standard for assessing materiality; rather, materiality is based on an assessment of all of the facts and circumstances, and is often evaluated by relevant enforcement authorities with the benefit of hindsight. If you possess material nonpublic information, you may not trade in a company’s stock, advise anyone else to do so or communicate the information to anyone else until you know that the information has been publicly disseminated, as described below.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includes engaging in short sales, transactions in put or call options, hedging transactions and other inherently speculative transactions.</w:t>
      </w:r>
    </w:p>
    <w:p>
      <w:pPr>
        <w:spacing w:after="0" w:line="18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You may not participate in “chat rooms” or other electronic discussion groups or contribute to blogs, bulletin boards or social media forums on the internet concerning the activities of the Company or other companies with which the Company does business, even if you do so anonymously, unless doing so is part of your job responsibilities and you have explicit authorization from the individual designated by the Company’s board of directors as the clearing officer or his or her designee (each, a “</w:t>
      </w:r>
      <w:r>
        <w:rPr>
          <w:rFonts w:ascii="Times New Roman" w:cs="Times New Roman" w:eastAsia="Times New Roman" w:hAnsi="Times New Roman"/>
          <w:sz w:val="19"/>
          <w:szCs w:val="19"/>
          <w:b w:val="1"/>
          <w:bCs w:val="1"/>
          <w:i w:val="1"/>
          <w:iCs w:val="1"/>
          <w:color w:val="auto"/>
        </w:rPr>
        <w:t>Clearing Officer</w:t>
      </w:r>
      <w:r>
        <w:rPr>
          <w:rFonts w:ascii="Times New Roman" w:cs="Times New Roman" w:eastAsia="Times New Roman" w:hAnsi="Times New Roman"/>
          <w:sz w:val="19"/>
          <w:szCs w:val="19"/>
          <w:color w:val="auto"/>
        </w:rPr>
        <w:t>”). The Clearing Officer shall initially be the Chief Legal Officer of the Company. In the future, we may appoint another senior officer as the Clearing Officer.</w:t>
      </w:r>
    </w:p>
    <w:p>
      <w:pPr>
        <w:spacing w:after="0" w:line="16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Although by no means an all-inclusive list, information about the following items may be considered to be material nonpublic information until it is publicly disseminated:</w:t>
      </w:r>
    </w:p>
    <w:p>
      <w:pPr>
        <w:spacing w:after="0" w:line="159" w:lineRule="exact"/>
        <w:rPr>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or forecasts;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status of product or product candidate development or regulatory approvals;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data relating to products or product candidates;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timelines for pre-clinical studies or clinical trials;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or dispositions of assets, divisions or companies;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or private sales of debt or equity securities;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splits, dividends or changes in dividend policy;</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a repurchase program for the Company’s securities;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significant licensor, licensee or supplier;</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or new partner relationships, collaborations or grants;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issuance or denial of patents;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or control changes;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layoffs;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2" w:name="page313"/>
    <w:bookmarkEnd w:id="312"/>
    <w:p>
      <w:pPr>
        <w:ind w:firstLine="757"/>
        <w:spacing w:after="0" w:line="269" w:lineRule="auto"/>
        <w:tabs>
          <w:tab w:leader="none" w:pos="1018"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in the Company’s operations or breach or unauthorized access of its property or assets, including its facilities and information technology infrastructure;</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tender offers or proxy fights;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restatements;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or settlements; and</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When information is considered public</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(in each case subject to any pre-clearance requirements set forth in this policy). Depending on the particular circumstances, the Company may determine that a longer or shorter waiting period should apply to the release of specific material nonpublic information.</w:t>
      </w:r>
    </w:p>
    <w:p>
      <w:pPr>
        <w:spacing w:after="0" w:line="188" w:lineRule="exact"/>
        <w:rPr>
          <w:sz w:val="20"/>
          <w:szCs w:val="20"/>
          <w:color w:val="auto"/>
        </w:rPr>
      </w:pPr>
    </w:p>
    <w:p>
      <w:pPr>
        <w:ind w:left="760" w:hanging="752"/>
        <w:spacing w:after="0"/>
        <w:tabs>
          <w:tab w:leader="none" w:pos="76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 by</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O</w:t>
      </w:r>
      <w:r>
        <w:rPr>
          <w:rFonts w:ascii="Times New Roman" w:cs="Times New Roman" w:eastAsia="Times New Roman" w:hAnsi="Times New Roman"/>
          <w:sz w:val="13"/>
          <w:szCs w:val="13"/>
          <w:b w:val="1"/>
          <w:bCs w:val="1"/>
          <w:color w:val="auto"/>
        </w:rPr>
        <w:t>fficers</w:t>
      </w:r>
      <w:r>
        <w:rPr>
          <w:rFonts w:ascii="Times New Roman" w:cs="Times New Roman" w:eastAsia="Times New Roman" w:hAnsi="Times New Roman"/>
          <w:sz w:val="20"/>
          <w:szCs w:val="20"/>
          <w:b w:val="1"/>
          <w:bCs w:val="1"/>
          <w:color w:val="auto"/>
        </w:rPr>
        <w:t>, E</w:t>
      </w:r>
      <w:r>
        <w:rPr>
          <w:rFonts w:ascii="Times New Roman" w:cs="Times New Roman" w:eastAsia="Times New Roman" w:hAnsi="Times New Roman"/>
          <w:sz w:val="13"/>
          <w:szCs w:val="13"/>
          <w:b w:val="1"/>
          <w:bCs w:val="1"/>
          <w:color w:val="auto"/>
        </w:rPr>
        <w:t>mployees and other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roviders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Pre-Clearance and Advance Notice of Transactions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All directors, officers and other employees with the title of Vice President or above (collectively “</w:t>
      </w:r>
      <w:r>
        <w:rPr>
          <w:rFonts w:ascii="Times New Roman" w:cs="Times New Roman" w:eastAsia="Times New Roman" w:hAnsi="Times New Roman"/>
          <w:sz w:val="20"/>
          <w:szCs w:val="20"/>
          <w:b w:val="1"/>
          <w:bCs w:val="1"/>
          <w:i w:val="1"/>
          <w:iCs w:val="1"/>
          <w:color w:val="auto"/>
        </w:rPr>
        <w:t>Senior Employees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Directors</w:t>
      </w:r>
      <w:r>
        <w:rPr>
          <w:rFonts w:ascii="Times New Roman" w:cs="Times New Roman" w:eastAsia="Times New Roman" w:hAnsi="Times New Roman"/>
          <w:sz w:val="20"/>
          <w:szCs w:val="20"/>
          <w:color w:val="auto"/>
        </w:rPr>
        <w:t>”) are required notify and receive approval from a Clearing Officer prior to engaging in transactions in the Company’s securities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observe other restrictions designed to minimize the risk of apparent or actual insider trading as set forth in Section IX. From time to time, we may also require that certain persons limit their transactions in the Company’s securities to certain trading window periods or require persons subject to this policy to obtain pre-clearance as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Trading Window Period and Trading Blackout Period</w:t>
      </w:r>
    </w:p>
    <w:p>
      <w:pPr>
        <w:spacing w:after="0" w:line="220" w:lineRule="exact"/>
        <w:rPr>
          <w:sz w:val="20"/>
          <w:szCs w:val="20"/>
          <w:color w:val="auto"/>
        </w:rPr>
      </w:pPr>
    </w:p>
    <w:p>
      <w:pPr>
        <w:jc w:val="both"/>
        <w:ind w:left="100" w:firstLine="423"/>
        <w:spacing w:after="0" w:line="245" w:lineRule="auto"/>
        <w:rPr>
          <w:sz w:val="20"/>
          <w:szCs w:val="20"/>
          <w:color w:val="auto"/>
        </w:rPr>
      </w:pPr>
      <w:r>
        <w:rPr>
          <w:rFonts w:ascii="Times New Roman" w:cs="Times New Roman" w:eastAsia="Times New Roman" w:hAnsi="Times New Roman"/>
          <w:sz w:val="20"/>
          <w:szCs w:val="20"/>
          <w:color w:val="auto"/>
        </w:rPr>
        <w:t>From time to time, the Company may generally prohibit directors, employees and designated consultants from being or selling securities outside of a time period the Company designates as an open trading window (such period when trading is allowed is referred to as a “</w:t>
      </w:r>
      <w:r>
        <w:rPr>
          <w:rFonts w:ascii="Times New Roman" w:cs="Times New Roman" w:eastAsia="Times New Roman" w:hAnsi="Times New Roman"/>
          <w:sz w:val="20"/>
          <w:szCs w:val="20"/>
          <w:b w:val="1"/>
          <w:bCs w:val="1"/>
          <w:i w:val="1"/>
          <w:iCs w:val="1"/>
          <w:color w:val="auto"/>
        </w:rPr>
        <w:t>trading window period</w:t>
      </w:r>
      <w:r>
        <w:rPr>
          <w:rFonts w:ascii="Times New Roman" w:cs="Times New Roman" w:eastAsia="Times New Roman" w:hAnsi="Times New Roman"/>
          <w:sz w:val="20"/>
          <w:szCs w:val="20"/>
          <w:color w:val="auto"/>
        </w:rPr>
        <w:t>” and such period when trading is not allowed is referred to as a “</w:t>
      </w:r>
      <w:r>
        <w:rPr>
          <w:rFonts w:ascii="Times New Roman" w:cs="Times New Roman" w:eastAsia="Times New Roman" w:hAnsi="Times New Roman"/>
          <w:sz w:val="20"/>
          <w:szCs w:val="20"/>
          <w:b w:val="1"/>
          <w:bCs w:val="1"/>
          <w:i w:val="1"/>
          <w:iCs w:val="1"/>
          <w:color w:val="auto"/>
        </w:rPr>
        <w:t>trading blackout period</w:t>
      </w:r>
      <w:r>
        <w:rPr>
          <w:rFonts w:ascii="Times New Roman" w:cs="Times New Roman" w:eastAsia="Times New Roman" w:hAnsi="Times New Roman"/>
          <w:sz w:val="20"/>
          <w:szCs w:val="20"/>
          <w:color w:val="auto"/>
        </w:rPr>
        <w:t>”). As of the effective date of this policy, the Company has not instituted a trading window period. In the event the Company institutes a trading window period after the effective date of this policy, directors, employees and designated consultants will additionally be subject to the requirements of this paragraph.</w:t>
      </w:r>
    </w:p>
    <w:p>
      <w:pPr>
        <w:spacing w:after="0" w:line="184" w:lineRule="exact"/>
        <w:rPr>
          <w:sz w:val="20"/>
          <w:szCs w:val="20"/>
          <w:color w:val="auto"/>
        </w:rPr>
      </w:pPr>
    </w:p>
    <w:p>
      <w:pPr>
        <w:jc w:val="both"/>
        <w:ind w:left="100" w:firstLine="656"/>
        <w:spacing w:after="0" w:line="254" w:lineRule="auto"/>
        <w:rPr>
          <w:sz w:val="20"/>
          <w:szCs w:val="20"/>
          <w:color w:val="auto"/>
        </w:rPr>
      </w:pPr>
      <w:r>
        <w:rPr>
          <w:rFonts w:ascii="Times New Roman" w:cs="Times New Roman" w:eastAsia="Times New Roman" w:hAnsi="Times New Roman"/>
          <w:sz w:val="20"/>
          <w:szCs w:val="20"/>
          <w:color w:val="auto"/>
        </w:rPr>
        <w:t>In the event the Company institutes a trading window period, except as set forth in this paragraph and in Section VII of this policy, directors, officers, other employees and designated consultants may buy or sell securities of the Company only during a window period that opens after two full trading days have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3" w:name="page314"/>
    <w:bookmarkEnd w:id="313"/>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elapsed after the public dissemination of the Company’s annual or quarterly financial results and closes on the last trading day a set number of weeks before the end of the quarter. This window period may be closed early or may not open if, in the judgment of the Clearing Officer, there exists undisclosed information that would make trades inappropriate. In addition to a trading window period, the Company may close the trading window at any time and for any duration pending public release of material news. It is important to note that the fact that the trading window is closed should itself be considered inside information. An employee or director who believes that special circumstances require him or her to trade during a closing trading window should consult with the Clearing Officer. Permission to trade during a closed trading window will be granted only where the circumstances are extenuating and there appears to be no significant risk that the trade may subsequently be questioned.</w:t>
      </w:r>
    </w:p>
    <w:p>
      <w:pPr>
        <w:spacing w:after="0" w:line="185" w:lineRule="exact"/>
        <w:rPr>
          <w:sz w:val="20"/>
          <w:szCs w:val="20"/>
          <w:color w:val="auto"/>
        </w:rPr>
      </w:pPr>
    </w:p>
    <w:p>
      <w:pPr>
        <w:ind w:left="760" w:hanging="752"/>
        <w:spacing w:after="0"/>
        <w:tabs>
          <w:tab w:leader="none" w:pos="760"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xceptions to this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policy does not apply in the case of the following transactions, except as specifically noted:</w:t>
      </w:r>
    </w:p>
    <w:p>
      <w:pPr>
        <w:spacing w:after="0" w:line="212" w:lineRule="exact"/>
        <w:rPr>
          <w:sz w:val="20"/>
          <w:szCs w:val="20"/>
          <w:color w:val="auto"/>
        </w:rPr>
      </w:pPr>
    </w:p>
    <w:p>
      <w:pPr>
        <w:jc w:val="both"/>
        <w:ind w:left="100" w:firstLine="659"/>
        <w:spacing w:after="0" w:line="250" w:lineRule="auto"/>
        <w:rPr>
          <w:sz w:val="20"/>
          <w:szCs w:val="20"/>
          <w:color w:val="auto"/>
        </w:rPr>
      </w:pPr>
      <w:r>
        <w:rPr>
          <w:rFonts w:ascii="Times New Roman" w:cs="Times New Roman" w:eastAsia="Times New Roman" w:hAnsi="Times New Roman"/>
          <w:sz w:val="20"/>
          <w:szCs w:val="20"/>
          <w:b w:val="1"/>
          <w:bCs w:val="1"/>
          <w:color w:val="auto"/>
        </w:rPr>
        <w:t>7.1.</w:t>
      </w:r>
      <w:r>
        <w:rPr>
          <w:rFonts w:ascii="Times New Roman" w:cs="Times New Roman" w:eastAsia="Times New Roman" w:hAnsi="Times New Roman"/>
          <w:sz w:val="20"/>
          <w:szCs w:val="20"/>
          <w:b w:val="1"/>
          <w:bCs w:val="1"/>
          <w:i w:val="1"/>
          <w:iCs w:val="1"/>
          <w:color w:val="auto"/>
        </w:rPr>
        <w:t>Option Exercises</w:t>
      </w:r>
      <w:r>
        <w:rPr>
          <w:rFonts w:ascii="Times New Roman" w:cs="Times New Roman" w:eastAsia="Times New Roman" w:hAnsi="Times New Roman"/>
          <w:sz w:val="20"/>
          <w:szCs w:val="20"/>
          <w:color w:val="auto"/>
        </w:rPr>
        <w:t>. This policy does not apply to the exercise of options granted under the Company’s equity compensation plans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cash or, where permitted under the option, by a net exercise transaction with the Company or by delivery to the Company of already-owned stock of the Company. This policy does, however, apply to any sale of stock as part of a broker-assisted cashless exercise or any other market sale, whether or not for the purpose of generating the cash needed to pay the exercise price or pay taxes.</w:t>
      </w:r>
    </w:p>
    <w:p>
      <w:pPr>
        <w:spacing w:after="0" w:line="176" w:lineRule="exact"/>
        <w:rPr>
          <w:sz w:val="20"/>
          <w:szCs w:val="20"/>
          <w:color w:val="auto"/>
        </w:rPr>
      </w:pPr>
    </w:p>
    <w:p>
      <w:pPr>
        <w:jc w:val="both"/>
        <w:ind w:left="100" w:firstLine="659"/>
        <w:spacing w:after="0" w:line="247" w:lineRule="auto"/>
        <w:rPr>
          <w:sz w:val="20"/>
          <w:szCs w:val="20"/>
          <w:color w:val="auto"/>
        </w:rPr>
      </w:pPr>
      <w:r>
        <w:rPr>
          <w:rFonts w:ascii="Times New Roman" w:cs="Times New Roman" w:eastAsia="Times New Roman" w:hAnsi="Times New Roman"/>
          <w:sz w:val="20"/>
          <w:szCs w:val="20"/>
          <w:b w:val="1"/>
          <w:bCs w:val="1"/>
          <w:color w:val="auto"/>
        </w:rPr>
        <w:t>7.2.</w:t>
      </w:r>
      <w:r>
        <w:rPr>
          <w:rFonts w:ascii="Times New Roman" w:cs="Times New Roman" w:eastAsia="Times New Roman" w:hAnsi="Times New Roman"/>
          <w:sz w:val="20"/>
          <w:szCs w:val="20"/>
          <w:b w:val="1"/>
          <w:bCs w:val="1"/>
          <w:i w:val="1"/>
          <w:iCs w:val="1"/>
          <w:color w:val="auto"/>
        </w:rPr>
        <w:t>Tax Withholding Transactions</w:t>
      </w:r>
      <w:r>
        <w:rPr>
          <w:rFonts w:ascii="Times New Roman" w:cs="Times New Roman" w:eastAsia="Times New Roman" w:hAnsi="Times New Roman"/>
          <w:sz w:val="20"/>
          <w:szCs w:val="20"/>
          <w:color w:val="auto"/>
        </w:rPr>
        <w:t>. This policy does not apply to the surrender of shares directly to the Company to satisfy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 obligations as a result of the issuance of shares upon vesting or exercise of restricted stock units, options, or other equity awards granted under the Company’s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80" w:lineRule="exact"/>
        <w:rPr>
          <w:sz w:val="20"/>
          <w:szCs w:val="20"/>
          <w:color w:val="auto"/>
        </w:rPr>
      </w:pPr>
    </w:p>
    <w:p>
      <w:pPr>
        <w:jc w:val="both"/>
        <w:ind w:left="100" w:firstLine="659"/>
        <w:spacing w:after="0" w:line="256" w:lineRule="auto"/>
        <w:rPr>
          <w:sz w:val="20"/>
          <w:szCs w:val="20"/>
          <w:color w:val="auto"/>
        </w:rPr>
      </w:pPr>
      <w:r>
        <w:rPr>
          <w:rFonts w:ascii="Times New Roman" w:cs="Times New Roman" w:eastAsia="Times New Roman" w:hAnsi="Times New Roman"/>
          <w:sz w:val="20"/>
          <w:szCs w:val="20"/>
          <w:b w:val="1"/>
          <w:bCs w:val="1"/>
          <w:color w:val="auto"/>
        </w:rPr>
        <w:t>7.3.</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does not apply to the purchase of stock by employees under the Company’s Employee Stock Purchase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on periodic designated dates in accordance with the ESPP. This policy does, however, apply to the subsequent sale of the stock acquired pursuant to the ESPP.</w:t>
      </w:r>
    </w:p>
    <w:p>
      <w:pPr>
        <w:spacing w:after="0" w:line="169" w:lineRule="exact"/>
        <w:rPr>
          <w:sz w:val="20"/>
          <w:szCs w:val="20"/>
          <w:color w:val="auto"/>
        </w:rPr>
      </w:pPr>
    </w:p>
    <w:p>
      <w:pPr>
        <w:jc w:val="both"/>
        <w:ind w:left="100" w:firstLine="659"/>
        <w:spacing w:after="0" w:line="243" w:lineRule="auto"/>
        <w:rPr>
          <w:sz w:val="20"/>
          <w:szCs w:val="20"/>
          <w:color w:val="auto"/>
        </w:rPr>
      </w:pPr>
      <w:r>
        <w:rPr>
          <w:rFonts w:ascii="Times New Roman" w:cs="Times New Roman" w:eastAsia="Times New Roman" w:hAnsi="Times New Roman"/>
          <w:sz w:val="20"/>
          <w:szCs w:val="20"/>
          <w:b w:val="1"/>
          <w:bCs w:val="1"/>
          <w:color w:val="auto"/>
        </w:rPr>
        <w:t>7.4.</w:t>
      </w:r>
      <w:r>
        <w:rPr>
          <w:rFonts w:ascii="Times New Roman" w:cs="Times New Roman" w:eastAsia="Times New Roman" w:hAnsi="Times New Roman"/>
          <w:sz w:val="20"/>
          <w:szCs w:val="20"/>
          <w:b w:val="1"/>
          <w:bCs w:val="1"/>
          <w:i w:val="1"/>
          <w:iCs w:val="1"/>
          <w:color w:val="auto"/>
        </w:rPr>
        <w:t>10b5-1 Automatic Trading Programs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Rule 10b5-1 of the Securities Exchange Act of 1934, as amended (“</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employees, directors, and designated consultants may establish a trading plan under which a broker is instructed to buy and sell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securities based on pre-determined criteria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So long as a Trading Plan is properly established, purchases and sales of Company securities pursuant to that Trading Plan are not subject to this policy. To be properly established, an employee’s, director’s, or designated consultant’s Trading Plan must be established in compliance with the requirements of Rule 10b5-1 of the Exchange Act and any applicable 10b5-1 trading plan guidelines of the Company at a time when they were unaware of any material nonpublic information relating the Company and when the Company was not otherwise in a trading blackout period. Moreover, all Trading Plans must be reviewed and approved by the Company before being established to confirm that the Trading Plan complies with all pertinent company policies and applicable securities laws.</w:t>
      </w:r>
    </w:p>
    <w:p>
      <w:pPr>
        <w:spacing w:after="0" w:line="186" w:lineRule="exact"/>
        <w:rPr>
          <w:sz w:val="20"/>
          <w:szCs w:val="20"/>
          <w:color w:val="auto"/>
        </w:rPr>
      </w:pPr>
    </w:p>
    <w:p>
      <w:pPr>
        <w:jc w:val="both"/>
        <w:ind w:left="200" w:firstLine="569"/>
        <w:spacing w:after="0" w:line="250" w:lineRule="auto"/>
        <w:rPr>
          <w:sz w:val="20"/>
          <w:szCs w:val="20"/>
          <w:color w:val="auto"/>
        </w:rPr>
      </w:pPr>
      <w:r>
        <w:rPr>
          <w:rFonts w:ascii="Times New Roman" w:cs="Times New Roman" w:eastAsia="Times New Roman" w:hAnsi="Times New Roman"/>
          <w:sz w:val="20"/>
          <w:szCs w:val="20"/>
          <w:b w:val="1"/>
          <w:bCs w:val="1"/>
          <w:color w:val="auto"/>
        </w:rPr>
        <w:t>7.5.</w:t>
      </w:r>
      <w:r>
        <w:rPr>
          <w:rFonts w:ascii="Times New Roman" w:cs="Times New Roman" w:eastAsia="Times New Roman" w:hAnsi="Times New Roman"/>
          <w:sz w:val="20"/>
          <w:szCs w:val="20"/>
          <w:b w:val="1"/>
          <w:bCs w:val="1"/>
          <w:i w:val="1"/>
          <w:iCs w:val="1"/>
          <w:color w:val="auto"/>
        </w:rPr>
        <w:t>Gifts</w:t>
      </w:r>
      <w:r>
        <w:rPr>
          <w:rFonts w:ascii="Times New Roman" w:cs="Times New Roman" w:eastAsia="Times New Roman" w:hAnsi="Times New Roman"/>
          <w:sz w:val="20"/>
          <w:szCs w:val="20"/>
          <w:color w:val="auto"/>
        </w:rPr>
        <w:t>. This policy does not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gifts of Company securities that, (i) in the case of Senior Employees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Directors, have been pre-cleared by the Company’s Clearing Officer or, (ii) in the case of persons subject to this policy that are not Senior Employees, (x) are made at a time when the trading window is open and such person is not in possession of MNPI or (y) have been pre-cleared by the Company’s Clearing Officer. Whether a gift is truly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will depend on the facts 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4" w:name="page315"/>
    <w:bookmarkEnd w:id="314"/>
    <w:p>
      <w:pPr>
        <w:jc w:val="both"/>
        <w:ind w:left="200"/>
        <w:spacing w:after="0" w:line="246" w:lineRule="auto"/>
        <w:rPr>
          <w:sz w:val="20"/>
          <w:szCs w:val="20"/>
          <w:color w:val="auto"/>
        </w:rPr>
      </w:pPr>
      <w:r>
        <w:rPr>
          <w:rFonts w:ascii="Times New Roman" w:cs="Times New Roman" w:eastAsia="Times New Roman" w:hAnsi="Times New Roman"/>
          <w:sz w:val="20"/>
          <w:szCs w:val="20"/>
          <w:color w:val="auto"/>
        </w:rPr>
        <w:t>circumstances surrounding each gift. The pre-clearance required by this section must be obtained at least two business days in advance of the proposed gift, and pre-cleared gifts not completed within five business days will require new pre-clearance. The Company may choose to shorten this period. Pre-clearance will not be given for gifts occurring during a blackout period if the recipient could reasonably be expected to sell Company securities into the public market during the blackout period during which the gift is made (e.g., a donation to a charitable organization).</w:t>
      </w:r>
    </w:p>
    <w:p>
      <w:pPr>
        <w:spacing w:after="0" w:line="181" w:lineRule="exact"/>
        <w:rPr>
          <w:sz w:val="20"/>
          <w:szCs w:val="20"/>
          <w:color w:val="auto"/>
        </w:rPr>
      </w:pPr>
    </w:p>
    <w:p>
      <w:pPr>
        <w:ind w:left="760" w:hanging="752"/>
        <w:spacing w:after="0"/>
        <w:tabs>
          <w:tab w:leader="none" w:pos="76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pecial and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rohibited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ransactions</w:t>
      </w:r>
    </w:p>
    <w:p>
      <w:pPr>
        <w:spacing w:after="0" w:line="216" w:lineRule="exact"/>
        <w:rPr>
          <w:sz w:val="20"/>
          <w:szCs w:val="20"/>
          <w:color w:val="auto"/>
        </w:rPr>
      </w:pPr>
    </w:p>
    <w:p>
      <w:pPr>
        <w:jc w:val="both"/>
        <w:ind w:left="200" w:firstLine="569"/>
        <w:spacing w:after="0" w:line="256" w:lineRule="auto"/>
        <w:rPr>
          <w:sz w:val="20"/>
          <w:szCs w:val="20"/>
          <w:color w:val="auto"/>
        </w:rPr>
      </w:pPr>
      <w:r>
        <w:rPr>
          <w:rFonts w:ascii="Times New Roman" w:cs="Times New Roman" w:eastAsia="Times New Roman" w:hAnsi="Times New Roman"/>
          <w:sz w:val="20"/>
          <w:szCs w:val="20"/>
          <w:b w:val="1"/>
          <w:bCs w:val="1"/>
          <w:color w:val="auto"/>
        </w:rPr>
        <w:t>8.1.</w:t>
      </w:r>
      <w:r>
        <w:rPr>
          <w:rFonts w:ascii="Times New Roman" w:cs="Times New Roman" w:eastAsia="Times New Roman" w:hAnsi="Times New Roman"/>
          <w:sz w:val="20"/>
          <w:szCs w:val="20"/>
          <w:b w:val="1"/>
          <w:bCs w:val="1"/>
          <w:i w:val="1"/>
          <w:iCs w:val="1"/>
          <w:color w:val="auto"/>
        </w:rPr>
        <w:t>Inherently Speculative Transactions</w:t>
      </w:r>
      <w:r>
        <w:rPr>
          <w:rFonts w:ascii="Times New Roman" w:cs="Times New Roman" w:eastAsia="Times New Roman" w:hAnsi="Times New Roman"/>
          <w:sz w:val="20"/>
          <w:szCs w:val="20"/>
          <w:color w:val="auto"/>
        </w:rPr>
        <w:t>. No employee, director or designated consultant of the Company may engage in short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sales, transactions in put options, call options, or other derivative securities on an exchange or in any other organized market, or in any other inherently speculative transactions with respect to the Company’s stock.</w:t>
      </w:r>
    </w:p>
    <w:p>
      <w:pPr>
        <w:spacing w:after="0" w:line="169" w:lineRule="exact"/>
        <w:rPr>
          <w:sz w:val="20"/>
          <w:szCs w:val="20"/>
          <w:color w:val="auto"/>
        </w:rPr>
      </w:pPr>
    </w:p>
    <w:p>
      <w:pPr>
        <w:jc w:val="both"/>
        <w:ind w:left="200" w:firstLine="569"/>
        <w:spacing w:after="0" w:line="261" w:lineRule="auto"/>
        <w:rPr>
          <w:sz w:val="20"/>
          <w:szCs w:val="20"/>
          <w:color w:val="auto"/>
        </w:rPr>
      </w:pPr>
      <w:r>
        <w:rPr>
          <w:rFonts w:ascii="Times New Roman" w:cs="Times New Roman" w:eastAsia="Times New Roman" w:hAnsi="Times New Roman"/>
          <w:sz w:val="19"/>
          <w:szCs w:val="19"/>
          <w:b w:val="1"/>
          <w:bCs w:val="1"/>
          <w:color w:val="auto"/>
        </w:rPr>
        <w:t>8.2.</w:t>
      </w:r>
      <w:r>
        <w:rPr>
          <w:rFonts w:ascii="Times New Roman" w:cs="Times New Roman" w:eastAsia="Times New Roman" w:hAnsi="Times New Roman"/>
          <w:sz w:val="19"/>
          <w:szCs w:val="19"/>
          <w:b w:val="1"/>
          <w:bCs w:val="1"/>
          <w:i w:val="1"/>
          <w:iCs w:val="1"/>
          <w:color w:val="auto"/>
        </w:rPr>
        <w:t>Hedging Transactions</w:t>
      </w:r>
      <w:r>
        <w:rPr>
          <w:rFonts w:ascii="Times New Roman" w:cs="Times New Roman" w:eastAsia="Times New Roman" w:hAnsi="Times New Roman"/>
          <w:sz w:val="19"/>
          <w:szCs w:val="19"/>
          <w:color w:val="auto"/>
        </w:rPr>
        <w:t>. Hedging or monetization transactions can be accomplished through a number of possible mechanisms,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through the use of financial instruments such as prepaid variable forwards, equity swaps, collars, and exchange funds. Such hedging transactions may permit a Company employee, director or designated consultant to continue to own the Company’s securities obtained through employee benefit plans or otherwise, but without the full risks and rewards of ownership. When that occurs, the employee, director or designated consultant of the Company may no longer have the same objectives as the Company’s other stockholders. Therefore, Company employees, directors and designated consultants are prohibited from engaging in any such transactions.</w:t>
      </w:r>
    </w:p>
    <w:p>
      <w:pPr>
        <w:spacing w:after="0" w:line="167" w:lineRule="exact"/>
        <w:rPr>
          <w:sz w:val="20"/>
          <w:szCs w:val="20"/>
          <w:color w:val="auto"/>
        </w:rPr>
      </w:pPr>
    </w:p>
    <w:p>
      <w:pPr>
        <w:jc w:val="both"/>
        <w:ind w:left="200" w:firstLine="569"/>
        <w:spacing w:after="0" w:line="246" w:lineRule="auto"/>
        <w:rPr>
          <w:sz w:val="20"/>
          <w:szCs w:val="20"/>
          <w:color w:val="auto"/>
        </w:rPr>
      </w:pPr>
      <w:r>
        <w:rPr>
          <w:rFonts w:ascii="Times New Roman" w:cs="Times New Roman" w:eastAsia="Times New Roman" w:hAnsi="Times New Roman"/>
          <w:sz w:val="20"/>
          <w:szCs w:val="20"/>
          <w:b w:val="1"/>
          <w:bCs w:val="1"/>
          <w:color w:val="auto"/>
        </w:rPr>
        <w:t>8.3.</w:t>
      </w:r>
      <w:r>
        <w:rPr>
          <w:rFonts w:ascii="Times New Roman" w:cs="Times New Roman" w:eastAsia="Times New Roman" w:hAnsi="Times New Roman"/>
          <w:sz w:val="20"/>
          <w:szCs w:val="20"/>
          <w:b w:val="1"/>
          <w:bCs w:val="1"/>
          <w:i w:val="1"/>
          <w:iCs w:val="1"/>
          <w:color w:val="auto"/>
        </w:rPr>
        <w:t>Margin Accounts and Pledged Securities</w:t>
      </w:r>
      <w:r>
        <w:rPr>
          <w:rFonts w:ascii="Times New Roman" w:cs="Times New Roman" w:eastAsia="Times New Roman" w:hAnsi="Times New Roman"/>
          <w:sz w:val="20"/>
          <w:szCs w:val="20"/>
          <w:color w:val="auto"/>
        </w:rPr>
        <w:t>. Securities held in a margin account as collateral for a margin loan may be sold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employees, directors and designated consultants of the Company are prohibited from holding securities of the Company in a margin account or otherwise pledging the Company’s securities as collateral for a loan.</w:t>
      </w:r>
    </w:p>
    <w:p>
      <w:pPr>
        <w:spacing w:after="0" w:line="179" w:lineRule="exact"/>
        <w:rPr>
          <w:sz w:val="20"/>
          <w:szCs w:val="20"/>
          <w:color w:val="auto"/>
        </w:rPr>
      </w:pPr>
    </w:p>
    <w:p>
      <w:pPr>
        <w:jc w:val="both"/>
        <w:ind w:left="200" w:firstLine="569"/>
        <w:spacing w:after="0" w:line="244" w:lineRule="auto"/>
        <w:rPr>
          <w:sz w:val="20"/>
          <w:szCs w:val="20"/>
          <w:color w:val="auto"/>
        </w:rPr>
      </w:pPr>
      <w:r>
        <w:rPr>
          <w:rFonts w:ascii="Times New Roman" w:cs="Times New Roman" w:eastAsia="Times New Roman" w:hAnsi="Times New Roman"/>
          <w:sz w:val="20"/>
          <w:szCs w:val="20"/>
          <w:b w:val="1"/>
          <w:bCs w:val="1"/>
          <w:color w:val="auto"/>
        </w:rPr>
        <w:t>8.4.</w:t>
      </w:r>
      <w:r>
        <w:rPr>
          <w:rFonts w:ascii="Times New Roman" w:cs="Times New Roman" w:eastAsia="Times New Roman" w:hAnsi="Times New Roman"/>
          <w:sz w:val="20"/>
          <w:szCs w:val="20"/>
          <w:b w:val="1"/>
          <w:bCs w:val="1"/>
          <w:i w:val="1"/>
          <w:iCs w:val="1"/>
          <w:color w:val="auto"/>
        </w:rPr>
        <w:t>Standing and Limit Orders</w:t>
      </w:r>
      <w:r>
        <w:rPr>
          <w:rFonts w:ascii="Times New Roman" w:cs="Times New Roman" w:eastAsia="Times New Roman" w:hAnsi="Times New Roman"/>
          <w:sz w:val="20"/>
          <w:szCs w:val="20"/>
          <w:color w:val="auto"/>
        </w:rPr>
        <w:t>. Standing and limit orders (except standing and limit orders under approved Trading Plans,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discussed above) create heightened risks for insider trading violations similar to the use of margin accounts. There is no control over the timing of purchases or sales that result from standing instructions to a broker, and as a result the broker could execute a transaction when an employee, director or designated consultant of the Company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this policy.</w:t>
      </w:r>
    </w:p>
    <w:p>
      <w:pPr>
        <w:spacing w:after="0" w:line="182" w:lineRule="exact"/>
        <w:rPr>
          <w:sz w:val="20"/>
          <w:szCs w:val="20"/>
          <w:color w:val="auto"/>
        </w:rPr>
      </w:pPr>
    </w:p>
    <w:p>
      <w:pPr>
        <w:ind w:left="760" w:hanging="752"/>
        <w:spacing w:after="0"/>
        <w:tabs>
          <w:tab w:leader="none" w:pos="760"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re</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learance and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dvance</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 addition to the requirements listed above, Senior Employees and Directors may not engage in any transaction in the Company’s securities, including any purchase or sale in the open market, loan or other transfer of beneficial ownership, without first obtaining pre-clearance of the transaction from the Clearing Officer at least two business days in advance of the proposed transaction. The Clearing Officer will then determine whether the transaction may proceed and, if so, will direct the Compliance Officer (as identified in the Company’s Section 16 Compliance Program) to assist, if applicable, in complying with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5" w:name="page316"/>
    <w:bookmarkEnd w:id="31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reporting requirements under Section 16(a) of the Exchange Act, if any. Pre-cleared transactions not completed within five business days shall require new pre-clearance under the provisions of this paragraph. The Company may, at its discretion, shorten such period of time.</w:t>
      </w:r>
    </w:p>
    <w:p>
      <w:pPr>
        <w:spacing w:after="0" w:line="159"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20"/>
          <w:szCs w:val="20"/>
          <w:color w:val="auto"/>
        </w:rPr>
        <w:t>Advance notice of an intent to exercise an outstanding stock option by directors and executive officers of the Company shall be given to the Clearing Officer. Upon completion of any transaction, the director or executive officer must immediately notify the Compliance Officer and any other individual(s) identified in Section 1 of the Company’s Section 16 Compliance Program so that the Company may assist in any Section 16 reporting obligations.</w:t>
      </w:r>
    </w:p>
    <w:p>
      <w:pPr>
        <w:spacing w:after="0" w:line="176" w:lineRule="exact"/>
        <w:rPr>
          <w:sz w:val="20"/>
          <w:szCs w:val="20"/>
          <w:color w:val="auto"/>
        </w:rPr>
      </w:pPr>
    </w:p>
    <w:p>
      <w:pPr>
        <w:ind w:left="760" w:hanging="752"/>
        <w:spacing w:after="0"/>
        <w:tabs>
          <w:tab w:leader="none" w:pos="760"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hort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wing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C</w:t>
      </w:r>
      <w:r>
        <w:rPr>
          <w:rFonts w:ascii="Times New Roman" w:cs="Times New Roman" w:eastAsia="Times New Roman" w:hAnsi="Times New Roman"/>
          <w:sz w:val="13"/>
          <w:szCs w:val="13"/>
          <w:b w:val="1"/>
          <w:bCs w:val="1"/>
          <w:color w:val="auto"/>
        </w:rPr>
        <w:t>ontrol</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16 R</w:t>
      </w:r>
      <w:r>
        <w:rPr>
          <w:rFonts w:ascii="Times New Roman" w:cs="Times New Roman" w:eastAsia="Times New Roman" w:hAnsi="Times New Roman"/>
          <w:sz w:val="13"/>
          <w:szCs w:val="13"/>
          <w:b w:val="1"/>
          <w:bCs w:val="1"/>
          <w:color w:val="auto"/>
        </w:rPr>
        <w:t>eports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spacing w:after="0" w:line="176" w:lineRule="exact"/>
        <w:rPr>
          <w:sz w:val="20"/>
          <w:szCs w:val="20"/>
          <w:color w:val="auto"/>
        </w:rPr>
      </w:pPr>
    </w:p>
    <w:p>
      <w:pPr>
        <w:ind w:left="760" w:hanging="752"/>
        <w:spacing w:after="0"/>
        <w:tabs>
          <w:tab w:leader="none" w:pos="760" w:val="left"/>
        </w:tabs>
        <w:numPr>
          <w:ilvl w:val="0"/>
          <w:numId w:val="2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rohibition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uring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ension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lackouts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 director or executive officer of the Company may, directly or indirectly, purchase, sell or otherwise transfer any equity security of the Company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the Company’s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bona fide gift or by will or the laws of descent or pursuant to a domestic relations order. The Company will notify each director and executive officer of any blackout periods in accordance with the provisions of Regulation BTR. Because Regulation BTR is very complex, no director or executive officer of the Company should engage in any transactions in the Company’s securities, even if believed to be exempt from Regulation BTR, without first consulting with the Company’s Clearing Officer (or the Company’s Chief Legal Officer or General Counsel if he/she is not the Clearing Officer).</w:t>
      </w:r>
    </w:p>
    <w:p>
      <w:pPr>
        <w:spacing w:after="0" w:line="183" w:lineRule="exact"/>
        <w:rPr>
          <w:sz w:val="20"/>
          <w:szCs w:val="20"/>
          <w:color w:val="auto"/>
        </w:rPr>
      </w:pPr>
    </w:p>
    <w:p>
      <w:pPr>
        <w:ind w:left="760" w:hanging="752"/>
        <w:spacing w:after="0"/>
        <w:tabs>
          <w:tab w:leader="none" w:pos="760"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uration</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policy continues to apply to your transactions in the Company’s securities or the securities of other public companies engaged in business transactions with the Company even after your relationship with the Company has ended. If you are aware of material nonpublic information when your relationship with the Company ends, you may not trade the Company’s securities or the securities of other applicable companies until the material nonpublic information has been publicly disseminated or is no longer material. Further, if you leave the Company during a trading blackout period, then you may not trade in the Company’s securities or the securities of other applicable companies until the trading blackout period has ended.</w:t>
      </w:r>
    </w:p>
    <w:p>
      <w:pPr>
        <w:spacing w:after="0" w:line="180" w:lineRule="exact"/>
        <w:rPr>
          <w:sz w:val="20"/>
          <w:szCs w:val="20"/>
          <w:color w:val="auto"/>
        </w:rPr>
      </w:pPr>
    </w:p>
    <w:p>
      <w:pPr>
        <w:ind w:left="760" w:hanging="752"/>
        <w:spacing w:after="0"/>
        <w:tabs>
          <w:tab w:leader="none" w:pos="760" w:val="left"/>
        </w:tabs>
        <w:numPr>
          <w:ilvl w:val="0"/>
          <w:numId w:val="2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ndividual</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esponsibility</w:t>
      </w:r>
    </w:p>
    <w:p>
      <w:pPr>
        <w:spacing w:after="0" w:line="220"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Persons subject to this policy have ethical and legal obligations to maintain the confidentiality of information about the Company and to not engage in transactions in the Company’s securities while aware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6" w:name="page317"/>
    <w:bookmarkEnd w:id="316"/>
    <w:p>
      <w:pPr>
        <w:jc w:val="both"/>
        <w:spacing w:after="0" w:line="244" w:lineRule="auto"/>
        <w:rPr>
          <w:sz w:val="20"/>
          <w:szCs w:val="20"/>
          <w:color w:val="auto"/>
        </w:rPr>
      </w:pPr>
      <w:r>
        <w:rPr>
          <w:rFonts w:ascii="Times New Roman" w:cs="Times New Roman" w:eastAsia="Times New Roman" w:hAnsi="Times New Roman"/>
          <w:sz w:val="20"/>
          <w:szCs w:val="20"/>
          <w:color w:val="auto"/>
        </w:rPr>
        <w:t>of material nonpublic information.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the Company or any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See “Penalties” below.</w:t>
      </w:r>
    </w:p>
    <w:p>
      <w:pPr>
        <w:spacing w:after="0" w:line="182" w:lineRule="exact"/>
        <w:rPr>
          <w:sz w:val="20"/>
          <w:szCs w:val="20"/>
          <w:color w:val="auto"/>
        </w:rPr>
      </w:pPr>
    </w:p>
    <w:p>
      <w:pPr>
        <w:ind w:left="760" w:hanging="752"/>
        <w:spacing w:after="0"/>
        <w:tabs>
          <w:tab w:leader="none" w:pos="760"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enalties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Anyone who engages in insider trading or otherwise violates this policy may be subject to both civil liability and criminal penalties. Violators also risk disciplinary action by the Company, including termination of employment. Anyone who has questions about this policy should contact their own attorney or the Company’s Clearing Officer (or the Company’s Chief Legal Officer or General Counsel if he/she is not the Clearing Officer) or another member of the Company’s Legal Department at legal@olema.com for clearance on trading and compliance@olema.com for compliance issues. Please also see Frequently Asked Questions, which are attached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760" w:hanging="752"/>
        <w:spacing w:after="0"/>
        <w:tabs>
          <w:tab w:leader="none" w:pos="760"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by contacting the Compliance Officer at compliance@olema.com.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Adopted by the Board of Directors: October 30, 2020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November 18, 2020</w:t>
      </w:r>
    </w:p>
    <w:p>
      <w:pPr>
        <w:spacing w:after="0" w:line="236" w:lineRule="auto"/>
        <w:rPr>
          <w:sz w:val="20"/>
          <w:szCs w:val="20"/>
          <w:color w:val="auto"/>
        </w:rPr>
      </w:pPr>
      <w:r>
        <w:rPr>
          <w:rFonts w:ascii="Times New Roman" w:cs="Times New Roman" w:eastAsia="Times New Roman" w:hAnsi="Times New Roman"/>
          <w:sz w:val="20"/>
          <w:szCs w:val="20"/>
          <w:b w:val="1"/>
          <w:bCs w:val="1"/>
          <w:color w:val="auto"/>
        </w:rPr>
        <w:t>Amended by the Board of Directors: March 9,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7" w:name="page318"/>
    <w:bookmarkEnd w:id="317"/>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Frequently Asked Questions</w:t>
      </w:r>
    </w:p>
    <w:p>
      <w:pPr>
        <w:spacing w:after="0" w:line="216" w:lineRule="exact"/>
        <w:rPr>
          <w:sz w:val="20"/>
          <w:szCs w:val="20"/>
          <w:color w:val="auto"/>
        </w:rPr>
      </w:pPr>
    </w:p>
    <w:p>
      <w:pPr>
        <w:ind w:left="520" w:hanging="512"/>
        <w:spacing w:after="0"/>
        <w:tabs>
          <w:tab w:leader="none" w:pos="520"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insider trading?</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related financial instruments, including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the Company or another publicly traded company that Company has business relationships with and you trade in the Company’s or such other company’s securities, you have broken the law.</w:t>
      </w:r>
    </w:p>
    <w:p>
      <w:pPr>
        <w:spacing w:after="0" w:line="182" w:lineRule="exact"/>
        <w:rPr>
          <w:sz w:val="20"/>
          <w:szCs w:val="20"/>
          <w:color w:val="auto"/>
        </w:rPr>
      </w:pPr>
    </w:p>
    <w:p>
      <w:pPr>
        <w:ind w:left="520" w:hanging="512"/>
        <w:spacing w:after="0"/>
        <w:tabs>
          <w:tab w:leader="none" w:pos="520" w:val="left"/>
        </w:tabs>
        <w:numPr>
          <w:ilvl w:val="0"/>
          <w:numId w:val="2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is insider trading illegal?</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0" w:lineRule="exact"/>
        <w:rPr>
          <w:sz w:val="20"/>
          <w:szCs w:val="20"/>
          <w:color w:val="auto"/>
        </w:rPr>
      </w:pPr>
    </w:p>
    <w:p>
      <w:pPr>
        <w:ind w:left="520" w:hanging="512"/>
        <w:spacing w:after="0"/>
        <w:tabs>
          <w:tab w:leader="none" w:pos="520" w:val="left"/>
        </w:tabs>
        <w:numPr>
          <w:ilvl w:val="0"/>
          <w:numId w:val="2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material nonpublic information?</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Information is material if it would influence a reasonable investor to buy or sell a stock, bond future, related financial instruments or other securities. This could mean many things: financial results, clinical or regulatory results, potential acquisitions, or major contracts to name just a few. Information is nonpublic if it has not yet been publicly disseminated within the meaning of our insider trading policy.</w:t>
      </w:r>
    </w:p>
    <w:p>
      <w:pPr>
        <w:spacing w:after="0" w:line="170" w:lineRule="exact"/>
        <w:rPr>
          <w:sz w:val="20"/>
          <w:szCs w:val="20"/>
          <w:color w:val="auto"/>
        </w:rPr>
      </w:pPr>
    </w:p>
    <w:p>
      <w:pPr>
        <w:ind w:left="520" w:hanging="512"/>
        <w:spacing w:after="0"/>
        <w:tabs>
          <w:tab w:leader="none" w:pos="520" w:val="left"/>
        </w:tabs>
        <w:numPr>
          <w:ilvl w:val="0"/>
          <w:numId w:val="2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Who can be guilty of insider trading?</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Anyone who buys or sells a security or related financial instrument while aware of material nonpublic information, or provides material nonpublic information that someone else uses to buy or sell a security or related financial instrument, may be guilty of insider trading. This applies to all individuals, including officers, directors, and others who don’t even work at Company. Regardless of who you are, if you know something material about the value of a security that not everyone knows and you trade (or convince someone else to trade) in that security or related financial instrument, you may be found guilty of insider trading.</w:t>
      </w:r>
    </w:p>
    <w:p>
      <w:pPr>
        <w:spacing w:after="0" w:line="181" w:lineRule="exact"/>
        <w:rPr>
          <w:sz w:val="20"/>
          <w:szCs w:val="20"/>
          <w:color w:val="auto"/>
        </w:rPr>
      </w:pPr>
    </w:p>
    <w:p>
      <w:pPr>
        <w:ind w:left="520" w:hanging="512"/>
        <w:spacing w:after="0"/>
        <w:tabs>
          <w:tab w:leader="none" w:pos="520"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Does the Company have an insider trading policy?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Yes, please contact the Compliance Officer to obtain a copy.</w:t>
      </w:r>
    </w:p>
    <w:p>
      <w:pPr>
        <w:spacing w:after="0" w:line="212" w:lineRule="exact"/>
        <w:rPr>
          <w:sz w:val="20"/>
          <w:szCs w:val="20"/>
          <w:color w:val="auto"/>
        </w:rPr>
      </w:pPr>
    </w:p>
    <w:p>
      <w:pPr>
        <w:ind w:left="520" w:hanging="512"/>
        <w:spacing w:after="0"/>
        <w:tabs>
          <w:tab w:leader="none" w:pos="520" w:val="left"/>
        </w:tabs>
        <w:numPr>
          <w:ilvl w:val="0"/>
          <w:numId w:val="2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work outside the United States?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same rules apply to U.S. and foreign employees and designated consultants. The Securities and Exchange Commission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government agency in charge of investor protection) and the Financial Industry Regulatory Authority (a private regulator that oversees</w:t>
      </w:r>
    </w:p>
    <w:p>
      <w:pPr>
        <w:spacing w:after="0"/>
        <w:rPr>
          <w:sz w:val="20"/>
          <w:szCs w:val="20"/>
          <w:color w:val="auto"/>
        </w:rPr>
      </w:pPr>
      <w:r>
        <w:rPr>
          <w:rFonts w:ascii="Times New Roman" w:cs="Times New Roman" w:eastAsia="Times New Roman" w:hAnsi="Times New Roman"/>
          <w:sz w:val="20"/>
          <w:szCs w:val="20"/>
          <w:color w:val="auto"/>
        </w:rPr>
        <w:t>U.S. securities exchanges) routinely</w:t>
      </w:r>
    </w:p>
    <w:p>
      <w:pPr>
        <w:spacing w:after="0" w:line="200" w:lineRule="exact"/>
        <w:rPr>
          <w:sz w:val="20"/>
          <w:szCs w:val="20"/>
          <w:color w:val="auto"/>
        </w:rPr>
      </w:pPr>
    </w:p>
    <w:p>
      <w:pPr>
        <w:spacing w:after="0" w:line="3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8" w:name="page319"/>
    <w:bookmarkEnd w:id="318"/>
    <w:p>
      <w:pPr>
        <w:spacing w:after="0" w:line="269" w:lineRule="auto"/>
        <w:rPr>
          <w:sz w:val="20"/>
          <w:szCs w:val="20"/>
          <w:color w:val="auto"/>
        </w:rPr>
      </w:pPr>
      <w:r>
        <w:rPr>
          <w:rFonts w:ascii="Times New Roman" w:cs="Times New Roman" w:eastAsia="Times New Roman" w:hAnsi="Times New Roman"/>
          <w:sz w:val="20"/>
          <w:szCs w:val="20"/>
          <w:color w:val="auto"/>
        </w:rPr>
        <w:t>investigate trading in a company’s securities conducted by individuals and firms based abroad. In addition, as a Company director, employee, or designated consultant, our policies apply to you no matter where you work.</w:t>
      </w:r>
    </w:p>
    <w:p>
      <w:pPr>
        <w:spacing w:after="0" w:line="155" w:lineRule="exact"/>
        <w:rPr>
          <w:sz w:val="20"/>
          <w:szCs w:val="20"/>
          <w:color w:val="auto"/>
        </w:rPr>
      </w:pPr>
    </w:p>
    <w:p>
      <w:pPr>
        <w:ind w:left="520" w:hanging="512"/>
        <w:spacing w:after="0"/>
        <w:tabs>
          <w:tab w:leader="none" w:pos="520" w:val="left"/>
        </w:tabs>
        <w:numPr>
          <w:ilvl w:val="0"/>
          <w:numId w:val="2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don’t buy or sell anything, but I tell someone else material nonpublic information and they buy or sell?</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spacing w:after="0" w:line="182" w:lineRule="exact"/>
        <w:rPr>
          <w:sz w:val="20"/>
          <w:szCs w:val="20"/>
          <w:color w:val="auto"/>
        </w:rPr>
      </w:pPr>
    </w:p>
    <w:p>
      <w:pPr>
        <w:ind w:left="520" w:hanging="512"/>
        <w:spacing w:after="0"/>
        <w:tabs>
          <w:tab w:leader="none" w:pos="520"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don’t tell them the information itself; I just tell them whether they should buy or sell?</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That is still tipping, and you can still be responsible for insider trading. You may never recommend to another person that they buy, hold or sell the Company’s common stock or any derivative security or related financial instruments related to the Company’s common stock, since that could be a form of tipping.</w:t>
      </w:r>
    </w:p>
    <w:p>
      <w:pPr>
        <w:spacing w:after="0" w:line="170" w:lineRule="exact"/>
        <w:rPr>
          <w:sz w:val="20"/>
          <w:szCs w:val="20"/>
          <w:color w:val="auto"/>
        </w:rPr>
      </w:pPr>
    </w:p>
    <w:p>
      <w:pPr>
        <w:ind w:left="520" w:hanging="512"/>
        <w:spacing w:after="0"/>
        <w:tabs>
          <w:tab w:leader="none" w:pos="520"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are the sanctions if I trade on material nonpublic information or tip off someone else?</w:t>
      </w:r>
    </w:p>
    <w:p>
      <w:pPr>
        <w:spacing w:after="0" w:line="22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62" w:lineRule="exact"/>
        <w:rPr>
          <w:sz w:val="20"/>
          <w:szCs w:val="20"/>
          <w:color w:val="auto"/>
        </w:rPr>
      </w:pPr>
    </w:p>
    <w:p>
      <w:pPr>
        <w:ind w:left="520" w:hanging="512"/>
        <w:spacing w:after="0"/>
        <w:tabs>
          <w:tab w:leader="none" w:pos="520" w:val="left"/>
        </w:tabs>
        <w:numPr>
          <w:ilvl w:val="0"/>
          <w:numId w:val="2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“loss avoided”?</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If you sell common stock or related financial instrument before negative news is publicly announced, and as a result of the announcement the stock price declines, you have avoided the loss caused by the negative news.</w:t>
      </w:r>
    </w:p>
    <w:p>
      <w:pPr>
        <w:spacing w:after="0" w:line="155" w:lineRule="exact"/>
        <w:rPr>
          <w:sz w:val="20"/>
          <w:szCs w:val="20"/>
          <w:color w:val="auto"/>
        </w:rPr>
      </w:pPr>
    </w:p>
    <w:p>
      <w:pPr>
        <w:ind w:firstLine="8"/>
        <w:spacing w:after="0" w:line="273" w:lineRule="auto"/>
        <w:tabs>
          <w:tab w:leader="none" w:pos="509" w:val="left"/>
        </w:tabs>
        <w:numPr>
          <w:ilvl w:val="0"/>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restricted from trading securities of any companies other than the Company, for example a partner or competitor of the Company?</w:t>
      </w:r>
    </w:p>
    <w:p>
      <w:pPr>
        <w:spacing w:after="0" w:line="15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p>
    <w:p>
      <w:pPr>
        <w:spacing w:after="0" w:line="181" w:lineRule="exact"/>
        <w:rPr>
          <w:sz w:val="20"/>
          <w:szCs w:val="20"/>
          <w:color w:val="auto"/>
        </w:rPr>
      </w:pPr>
    </w:p>
    <w:p>
      <w:pPr>
        <w:ind w:firstLine="8"/>
        <w:spacing w:after="0" w:line="273" w:lineRule="auto"/>
        <w:tabs>
          <w:tab w:leader="none" w:pos="509"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So if I do not trade Company securities when I have material nonpublic information, and I don’t “tip” other people, I am in the clear, right?</w:t>
      </w: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9" w:name="page320"/>
    <w:bookmarkEnd w:id="319"/>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 necessarily. Even if you do not violate U.S. law, you may still violate our policies. For example, employees and designated consultants may violate our policies by breaching their confidentiality obligations or by recommending the Company stock as an investment, even if these actions do not violate securities laws. Our policies are stricter than the law requires so that we and our employees and designated consultants can avoid even the appearance of wrongdoing. Therefore, please review the entire policy carefully.</w:t>
      </w:r>
    </w:p>
    <w:p>
      <w:pPr>
        <w:spacing w:after="0" w:line="176" w:lineRule="exact"/>
        <w:rPr>
          <w:sz w:val="20"/>
          <w:szCs w:val="20"/>
          <w:color w:val="auto"/>
        </w:rPr>
      </w:pPr>
    </w:p>
    <w:p>
      <w:pPr>
        <w:ind w:left="520" w:hanging="512"/>
        <w:spacing w:after="0"/>
        <w:tabs>
          <w:tab w:leader="none" w:pos="52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So when can I buy or sell my securities of the Company?</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If you are aware of material nonpublic information, you may not buy or sell our common stock until two (2)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(in each case subject to any pre-clearance requirements set forth in this policy). Even if you are not aware of any material nonpublic information, you may not trade our common stock during any trading “blackout” period. </w:t>
      </w:r>
      <w:r>
        <w:rPr>
          <w:rFonts w:ascii="Times New Roman" w:cs="Times New Roman" w:eastAsia="Times New Roman" w:hAnsi="Times New Roman"/>
          <w:sz w:val="20"/>
          <w:szCs w:val="20"/>
          <w:b w:val="1"/>
          <w:bCs w:val="1"/>
          <w:color w:val="auto"/>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finally, all Senior Employees and Directors must pre-clear any purchases or sales of stock with the Clearing Officer two business days in advance of the proposed transaction as set forth in Section IX.</w:t>
      </w:r>
    </w:p>
    <w:p>
      <w:pPr>
        <w:spacing w:after="0" w:line="185" w:lineRule="exact"/>
        <w:rPr>
          <w:sz w:val="20"/>
          <w:szCs w:val="20"/>
          <w:color w:val="auto"/>
        </w:rPr>
      </w:pPr>
    </w:p>
    <w:p>
      <w:pPr>
        <w:ind w:firstLine="8"/>
        <w:spacing w:after="0" w:line="273" w:lineRule="auto"/>
        <w:tabs>
          <w:tab w:leader="none" w:pos="509"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If I have an open order to buy or sell securities of the Company on the date a blackout period commences, can I leave it to my broker to cancel the open order and avoid executing the trade?</w:t>
      </w:r>
    </w:p>
    <w:p>
      <w:pPr>
        <w:spacing w:after="0" w:line="15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 unless it is in connection with a 10b5-1 trading plan (see Question 27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76" w:lineRule="exact"/>
        <w:rPr>
          <w:sz w:val="20"/>
          <w:szCs w:val="20"/>
          <w:color w:val="auto"/>
        </w:rPr>
      </w:pPr>
    </w:p>
    <w:p>
      <w:pPr>
        <w:ind w:left="520" w:hanging="512"/>
        <w:spacing w:after="0"/>
        <w:tabs>
          <w:tab w:leader="none" w:pos="520" w:val="left"/>
        </w:tabs>
        <w:numPr>
          <w:ilvl w:val="0"/>
          <w:numId w:val="2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allowed to trade derivative securities of Company’s common stock?</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Derivative securities</w:t>
      </w:r>
      <w:r>
        <w:rPr>
          <w:rFonts w:ascii="Times New Roman" w:cs="Times New Roman" w:eastAsia="Times New Roman" w:hAnsi="Times New Roman"/>
          <w:sz w:val="20"/>
          <w:szCs w:val="20"/>
          <w:color w:val="auto"/>
        </w:rPr>
        <w:t>”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this policy.</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Short selling</w:t>
      </w:r>
      <w:r>
        <w:rPr>
          <w:rFonts w:ascii="Times New Roman" w:cs="Times New Roman" w:eastAsia="Times New Roman" w:hAnsi="Times New Roman"/>
          <w:sz w:val="20"/>
          <w:szCs w:val="20"/>
          <w:color w:val="auto"/>
        </w:rPr>
        <w:t>”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69" w:lineRule="exact"/>
        <w:rPr>
          <w:sz w:val="20"/>
          <w:szCs w:val="20"/>
          <w:color w:val="auto"/>
        </w:rPr>
      </w:pPr>
    </w:p>
    <w:p>
      <w:pPr>
        <w:ind w:left="520" w:hanging="512"/>
        <w:spacing w:after="0"/>
        <w:tabs>
          <w:tab w:leader="none" w:pos="520" w:val="left"/>
        </w:tabs>
        <w:numPr>
          <w:ilvl w:val="0"/>
          <w:numId w:val="2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does the Company prohibit trading in derivative securities and short selling?</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w:t>
      </w:r>
    </w:p>
    <w:p>
      <w:pPr>
        <w:spacing w:after="0" w:line="3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0" w:name="page321"/>
    <w:bookmarkEnd w:id="320"/>
    <w:p>
      <w:pPr>
        <w:ind w:right="20"/>
        <w:spacing w:after="0" w:line="269" w:lineRule="auto"/>
        <w:rPr>
          <w:sz w:val="20"/>
          <w:szCs w:val="20"/>
          <w:color w:val="auto"/>
        </w:rPr>
      </w:pPr>
      <w:r>
        <w:rPr>
          <w:rFonts w:ascii="Times New Roman" w:cs="Times New Roman" w:eastAsia="Times New Roman" w:hAnsi="Times New Roman"/>
          <w:sz w:val="20"/>
          <w:szCs w:val="20"/>
          <w:color w:val="auto"/>
        </w:rPr>
        <w:t>dedicated to building stockholder value, short selling our common stock conflicts with our values and would not be well received by our stockholders.</w:t>
      </w:r>
    </w:p>
    <w:p>
      <w:pPr>
        <w:spacing w:after="0" w:line="155" w:lineRule="exact"/>
        <w:rPr>
          <w:sz w:val="20"/>
          <w:szCs w:val="20"/>
          <w:color w:val="auto"/>
        </w:rPr>
      </w:pPr>
    </w:p>
    <w:p>
      <w:pPr>
        <w:ind w:left="520" w:hanging="512"/>
        <w:spacing w:after="0"/>
        <w:tabs>
          <w:tab w:leader="none" w:pos="520" w:val="left"/>
        </w:tabs>
        <w:numPr>
          <w:ilvl w:val="0"/>
          <w:numId w:val="2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purchase Company securities on margin or hold them in a margin account?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 Under our policies, you may not purchase our common stock on margin or hold it in a margin account at any time.</w:t>
      </w:r>
    </w:p>
    <w:p>
      <w:pPr>
        <w:spacing w:after="0" w:line="21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Purchasing on margin</w:t>
      </w:r>
      <w:r>
        <w:rPr>
          <w:rFonts w:ascii="Times New Roman" w:cs="Times New Roman" w:eastAsia="Times New Roman" w:hAnsi="Times New Roman"/>
          <w:sz w:val="20"/>
          <w:szCs w:val="20"/>
          <w:color w:val="auto"/>
        </w:rPr>
        <w:t>” is the use of borrowed money from a brokerage firm to purchase our securities. Holding our securities in a margin account includes holding the securities in an account in which the shares can be sold to pay a loan to the brokerage firm.</w:t>
      </w:r>
    </w:p>
    <w:p>
      <w:pPr>
        <w:spacing w:after="0" w:line="152" w:lineRule="exact"/>
        <w:rPr>
          <w:sz w:val="20"/>
          <w:szCs w:val="20"/>
          <w:color w:val="auto"/>
        </w:rPr>
      </w:pPr>
    </w:p>
    <w:p>
      <w:pPr>
        <w:ind w:left="520" w:hanging="512"/>
        <w:spacing w:after="0"/>
        <w:tabs>
          <w:tab w:leader="none" w:pos="520" w:val="left"/>
        </w:tabs>
        <w:numPr>
          <w:ilvl w:val="0"/>
          <w:numId w:val="2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does the Company prohibit me from purchasing securities of the Company on margin or holding them in a margin account?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spacing w:after="0" w:line="181" w:lineRule="exact"/>
        <w:rPr>
          <w:sz w:val="20"/>
          <w:szCs w:val="20"/>
          <w:color w:val="auto"/>
        </w:rPr>
      </w:pPr>
    </w:p>
    <w:p>
      <w:pPr>
        <w:ind w:left="520" w:hanging="512"/>
        <w:spacing w:after="0"/>
        <w:tabs>
          <w:tab w:leader="none" w:pos="520"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pledge my Company shares as collateral for a personal loan?</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37" w:val="left"/>
        </w:tabs>
        <w:numPr>
          <w:ilvl w:val="1"/>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hedge my ownership position in the Company?</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 Hedging or monetization transactions, including through the use of financial instruments such as prepaid variable forwards, equity swaps, collars, and exchange funds are prohibited by our insider trading policy. Since such hedging transactions allow you to continue to own the Company’s securities obtained through employee benefit plans or otherwise, but without the full risks and rewards of ownership, you may no longer have the same objectives as the Company’s other stockholders. Therefore, our insider trading policy prohibits you from engaging in any such transactions.</w:t>
      </w:r>
    </w:p>
    <w:p>
      <w:pPr>
        <w:spacing w:after="0" w:line="181" w:lineRule="exact"/>
        <w:rPr>
          <w:sz w:val="20"/>
          <w:szCs w:val="20"/>
          <w:color w:val="auto"/>
        </w:rPr>
      </w:pPr>
    </w:p>
    <w:p>
      <w:pPr>
        <w:ind w:firstLine="8"/>
        <w:spacing w:after="0" w:line="273" w:lineRule="auto"/>
        <w:tabs>
          <w:tab w:leader="none" w:pos="509"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exercise options granted to me under the Company’s equity compensation plans during a trading blackout period or when I possess material nonpublic information?</w:t>
      </w:r>
    </w:p>
    <w:p>
      <w:pPr>
        <w:spacing w:after="0" w:line="15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Yes. You may exercise the options for cash (or via net exercise transaction with the company) and receive shares, but you may not sell the shares (even to pay the exercise price or any taxes due) during a trading blackout period or any time that you are aware of material nonpublic information. To be clear, you may not effect a broker-assisted cashless exercise (these cashless exercise transactions include a market sale) during a trading blackout period or any time that you are aware of material nonpublic information</w:t>
      </w:r>
    </w:p>
    <w:p>
      <w:pPr>
        <w:spacing w:after="0" w:line="176" w:lineRule="exact"/>
        <w:rPr>
          <w:sz w:val="20"/>
          <w:szCs w:val="20"/>
          <w:color w:val="auto"/>
        </w:rPr>
      </w:pPr>
    </w:p>
    <w:p>
      <w:pPr>
        <w:ind w:left="520" w:hanging="512"/>
        <w:spacing w:after="0"/>
        <w:tabs>
          <w:tab w:leader="none" w:pos="520" w:val="left"/>
        </w:tabs>
        <w:numPr>
          <w:ilvl w:val="0"/>
          <w:numId w:val="2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subject to trading blackout periods if I am no longer an employee or consultant of the Company?</w:t>
      </w:r>
    </w:p>
    <w:p>
      <w:pPr>
        <w:spacing w:after="0" w:line="3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1" w:name="page322"/>
    <w:bookmarkEnd w:id="321"/>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our trading blackout period after you leave the Company, you should not trade in Company securities if you are aware of material nonpublic information. That restriction stays with you as long as the information you possess is material and not publicly disseminated within the meaning of our insider trading policy.</w:t>
      </w:r>
    </w:p>
    <w:p>
      <w:pPr>
        <w:spacing w:after="0" w:line="181" w:lineRule="exact"/>
        <w:rPr>
          <w:sz w:val="20"/>
          <w:szCs w:val="20"/>
          <w:color w:val="auto"/>
        </w:rPr>
      </w:pPr>
    </w:p>
    <w:p>
      <w:pPr>
        <w:ind w:left="520" w:hanging="512"/>
        <w:spacing w:after="0"/>
        <w:tabs>
          <w:tab w:leader="none" w:pos="520" w:val="left"/>
        </w:tabs>
        <w:numPr>
          <w:ilvl w:val="0"/>
          <w:numId w:val="2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gift stock while I possess material nonpublic information or during a trading blackout period?</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It depends. Because of the potential for the appearance of impropriety, you may only make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of our common stock when you are aware of material nonpublic information or during a trading blackout period if (and only if) the gift has been pre-cleared by the Company’s Clearing Officer or his or her designee. Whether a gift is truly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will depend on the facts and circumstances surrounding each gift. Pre-clearance will not be given for gifts occurring during a blackout period if the recipient could reasonably be expected to sell Company securities into the public market during the blackout period during which the gift is made (e.g., a donation to a charitable organization).</w:t>
      </w:r>
    </w:p>
    <w:p>
      <w:pPr>
        <w:spacing w:after="0" w:line="179" w:lineRule="exact"/>
        <w:rPr>
          <w:sz w:val="20"/>
          <w:szCs w:val="20"/>
          <w:color w:val="auto"/>
        </w:rPr>
      </w:pPr>
    </w:p>
    <w:p>
      <w:pPr>
        <w:ind w:left="520" w:hanging="512"/>
        <w:spacing w:after="0"/>
        <w:tabs>
          <w:tab w:leader="none" w:pos="520" w:val="left"/>
        </w:tabs>
        <w:numPr>
          <w:ilvl w:val="0"/>
          <w:numId w:val="2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purchased publicly traded options or other derivative securities before I became a Company employee or consultant?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55" w:lineRule="exact"/>
        <w:rPr>
          <w:sz w:val="20"/>
          <w:szCs w:val="20"/>
          <w:color w:val="auto"/>
        </w:rPr>
      </w:pPr>
    </w:p>
    <w:p>
      <w:pPr>
        <w:ind w:left="760" w:right="5420" w:hanging="752"/>
        <w:spacing w:after="0" w:line="464" w:lineRule="auto"/>
        <w:tabs>
          <w:tab w:leader="none" w:pos="520" w:val="left"/>
        </w:tabs>
        <w:numPr>
          <w:ilvl w:val="0"/>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May I own shares of a mutual fund that invests in the Company? </w:t>
      </w:r>
      <w:r>
        <w:rPr>
          <w:rFonts w:ascii="Times New Roman" w:cs="Times New Roman" w:eastAsia="Times New Roman" w:hAnsi="Times New Roman"/>
          <w:sz w:val="20"/>
          <w:szCs w:val="20"/>
          <w:color w:val="auto"/>
        </w:rPr>
        <w:t>Yes.</w:t>
      </w:r>
    </w:p>
    <w:p>
      <w:pPr>
        <w:spacing w:after="0" w:line="1" w:lineRule="exact"/>
        <w:rPr>
          <w:rFonts w:ascii="Times New Roman" w:cs="Times New Roman" w:eastAsia="Times New Roman" w:hAnsi="Times New Roman"/>
          <w:sz w:val="20"/>
          <w:szCs w:val="20"/>
          <w:b w:val="1"/>
          <w:bCs w:val="1"/>
          <w:color w:val="auto"/>
        </w:rPr>
      </w:pPr>
    </w:p>
    <w:p>
      <w:pPr>
        <w:ind w:left="760" w:right="2340" w:hanging="752"/>
        <w:spacing w:after="0" w:line="464" w:lineRule="auto"/>
        <w:tabs>
          <w:tab w:leader="none" w:pos="520" w:val="left"/>
        </w:tabs>
        <w:numPr>
          <w:ilvl w:val="0"/>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Are mutual fund shares holding the Company’s common stock subject to the trading blackout periods? </w:t>
      </w:r>
      <w:r>
        <w:rPr>
          <w:rFonts w:ascii="Times New Roman" w:cs="Times New Roman" w:eastAsia="Times New Roman" w:hAnsi="Times New Roman"/>
          <w:sz w:val="20"/>
          <w:szCs w:val="20"/>
          <w:color w:val="auto"/>
        </w:rPr>
        <w:t>No. You may trade in mutual funds holding the Company’s common stock at any time.</w:t>
      </w:r>
    </w:p>
    <w:p>
      <w:pPr>
        <w:spacing w:after="0" w:line="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May I use a “routine trading program” or “10b5-1 plan”?</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Yes, subject to the requirements discussed in our insider trading policy and any 10b5-1 trading plan guidelines. A routine trading program, also known as a 10b5-1 plan, allows you to set up a highly structured program with your stock broker where you specify ahead of time the date, price, and amount of securities to be traded. If you wish to create a 10b5-1 plan, please contact our Clearing Officer, the Chief Legal Officer of the Company, for approval.</w:t>
      </w:r>
    </w:p>
    <w:p>
      <w:pPr>
        <w:spacing w:after="0" w:line="176" w:lineRule="exact"/>
        <w:rPr>
          <w:sz w:val="20"/>
          <w:szCs w:val="20"/>
          <w:color w:val="auto"/>
        </w:rPr>
      </w:pPr>
    </w:p>
    <w:p>
      <w:pPr>
        <w:ind w:left="520" w:hanging="512"/>
        <w:spacing w:after="0"/>
        <w:tabs>
          <w:tab w:leader="none" w:pos="520" w:val="left"/>
        </w:tabs>
        <w:numPr>
          <w:ilvl w:val="0"/>
          <w:numId w:val="2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happens if I violate our insider trading policy?</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Violating our policies may result in disciplinary action, which may include termination of your employment or other relationship with the Company. In addition, you may be subject to criminal and civil sanctions.</w:t>
      </w:r>
    </w:p>
    <w:p>
      <w:pPr>
        <w:spacing w:after="0" w:line="155" w:lineRule="exact"/>
        <w:rPr>
          <w:sz w:val="20"/>
          <w:szCs w:val="20"/>
          <w:color w:val="auto"/>
        </w:rPr>
      </w:pPr>
    </w:p>
    <w:p>
      <w:pPr>
        <w:ind w:left="520" w:hanging="512"/>
        <w:spacing w:after="0"/>
        <w:tabs>
          <w:tab w:leader="none" w:pos="520" w:val="left"/>
        </w:tabs>
        <w:numPr>
          <w:ilvl w:val="0"/>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Who should I contact if I have questions about our insider trading policy or specific trades?</w:t>
      </w:r>
    </w:p>
    <w:p>
      <w:pPr>
        <w:spacing w:after="0" w:line="3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2" w:name="page323"/>
    <w:bookmarkEnd w:id="322"/>
    <w:p>
      <w:pPr>
        <w:ind w:left="320"/>
        <w:spacing w:after="0"/>
        <w:rPr>
          <w:sz w:val="20"/>
          <w:szCs w:val="20"/>
          <w:color w:val="auto"/>
        </w:rPr>
      </w:pPr>
      <w:r>
        <w:rPr>
          <w:rFonts w:ascii="Times New Roman" w:cs="Times New Roman" w:eastAsia="Times New Roman" w:hAnsi="Times New Roman"/>
          <w:sz w:val="19"/>
          <w:szCs w:val="19"/>
          <w:color w:val="auto"/>
        </w:rPr>
        <w:t>You should contact our Clearing Officer, the Company’s Chief Legal Officer, or another member of the Legal Department.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632460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760" w:top="1413" w:right="1059" w:bottom="1440" w:gutter="0" w:footer="0" w:header="0"/>
        </w:sectPr>
      </w:pPr>
    </w:p>
    <w:bookmarkStart w:id="323" w:name="page324"/>
    <w:bookmarkEnd w:id="323"/>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lema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To: </w:t>
      </w:r>
      <w:r>
        <w:rPr>
          <w:rFonts w:ascii="Times New Roman" w:cs="Times New Roman" w:eastAsia="Times New Roman" w:hAnsi="Times New Roman"/>
          <w:sz w:val="20"/>
          <w:szCs w:val="20"/>
          <w:b w:val="1"/>
          <w:bCs w:val="1"/>
          <w:color w:val="auto"/>
        </w:rPr>
        <w:t>Olema Pharmaceuticals,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________________________, have received and read a copy of the Olema Pharmaceuticals, Inc. Insider Trading Policy. I hereby agree to</w:t>
      </w:r>
    </w:p>
    <w:p>
      <w:pPr>
        <w:spacing w:after="0" w:line="3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comply with the specific requirements of the policy in all respects during my employment or other service relationship with Olema Pharmaceuticals, Inc. I understand that this policy constitutes a material term of my employment or other service relationship with Olema Pharmaceuticals, Inc. (or a subsidiary thereof) and that my failure to comply in all respects with the policy is a basis for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254000</wp:posOffset>
            </wp:positionV>
            <wp:extent cx="12566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271145</wp:posOffset>
            </wp:positionV>
            <wp:extent cx="12566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271145</wp:posOffset>
            </wp:positionV>
            <wp:extent cx="12566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620" w:type="dxa"/>
            <w:vAlign w:val="bottom"/>
          </w:tcPr>
          <w:p>
            <w:pPr>
              <w:jc w:val="center"/>
              <w:ind w:right="3510"/>
              <w:spacing w:after="0"/>
              <w:rPr>
                <w:sz w:val="20"/>
                <w:szCs w:val="20"/>
                <w:color w:val="auto"/>
              </w:rPr>
            </w:pPr>
            <w:r>
              <w:rPr>
                <w:rFonts w:ascii="Times New Roman" w:cs="Times New Roman" w:eastAsia="Times New Roman" w:hAnsi="Times New Roman"/>
                <w:sz w:val="18"/>
                <w:szCs w:val="18"/>
                <w:b w:val="1"/>
                <w:bCs w:val="1"/>
                <w:color w:val="auto"/>
                <w:w w:val="99"/>
              </w:rPr>
              <w:t>Olema Pharmaceuticals, Inc.</w:t>
            </w:r>
          </w:p>
        </w:tc>
      </w:tr>
      <w:tr>
        <w:trPr>
          <w:trHeight w:val="238"/>
        </w:trPr>
        <w:tc>
          <w:tcPr>
            <w:tcW w:w="3620" w:type="dxa"/>
            <w:vAlign w:val="bottom"/>
          </w:tcPr>
          <w:p>
            <w:pPr>
              <w:spacing w:after="0"/>
              <w:rPr>
                <w:sz w:val="20"/>
                <w:szCs w:val="20"/>
                <w:color w:val="auto"/>
              </w:rPr>
            </w:pPr>
          </w:p>
        </w:tc>
        <w:tc>
          <w:tcPr>
            <w:tcW w:w="7620" w:type="dxa"/>
            <w:vAlign w:val="bottom"/>
          </w:tcPr>
          <w:p>
            <w:pPr>
              <w:jc w:val="center"/>
              <w:ind w:right="351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4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6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32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Olema Oncology Australia PTY LTD</w:t>
            </w:r>
          </w:p>
        </w:tc>
        <w:tc>
          <w:tcPr>
            <w:tcW w:w="76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Australia</w:t>
            </w:r>
          </w:p>
        </w:tc>
      </w:tr>
      <w:tr>
        <w:trPr>
          <w:trHeight w:val="979"/>
        </w:trPr>
        <w:tc>
          <w:tcPr>
            <w:tcW w:w="36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85" w:lineRule="exact"/>
        <w:rPr>
          <w:sz w:val="20"/>
          <w:szCs w:val="20"/>
          <w:color w:val="auto"/>
        </w:rPr>
      </w:pPr>
    </w:p>
    <w:p>
      <w:pPr>
        <w:ind w:left="760" w:hanging="378"/>
        <w:spacing w:after="0"/>
        <w:tabs>
          <w:tab w:leader="none" w:pos="7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S-3 (No.333-263117, 333-276787, 333-284131, and 333-284146) of Olema Pharmaceuticals, Inc. and</w:t>
      </w:r>
    </w:p>
    <w:p>
      <w:pPr>
        <w:spacing w:after="0" w:line="19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 333-250209, 333-254403, 333-263114, 333-270413, and 333-277820) pertaining to the 2014 Stock Plan, 2020 Equity Incentive Plan, 2020 Employee Stock Purchase Plan, and the 2022 Inducement Plan of Olema Pharmaceuticals, Inc.’</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of our report dated March 18, 2025, with respect to the consolidated financial statements of Olema Pharmaceuticals, Inc. included in this Annual Report (Form 10-K) of Olema Pharmaceuticals, Inc. for the year ended December 31, 2024.</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Bohen, M.D., Ph.D., certify that:</w:t>
      </w:r>
    </w:p>
    <w:p>
      <w:pPr>
        <w:spacing w:after="0" w:line="225" w:lineRule="exact"/>
        <w:rPr>
          <w:sz w:val="20"/>
          <w:szCs w:val="20"/>
          <w:color w:val="auto"/>
        </w:rPr>
      </w:pPr>
    </w:p>
    <w:p>
      <w:pPr>
        <w:ind w:left="380" w:hanging="372"/>
        <w:spacing w:after="0"/>
        <w:tabs>
          <w:tab w:leader="none" w:pos="3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Olema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18, 2025</w:t>
            </w:r>
          </w:p>
        </w:tc>
        <w:tc>
          <w:tcPr>
            <w:tcW w:w="75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Sean Bohen, M.D., Ph.D.</w:t>
            </w:r>
          </w:p>
        </w:tc>
      </w:tr>
      <w:tr>
        <w:trPr>
          <w:trHeight w:val="191"/>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6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Sean Bohen, M.D., Ph.D.</w:t>
            </w:r>
          </w:p>
        </w:tc>
      </w:tr>
      <w:tr>
        <w:trPr>
          <w:trHeight w:val="214"/>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979"/>
        </w:trPr>
        <w:tc>
          <w:tcPr>
            <w:tcW w:w="36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Shane Kovacs, certify that:</w:t>
      </w:r>
    </w:p>
    <w:p>
      <w:pPr>
        <w:spacing w:after="0" w:line="225" w:lineRule="exact"/>
        <w:rPr>
          <w:sz w:val="20"/>
          <w:szCs w:val="20"/>
          <w:color w:val="auto"/>
        </w:rPr>
      </w:pPr>
    </w:p>
    <w:p>
      <w:pPr>
        <w:ind w:left="380" w:hanging="372"/>
        <w:spacing w:after="0"/>
        <w:tabs>
          <w:tab w:leader="none" w:pos="3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Olema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18, 2025</w:t>
            </w:r>
          </w:p>
        </w:tc>
        <w:tc>
          <w:tcPr>
            <w:tcW w:w="75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Shane Kovacs</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Shane Kovacs</w:t>
            </w:r>
          </w:p>
        </w:tc>
      </w:tr>
      <w:tr>
        <w:trPr>
          <w:trHeight w:val="214"/>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and Financial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979"/>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Olema Pharmaceuticals, Inc. (the “Company”) on Form 10-K for the period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80" w:hanging="373"/>
        <w:spacing w:after="0"/>
        <w:tabs>
          <w:tab w:leader="none" w:pos="9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right="600" w:hanging="373"/>
        <w:spacing w:after="0" w:line="282" w:lineRule="auto"/>
        <w:tabs>
          <w:tab w:leader="none" w:pos="9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18, 2025</w:t>
            </w: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Sean Bohen, M.D., Ph.D.</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Sean Bohen, M.D., Ph.D.</w:t>
            </w:r>
          </w:p>
        </w:tc>
      </w:tr>
      <w:tr>
        <w:trPr>
          <w:trHeight w:val="214"/>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979"/>
        </w:trPr>
        <w:tc>
          <w:tcPr>
            <w:tcW w:w="3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Olema Pharmaceuticals, Inc. (the “Company”) on Form 10-K for the period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80" w:hanging="373"/>
        <w:spacing w:after="0"/>
        <w:tabs>
          <w:tab w:leader="none" w:pos="9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right="600" w:hanging="373"/>
        <w:spacing w:after="0" w:line="282" w:lineRule="auto"/>
        <w:tabs>
          <w:tab w:leader="none" w:pos="9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18, 2025</w:t>
            </w: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Shane Kovacs</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Shane Kovacs</w:t>
            </w:r>
          </w:p>
        </w:tc>
      </w:tr>
      <w:tr>
        <w:trPr>
          <w:trHeight w:val="214"/>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and Financial Officer</w:t>
            </w:r>
          </w:p>
        </w:tc>
      </w:tr>
      <w:tr>
        <w:trPr>
          <w:trHeight w:val="236"/>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979"/>
        </w:trPr>
        <w:tc>
          <w:tcPr>
            <w:tcW w:w="3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7"/>
          <w:szCs w:val="17"/>
          <w:b w:val="1"/>
          <w:bCs w:val="1"/>
          <w:color w:val="auto"/>
        </w:rPr>
        <w:t xml:space="preserve">  97.1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lema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02" w:lineRule="exact"/>
        <w:rPr>
          <w:sz w:val="20"/>
          <w:szCs w:val="20"/>
          <w:color w:val="auto"/>
        </w:rPr>
      </w:pPr>
    </w:p>
    <w:p>
      <w:pPr>
        <w:ind w:left="520" w:hanging="512"/>
        <w:spacing w:after="0"/>
        <w:tabs>
          <w:tab w:leader="none" w:pos="520" w:val="left"/>
        </w:tabs>
        <w:numPr>
          <w:ilvl w:val="0"/>
          <w:numId w:val="2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0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Olema Pharmaceuticals,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5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520" w:hanging="512"/>
        <w:spacing w:after="0"/>
        <w:tabs>
          <w:tab w:leader="none" w:pos="520" w:val="left"/>
        </w:tabs>
        <w:numPr>
          <w:ilvl w:val="0"/>
          <w:numId w:val="2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49" w:lineRule="exact"/>
        <w:rPr>
          <w:sz w:val="20"/>
          <w:szCs w:val="20"/>
          <w:color w:val="auto"/>
        </w:rPr>
      </w:pPr>
    </w:p>
    <w:p>
      <w:pPr>
        <w:ind w:left="520" w:hanging="512"/>
        <w:spacing w:after="0"/>
        <w:tabs>
          <w:tab w:leader="none" w:pos="520" w:val="left"/>
        </w:tabs>
        <w:numPr>
          <w:ilvl w:val="0"/>
          <w:numId w:val="2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02" w:lineRule="exact"/>
        <w:rPr>
          <w:sz w:val="20"/>
          <w:szCs w:val="20"/>
          <w:color w:val="auto"/>
        </w:rPr>
      </w:pPr>
    </w:p>
    <w:p>
      <w:pPr>
        <w:jc w:val="both"/>
        <w:ind w:firstLine="84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331" w:name="page332"/>
    <w:bookmarkEnd w:id="331"/>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6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4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520" w:hanging="512"/>
        <w:spacing w:after="0"/>
        <w:tabs>
          <w:tab w:leader="none" w:pos="520" w:val="left"/>
        </w:tabs>
        <w:numPr>
          <w:ilvl w:val="0"/>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202"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2" w:name="page333"/>
    <w:bookmarkEnd w:id="332"/>
    <w:p>
      <w:pPr>
        <w:jc w:val="both"/>
        <w:ind w:firstLine="757"/>
        <w:spacing w:after="0" w:line="246" w:lineRule="auto"/>
        <w:tabs>
          <w:tab w:leader="none" w:pos="1018"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65"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192" w:lineRule="exact"/>
        <w:rPr>
          <w:rFonts w:ascii="Times New Roman" w:cs="Times New Roman" w:eastAsia="Times New Roman" w:hAnsi="Times New Roman"/>
          <w:sz w:val="20"/>
          <w:szCs w:val="20"/>
          <w:b w:val="1"/>
          <w:bCs w:val="1"/>
          <w:color w:val="auto"/>
        </w:rPr>
      </w:pPr>
    </w:p>
    <w:p>
      <w:pPr>
        <w:jc w:val="both"/>
        <w:ind w:left="760" w:firstLine="745"/>
        <w:spacing w:after="0" w:line="246" w:lineRule="auto"/>
        <w:tabs>
          <w:tab w:leader="none" w:pos="2048"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71"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2048"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56"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60" w:lineRule="exact"/>
        <w:rPr>
          <w:rFonts w:ascii="Times New Roman" w:cs="Times New Roman" w:eastAsia="Times New Roman" w:hAnsi="Times New Roman"/>
          <w:sz w:val="20"/>
          <w:szCs w:val="20"/>
          <w:b w:val="1"/>
          <w:bCs w:val="1"/>
          <w:color w:val="auto"/>
        </w:rPr>
      </w:pPr>
    </w:p>
    <w:p>
      <w:pPr>
        <w:jc w:val="both"/>
        <w:ind w:right="20" w:firstLine="757"/>
        <w:spacing w:after="0" w:line="250" w:lineRule="auto"/>
        <w:tabs>
          <w:tab w:leader="none" w:pos="1018"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62"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3" w:name="page334"/>
    <w:bookmarkEnd w:id="333"/>
    <w:p>
      <w:pPr>
        <w:jc w:val="both"/>
        <w:spacing w:after="0" w:line="249" w:lineRule="auto"/>
        <w:rPr>
          <w:sz w:val="20"/>
          <w:szCs w:val="20"/>
          <w:color w:val="auto"/>
        </w:rPr>
      </w:pPr>
      <w:r>
        <w:rPr>
          <w:rFonts w:ascii="Times New Roman" w:cs="Times New Roman" w:eastAsia="Times New Roman" w:hAnsi="Times New Roman"/>
          <w:sz w:val="20"/>
          <w:szCs w:val="20"/>
          <w:color w:val="auto"/>
        </w:rPr>
        <w:t>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62" w:lineRule="exact"/>
        <w:rPr>
          <w:sz w:val="20"/>
          <w:szCs w:val="20"/>
          <w:color w:val="auto"/>
        </w:rPr>
      </w:pPr>
    </w:p>
    <w:p>
      <w:pPr>
        <w:jc w:val="both"/>
        <w:ind w:firstLine="757"/>
        <w:spacing w:after="0" w:line="250" w:lineRule="auto"/>
        <w:tabs>
          <w:tab w:leader="none" w:pos="1018" w:val="left"/>
        </w:tabs>
        <w:numPr>
          <w:ilvl w:val="1"/>
          <w:numId w:val="2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4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72" w:lineRule="exact"/>
        <w:rPr>
          <w:sz w:val="20"/>
          <w:szCs w:val="20"/>
          <w:color w:val="auto"/>
        </w:rPr>
      </w:pPr>
    </w:p>
    <w:p>
      <w:pPr>
        <w:ind w:left="520" w:hanging="512"/>
        <w:spacing w:after="0"/>
        <w:tabs>
          <w:tab w:leader="none" w:pos="520" w:val="left"/>
        </w:tabs>
        <w:numPr>
          <w:ilvl w:val="0"/>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19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62" w:lineRule="exact"/>
        <w:rPr>
          <w:sz w:val="20"/>
          <w:szCs w:val="20"/>
          <w:color w:val="auto"/>
        </w:rPr>
      </w:pPr>
    </w:p>
    <w:p>
      <w:pPr>
        <w:ind w:left="520" w:hanging="512"/>
        <w:spacing w:after="0"/>
        <w:tabs>
          <w:tab w:leader="none" w:pos="520" w:val="left"/>
        </w:tabs>
        <w:numPr>
          <w:ilvl w:val="0"/>
          <w:numId w:val="2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20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4" w:name="page335"/>
    <w:bookmarkEnd w:id="334"/>
    <w:p>
      <w:pPr>
        <w:ind w:left="520" w:hanging="512"/>
        <w:spacing w:after="0"/>
        <w:tabs>
          <w:tab w:leader="none" w:pos="520" w:val="left"/>
        </w:tabs>
        <w:numPr>
          <w:ilvl w:val="0"/>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28" w:lineRule="exact"/>
        <w:rPr>
          <w:sz w:val="20"/>
          <w:szCs w:val="20"/>
          <w:color w:val="auto"/>
        </w:rPr>
      </w:pPr>
    </w:p>
    <w:p>
      <w:pPr>
        <w:ind w:left="520" w:hanging="512"/>
        <w:spacing w:after="0"/>
        <w:tabs>
          <w:tab w:leader="none" w:pos="520"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42" w:lineRule="exact"/>
        <w:rPr>
          <w:sz w:val="20"/>
          <w:szCs w:val="20"/>
          <w:color w:val="auto"/>
        </w:rPr>
      </w:pPr>
    </w:p>
    <w:p>
      <w:pPr>
        <w:ind w:left="400" w:hanging="392"/>
        <w:spacing w:after="0"/>
        <w:tabs>
          <w:tab w:leader="none" w:pos="400"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193"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146" w:lineRule="exact"/>
        <w:rPr>
          <w:sz w:val="20"/>
          <w:szCs w:val="20"/>
          <w:color w:val="auto"/>
        </w:rPr>
      </w:pPr>
    </w:p>
    <w:p>
      <w:pPr>
        <w:jc w:val="center"/>
        <w:spacing w:after="0"/>
        <w:tabs>
          <w:tab w:leader="none" w:pos="280" w:val="left"/>
          <w:tab w:leader="none" w:pos="280" w:val="left"/>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5" w:name="page336"/>
    <w:bookmarkEnd w:id="33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lema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orm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cknowledgment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Olema Pharmaceuticals, Inc.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 inconsistency between the Policy and the terms of any employment agreement, offer letter or other individual agreement with Olema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2514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1365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8">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987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1278890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-10795</wp:posOffset>
            </wp:positionV>
            <wp:extent cx="1987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1">
                      <a:extLst>
                        <a:ext uri="{28A0092B-C50C-407E-A947-70E740481C1C}"/>
                      </a:extLst>
                    </a:blip>
                    <a:srcRect/>
                    <a:stretch>
                      <a:fillRect/>
                    </a:stretch>
                  </pic:blipFill>
                  <pic:spPr bwMode="auto">
                    <a:xfrm>
                      <a:off x="0" y="0"/>
                      <a:ext cx="198755"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6" w:name="page337"/>
    <w:bookmarkEnd w:id="3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49C29B"/>
    <w:multiLevelType w:val="hybridMultilevel"/>
    <w:lvl w:ilvl="0">
      <w:lvlJc w:val="left"/>
      <w:lvlText w:val="☒"/>
      <w:numFmt w:val="bullet"/>
      <w:start w:val="1"/>
    </w:lvl>
  </w:abstractNum>
  <w:abstractNum w:abstractNumId="1">
    <w:nsid w:val="7DFF9D09"/>
    <w:multiLevelType w:val="hybridMultilevel"/>
    <w:lvl w:ilvl="0">
      <w:lvlJc w:val="left"/>
      <w:lvlText w:val="☐"/>
      <w:numFmt w:val="bullet"/>
      <w:start w:val="1"/>
    </w:lvl>
  </w:abstractNum>
  <w:abstractNum w:abstractNumId="2">
    <w:nsid w:val="754342"/>
    <w:multiLevelType w:val="hybridMultilevel"/>
    <w:lvl w:ilvl="0">
      <w:lvlJc w:val="left"/>
      <w:lvlText w:val="•"/>
      <w:numFmt w:val="bullet"/>
      <w:start w:val="1"/>
    </w:lvl>
  </w:abstractNum>
  <w:abstractNum w:abstractNumId="3">
    <w:nsid w:val="69E7F3E5"/>
    <w:multiLevelType w:val="hybridMultilevel"/>
    <w:lvl w:ilvl="0">
      <w:lvlJc w:val="left"/>
      <w:lvlText w:val="•"/>
      <w:numFmt w:val="bullet"/>
      <w:start w:val="1"/>
    </w:lvl>
  </w:abstractNum>
  <w:abstractNum w:abstractNumId="4">
    <w:nsid w:val="2A6DE806"/>
    <w:multiLevelType w:val="hybridMultilevel"/>
    <w:lvl w:ilvl="0">
      <w:lvlJc w:val="left"/>
      <w:lvlText w:val="•"/>
      <w:numFmt w:val="bullet"/>
      <w:start w:val="1"/>
    </w:lvl>
  </w:abstractNum>
  <w:abstractNum w:abstractNumId="5">
    <w:nsid w:val="1816F8C4"/>
    <w:multiLevelType w:val="hybridMultilevel"/>
    <w:lvl w:ilvl="0">
      <w:lvlJc w:val="left"/>
      <w:lvlText w:val="•"/>
      <w:numFmt w:val="bullet"/>
      <w:start w:val="1"/>
    </w:lvl>
  </w:abstractNum>
  <w:abstractNum w:abstractNumId="6">
    <w:nsid w:val="37DF2233"/>
    <w:multiLevelType w:val="hybridMultilevel"/>
    <w:lvl w:ilvl="0">
      <w:lvlJc w:val="left"/>
      <w:lvlText w:val="•"/>
      <w:numFmt w:val="bullet"/>
      <w:start w:val="1"/>
    </w:lvl>
  </w:abstractNum>
  <w:abstractNum w:abstractNumId="7">
    <w:nsid w:val="7AB49DAF"/>
    <w:multiLevelType w:val="hybridMultilevel"/>
    <w:lvl w:ilvl="0">
      <w:lvlJc w:val="left"/>
      <w:lvlText w:val="•"/>
      <w:numFmt w:val="bullet"/>
      <w:start w:val="1"/>
    </w:lvl>
  </w:abstractNum>
  <w:abstractNum w:abstractNumId="8">
    <w:nsid w:val="759F82CD"/>
    <w:multiLevelType w:val="hybridMultilevel"/>
    <w:lvl w:ilvl="0">
      <w:lvlJc w:val="left"/>
      <w:lvlText w:val="•"/>
      <w:numFmt w:val="bullet"/>
      <w:start w:val="1"/>
    </w:lvl>
  </w:abstractNum>
  <w:abstractNum w:abstractNumId="9">
    <w:nsid w:val="61E74EA3"/>
    <w:multiLevelType w:val="hybridMultilevel"/>
    <w:lvl w:ilvl="0">
      <w:lvlJc w:val="left"/>
      <w:lvlText w:val="•"/>
      <w:numFmt w:val="bullet"/>
      <w:start w:val="1"/>
    </w:lvl>
  </w:abstractNum>
  <w:abstractNum w:abstractNumId="10">
    <w:nsid w:val="597B4D84"/>
    <w:multiLevelType w:val="hybridMultilevel"/>
    <w:lvl w:ilvl="0">
      <w:lvlJc w:val="left"/>
      <w:lvlText w:val="%1."/>
      <w:numFmt w:val="decimal"/>
      <w:start w:val="2"/>
    </w:lvl>
  </w:abstractNum>
  <w:abstractNum w:abstractNumId="11">
    <w:nsid w:val="F819E7F"/>
    <w:multiLevelType w:val="hybridMultilevel"/>
    <w:lvl w:ilvl="0">
      <w:lvlJc w:val="left"/>
      <w:lvlText w:val="•"/>
      <w:numFmt w:val="bullet"/>
      <w:start w:val="1"/>
    </w:lvl>
  </w:abstractNum>
  <w:abstractNum w:abstractNumId="12">
    <w:nsid w:val="57C7D42D"/>
    <w:multiLevelType w:val="hybridMultilevel"/>
    <w:lvl w:ilvl="0">
      <w:lvlJc w:val="left"/>
      <w:lvlText w:val="•"/>
      <w:numFmt w:val="bullet"/>
      <w:start w:val="1"/>
    </w:lvl>
  </w:abstractNum>
  <w:abstractNum w:abstractNumId="13">
    <w:nsid w:val="312167AD"/>
    <w:multiLevelType w:val="hybridMultilevel"/>
    <w:lvl w:ilvl="0">
      <w:lvlJc w:val="left"/>
      <w:lvlText w:val="•"/>
      <w:numFmt w:val="bullet"/>
      <w:start w:val="1"/>
    </w:lvl>
  </w:abstractNum>
  <w:abstractNum w:abstractNumId="14">
    <w:nsid w:val="631B64D4"/>
    <w:multiLevelType w:val="hybridMultilevel"/>
    <w:lvl w:ilvl="0">
      <w:lvlJc w:val="left"/>
      <w:lvlText w:val="•"/>
      <w:numFmt w:val="bullet"/>
      <w:start w:val="1"/>
    </w:lvl>
  </w:abstractNum>
  <w:abstractNum w:abstractNumId="15">
    <w:nsid w:val="78B5E776"/>
    <w:multiLevelType w:val="hybridMultilevel"/>
    <w:lvl w:ilvl="0">
      <w:lvlJc w:val="left"/>
      <w:lvlText w:val="o"/>
      <w:numFmt w:val="bullet"/>
      <w:start w:val="1"/>
    </w:lvl>
  </w:abstractNum>
  <w:abstractNum w:abstractNumId="16">
    <w:nsid w:val="75486E47"/>
    <w:multiLevelType w:val="hybridMultilevel"/>
    <w:lvl w:ilvl="0">
      <w:lvlJc w:val="left"/>
      <w:lvlText w:val="o"/>
      <w:numFmt w:val="bullet"/>
      <w:start w:val="1"/>
    </w:lvl>
  </w:abstractNum>
  <w:abstractNum w:abstractNumId="17">
    <w:nsid w:val="6E534CDE"/>
    <w:multiLevelType w:val="hybridMultilevel"/>
    <w:lvl w:ilvl="0">
      <w:lvlJc w:val="left"/>
      <w:lvlText w:val="•"/>
      <w:numFmt w:val="bullet"/>
      <w:start w:val="1"/>
    </w:lvl>
  </w:abstractNum>
  <w:abstractNum w:abstractNumId="18">
    <w:nsid w:val="1A0DDE32"/>
    <w:multiLevelType w:val="hybridMultilevel"/>
    <w:lvl w:ilvl="0">
      <w:lvlJc w:val="left"/>
      <w:lvlText w:val="•"/>
      <w:numFmt w:val="bullet"/>
      <w:start w:val="1"/>
    </w:lvl>
  </w:abstractNum>
  <w:abstractNum w:abstractNumId="19">
    <w:nsid w:val="65968C1C"/>
    <w:multiLevelType w:val="hybridMultilevel"/>
    <w:lvl w:ilvl="0">
      <w:lvlJc w:val="left"/>
      <w:lvlText w:val="•"/>
      <w:numFmt w:val="bullet"/>
      <w:start w:val="1"/>
    </w:lvl>
  </w:abstractNum>
  <w:abstractNum w:abstractNumId="20">
    <w:nsid w:val="46263DEC"/>
    <w:multiLevelType w:val="hybridMultilevel"/>
    <w:lvl w:ilvl="0">
      <w:lvlJc w:val="left"/>
      <w:lvlText w:val="•"/>
      <w:numFmt w:val="bullet"/>
      <w:start w:val="1"/>
    </w:lvl>
  </w:abstractNum>
  <w:abstractNum w:abstractNumId="21">
    <w:nsid w:val="260D8C4A"/>
    <w:multiLevelType w:val="hybridMultilevel"/>
    <w:lvl w:ilvl="0">
      <w:lvlJc w:val="left"/>
      <w:lvlText w:val="•"/>
      <w:numFmt w:val="bullet"/>
      <w:start w:val="1"/>
    </w:lvl>
  </w:abstractNum>
  <w:abstractNum w:abstractNumId="22">
    <w:nsid w:val="73D4D3C4"/>
    <w:multiLevelType w:val="hybridMultilevel"/>
    <w:lvl w:ilvl="0">
      <w:lvlJc w:val="left"/>
      <w:lvlText w:val="•"/>
      <w:numFmt w:val="bullet"/>
      <w:start w:val="1"/>
    </w:lvl>
  </w:abstractNum>
  <w:abstractNum w:abstractNumId="23">
    <w:nsid w:val="746F2E30"/>
    <w:multiLevelType w:val="hybridMultilevel"/>
    <w:lvl w:ilvl="0">
      <w:lvlJc w:val="left"/>
      <w:lvlText w:val="•"/>
      <w:numFmt w:val="bullet"/>
      <w:start w:val="1"/>
    </w:lvl>
  </w:abstractNum>
  <w:abstractNum w:abstractNumId="24">
    <w:nsid w:val="6FDE8AF6"/>
    <w:multiLevelType w:val="hybridMultilevel"/>
    <w:lvl w:ilvl="0">
      <w:lvlJc w:val="left"/>
      <w:lvlText w:val="•"/>
      <w:numFmt w:val="bullet"/>
      <w:start w:val="1"/>
    </w:lvl>
  </w:abstractNum>
  <w:abstractNum w:abstractNumId="25">
    <w:nsid w:val="3FC32E20"/>
    <w:multiLevelType w:val="hybridMultilevel"/>
    <w:lvl w:ilvl="0">
      <w:lvlJc w:val="left"/>
      <w:lvlText w:val="•"/>
      <w:numFmt w:val="bullet"/>
      <w:start w:val="1"/>
    </w:lvl>
  </w:abstractNum>
  <w:abstractNum w:abstractNumId="26">
    <w:nsid w:val="49C0E823"/>
    <w:multiLevelType w:val="hybridMultilevel"/>
    <w:lvl w:ilvl="0">
      <w:lvlJc w:val="left"/>
      <w:lvlText w:val="•"/>
      <w:numFmt w:val="bullet"/>
      <w:start w:val="1"/>
    </w:lvl>
  </w:abstractNum>
  <w:abstractNum w:abstractNumId="27">
    <w:nsid w:val="14D53685"/>
    <w:multiLevelType w:val="hybridMultilevel"/>
    <w:lvl w:ilvl="0">
      <w:lvlJc w:val="left"/>
      <w:lvlText w:val="•"/>
      <w:numFmt w:val="bullet"/>
      <w:start w:val="1"/>
    </w:lvl>
  </w:abstractNum>
  <w:abstractNum w:abstractNumId="28">
    <w:nsid w:val="230F856C"/>
    <w:multiLevelType w:val="hybridMultilevel"/>
    <w:lvl w:ilvl="0">
      <w:lvlJc w:val="left"/>
      <w:lvlText w:val="•"/>
      <w:numFmt w:val="bullet"/>
      <w:start w:val="1"/>
    </w:lvl>
  </w:abstractNum>
  <w:abstractNum w:abstractNumId="29">
    <w:nsid w:val="6EAA85FB"/>
    <w:multiLevelType w:val="hybridMultilevel"/>
    <w:lvl w:ilvl="0">
      <w:lvlJc w:val="left"/>
      <w:lvlText w:val="•"/>
      <w:numFmt w:val="bullet"/>
      <w:start w:val="1"/>
    </w:lvl>
  </w:abstractNum>
  <w:abstractNum w:abstractNumId="30">
    <w:nsid w:val="3F06ECB2"/>
    <w:multiLevelType w:val="hybridMultilevel"/>
    <w:lvl w:ilvl="0">
      <w:lvlJc w:val="left"/>
      <w:lvlText w:val="•"/>
      <w:numFmt w:val="bullet"/>
      <w:start w:val="1"/>
    </w:lvl>
  </w:abstractNum>
  <w:abstractNum w:abstractNumId="31">
    <w:nsid w:val="3B594807"/>
    <w:multiLevelType w:val="hybridMultilevel"/>
    <w:lvl w:ilvl="0">
      <w:lvlJc w:val="left"/>
      <w:lvlText w:val="(%1)"/>
      <w:numFmt w:val="decimal"/>
      <w:start w:val="1"/>
    </w:lvl>
  </w:abstractNum>
  <w:abstractNum w:abstractNumId="32">
    <w:nsid w:val="6CAA2304"/>
    <w:multiLevelType w:val="hybridMultilevel"/>
    <w:lvl w:ilvl="0">
      <w:lvlJc w:val="left"/>
      <w:lvlText w:val="•"/>
      <w:numFmt w:val="bullet"/>
      <w:start w:val="1"/>
    </w:lvl>
  </w:abstractNum>
  <w:abstractNum w:abstractNumId="33">
    <w:nsid w:val="3F7C2FF4"/>
    <w:multiLevelType w:val="hybridMultilevel"/>
    <w:lvl w:ilvl="0">
      <w:lvlJc w:val="left"/>
      <w:lvlText w:val="•"/>
      <w:numFmt w:val="bullet"/>
      <w:start w:val="1"/>
    </w:lvl>
  </w:abstractNum>
  <w:abstractNum w:abstractNumId="34">
    <w:nsid w:val="25413BEC"/>
    <w:multiLevelType w:val="hybridMultilevel"/>
    <w:lvl w:ilvl="0">
      <w:lvlJc w:val="left"/>
      <w:lvlText w:val="•"/>
      <w:numFmt w:val="bullet"/>
      <w:start w:val="1"/>
    </w:lvl>
  </w:abstractNum>
  <w:abstractNum w:abstractNumId="35">
    <w:nsid w:val="17180B0B"/>
    <w:multiLevelType w:val="hybridMultilevel"/>
    <w:lvl w:ilvl="0">
      <w:lvlJc w:val="left"/>
      <w:lvlText w:val="•"/>
      <w:numFmt w:val="bullet"/>
      <w:start w:val="1"/>
    </w:lvl>
  </w:abstractNum>
  <w:abstractNum w:abstractNumId="36">
    <w:nsid w:val="579328B9"/>
    <w:multiLevelType w:val="hybridMultilevel"/>
    <w:lvl w:ilvl="0">
      <w:lvlJc w:val="left"/>
      <w:lvlText w:val="•"/>
      <w:numFmt w:val="bullet"/>
      <w:start w:val="1"/>
    </w:lvl>
  </w:abstractNum>
  <w:abstractNum w:abstractNumId="37">
    <w:nsid w:val="5D205E20"/>
    <w:multiLevelType w:val="hybridMultilevel"/>
    <w:lvl w:ilvl="0">
      <w:lvlJc w:val="left"/>
      <w:lvlText w:val="•"/>
      <w:numFmt w:val="bullet"/>
      <w:start w:val="1"/>
    </w:lvl>
  </w:abstractNum>
  <w:abstractNum w:abstractNumId="38">
    <w:nsid w:val="11CCA8BA"/>
    <w:multiLevelType w:val="hybridMultilevel"/>
    <w:lvl w:ilvl="0">
      <w:lvlJc w:val="left"/>
      <w:lvlText w:val="•"/>
      <w:numFmt w:val="bullet"/>
      <w:start w:val="1"/>
    </w:lvl>
  </w:abstractNum>
  <w:abstractNum w:abstractNumId="39">
    <w:nsid w:val="4D32AB86"/>
    <w:multiLevelType w:val="hybridMultilevel"/>
    <w:lvl w:ilvl="0">
      <w:lvlJc w:val="left"/>
      <w:lvlText w:val="•"/>
      <w:numFmt w:val="bullet"/>
      <w:start w:val="1"/>
    </w:lvl>
  </w:abstractNum>
  <w:abstractNum w:abstractNumId="40">
    <w:nsid w:val="3F07ACC3"/>
    <w:multiLevelType w:val="hybridMultilevel"/>
    <w:lvl w:ilvl="0">
      <w:lvlJc w:val="left"/>
      <w:lvlText w:val="•"/>
      <w:numFmt w:val="bullet"/>
      <w:start w:val="1"/>
    </w:lvl>
  </w:abstractNum>
  <w:abstractNum w:abstractNumId="41">
    <w:nsid w:val="6B47F63E"/>
    <w:multiLevelType w:val="hybridMultilevel"/>
    <w:lvl w:ilvl="0">
      <w:lvlJc w:val="left"/>
      <w:lvlText w:val="•"/>
      <w:numFmt w:val="bullet"/>
      <w:start w:val="1"/>
    </w:lvl>
  </w:abstractNum>
  <w:abstractNum w:abstractNumId="42">
    <w:nsid w:val="5CB44A05"/>
    <w:multiLevelType w:val="hybridMultilevel"/>
    <w:lvl w:ilvl="0">
      <w:lvlJc w:val="left"/>
      <w:lvlText w:val="•"/>
      <w:numFmt w:val="bullet"/>
      <w:start w:val="1"/>
    </w:lvl>
  </w:abstractNum>
  <w:abstractNum w:abstractNumId="43">
    <w:nsid w:val="16CF80F1"/>
    <w:multiLevelType w:val="hybridMultilevel"/>
    <w:lvl w:ilvl="0">
      <w:lvlJc w:val="left"/>
      <w:lvlText w:val="•"/>
      <w:numFmt w:val="bullet"/>
      <w:start w:val="1"/>
    </w:lvl>
  </w:abstractNum>
  <w:abstractNum w:abstractNumId="44">
    <w:nsid w:val="1C695DEC"/>
    <w:multiLevelType w:val="hybridMultilevel"/>
    <w:lvl w:ilvl="0">
      <w:lvlJc w:val="left"/>
      <w:lvlText w:val="•"/>
      <w:numFmt w:val="bullet"/>
      <w:start w:val="1"/>
    </w:lvl>
  </w:abstractNum>
  <w:abstractNum w:abstractNumId="45">
    <w:nsid w:val="3FCFAED9"/>
    <w:multiLevelType w:val="hybridMultilevel"/>
    <w:lvl w:ilvl="0">
      <w:lvlJc w:val="left"/>
      <w:lvlText w:val="•"/>
      <w:numFmt w:val="bullet"/>
      <w:start w:val="1"/>
    </w:lvl>
  </w:abstractNum>
  <w:abstractNum w:abstractNumId="46">
    <w:nsid w:val="F856867"/>
    <w:multiLevelType w:val="hybridMultilevel"/>
    <w:lvl w:ilvl="0">
      <w:lvlJc w:val="left"/>
      <w:lvlText w:val="•"/>
      <w:numFmt w:val="bullet"/>
      <w:start w:val="1"/>
    </w:lvl>
  </w:abstractNum>
  <w:abstractNum w:abstractNumId="47">
    <w:nsid w:val="11B1CC33"/>
    <w:multiLevelType w:val="hybridMultilevel"/>
    <w:lvl w:ilvl="0">
      <w:lvlJc w:val="left"/>
      <w:lvlText w:val="(%1)"/>
      <w:numFmt w:val="decimal"/>
      <w:start w:val="1"/>
    </w:lvl>
  </w:abstractNum>
  <w:abstractNum w:abstractNumId="48">
    <w:nsid w:val="2E22FBB7"/>
    <w:multiLevelType w:val="hybridMultilevel"/>
    <w:lvl w:ilvl="0">
      <w:lvlJc w:val="left"/>
      <w:lvlText w:val="•"/>
      <w:numFmt w:val="bullet"/>
      <w:start w:val="1"/>
    </w:lvl>
  </w:abstractNum>
  <w:abstractNum w:abstractNumId="49">
    <w:nsid w:val="29934699"/>
    <w:multiLevelType w:val="hybridMultilevel"/>
    <w:lvl w:ilvl="0">
      <w:lvlJc w:val="left"/>
      <w:lvlText w:val="•"/>
      <w:numFmt w:val="bullet"/>
      <w:start w:val="1"/>
    </w:lvl>
  </w:abstractNum>
  <w:abstractNum w:abstractNumId="50">
    <w:nsid w:val="77485850"/>
    <w:multiLevelType w:val="hybridMultilevel"/>
    <w:lvl w:ilvl="0">
      <w:lvlJc w:val="left"/>
      <w:lvlText w:val="%1."/>
      <w:numFmt w:val="decimal"/>
      <w:start w:val="1"/>
    </w:lvl>
  </w:abstractNum>
  <w:abstractNum w:abstractNumId="51">
    <w:nsid w:val="744939A3"/>
    <w:multiLevelType w:val="hybridMultilevel"/>
    <w:lvl w:ilvl="0">
      <w:lvlJc w:val="left"/>
      <w:lvlText w:val="%1."/>
      <w:numFmt w:val="decimal"/>
      <w:start w:val="2"/>
    </w:lvl>
  </w:abstractNum>
  <w:abstractNum w:abstractNumId="52">
    <w:nsid w:val="4FA0D2E3"/>
    <w:multiLevelType w:val="hybridMultilevel"/>
    <w:lvl w:ilvl="0">
      <w:lvlJc w:val="left"/>
      <w:lvlText w:val="%1."/>
      <w:numFmt w:val="decimal"/>
      <w:start w:val="3"/>
    </w:lvl>
  </w:abstractNum>
  <w:abstractNum w:abstractNumId="53">
    <w:nsid w:val="6B1D2C14"/>
    <w:multiLevelType w:val="hybridMultilevel"/>
    <w:lvl w:ilvl="0">
      <w:lvlJc w:val="left"/>
      <w:lvlText w:val="•"/>
      <w:numFmt w:val="bullet"/>
      <w:start w:val="1"/>
    </w:lvl>
  </w:abstractNum>
  <w:abstractNum w:abstractNumId="54">
    <w:nsid w:val="68B867D3"/>
    <w:multiLevelType w:val="hybridMultilevel"/>
    <w:lvl w:ilvl="0">
      <w:lvlJc w:val="left"/>
      <w:lvlText w:val="•"/>
      <w:numFmt w:val="bullet"/>
      <w:start w:val="1"/>
    </w:lvl>
  </w:abstractNum>
  <w:abstractNum w:abstractNumId="55">
    <w:nsid w:val="3F7F5DD9"/>
    <w:multiLevelType w:val="hybridMultilevel"/>
    <w:lvl w:ilvl="0">
      <w:lvlJc w:val="left"/>
      <w:lvlText w:val="(%1)"/>
      <w:numFmt w:val="decimal"/>
      <w:start w:val="1"/>
    </w:lvl>
  </w:abstractNum>
  <w:abstractNum w:abstractNumId="56">
    <w:nsid w:val="2AE05A34"/>
    <w:multiLevelType w:val="hybridMultilevel"/>
    <w:lvl w:ilvl="0">
      <w:lvlJc w:val="left"/>
      <w:lvlText w:val="(%1)"/>
      <w:numFmt w:val="lowerLetter"/>
      <w:start w:val="2"/>
    </w:lvl>
  </w:abstractNum>
  <w:abstractNum w:abstractNumId="57">
    <w:nsid w:val="32794FF7"/>
    <w:multiLevelType w:val="hybridMultilevel"/>
    <w:lvl w:ilvl="0">
      <w:lvlJc w:val="left"/>
      <w:lvlText w:val="(%1)"/>
      <w:numFmt w:val="lowerRoman"/>
      <w:start w:val="2"/>
    </w:lvl>
  </w:abstractNum>
  <w:abstractNum w:abstractNumId="58">
    <w:nsid w:val="5454945E"/>
    <w:multiLevelType w:val="hybridMultilevel"/>
    <w:lvl w:ilvl="0">
      <w:lvlJc w:val="left"/>
      <w:lvlText w:val="(%1)"/>
      <w:numFmt w:val="lowerLetter"/>
      <w:start w:val="1"/>
    </w:lvl>
    <w:lvl w:ilvl="1">
      <w:lvlJc w:val="left"/>
      <w:lvlText w:val="%2."/>
      <w:numFmt w:val="decimal"/>
      <w:start w:val="1"/>
    </w:lvl>
  </w:abstractNum>
  <w:abstractNum w:abstractNumId="59">
    <w:nsid w:val="4DEFDFA0"/>
    <w:multiLevelType w:val="hybridMultilevel"/>
    <w:lvl w:ilvl="0">
      <w:lvlJc w:val="left"/>
      <w:lvlText w:val="#"/>
      <w:numFmt w:val="bullet"/>
      <w:start w:val="1"/>
    </w:lvl>
  </w:abstractNum>
  <w:abstractNum w:abstractNumId="60">
    <w:nsid w:val="2123D5F2"/>
    <w:multiLevelType w:val="hybridMultilevel"/>
    <w:lvl w:ilvl="0">
      <w:lvlJc w:val="left"/>
      <w:lvlText w:val="†"/>
      <w:numFmt w:val="bullet"/>
      <w:start w:val="1"/>
    </w:lvl>
  </w:abstractNum>
  <w:abstractNum w:abstractNumId="61">
    <w:nsid w:val="135B8110"/>
    <w:multiLevelType w:val="hybridMultilevel"/>
    <w:lvl w:ilvl="0">
      <w:lvlJc w:val="left"/>
      <w:lvlText w:val="¥"/>
      <w:numFmt w:val="bullet"/>
      <w:start w:val="1"/>
    </w:lvl>
  </w:abstractNum>
  <w:abstractNum w:abstractNumId="62">
    <w:nsid w:val="94927A8"/>
    <w:multiLevelType w:val="hybridMultilevel"/>
    <w:lvl w:ilvl="0">
      <w:lvlJc w:val="left"/>
      <w:lvlText w:val="&amp;"/>
      <w:numFmt w:val="bullet"/>
      <w:start w:val="1"/>
    </w:lvl>
    <w:lvl w:ilvl="1">
      <w:lvlJc w:val="left"/>
      <w:lvlText w:val="%2."/>
      <w:numFmt w:val="decimal"/>
      <w:start w:val="1"/>
    </w:lvl>
  </w:abstractNum>
  <w:abstractNum w:abstractNumId="63">
    <w:nsid w:val="DCDF8F6"/>
    <w:multiLevelType w:val="hybridMultilevel"/>
    <w:lvl w:ilvl="0">
      <w:lvlJc w:val="left"/>
      <w:lvlText w:val="%1."/>
      <w:numFmt w:val="decimal"/>
      <w:start w:val="2"/>
    </w:lvl>
    <w:lvl w:ilvl="1">
      <w:lvlJc w:val="left"/>
      <w:lvlText w:val="-"/>
      <w:numFmt w:val="bullet"/>
      <w:start w:val="1"/>
    </w:lvl>
  </w:abstractNum>
  <w:abstractNum w:abstractNumId="64">
    <w:nsid w:val="52D7B105"/>
    <w:multiLevelType w:val="hybridMultilevel"/>
    <w:lvl w:ilvl="0">
      <w:lvlJc w:val="left"/>
      <w:lvlText w:val="%1"/>
      <w:numFmt w:val="lowerRoman"/>
      <w:start w:val="1"/>
    </w:lvl>
    <w:lvl w:ilvl="1">
      <w:lvlJc w:val="left"/>
      <w:lvlText w:val="%2."/>
      <w:numFmt w:val="decimal"/>
      <w:start w:val="3"/>
    </w:lvl>
  </w:abstractNum>
  <w:abstractNum w:abstractNumId="65">
    <w:nsid w:val="2E8A6394"/>
    <w:multiLevelType w:val="hybridMultilevel"/>
    <w:lvl w:ilvl="0">
      <w:lvlJc w:val="left"/>
      <w:lvlText w:val="(%1)"/>
      <w:numFmt w:val="lowerRoman"/>
      <w:start w:val="1"/>
    </w:lvl>
    <w:lvl w:ilvl="1">
      <w:lvlJc w:val="left"/>
      <w:lvlText w:val="%2"/>
      <w:numFmt w:val="decimal"/>
      <w:start w:val="1"/>
    </w:lvl>
  </w:abstractNum>
  <w:abstractNum w:abstractNumId="66">
    <w:nsid w:val="24E60401"/>
    <w:multiLevelType w:val="hybridMultilevel"/>
    <w:lvl w:ilvl="0">
      <w:lvlJc w:val="left"/>
      <w:lvlText w:val="%1."/>
      <w:numFmt w:val="decimal"/>
      <w:start w:val="4"/>
    </w:lvl>
  </w:abstractNum>
  <w:abstractNum w:abstractNumId="67">
    <w:nsid w:val="2A6AD9BE"/>
    <w:multiLevelType w:val="hybridMultilevel"/>
    <w:lvl w:ilvl="0">
      <w:lvlJc w:val="left"/>
      <w:lvlText w:val="(%1)"/>
      <w:numFmt w:val="lowerLetter"/>
      <w:start w:val="1"/>
    </w:lvl>
  </w:abstractNum>
  <w:abstractNum w:abstractNumId="68">
    <w:nsid w:val="BAAC1B4"/>
    <w:multiLevelType w:val="hybridMultilevel"/>
    <w:lvl w:ilvl="0">
      <w:lvlJc w:val="left"/>
      <w:lvlText w:val="%1."/>
      <w:numFmt w:val="decimal"/>
      <w:start w:val="5"/>
    </w:lvl>
  </w:abstractNum>
  <w:abstractNum w:abstractNumId="69">
    <w:nsid w:val="36B2ACBC"/>
    <w:multiLevelType w:val="hybridMultilevel"/>
    <w:lvl w:ilvl="0">
      <w:lvlJc w:val="left"/>
      <w:lvlText w:val="(%1)"/>
      <w:numFmt w:val="lowerLetter"/>
      <w:start w:val="1"/>
    </w:lvl>
    <w:lvl w:ilvl="1">
      <w:lvlJc w:val="left"/>
      <w:lvlText w:val="-"/>
      <w:numFmt w:val="bullet"/>
      <w:start w:val="1"/>
    </w:lvl>
  </w:abstractNum>
  <w:abstractNum w:abstractNumId="70">
    <w:nsid w:val="779D8544"/>
    <w:multiLevelType w:val="hybridMultilevel"/>
    <w:lvl w:ilvl="0">
      <w:lvlJc w:val="left"/>
      <w:lvlText w:val="(%1)"/>
      <w:numFmt w:val="lowerLetter"/>
      <w:start w:val="2"/>
    </w:lvl>
  </w:abstractNum>
  <w:abstractNum w:abstractNumId="71">
    <w:nsid w:val="4AB26E78"/>
    <w:multiLevelType w:val="hybridMultilevel"/>
    <w:lvl w:ilvl="0">
      <w:lvlJc w:val="left"/>
      <w:lvlText w:val="%1."/>
      <w:numFmt w:val="decimal"/>
      <w:start w:val="6"/>
    </w:lvl>
  </w:abstractNum>
  <w:abstractNum w:abstractNumId="72">
    <w:nsid w:val="21FAA2FA"/>
    <w:multiLevelType w:val="hybridMultilevel"/>
    <w:lvl w:ilvl="0">
      <w:lvlJc w:val="left"/>
      <w:lvlText w:val="(%1)"/>
      <w:numFmt w:val="lowerLetter"/>
      <w:start w:val="1"/>
    </w:lvl>
    <w:lvl w:ilvl="1">
      <w:lvlJc w:val="left"/>
      <w:lvlText w:val="-"/>
      <w:numFmt w:val="bullet"/>
      <w:start w:val="1"/>
    </w:lvl>
  </w:abstractNum>
  <w:abstractNum w:abstractNumId="73">
    <w:nsid w:val="5451CF49"/>
    <w:multiLevelType w:val="hybridMultilevel"/>
    <w:lvl w:ilvl="0">
      <w:lvlJc w:val="left"/>
      <w:lvlText w:val="(%1)"/>
      <w:numFmt w:val="lowerLetter"/>
      <w:start w:val="3"/>
    </w:lvl>
    <w:lvl w:ilvl="1">
      <w:lvlJc w:val="left"/>
      <w:lvlText w:val="-"/>
      <w:numFmt w:val="bullet"/>
      <w:start w:val="1"/>
    </w:lvl>
  </w:abstractNum>
  <w:abstractNum w:abstractNumId="74">
    <w:nsid w:val="6181EF69"/>
    <w:multiLevelType w:val="hybridMultilevel"/>
    <w:lvl w:ilvl="0">
      <w:lvlJc w:val="left"/>
      <w:lvlText w:val="(%1)"/>
      <w:numFmt w:val="lowerLetter"/>
      <w:start w:val="11"/>
    </w:lvl>
    <w:lvl w:ilvl="1">
      <w:lvlJc w:val="left"/>
      <w:lvlText w:val="-"/>
      <w:numFmt w:val="bullet"/>
      <w:start w:val="1"/>
    </w:lvl>
  </w:abstractNum>
  <w:abstractNum w:abstractNumId="75">
    <w:nsid w:val="3E6400E6"/>
    <w:multiLevelType w:val="hybridMultilevel"/>
    <w:lvl w:ilvl="0">
      <w:lvlJc w:val="left"/>
      <w:lvlText w:val="(%1)"/>
      <w:numFmt w:val="lowerLetter"/>
      <w:start w:val="14"/>
    </w:lvl>
    <w:lvl w:ilvl="1">
      <w:lvlJc w:val="left"/>
      <w:lvlText w:val="-"/>
      <w:numFmt w:val="bullet"/>
      <w:start w:val="1"/>
    </w:lvl>
  </w:abstractNum>
  <w:abstractNum w:abstractNumId="76">
    <w:nsid w:val="14217E23"/>
    <w:multiLevelType w:val="hybridMultilevel"/>
    <w:lvl w:ilvl="0">
      <w:lvlJc w:val="left"/>
      <w:lvlText w:val="(%1)"/>
      <w:numFmt w:val="lowerLetter"/>
      <w:start w:val="18"/>
    </w:lvl>
    <w:lvl w:ilvl="1">
      <w:lvlJc w:val="left"/>
      <w:lvlText w:val="-"/>
      <w:numFmt w:val="bullet"/>
      <w:start w:val="1"/>
    </w:lvl>
  </w:abstractNum>
  <w:abstractNum w:abstractNumId="77">
    <w:nsid w:val="710757D0"/>
    <w:multiLevelType w:val="hybridMultilevel"/>
    <w:lvl w:ilvl="0">
      <w:lvlJc w:val="left"/>
      <w:lvlText w:val="(%1)"/>
      <w:numFmt w:val="lowerLetter"/>
      <w:start w:val="22"/>
    </w:lvl>
    <w:lvl w:ilvl="1">
      <w:lvlJc w:val="left"/>
      <w:lvlText w:val="-"/>
      <w:numFmt w:val="bullet"/>
      <w:start w:val="1"/>
    </w:lvl>
  </w:abstractNum>
  <w:abstractNum w:abstractNumId="78">
    <w:nsid w:val="5015CD1A"/>
    <w:multiLevelType w:val="hybridMultilevel"/>
    <w:lvl w:ilvl="0">
      <w:lvlJc w:val="left"/>
      <w:lvlText w:val="(%1)"/>
      <w:numFmt w:val="lowerLetter"/>
      <w:start w:val="26"/>
    </w:lvl>
  </w:abstractNum>
  <w:abstractNum w:abstractNumId="79">
    <w:nsid w:val="424479DA"/>
    <w:multiLevelType w:val="hybridMultilevel"/>
    <w:lvl w:ilvl="0">
      <w:lvlJc w:val="left"/>
      <w:lvlText w:val="(%1)"/>
      <w:numFmt w:val="lowerLetter"/>
      <w:start w:val="27"/>
    </w:lvl>
    <w:lvl w:ilvl="1">
      <w:lvlJc w:val="left"/>
      <w:lvlText w:val="-"/>
      <w:numFmt w:val="bullet"/>
      <w:start w:val="1"/>
    </w:lvl>
  </w:abstractNum>
  <w:abstractNum w:abstractNumId="80">
    <w:nsid w:val="1A9A9E69"/>
    <w:multiLevelType w:val="hybridMultilevel"/>
    <w:lvl w:ilvl="0">
      <w:lvlJc w:val="left"/>
      <w:lvlText w:val="(%1)"/>
      <w:numFmt w:val="lowerLetter"/>
      <w:start w:val="29"/>
    </w:lvl>
    <w:lvl w:ilvl="1">
      <w:lvlJc w:val="left"/>
      <w:lvlText w:val="-"/>
      <w:numFmt w:val="bullet"/>
      <w:start w:val="1"/>
    </w:lvl>
  </w:abstractNum>
  <w:abstractNum w:abstractNumId="81">
    <w:nsid w:val="475E256A"/>
    <w:multiLevelType w:val="hybridMultilevel"/>
    <w:lvl w:ilvl="0">
      <w:lvlJc w:val="left"/>
      <w:lvlText w:val="(%1)"/>
      <w:numFmt w:val="lowerLetter"/>
      <w:start w:val="34"/>
    </w:lvl>
    <w:lvl w:ilvl="1">
      <w:lvlJc w:val="left"/>
      <w:lvlText w:val="-"/>
      <w:numFmt w:val="bullet"/>
      <w:start w:val="1"/>
    </w:lvl>
  </w:abstractNum>
  <w:abstractNum w:abstractNumId="82">
    <w:nsid w:val="368DB37E"/>
    <w:multiLevelType w:val="hybridMultilevel"/>
    <w:lvl w:ilvl="0">
      <w:lvlJc w:val="left"/>
      <w:lvlText w:val="(%1)"/>
      <w:numFmt w:val="lowerLetter"/>
      <w:start w:val="37"/>
    </w:lvl>
    <w:lvl w:ilvl="1">
      <w:lvlJc w:val="left"/>
      <w:lvlText w:val="-"/>
      <w:numFmt w:val="bullet"/>
      <w:start w:val="1"/>
    </w:lvl>
  </w:abstractNum>
  <w:abstractNum w:abstractNumId="83">
    <w:nsid w:val="6A3B714C"/>
    <w:multiLevelType w:val="hybridMultilevel"/>
    <w:lvl w:ilvl="0">
      <w:lvlJc w:val="left"/>
      <w:lvlText w:val="(%1)"/>
      <w:numFmt w:val="lowerLetter"/>
      <w:start w:val="40"/>
    </w:lvl>
    <w:lvl w:ilvl="1">
      <w:lvlJc w:val="left"/>
      <w:lvlText w:val="-"/>
      <w:numFmt w:val="bullet"/>
      <w:start w:val="1"/>
    </w:lvl>
  </w:abstractNum>
  <w:abstractNum w:abstractNumId="84">
    <w:nsid w:val="327B517E"/>
    <w:multiLevelType w:val="hybridMultilevel"/>
    <w:lvl w:ilvl="0">
      <w:lvlJc w:val="left"/>
      <w:lvlText w:val="(%1)"/>
      <w:numFmt w:val="lowerLetter"/>
      <w:start w:val="42"/>
    </w:lvl>
    <w:lvl w:ilvl="1">
      <w:lvlJc w:val="left"/>
      <w:lvlText w:val="-"/>
      <w:numFmt w:val="bullet"/>
      <w:start w:val="1"/>
    </w:lvl>
  </w:abstractNum>
  <w:abstractNum w:abstractNumId="85">
    <w:nsid w:val="1F461B51"/>
    <w:multiLevelType w:val="hybridMultilevel"/>
    <w:lvl w:ilvl="0">
      <w:lvlJc w:val="left"/>
      <w:lvlText w:val="(%1)"/>
      <w:numFmt w:val="lowerLetter"/>
      <w:start w:val="48"/>
    </w:lvl>
  </w:abstractNum>
  <w:abstractNum w:abstractNumId="86">
    <w:nsid w:val="29BACF25"/>
    <w:multiLevelType w:val="hybridMultilevel"/>
    <w:lvl w:ilvl="0">
      <w:lvlJc w:val="left"/>
      <w:lvlText w:val="(%1)"/>
      <w:numFmt w:val="lowerLetter"/>
      <w:start w:val="53"/>
    </w:lvl>
    <w:lvl w:ilvl="1">
      <w:lvlJc w:val="left"/>
      <w:lvlText w:val="-"/>
      <w:numFmt w:val="bullet"/>
      <w:start w:val="1"/>
    </w:lvl>
  </w:abstractNum>
  <w:abstractNum w:abstractNumId="87">
    <w:nsid w:val="5D5BABB3"/>
    <w:multiLevelType w:val="hybridMultilevel"/>
    <w:lvl w:ilvl="0">
      <w:lvlJc w:val="left"/>
      <w:lvlText w:val="(%1)"/>
      <w:numFmt w:val="lowerLetter"/>
      <w:start w:val="54"/>
    </w:lvl>
  </w:abstractNum>
  <w:abstractNum w:abstractNumId="88">
    <w:nsid w:val="51BF6B4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9">
    <w:nsid w:val="7E0F6384"/>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90">
    <w:nsid w:val="2B4B8B53"/>
    <w:multiLevelType w:val="hybridMultilevel"/>
    <w:lvl w:ilvl="0">
      <w:lvlJc w:val="left"/>
      <w:lvlText w:val="(%1)"/>
      <w:numFmt w:val="lowerLetter"/>
      <w:start w:val="22"/>
    </w:lvl>
    <w:lvl w:ilvl="1">
      <w:lvlJc w:val="left"/>
      <w:lvlText w:val="(%2)"/>
      <w:numFmt w:val="lowerLetter"/>
      <w:start w:val="2"/>
    </w:lvl>
    <w:lvl w:ilvl="2">
      <w:lvlJc w:val="left"/>
      <w:lvlText w:val="-"/>
      <w:numFmt w:val="bullet"/>
      <w:start w:val="1"/>
    </w:lvl>
  </w:abstractNum>
  <w:abstractNum w:abstractNumId="91">
    <w:nsid w:val="72E3413A"/>
    <w:multiLevelType w:val="hybridMultilevel"/>
    <w:lvl w:ilvl="0">
      <w:lvlJc w:val="left"/>
      <w:lvlText w:val="(%1)"/>
      <w:numFmt w:val="lowerLetter"/>
      <w:start w:val="5"/>
    </w:lvl>
    <w:lvl w:ilvl="1">
      <w:lvlJc w:val="left"/>
      <w:lvlText w:val="-"/>
      <w:numFmt w:val="bullet"/>
      <w:start w:val="1"/>
    </w:lvl>
  </w:abstractNum>
  <w:abstractNum w:abstractNumId="92">
    <w:nsid w:val="116AE494"/>
    <w:multiLevelType w:val="hybridMultilevel"/>
    <w:lvl w:ilvl="0">
      <w:lvlJc w:val="left"/>
      <w:lvlText w:val="(%1)"/>
      <w:numFmt w:val="lowerLetter"/>
      <w:start w:val="10"/>
    </w:lvl>
    <w:lvl w:ilvl="1">
      <w:lvlJc w:val="left"/>
      <w:lvlText w:val="-"/>
      <w:numFmt w:val="bullet"/>
      <w:start w:val="1"/>
    </w:lvl>
  </w:abstractNum>
  <w:abstractNum w:abstractNumId="93">
    <w:nsid w:val="3494B2FB"/>
    <w:multiLevelType w:val="hybridMultilevel"/>
    <w:lvl w:ilvl="0">
      <w:lvlJc w:val="left"/>
      <w:lvlText w:val="(%1)"/>
      <w:numFmt w:val="lowerLetter"/>
      <w:start w:val="13"/>
    </w:lvl>
    <w:lvl w:ilvl="1">
      <w:lvlJc w:val="left"/>
      <w:lvlText w:val="-"/>
      <w:numFmt w:val="bullet"/>
      <w:start w:val="1"/>
    </w:lvl>
  </w:abstractNum>
  <w:abstractNum w:abstractNumId="94">
    <w:nsid w:val="B13A31"/>
    <w:multiLevelType w:val="hybridMultilevel"/>
    <w:lvl w:ilvl="0">
      <w:lvlJc w:val="left"/>
      <w:lvlText w:val="(%1)"/>
      <w:numFmt w:val="lowerLetter"/>
      <w:start w:val="16"/>
    </w:lvl>
    <w:lvl w:ilvl="1">
      <w:lvlJc w:val="left"/>
      <w:lvlText w:val="-"/>
      <w:numFmt w:val="bullet"/>
      <w:start w:val="1"/>
    </w:lvl>
  </w:abstractNum>
  <w:abstractNum w:abstractNumId="95">
    <w:nsid w:val="64429599"/>
    <w:multiLevelType w:val="hybridMultilevel"/>
    <w:lvl w:ilvl="0">
      <w:lvlJc w:val="left"/>
      <w:lvlText w:val="(%1)"/>
      <w:numFmt w:val="lowerLetter"/>
      <w:start w:val="22"/>
    </w:lvl>
  </w:abstractNum>
  <w:abstractNum w:abstractNumId="96">
    <w:nsid w:val="631F1690"/>
    <w:multiLevelType w:val="hybridMultilevel"/>
    <w:lvl w:ilvl="0">
      <w:lvlJc w:val="left"/>
      <w:lvlText w:val="%1."/>
      <w:numFmt w:val="decimal"/>
      <w:start w:val="8"/>
    </w:lvl>
  </w:abstractNum>
  <w:abstractNum w:abstractNumId="97">
    <w:nsid w:val="25973E3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8">
    <w:nsid w:val="EAD6F57"/>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99">
    <w:nsid w:val="6EC9D844"/>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00">
    <w:nsid w:val="5C49EAEE"/>
    <w:multiLevelType w:val="hybridMultilevel"/>
    <w:lvl w:ilvl="0">
      <w:lvlJc w:val="left"/>
      <w:lvlText w:val="(%1)"/>
      <w:numFmt w:val="lowerLetter"/>
      <w:start w:val="3"/>
    </w:lvl>
    <w:lvl w:ilvl="1">
      <w:lvlJc w:val="left"/>
      <w:lvlText w:val="-"/>
      <w:numFmt w:val="bullet"/>
      <w:start w:val="1"/>
    </w:lvl>
  </w:abstractNum>
  <w:abstractNum w:abstractNumId="101">
    <w:nsid w:val="64AF49B"/>
    <w:multiLevelType w:val="hybridMultilevel"/>
    <w:lvl w:ilvl="0">
      <w:lvlJc w:val="left"/>
      <w:lvlText w:val="%1"/>
      <w:numFmt w:val="lowerLetter"/>
      <w:start w:val="1"/>
    </w:lvl>
    <w:lvl w:ilvl="1">
      <w:lvlJc w:val="left"/>
      <w:lvlText w:val="(%2)"/>
      <w:numFmt w:val="lowerLetter"/>
      <w:start w:val="8"/>
    </w:lvl>
  </w:abstractNum>
  <w:abstractNum w:abstractNumId="102">
    <w:nsid w:val="397C46BC"/>
    <w:multiLevelType w:val="hybridMultilevel"/>
    <w:lvl w:ilvl="0">
      <w:lvlJc w:val="left"/>
      <w:lvlText w:val="(%1)"/>
      <w:numFmt w:val="lowerLetter"/>
      <w:start w:val="35"/>
    </w:lvl>
    <w:lvl w:ilvl="1">
      <w:lvlJc w:val="left"/>
      <w:lvlText w:val="(%2)"/>
      <w:numFmt w:val="lowerLetter"/>
      <w:start w:val="15"/>
    </w:lvl>
  </w:abstractNum>
  <w:abstractNum w:abstractNumId="103">
    <w:nsid w:val="7E448DE9"/>
    <w:multiLevelType w:val="hybridMultilevel"/>
    <w:lvl w:ilvl="0">
      <w:lvlJc w:val="left"/>
      <w:lvlText w:val="%1."/>
      <w:numFmt w:val="decimal"/>
      <w:start w:val="9"/>
    </w:lvl>
  </w:abstractNum>
  <w:abstractNum w:abstractNumId="104">
    <w:nsid w:val="5A9CC3E5"/>
    <w:multiLevelType w:val="hybridMultilevel"/>
    <w:lvl w:ilvl="0">
      <w:lvlJc w:val="left"/>
      <w:lvlText w:val="(%1)"/>
      <w:numFmt w:val="lowerLetter"/>
      <w:start w:val="1"/>
    </w:lvl>
    <w:lvl w:ilvl="1">
      <w:lvlJc w:val="left"/>
      <w:lvlText w:val="-"/>
      <w:numFmt w:val="bullet"/>
      <w:start w:val="1"/>
    </w:lvl>
  </w:abstractNum>
  <w:abstractNum w:abstractNumId="105">
    <w:nsid w:val="1AFE3625"/>
    <w:multiLevelType w:val="hybridMultilevel"/>
    <w:lvl w:ilvl="0">
      <w:lvlJc w:val="left"/>
      <w:lvlText w:val="(%1)"/>
      <w:numFmt w:val="lowerLetter"/>
      <w:start w:val="2"/>
    </w:lvl>
    <w:lvl w:ilvl="1">
      <w:lvlJc w:val="left"/>
      <w:lvlText w:val="-"/>
      <w:numFmt w:val="bullet"/>
      <w:start w:val="1"/>
    </w:lvl>
  </w:abstractNum>
  <w:abstractNum w:abstractNumId="106">
    <w:nsid w:val="3CA88ECF"/>
    <w:multiLevelType w:val="hybridMultilevel"/>
    <w:lvl w:ilvl="0">
      <w:lvlJc w:val="left"/>
      <w:lvlText w:val="(%1)"/>
      <w:numFmt w:val="lowerLetter"/>
      <w:start w:val="4"/>
    </w:lvl>
    <w:lvl w:ilvl="1">
      <w:lvlJc w:val="left"/>
      <w:lvlText w:val="-"/>
      <w:numFmt w:val="bullet"/>
      <w:start w:val="1"/>
    </w:lvl>
  </w:abstractNum>
  <w:abstractNum w:abstractNumId="107">
    <w:nsid w:val="6EBE4208"/>
    <w:multiLevelType w:val="hybridMultilevel"/>
    <w:lvl w:ilvl="0">
      <w:lvlJc w:val="left"/>
      <w:lvlText w:val="%1."/>
      <w:numFmt w:val="decimal"/>
      <w:start w:val="10"/>
    </w:lvl>
  </w:abstractNum>
  <w:abstractNum w:abstractNumId="108">
    <w:nsid w:val="C058DF5"/>
    <w:multiLevelType w:val="hybridMultilevel"/>
    <w:lvl w:ilvl="0">
      <w:lvlJc w:val="left"/>
      <w:lvlText w:val="(%1)"/>
      <w:numFmt w:val="lowerLetter"/>
      <w:start w:val="1"/>
    </w:lvl>
    <w:lvl w:ilvl="1">
      <w:lvlJc w:val="left"/>
      <w:lvlText w:val="-"/>
      <w:numFmt w:val="bullet"/>
      <w:start w:val="1"/>
    </w:lvl>
  </w:abstractNum>
  <w:abstractNum w:abstractNumId="109">
    <w:nsid w:val="CBE5BE9"/>
    <w:multiLevelType w:val="hybridMultilevel"/>
    <w:lvl w:ilvl="0">
      <w:lvlJc w:val="left"/>
      <w:lvlText w:val="(%1)"/>
      <w:numFmt w:val="lowerLetter"/>
      <w:start w:val="3"/>
    </w:lvl>
  </w:abstractNum>
  <w:abstractNum w:abstractNumId="110">
    <w:nsid w:val="3102BBE2"/>
    <w:multiLevelType w:val="hybridMultilevel"/>
    <w:lvl w:ilvl="0">
      <w:lvlJc w:val="left"/>
      <w:lvlText w:val="%1."/>
      <w:numFmt w:val="decimal"/>
      <w:start w:val="12"/>
    </w:lvl>
  </w:abstractNum>
  <w:abstractNum w:abstractNumId="111">
    <w:nsid w:val="26A02C5E"/>
    <w:multiLevelType w:val="hybridMultilevel"/>
    <w:lvl w:ilvl="0">
      <w:lvlJc w:val="left"/>
      <w:lvlText w:val="%1."/>
      <w:numFmt w:val="decimal"/>
      <w:start w:val="13"/>
    </w:lvl>
    <w:lvl w:ilvl="1">
      <w:lvlJc w:val="left"/>
      <w:lvlText w:val="-"/>
      <w:numFmt w:val="bullet"/>
      <w:start w:val="1"/>
    </w:lvl>
  </w:abstractNum>
  <w:abstractNum w:abstractNumId="112">
    <w:nsid w:val="541C8153"/>
    <w:multiLevelType w:val="hybridMultilevel"/>
    <w:lvl w:ilvl="0">
      <w:lvlJc w:val="left"/>
      <w:lvlText w:val="%1."/>
      <w:numFmt w:val="decimal"/>
      <w:start w:val="15"/>
    </w:lvl>
  </w:abstractNum>
  <w:abstractNum w:abstractNumId="113">
    <w:nsid w:val="67906F60"/>
    <w:multiLevelType w:val="hybridMultilevel"/>
    <w:lvl w:ilvl="0">
      <w:lvlJc w:val="left"/>
      <w:lvlText w:val="(%1)"/>
      <w:numFmt w:val="lowerLetter"/>
      <w:start w:val="1"/>
    </w:lvl>
    <w:lvl w:ilvl="1">
      <w:lvlJc w:val="left"/>
      <w:lvlText w:val="-"/>
      <w:numFmt w:val="bullet"/>
      <w:start w:val="1"/>
    </w:lvl>
  </w:abstractNum>
  <w:abstractNum w:abstractNumId="114">
    <w:nsid w:val="10DB9DAA"/>
    <w:multiLevelType w:val="hybridMultilevel"/>
    <w:lvl w:ilvl="0">
      <w:lvlJc w:val="left"/>
      <w:lvlText w:val="%1."/>
      <w:numFmt w:val="decimal"/>
      <w:start w:val="19"/>
    </w:lvl>
  </w:abstractNum>
  <w:abstractNum w:abstractNumId="115">
    <w:nsid w:val="697D2D2"/>
    <w:multiLevelType w:val="hybridMultilevel"/>
    <w:lvl w:ilvl="0">
      <w:lvlJc w:val="left"/>
      <w:lvlText w:val="(%1)"/>
      <w:numFmt w:val="lowerRoman"/>
      <w:start w:val="1"/>
    </w:lvl>
  </w:abstractNum>
  <w:abstractNum w:abstractNumId="116">
    <w:nsid w:val="6D68AB2"/>
    <w:multiLevelType w:val="hybridMultilevel"/>
    <w:lvl w:ilvl="0">
      <w:lvlJc w:val="left"/>
      <w:lvlText w:val="%1."/>
      <w:numFmt w:val="decimal"/>
      <w:start w:val="1"/>
    </w:lvl>
  </w:abstractNum>
  <w:abstractNum w:abstractNumId="117">
    <w:nsid w:val="3A966CD0"/>
    <w:multiLevelType w:val="hybridMultilevel"/>
    <w:lvl w:ilvl="0">
      <w:lvlJc w:val="left"/>
      <w:lvlText w:val="(%1)"/>
      <w:numFmt w:val="lowerLetter"/>
      <w:start w:val="1"/>
    </w:lvl>
  </w:abstractNum>
  <w:abstractNum w:abstractNumId="118">
    <w:nsid w:val="63F37E85"/>
    <w:multiLevelType w:val="hybridMultilevel"/>
    <w:lvl w:ilvl="0">
      <w:lvlJc w:val="left"/>
      <w:lvlText w:val="%1."/>
      <w:numFmt w:val="decimal"/>
      <w:start w:val="2"/>
    </w:lvl>
  </w:abstractNum>
  <w:abstractNum w:abstractNumId="119">
    <w:nsid w:val="5895F5FA"/>
    <w:multiLevelType w:val="hybridMultilevel"/>
    <w:lvl w:ilvl="0">
      <w:lvlJc w:val="left"/>
      <w:lvlText w:val="(%1)"/>
      <w:numFmt w:val="lowerLetter"/>
      <w:start w:val="1"/>
    </w:lvl>
  </w:abstractNum>
  <w:abstractNum w:abstractNumId="120">
    <w:nsid w:val="38A5D054"/>
    <w:multiLevelType w:val="hybridMultilevel"/>
    <w:lvl w:ilvl="0">
      <w:lvlJc w:val="left"/>
      <w:lvlText w:val="(%1)"/>
      <w:numFmt w:val="lowerRoman"/>
      <w:start w:val="1"/>
    </w:lvl>
  </w:abstractNum>
  <w:abstractNum w:abstractNumId="121">
    <w:nsid w:val="F3F09D8"/>
    <w:multiLevelType w:val="hybridMultilevel"/>
    <w:lvl w:ilvl="0">
      <w:lvlJc w:val="left"/>
      <w:lvlText w:val="(%1)"/>
      <w:numFmt w:val="lowerRoman"/>
      <w:start w:val="2"/>
    </w:lvl>
  </w:abstractNum>
  <w:abstractNum w:abstractNumId="122">
    <w:nsid w:val="4B793735"/>
    <w:multiLevelType w:val="hybridMultilevel"/>
    <w:lvl w:ilvl="0">
      <w:lvlJc w:val="left"/>
      <w:lvlText w:val="%1."/>
      <w:numFmt w:val="decimal"/>
      <w:start w:val="3"/>
    </w:lvl>
  </w:abstractNum>
  <w:abstractNum w:abstractNumId="123">
    <w:nsid w:val="4A10B4E8"/>
    <w:multiLevelType w:val="hybridMultilevel"/>
    <w:lvl w:ilvl="0">
      <w:lvlJc w:val="left"/>
      <w:lvlText w:val="(%1)"/>
      <w:numFmt w:val="lowerLetter"/>
      <w:start w:val="1"/>
    </w:lvl>
  </w:abstractNum>
  <w:abstractNum w:abstractNumId="124">
    <w:nsid w:val="43D3BCD4"/>
    <w:multiLevelType w:val="hybridMultilevel"/>
    <w:lvl w:ilvl="0">
      <w:lvlJc w:val="left"/>
      <w:lvlText w:val="%1."/>
      <w:numFmt w:val="decimal"/>
      <w:start w:val="4"/>
    </w:lvl>
  </w:abstractNum>
  <w:abstractNum w:abstractNumId="125">
    <w:nsid w:val="4C2A7166"/>
    <w:multiLevelType w:val="hybridMultilevel"/>
    <w:lvl w:ilvl="0">
      <w:lvlJc w:val="left"/>
      <w:lvlText w:val="(%1)"/>
      <w:numFmt w:val="lowerLetter"/>
      <w:start w:val="1"/>
    </w:lvl>
  </w:abstractNum>
  <w:abstractNum w:abstractNumId="126">
    <w:nsid w:val="2E534A82"/>
    <w:multiLevelType w:val="hybridMultilevel"/>
    <w:lvl w:ilvl="0">
      <w:lvlJc w:val="left"/>
      <w:lvlText w:val="(%1)"/>
      <w:numFmt w:val="lowerRoman"/>
      <w:start w:val="1"/>
    </w:lvl>
  </w:abstractNum>
  <w:abstractNum w:abstractNumId="127">
    <w:nsid w:val="26F2D364"/>
    <w:multiLevelType w:val="hybridMultilevel"/>
    <w:lvl w:ilvl="0">
      <w:lvlJc w:val="left"/>
      <w:lvlText w:val="(%1)"/>
      <w:numFmt w:val="lowerLetter"/>
      <w:start w:val="4"/>
    </w:lvl>
  </w:abstractNum>
  <w:abstractNum w:abstractNumId="128">
    <w:nsid w:val="71C1AF98"/>
    <w:multiLevelType w:val="hybridMultilevel"/>
    <w:lvl w:ilvl="0">
      <w:lvlJc w:val="left"/>
      <w:lvlText w:val="(%1)"/>
      <w:numFmt w:val="lowerRoman"/>
      <w:start w:val="1"/>
    </w:lvl>
  </w:abstractNum>
  <w:abstractNum w:abstractNumId="129">
    <w:nsid w:val="3D00B9D9"/>
    <w:multiLevelType w:val="hybridMultilevel"/>
    <w:lvl w:ilvl="0">
      <w:lvlJc w:val="left"/>
      <w:lvlText w:val="(%1)"/>
      <w:numFmt w:val="lowerRoman"/>
      <w:start w:val="2"/>
    </w:lvl>
  </w:abstractNum>
  <w:abstractNum w:abstractNumId="130">
    <w:nsid w:val="15BCABA8"/>
    <w:multiLevelType w:val="hybridMultilevel"/>
    <w:lvl w:ilvl="0">
      <w:lvlJc w:val="left"/>
      <w:lvlText w:val="(%1)"/>
      <w:numFmt w:val="lowerLetter"/>
      <w:start w:val="6"/>
    </w:lvl>
  </w:abstractNum>
  <w:abstractNum w:abstractNumId="131">
    <w:nsid w:val="4E0B9A87"/>
    <w:multiLevelType w:val="hybridMultilevel"/>
    <w:lvl w:ilvl="0">
      <w:lvlJc w:val="left"/>
      <w:lvlText w:val="(%1)"/>
      <w:numFmt w:val="lowerRoman"/>
      <w:start w:val="2"/>
    </w:lvl>
  </w:abstractNum>
  <w:abstractNum w:abstractNumId="132">
    <w:nsid w:val="434BAE75"/>
    <w:multiLevelType w:val="hybridMultilevel"/>
    <w:lvl w:ilvl="0">
      <w:lvlJc w:val="left"/>
      <w:lvlText w:val="(%1)"/>
      <w:numFmt w:val="lowerRoman"/>
      <w:start w:val="1"/>
    </w:lvl>
  </w:abstractNum>
  <w:abstractNum w:abstractNumId="133">
    <w:nsid w:val="4F38F265"/>
    <w:multiLevelType w:val="hybridMultilevel"/>
    <w:lvl w:ilvl="0">
      <w:lvlJc w:val="left"/>
      <w:lvlText w:val="(%1)"/>
      <w:numFmt w:val="lowerLetter"/>
      <w:start w:val="10"/>
    </w:lvl>
  </w:abstractNum>
  <w:abstractNum w:abstractNumId="134">
    <w:nsid w:val="4C502870"/>
    <w:multiLevelType w:val="hybridMultilevel"/>
    <w:lvl w:ilvl="0">
      <w:lvlJc w:val="left"/>
      <w:lvlText w:val="%1."/>
      <w:numFmt w:val="decimal"/>
      <w:start w:val="5"/>
    </w:lvl>
  </w:abstractNum>
  <w:abstractNum w:abstractNumId="135">
    <w:nsid w:val="1DE8725A"/>
    <w:multiLevelType w:val="hybridMultilevel"/>
    <w:lvl w:ilvl="0">
      <w:lvlJc w:val="left"/>
      <w:lvlText w:val="(%1)"/>
      <w:numFmt w:val="lowerLetter"/>
      <w:start w:val="1"/>
    </w:lvl>
  </w:abstractNum>
  <w:abstractNum w:abstractNumId="136">
    <w:nsid w:val="6A37288A"/>
    <w:multiLevelType w:val="hybridMultilevel"/>
    <w:lvl w:ilvl="0">
      <w:lvlJc w:val="left"/>
      <w:lvlText w:val="(%1)"/>
      <w:numFmt w:val="lowerRoman"/>
      <w:start w:val="1"/>
    </w:lvl>
  </w:abstractNum>
  <w:abstractNum w:abstractNumId="137">
    <w:nsid w:val="8F8B73F"/>
    <w:multiLevelType w:val="hybridMultilevel"/>
    <w:lvl w:ilvl="0">
      <w:lvlJc w:val="left"/>
      <w:lvlText w:val="(%1)"/>
      <w:numFmt w:val="decimal"/>
      <w:start w:val="1"/>
    </w:lvl>
  </w:abstractNum>
  <w:abstractNum w:abstractNumId="138">
    <w:nsid w:val="CA6B462"/>
    <w:multiLevelType w:val="hybridMultilevel"/>
    <w:lvl w:ilvl="0">
      <w:lvlJc w:val="left"/>
      <w:lvlText w:val="(%1)"/>
      <w:numFmt w:val="lowerRoman"/>
      <w:start w:val="2"/>
    </w:lvl>
  </w:abstractNum>
  <w:abstractNum w:abstractNumId="139">
    <w:nsid w:val="763CB680"/>
    <w:multiLevelType w:val="hybridMultilevel"/>
    <w:lvl w:ilvl="0">
      <w:lvlJc w:val="left"/>
      <w:lvlText w:val="(%1)"/>
      <w:numFmt w:val="decimal"/>
      <w:start w:val="1"/>
    </w:lvl>
  </w:abstractNum>
  <w:abstractNum w:abstractNumId="140">
    <w:nsid w:val="15B71329"/>
    <w:multiLevelType w:val="hybridMultilevel"/>
    <w:lvl w:ilvl="0">
      <w:lvlJc w:val="left"/>
      <w:lvlText w:val="(%1)"/>
      <w:numFmt w:val="lowerRoman"/>
      <w:start w:val="3"/>
    </w:lvl>
  </w:abstractNum>
  <w:abstractNum w:abstractNumId="141">
    <w:nsid w:val="3DA97044"/>
    <w:multiLevelType w:val="hybridMultilevel"/>
    <w:lvl w:ilvl="0">
      <w:lvlJc w:val="left"/>
      <w:lvlText w:val="(%1)"/>
      <w:numFmt w:val="lowerLetter"/>
      <w:start w:val="2"/>
    </w:lvl>
  </w:abstractNum>
  <w:abstractNum w:abstractNumId="142">
    <w:nsid w:val="1CDCE2DE"/>
    <w:multiLevelType w:val="hybridMultilevel"/>
    <w:lvl w:ilvl="0">
      <w:lvlJc w:val="left"/>
      <w:lvlText w:val="%1."/>
      <w:numFmt w:val="decimal"/>
      <w:start w:val="6"/>
    </w:lvl>
  </w:abstractNum>
  <w:abstractNum w:abstractNumId="143">
    <w:nsid w:val="69D3947C"/>
    <w:multiLevelType w:val="hybridMultilevel"/>
    <w:lvl w:ilvl="0">
      <w:lvlJc w:val="left"/>
      <w:lvlText w:val="(%1)"/>
      <w:numFmt w:val="lowerLetter"/>
      <w:start w:val="1"/>
    </w:lvl>
  </w:abstractNum>
  <w:abstractNum w:abstractNumId="144">
    <w:nsid w:val="2539DFA5"/>
    <w:multiLevelType w:val="hybridMultilevel"/>
    <w:lvl w:ilvl="0">
      <w:lvlJc w:val="left"/>
      <w:lvlText w:val="(%1)"/>
      <w:numFmt w:val="lowerRoman"/>
      <w:start w:val="1"/>
    </w:lvl>
  </w:abstractNum>
  <w:abstractNum w:abstractNumId="145">
    <w:nsid w:val="2DB88089"/>
    <w:multiLevelType w:val="hybridMultilevel"/>
    <w:lvl w:ilvl="0">
      <w:lvlJc w:val="left"/>
      <w:lvlText w:val="(%1)"/>
      <w:numFmt w:val="lowerRoman"/>
      <w:start w:val="3"/>
    </w:lvl>
  </w:abstractNum>
  <w:abstractNum w:abstractNumId="146">
    <w:nsid w:val="706B674E"/>
    <w:multiLevelType w:val="hybridMultilevel"/>
    <w:lvl w:ilvl="0">
      <w:lvlJc w:val="left"/>
      <w:lvlText w:val="(%1)"/>
      <w:numFmt w:val="lowerLetter"/>
      <w:start w:val="4"/>
    </w:lvl>
  </w:abstractNum>
  <w:abstractNum w:abstractNumId="147">
    <w:nsid w:val="2C106A57"/>
    <w:multiLevelType w:val="hybridMultilevel"/>
    <w:lvl w:ilvl="0">
      <w:lvlJc w:val="left"/>
      <w:lvlText w:val="%1."/>
      <w:numFmt w:val="decimal"/>
      <w:start w:val="7"/>
    </w:lvl>
  </w:abstractNum>
  <w:abstractNum w:abstractNumId="148">
    <w:nsid w:val="684EED59"/>
    <w:multiLevelType w:val="hybridMultilevel"/>
    <w:lvl w:ilvl="0">
      <w:lvlJc w:val="left"/>
      <w:lvlText w:val="(%1)"/>
      <w:numFmt w:val="lowerLetter"/>
      <w:start w:val="1"/>
    </w:lvl>
  </w:abstractNum>
  <w:abstractNum w:abstractNumId="149">
    <w:nsid w:val="545EE5D3"/>
    <w:multiLevelType w:val="hybridMultilevel"/>
    <w:lvl w:ilvl="0">
      <w:lvlJc w:val="left"/>
      <w:lvlText w:val="(%1)"/>
      <w:numFmt w:val="lowerRoman"/>
      <w:start w:val="1"/>
    </w:lvl>
  </w:abstractNum>
  <w:abstractNum w:abstractNumId="150">
    <w:nsid w:val="4A66051"/>
    <w:multiLevelType w:val="hybridMultilevel"/>
    <w:lvl w:ilvl="0">
      <w:lvlJc w:val="left"/>
      <w:lvlText w:val="(%1)"/>
      <w:numFmt w:val="lowerRoman"/>
      <w:start w:val="9"/>
    </w:lvl>
  </w:abstractNum>
  <w:abstractNum w:abstractNumId="151">
    <w:nsid w:val="20F4BDAD"/>
    <w:multiLevelType w:val="hybridMultilevel"/>
    <w:lvl w:ilvl="0">
      <w:lvlJc w:val="left"/>
      <w:lvlText w:val="(%1)"/>
      <w:numFmt w:val="lowerLetter"/>
      <w:start w:val="3"/>
    </w:lvl>
  </w:abstractNum>
  <w:abstractNum w:abstractNumId="152">
    <w:nsid w:val="639DEFAC"/>
    <w:multiLevelType w:val="hybridMultilevel"/>
    <w:lvl w:ilvl="0">
      <w:lvlJc w:val="left"/>
      <w:lvlText w:val="(%1)"/>
      <w:numFmt w:val="lowerRoman"/>
      <w:start w:val="1"/>
    </w:lvl>
  </w:abstractNum>
  <w:abstractNum w:abstractNumId="153">
    <w:nsid w:val="501F9786"/>
    <w:multiLevelType w:val="hybridMultilevel"/>
    <w:lvl w:ilvl="0">
      <w:lvlJc w:val="left"/>
      <w:lvlText w:val="(%1)"/>
      <w:numFmt w:val="lowerLetter"/>
      <w:start w:val="4"/>
    </w:lvl>
  </w:abstractNum>
  <w:abstractNum w:abstractNumId="154">
    <w:nsid w:val="6B057295"/>
    <w:multiLevelType w:val="hybridMultilevel"/>
    <w:lvl w:ilvl="0">
      <w:lvlJc w:val="left"/>
      <w:lvlText w:val="%1."/>
      <w:numFmt w:val="decimal"/>
      <w:start w:val="8"/>
    </w:lvl>
  </w:abstractNum>
  <w:abstractNum w:abstractNumId="155">
    <w:nsid w:val="2771AC80"/>
    <w:multiLevelType w:val="hybridMultilevel"/>
    <w:lvl w:ilvl="0">
      <w:lvlJc w:val="left"/>
      <w:lvlText w:val="(%1)"/>
      <w:numFmt w:val="lowerLetter"/>
      <w:start w:val="1"/>
    </w:lvl>
  </w:abstractNum>
  <w:abstractNum w:abstractNumId="156">
    <w:nsid w:val="1C4A08EC"/>
    <w:multiLevelType w:val="hybridMultilevel"/>
    <w:lvl w:ilvl="0">
      <w:lvlJc w:val="left"/>
      <w:lvlText w:val="%1."/>
      <w:numFmt w:val="decimal"/>
      <w:start w:val="9"/>
    </w:lvl>
  </w:abstractNum>
  <w:abstractNum w:abstractNumId="157">
    <w:nsid w:val="1958BD17"/>
    <w:multiLevelType w:val="hybridMultilevel"/>
    <w:lvl w:ilvl="0">
      <w:lvlJc w:val="left"/>
      <w:lvlText w:val="(%1)"/>
      <w:numFmt w:val="lowerLetter"/>
      <w:start w:val="1"/>
    </w:lvl>
  </w:abstractNum>
  <w:abstractNum w:abstractNumId="158">
    <w:nsid w:val="4E647FE4"/>
    <w:multiLevelType w:val="hybridMultilevel"/>
    <w:lvl w:ilvl="0">
      <w:lvlJc w:val="left"/>
      <w:lvlText w:val="(%1)"/>
      <w:numFmt w:val="lowerLetter"/>
      <w:start w:val="7"/>
    </w:lvl>
  </w:abstractNum>
  <w:abstractNum w:abstractNumId="159">
    <w:nsid w:val="E0BB885"/>
    <w:multiLevelType w:val="hybridMultilevel"/>
    <w:lvl w:ilvl="0">
      <w:lvlJc w:val="left"/>
      <w:lvlText w:val="(%1)"/>
      <w:numFmt w:val="lowerLetter"/>
      <w:start w:val="14"/>
    </w:lvl>
  </w:abstractNum>
  <w:abstractNum w:abstractNumId="160">
    <w:nsid w:val="565976F1"/>
    <w:multiLevelType w:val="hybridMultilevel"/>
    <w:lvl w:ilvl="0">
      <w:lvlJc w:val="left"/>
      <w:lvlText w:val="%1."/>
      <w:numFmt w:val="decimal"/>
      <w:start w:val="10"/>
    </w:lvl>
  </w:abstractNum>
  <w:abstractNum w:abstractNumId="161">
    <w:nsid w:val="64212B8C"/>
    <w:multiLevelType w:val="hybridMultilevel"/>
    <w:lvl w:ilvl="0">
      <w:lvlJc w:val="left"/>
      <w:lvlText w:val="(%1)"/>
      <w:numFmt w:val="lowerLetter"/>
      <w:start w:val="1"/>
    </w:lvl>
  </w:abstractNum>
  <w:abstractNum w:abstractNumId="162">
    <w:nsid w:val="5C17530C"/>
    <w:multiLevelType w:val="hybridMultilevel"/>
    <w:lvl w:ilvl="0">
      <w:lvlJc w:val="left"/>
      <w:lvlText w:val="%1."/>
      <w:numFmt w:val="decimal"/>
      <w:start w:val="11"/>
    </w:lvl>
  </w:abstractNum>
  <w:abstractNum w:abstractNumId="163">
    <w:nsid w:val="19A52566"/>
    <w:multiLevelType w:val="hybridMultilevel"/>
    <w:lvl w:ilvl="0">
      <w:lvlJc w:val="left"/>
      <w:lvlText w:val="(%1)"/>
      <w:numFmt w:val="lowerLetter"/>
      <w:start w:val="1"/>
    </w:lvl>
  </w:abstractNum>
  <w:abstractNum w:abstractNumId="164">
    <w:nsid w:val="335A1DF1"/>
    <w:multiLevelType w:val="hybridMultilevel"/>
    <w:lvl w:ilvl="0">
      <w:lvlJc w:val="left"/>
      <w:lvlText w:val="(%1)"/>
      <w:numFmt w:val="lowerRoman"/>
      <w:start w:val="1"/>
    </w:lvl>
  </w:abstractNum>
  <w:abstractNum w:abstractNumId="165">
    <w:nsid w:val="28677B7C"/>
    <w:multiLevelType w:val="hybridMultilevel"/>
    <w:lvl w:ilvl="0">
      <w:lvlJc w:val="left"/>
      <w:lvlText w:val="(%1)"/>
      <w:numFmt w:val="lowerLetter"/>
      <w:start w:val="3"/>
    </w:lvl>
  </w:abstractNum>
  <w:abstractNum w:abstractNumId="166">
    <w:nsid w:val="378D97C0"/>
    <w:multiLevelType w:val="hybridMultilevel"/>
    <w:lvl w:ilvl="0">
      <w:lvlJc w:val="left"/>
      <w:lvlText w:val="(%1)"/>
      <w:numFmt w:val="lowerRoman"/>
      <w:start w:val="1"/>
    </w:lvl>
  </w:abstractNum>
  <w:abstractNum w:abstractNumId="167">
    <w:nsid w:val="1D91467C"/>
    <w:multiLevelType w:val="hybridMultilevel"/>
    <w:lvl w:ilvl="0">
      <w:lvlJc w:val="left"/>
      <w:lvlText w:val="(%1)"/>
      <w:numFmt w:val="decimal"/>
      <w:start w:val="1"/>
    </w:lvl>
  </w:abstractNum>
  <w:abstractNum w:abstractNumId="168">
    <w:nsid w:val="316032BB"/>
    <w:multiLevelType w:val="hybridMultilevel"/>
    <w:lvl w:ilvl="0">
      <w:lvlJc w:val="left"/>
      <w:lvlText w:val="(%1)"/>
      <w:numFmt w:val="lowerRoman"/>
      <w:start w:val="2"/>
    </w:lvl>
  </w:abstractNum>
  <w:abstractNum w:abstractNumId="169">
    <w:nsid w:val="44344C22"/>
    <w:multiLevelType w:val="hybridMultilevel"/>
    <w:lvl w:ilvl="0">
      <w:lvlJc w:val="left"/>
      <w:lvlText w:val="(%1)"/>
      <w:numFmt w:val="decimal"/>
      <w:start w:val="1"/>
    </w:lvl>
  </w:abstractNum>
  <w:abstractNum w:abstractNumId="170">
    <w:nsid w:val="13CDFCFC"/>
    <w:multiLevelType w:val="hybridMultilevel"/>
    <w:lvl w:ilvl="0">
      <w:lvlJc w:val="left"/>
      <w:lvlText w:val="(%1)"/>
      <w:numFmt w:val="lowerLetter"/>
      <w:start w:val="4"/>
    </w:lvl>
  </w:abstractNum>
  <w:abstractNum w:abstractNumId="171">
    <w:nsid w:val="471745E4"/>
    <w:multiLevelType w:val="hybridMultilevel"/>
    <w:lvl w:ilvl="0">
      <w:lvlJc w:val="left"/>
      <w:lvlText w:val="(%1)"/>
      <w:numFmt w:val="lowerRoman"/>
      <w:start w:val="1"/>
    </w:lvl>
  </w:abstractNum>
  <w:abstractNum w:abstractNumId="172">
    <w:nsid w:val="1DDBC66"/>
    <w:multiLevelType w:val="hybridMultilevel"/>
    <w:lvl w:ilvl="0">
      <w:lvlJc w:val="left"/>
      <w:lvlText w:val="(%1)"/>
      <w:numFmt w:val="lowerRoman"/>
      <w:start w:val="4"/>
    </w:lvl>
  </w:abstractNum>
  <w:abstractNum w:abstractNumId="173">
    <w:nsid w:val="30AADFDA"/>
    <w:multiLevelType w:val="hybridMultilevel"/>
    <w:lvl w:ilvl="0">
      <w:lvlJc w:val="left"/>
      <w:lvlText w:val="%1."/>
      <w:numFmt w:val="decimal"/>
      <w:start w:val="12"/>
    </w:lvl>
  </w:abstractNum>
  <w:abstractNum w:abstractNumId="174">
    <w:nsid w:val="30EADA61"/>
    <w:multiLevelType w:val="hybridMultilevel"/>
    <w:lvl w:ilvl="0">
      <w:lvlJc w:val="left"/>
      <w:lvlText w:val="%1."/>
      <w:numFmt w:val="decimal"/>
      <w:start w:val="13"/>
    </w:lvl>
  </w:abstractNum>
  <w:abstractNum w:abstractNumId="175">
    <w:nsid w:val="27179C0B"/>
    <w:multiLevelType w:val="hybridMultilevel"/>
    <w:lvl w:ilvl="0">
      <w:lvlJc w:val="left"/>
      <w:lvlText w:val="%1."/>
      <w:numFmt w:val="decimal"/>
      <w:start w:val="14"/>
    </w:lvl>
  </w:abstractNum>
  <w:abstractNum w:abstractNumId="176">
    <w:nsid w:val="5E636063"/>
    <w:multiLevelType w:val="hybridMultilevel"/>
    <w:lvl w:ilvl="0">
      <w:lvlJc w:val="left"/>
      <w:lvlText w:val="(%1)"/>
      <w:numFmt w:val="lowerLetter"/>
      <w:start w:val="1"/>
    </w:lvl>
  </w:abstractNum>
  <w:abstractNum w:abstractNumId="177">
    <w:nsid w:val="215641AF"/>
    <w:multiLevelType w:val="hybridMultilevel"/>
    <w:lvl w:ilvl="0">
      <w:lvlJc w:val="left"/>
      <w:lvlText w:val="(%1)"/>
      <w:numFmt w:val="lowerLetter"/>
      <w:start w:val="5"/>
    </w:lvl>
  </w:abstractNum>
  <w:abstractNum w:abstractNumId="178">
    <w:nsid w:val="53280662"/>
    <w:multiLevelType w:val="hybridMultilevel"/>
    <w:lvl w:ilvl="0">
      <w:lvlJc w:val="left"/>
      <w:lvlText w:val="(%1)"/>
      <w:numFmt w:val="lowerRoman"/>
      <w:start w:val="1"/>
    </w:lvl>
  </w:abstractNum>
  <w:abstractNum w:abstractNumId="179">
    <w:nsid w:val="46B24DBC"/>
    <w:multiLevelType w:val="hybridMultilevel"/>
    <w:lvl w:ilvl="0">
      <w:lvlJc w:val="left"/>
      <w:lvlText w:val="(%1)"/>
      <w:numFmt w:val="lowerLetter"/>
      <w:start w:val="10"/>
    </w:lvl>
  </w:abstractNum>
  <w:abstractNum w:abstractNumId="180">
    <w:nsid w:val="75B52783"/>
    <w:multiLevelType w:val="hybridMultilevel"/>
    <w:lvl w:ilvl="0">
      <w:lvlJc w:val="left"/>
      <w:lvlText w:val="(%1)"/>
      <w:numFmt w:val="lowerRoman"/>
      <w:start w:val="1"/>
    </w:lvl>
  </w:abstractNum>
  <w:abstractNum w:abstractNumId="181">
    <w:nsid w:val="57CE66B4"/>
    <w:multiLevelType w:val="hybridMultilevel"/>
    <w:lvl w:ilvl="0">
      <w:lvlJc w:val="left"/>
      <w:lvlText w:val="(%1)"/>
      <w:numFmt w:val="lowerRoman"/>
      <w:start w:val="3"/>
    </w:lvl>
  </w:abstractNum>
  <w:abstractNum w:abstractNumId="182">
    <w:nsid w:val="67A70B69"/>
    <w:multiLevelType w:val="hybridMultilevel"/>
    <w:lvl w:ilvl="0">
      <w:lvlJc w:val="left"/>
      <w:lvlText w:val="(%1)"/>
      <w:numFmt w:val="lowerLetter"/>
      <w:start w:val="17"/>
    </w:lvl>
  </w:abstractNum>
  <w:abstractNum w:abstractNumId="183">
    <w:nsid w:val="5953172F"/>
    <w:multiLevelType w:val="hybridMultilevel"/>
    <w:lvl w:ilvl="0">
      <w:lvlJc w:val="left"/>
      <w:lvlText w:val="(%1)"/>
      <w:numFmt w:val="lowerRoman"/>
      <w:start w:val="1"/>
    </w:lvl>
  </w:abstractNum>
  <w:abstractNum w:abstractNumId="184">
    <w:nsid w:val="27EDFE3A"/>
    <w:multiLevelType w:val="hybridMultilevel"/>
    <w:lvl w:ilvl="0">
      <w:lvlJc w:val="left"/>
      <w:lvlText w:val="(%1)"/>
      <w:numFmt w:val="lowerRoman"/>
      <w:start w:val="2"/>
    </w:lvl>
  </w:abstractNum>
  <w:abstractNum w:abstractNumId="185">
    <w:nsid w:val="52AC7DFF"/>
    <w:multiLevelType w:val="hybridMultilevel"/>
    <w:lvl w:ilvl="0">
      <w:lvlJc w:val="left"/>
      <w:lvlText w:val="(%1)"/>
      <w:numFmt w:val="lowerLetter"/>
      <w:start w:val="27"/>
    </w:lvl>
  </w:abstractNum>
  <w:abstractNum w:abstractNumId="186">
    <w:nsid w:val="C4C3AF"/>
    <w:multiLevelType w:val="hybridMultilevel"/>
    <w:lvl w:ilvl="0">
      <w:lvlJc w:val="left"/>
      <w:lvlText w:val="(%1)"/>
      <w:numFmt w:val="lowerLetter"/>
      <w:start w:val="33"/>
    </w:lvl>
  </w:abstractNum>
  <w:abstractNum w:abstractNumId="187">
    <w:nsid w:val="44380727"/>
    <w:multiLevelType w:val="hybridMultilevel"/>
    <w:lvl w:ilvl="0">
      <w:lvlJc w:val="left"/>
      <w:lvlText w:val="(%1)"/>
      <w:numFmt w:val="lowerLetter"/>
      <w:start w:val="44"/>
    </w:lvl>
  </w:abstractNum>
  <w:abstractNum w:abstractNumId="188">
    <w:nsid w:val="6C053B16"/>
    <w:multiLevelType w:val="hybridMultilevel"/>
    <w:lvl w:ilvl="0">
      <w:lvlJc w:val="left"/>
      <w:lvlText w:val="(%1)"/>
      <w:numFmt w:val="lowerLetter"/>
      <w:start w:val="45"/>
    </w:lvl>
  </w:abstractNum>
  <w:abstractNum w:abstractNumId="189">
    <w:nsid w:val="4F294393"/>
    <w:multiLevelType w:val="hybridMultilevel"/>
    <w:lvl w:ilvl="0">
      <w:lvlJc w:val="left"/>
      <w:lvlText w:val="(%1)"/>
      <w:numFmt w:val="lowerLetter"/>
      <w:start w:val="53"/>
    </w:lvl>
  </w:abstractNum>
  <w:abstractNum w:abstractNumId="190">
    <w:nsid w:val="5243BFAC"/>
    <w:multiLevelType w:val="hybridMultilevel"/>
    <w:lvl w:ilvl="0">
      <w:lvlJc w:val="left"/>
      <w:lvlText w:val="(%1)"/>
      <w:numFmt w:val="lowerLetter"/>
      <w:start w:val="57"/>
    </w:lvl>
  </w:abstractNum>
  <w:abstractNum w:abstractNumId="191">
    <w:nsid w:val="425EB207"/>
    <w:multiLevelType w:val="hybridMultilevel"/>
    <w:lvl w:ilvl="0">
      <w:lvlJc w:val="left"/>
      <w:lvlText w:val="%1."/>
      <w:numFmt w:val="decimal"/>
      <w:start w:val="1"/>
    </w:lvl>
  </w:abstractNum>
  <w:abstractNum w:abstractNumId="192">
    <w:nsid w:val="334A6F1F"/>
    <w:multiLevelType w:val="hybridMultilevel"/>
    <w:lvl w:ilvl="0">
      <w:lvlJc w:val="left"/>
      <w:lvlText w:val="%1."/>
      <w:numFmt w:val="decimal"/>
      <w:start w:val="5"/>
    </w:lvl>
    <w:lvl w:ilvl="1">
      <w:lvlJc w:val="left"/>
      <w:lvlText w:val="(%2)"/>
      <w:numFmt w:val="lowerLetter"/>
      <w:start w:val="1"/>
    </w:lvl>
  </w:abstractNum>
  <w:abstractNum w:abstractNumId="193">
    <w:nsid w:val="2E5B12B8"/>
    <w:multiLevelType w:val="hybridMultilevel"/>
    <w:lvl w:ilvl="0">
      <w:lvlJc w:val="left"/>
      <w:lvlText w:val="(%1)"/>
      <w:numFmt w:val="lowerLetter"/>
      <w:start w:val="4"/>
    </w:lvl>
  </w:abstractNum>
  <w:abstractNum w:abstractNumId="194">
    <w:nsid w:val="5C03D76D"/>
    <w:multiLevelType w:val="hybridMultilevel"/>
    <w:lvl w:ilvl="0">
      <w:lvlJc w:val="left"/>
      <w:lvlText w:val="%1."/>
      <w:numFmt w:val="decimal"/>
      <w:start w:val="8"/>
    </w:lvl>
  </w:abstractNum>
  <w:abstractNum w:abstractNumId="195">
    <w:nsid w:val="66A48D11"/>
    <w:multiLevelType w:val="hybridMultilevel"/>
    <w:lvl w:ilvl="0">
      <w:lvlJc w:val="left"/>
      <w:lvlText w:val="%1."/>
      <w:numFmt w:val="decimal"/>
      <w:start w:val="9"/>
    </w:lvl>
    <w:lvl w:ilvl="1">
      <w:lvlJc w:val="left"/>
      <w:lvlText w:val="(%2)"/>
      <w:numFmt w:val="lowerLetter"/>
      <w:start w:val="1"/>
    </w:lvl>
  </w:abstractNum>
  <w:abstractNum w:abstractNumId="196">
    <w:nsid w:val="56C28E34"/>
    <w:multiLevelType w:val="hybridMultilevel"/>
    <w:lvl w:ilvl="0">
      <w:lvlJc w:val="left"/>
      <w:lvlText w:val="(%1)"/>
      <w:numFmt w:val="lowerLetter"/>
      <w:start w:val="4"/>
    </w:lvl>
  </w:abstractNum>
  <w:abstractNum w:abstractNumId="197">
    <w:nsid w:val="13916F2D"/>
    <w:multiLevelType w:val="hybridMultilevel"/>
    <w:lvl w:ilvl="0">
      <w:lvlJc w:val="left"/>
      <w:lvlText w:val="(%1)"/>
      <w:numFmt w:val="lowerLetter"/>
      <w:start w:val="1"/>
    </w:lvl>
  </w:abstractNum>
  <w:abstractNum w:abstractNumId="198">
    <w:nsid w:val="435D38D"/>
    <w:multiLevelType w:val="hybridMultilevel"/>
    <w:lvl w:ilvl="0">
      <w:lvlJc w:val="left"/>
      <w:lvlText w:val="(%1)"/>
      <w:numFmt w:val="lowerLetter"/>
      <w:start w:val="2"/>
    </w:lvl>
  </w:abstractNum>
  <w:abstractNum w:abstractNumId="199">
    <w:nsid w:val="822C0EF"/>
    <w:multiLevelType w:val="hybridMultilevel"/>
    <w:lvl w:ilvl="0">
      <w:lvlJc w:val="left"/>
      <w:lvlText w:val="%1."/>
      <w:numFmt w:val="upperLetter"/>
      <w:start w:val="1"/>
    </w:lvl>
  </w:abstractNum>
  <w:abstractNum w:abstractNumId="200">
    <w:nsid w:val="57C5BB4F"/>
    <w:multiLevelType w:val="hybridMultilevel"/>
    <w:lvl w:ilvl="0">
      <w:lvlJc w:val="left"/>
      <w:lvlText w:val="(%1)"/>
      <w:numFmt w:val="lowerLetter"/>
      <w:start w:val="2"/>
    </w:lvl>
  </w:abstractNum>
  <w:abstractNum w:abstractNumId="201">
    <w:nsid w:val="1803D089"/>
    <w:multiLevelType w:val="hybridMultilevel"/>
    <w:lvl w:ilvl="0">
      <w:lvlJc w:val="left"/>
      <w:lvlText w:val="(%1)"/>
      <w:numFmt w:val="lowerLetter"/>
      <w:start w:val="3"/>
    </w:lvl>
  </w:abstractNum>
  <w:abstractNum w:abstractNumId="202">
    <w:nsid w:val="4F3A06D4"/>
    <w:multiLevelType w:val="hybridMultilevel"/>
    <w:lvl w:ilvl="0">
      <w:lvlJc w:val="left"/>
      <w:lvlText w:val="(%1)"/>
      <w:numFmt w:val="lowerRoman"/>
      <w:start w:val="1"/>
    </w:lvl>
  </w:abstractNum>
  <w:abstractNum w:abstractNumId="203">
    <w:nsid w:val="59A377B6"/>
    <w:multiLevelType w:val="hybridMultilevel"/>
    <w:lvl w:ilvl="0">
      <w:lvlJc w:val="left"/>
      <w:lvlText w:val="[***]"/>
      <w:numFmt w:val="bullet"/>
      <w:start w:val="1"/>
    </w:lvl>
  </w:abstractNum>
  <w:abstractNum w:abstractNumId="204">
    <w:nsid w:val="48AEB063"/>
    <w:multiLevelType w:val="hybridMultilevel"/>
    <w:lvl w:ilvl="0">
      <w:lvlJc w:val="left"/>
      <w:lvlText w:val="(%1)"/>
      <w:numFmt w:val="lowerLetter"/>
      <w:start w:val="1"/>
    </w:lvl>
  </w:abstractNum>
  <w:abstractNum w:abstractNumId="205">
    <w:nsid w:val="24E135"/>
    <w:multiLevelType w:val="hybridMultilevel"/>
    <w:lvl w:ilvl="0">
      <w:lvlJc w:val="left"/>
      <w:lvlText w:val="(%1)"/>
      <w:numFmt w:val="lowerLetter"/>
      <w:start w:val="2"/>
    </w:lvl>
  </w:abstractNum>
  <w:abstractNum w:abstractNumId="206">
    <w:nsid w:val="BB13C1"/>
    <w:multiLevelType w:val="hybridMultilevel"/>
    <w:lvl w:ilvl="0">
      <w:lvlJc w:val="left"/>
      <w:lvlText w:val="(%1)"/>
      <w:numFmt w:val="lowerLetter"/>
      <w:start w:val="1"/>
    </w:lvl>
  </w:abstractNum>
  <w:abstractNum w:abstractNumId="207">
    <w:nsid w:val="271210C7"/>
    <w:multiLevelType w:val="hybridMultilevel"/>
    <w:lvl w:ilvl="0">
      <w:lvlJc w:val="left"/>
      <w:lvlText w:val="(%1)"/>
      <w:numFmt w:val="lowerRoman"/>
      <w:start w:val="3"/>
    </w:lvl>
  </w:abstractNum>
  <w:abstractNum w:abstractNumId="208">
    <w:nsid w:val="217B22E4"/>
    <w:multiLevelType w:val="hybridMultilevel"/>
    <w:lvl w:ilvl="0">
      <w:lvlJc w:val="left"/>
      <w:lvlText w:val="[***]"/>
      <w:numFmt w:val="bullet"/>
      <w:start w:val="1"/>
    </w:lvl>
  </w:abstractNum>
  <w:abstractNum w:abstractNumId="209">
    <w:nsid w:val="53E31A24"/>
    <w:multiLevelType w:val="hybridMultilevel"/>
    <w:lvl w:ilvl="0">
      <w:lvlJc w:val="left"/>
      <w:lvlText w:val="(%1)"/>
      <w:numFmt w:val="lowerLetter"/>
      <w:start w:val="1"/>
    </w:lvl>
  </w:abstractNum>
  <w:abstractNum w:abstractNumId="210">
    <w:nsid w:val="6DC45E83"/>
    <w:multiLevelType w:val="hybridMultilevel"/>
    <w:lvl w:ilvl="0">
      <w:lvlJc w:val="left"/>
      <w:lvlText w:val="[***]"/>
      <w:numFmt w:val="bullet"/>
      <w:start w:val="1"/>
    </w:lvl>
  </w:abstractNum>
  <w:abstractNum w:abstractNumId="211">
    <w:nsid w:val="17304A67"/>
    <w:multiLevelType w:val="hybridMultilevel"/>
    <w:lvl w:ilvl="0">
      <w:lvlJc w:val="left"/>
      <w:lvlText w:val="["/>
      <w:numFmt w:val="bullet"/>
      <w:start w:val="1"/>
    </w:lvl>
  </w:abstractNum>
  <w:abstractNum w:abstractNumId="212">
    <w:nsid w:val="2BB180D8"/>
    <w:multiLevelType w:val="hybridMultilevel"/>
    <w:lvl w:ilvl="0">
      <w:lvlJc w:val="left"/>
      <w:lvlText w:val="%1."/>
      <w:numFmt w:val="decimal"/>
      <w:start w:val="1"/>
    </w:lvl>
  </w:abstractNum>
  <w:abstractNum w:abstractNumId="213">
    <w:nsid w:val="556B69ED"/>
    <w:multiLevelType w:val="hybridMultilevel"/>
    <w:lvl w:ilvl="0">
      <w:lvlJc w:val="left"/>
      <w:lvlText w:val="["/>
      <w:numFmt w:val="bullet"/>
      <w:start w:val="1"/>
    </w:lvl>
  </w:abstractNum>
  <w:abstractNum w:abstractNumId="214">
    <w:nsid w:val="70836196"/>
    <w:multiLevelType w:val="hybridMultilevel"/>
    <w:lvl w:ilvl="0">
      <w:lvlJc w:val="left"/>
      <w:lvlText w:val="%1."/>
      <w:numFmt w:val="decimal"/>
      <w:start w:val="5"/>
    </w:lvl>
  </w:abstractNum>
  <w:abstractNum w:abstractNumId="215">
    <w:nsid w:val="539F7F12"/>
    <w:multiLevelType w:val="hybridMultilevel"/>
    <w:lvl w:ilvl="0">
      <w:lvlJc w:val="left"/>
      <w:lvlText w:val="["/>
      <w:numFmt w:val="bullet"/>
      <w:start w:val="1"/>
    </w:lvl>
  </w:abstractNum>
  <w:abstractNum w:abstractNumId="216">
    <w:nsid w:val="2817E7EC"/>
    <w:multiLevelType w:val="hybridMultilevel"/>
    <w:lvl w:ilvl="0">
      <w:lvlJc w:val="left"/>
      <w:lvlText w:val="%1."/>
      <w:numFmt w:val="decimal"/>
      <w:start w:val="1"/>
    </w:lvl>
  </w:abstractNum>
  <w:abstractNum w:abstractNumId="217">
    <w:nsid w:val="71482545"/>
    <w:multiLevelType w:val="hybridMultilevel"/>
    <w:lvl w:ilvl="0">
      <w:lvlJc w:val="left"/>
      <w:lvlText w:val="["/>
      <w:numFmt w:val="bullet"/>
      <w:start w:val="1"/>
    </w:lvl>
  </w:abstractNum>
  <w:abstractNum w:abstractNumId="218">
    <w:nsid w:val="17D78639"/>
    <w:multiLevelType w:val="hybridMultilevel"/>
    <w:lvl w:ilvl="0">
      <w:lvlJc w:val="left"/>
      <w:lvlText w:val="%1."/>
      <w:numFmt w:val="decimal"/>
      <w:start w:val="1"/>
    </w:lvl>
  </w:abstractNum>
  <w:abstractNum w:abstractNumId="219">
    <w:nsid w:val="141D2302"/>
    <w:multiLevelType w:val="hybridMultilevel"/>
    <w:lvl w:ilvl="0">
      <w:lvlJc w:val="left"/>
      <w:lvlText w:val="%1."/>
      <w:numFmt w:val="decimal"/>
      <w:start w:val="2"/>
    </w:lvl>
  </w:abstractNum>
  <w:abstractNum w:abstractNumId="220">
    <w:nsid w:val="407168D8"/>
    <w:multiLevelType w:val="hybridMultilevel"/>
    <w:lvl w:ilvl="0">
      <w:lvlJc w:val="left"/>
      <w:lvlText w:val="•"/>
      <w:numFmt w:val="bullet"/>
      <w:start w:val="1"/>
    </w:lvl>
  </w:abstractNum>
  <w:abstractNum w:abstractNumId="221">
    <w:nsid w:val="6A1B45E5"/>
    <w:multiLevelType w:val="hybridMultilevel"/>
    <w:lvl w:ilvl="0">
      <w:lvlJc w:val="left"/>
      <w:lvlText w:val="%1."/>
      <w:numFmt w:val="decimal"/>
      <w:start w:val="3"/>
    </w:lvl>
  </w:abstractNum>
  <w:abstractNum w:abstractNumId="222">
    <w:nsid w:val="567BD50A"/>
    <w:multiLevelType w:val="hybridMultilevel"/>
    <w:lvl w:ilvl="0">
      <w:lvlJc w:val="left"/>
      <w:lvlText w:val="%1."/>
      <w:numFmt w:val="decimal"/>
      <w:start w:val="4"/>
    </w:lvl>
  </w:abstractNum>
  <w:abstractNum w:abstractNumId="223">
    <w:nsid w:val="73BBD7F8"/>
    <w:multiLevelType w:val="hybridMultilevel"/>
    <w:lvl w:ilvl="0">
      <w:lvlJc w:val="left"/>
      <w:lvlText w:val="%1."/>
      <w:numFmt w:val="decimal"/>
      <w:start w:val="5"/>
    </w:lvl>
  </w:abstractNum>
  <w:abstractNum w:abstractNumId="224">
    <w:nsid w:val="1876589D"/>
    <w:multiLevelType w:val="hybridMultilevel"/>
    <w:lvl w:ilvl="0">
      <w:lvlJc w:val="left"/>
      <w:lvlText w:val="•"/>
      <w:numFmt w:val="bullet"/>
      <w:start w:val="1"/>
    </w:lvl>
  </w:abstractNum>
  <w:abstractNum w:abstractNumId="225">
    <w:nsid w:val="327FAC77"/>
    <w:multiLevelType w:val="hybridMultilevel"/>
    <w:lvl w:ilvl="0">
      <w:lvlJc w:val="left"/>
      <w:lvlText w:val="•"/>
      <w:numFmt w:val="bullet"/>
      <w:start w:val="1"/>
    </w:lvl>
  </w:abstractNum>
  <w:abstractNum w:abstractNumId="226">
    <w:nsid w:val="5A606509"/>
    <w:multiLevelType w:val="hybridMultilevel"/>
    <w:lvl w:ilvl="0">
      <w:lvlJc w:val="left"/>
      <w:lvlText w:val="%1."/>
      <w:numFmt w:val="decimal"/>
      <w:start w:val="6"/>
    </w:lvl>
  </w:abstractNum>
  <w:abstractNum w:abstractNumId="227">
    <w:nsid w:val="6F38E6D1"/>
    <w:multiLevelType w:val="hybridMultilevel"/>
    <w:lvl w:ilvl="0">
      <w:lvlJc w:val="left"/>
      <w:lvlText w:val="%1."/>
      <w:numFmt w:val="decimal"/>
      <w:start w:val="7"/>
    </w:lvl>
  </w:abstractNum>
  <w:abstractNum w:abstractNumId="228">
    <w:nsid w:val="46111BA5"/>
    <w:multiLevelType w:val="hybridMultilevel"/>
    <w:lvl w:ilvl="0">
      <w:lvlJc w:val="left"/>
      <w:lvlText w:val="%1."/>
      <w:numFmt w:val="decimal"/>
      <w:start w:val="8"/>
    </w:lvl>
  </w:abstractNum>
  <w:abstractNum w:abstractNumId="229">
    <w:nsid w:val="5E963896"/>
    <w:multiLevelType w:val="hybridMultilevel"/>
    <w:lvl w:ilvl="0">
      <w:lvlJc w:val="left"/>
      <w:lvlText w:val="%1."/>
      <w:numFmt w:val="decimal"/>
      <w:start w:val="9"/>
    </w:lvl>
  </w:abstractNum>
  <w:abstractNum w:abstractNumId="230">
    <w:nsid w:val="775BA7C1"/>
    <w:multiLevelType w:val="hybridMultilevel"/>
    <w:lvl w:ilvl="0">
      <w:lvlJc w:val="left"/>
      <w:lvlText w:val="%1."/>
      <w:numFmt w:val="decimal"/>
      <w:start w:val="10"/>
    </w:lvl>
  </w:abstractNum>
  <w:abstractNum w:abstractNumId="231">
    <w:nsid w:val="1DD6D6F4"/>
    <w:multiLevelType w:val="hybridMultilevel"/>
    <w:lvl w:ilvl="0">
      <w:lvlJc w:val="left"/>
      <w:lvlText w:val="%1."/>
      <w:numFmt w:val="decimal"/>
      <w:start w:val="11"/>
    </w:lvl>
  </w:abstractNum>
  <w:abstractNum w:abstractNumId="232">
    <w:nsid w:val="769A091F"/>
    <w:multiLevelType w:val="hybridMultilevel"/>
    <w:lvl w:ilvl="0">
      <w:lvlJc w:val="left"/>
      <w:lvlText w:val="%1."/>
      <w:numFmt w:val="decimal"/>
      <w:start w:val="12"/>
    </w:lvl>
  </w:abstractNum>
  <w:abstractNum w:abstractNumId="233">
    <w:nsid w:val="4695AE95"/>
    <w:multiLevelType w:val="hybridMultilevel"/>
    <w:lvl w:ilvl="0">
      <w:lvlJc w:val="left"/>
      <w:lvlText w:val="%1."/>
      <w:numFmt w:val="decimal"/>
      <w:start w:val="13"/>
    </w:lvl>
  </w:abstractNum>
  <w:abstractNum w:abstractNumId="234">
    <w:nsid w:val="777A4EAA"/>
    <w:multiLevelType w:val="hybridMultilevel"/>
    <w:lvl w:ilvl="0">
      <w:lvlJc w:val="left"/>
      <w:lvlText w:val="%1."/>
      <w:numFmt w:val="decimal"/>
      <w:start w:val="14"/>
    </w:lvl>
  </w:abstractNum>
  <w:abstractNum w:abstractNumId="235">
    <w:nsid w:val="3F48B982"/>
    <w:multiLevelType w:val="hybridMultilevel"/>
    <w:lvl w:ilvl="0">
      <w:lvlJc w:val="left"/>
      <w:lvlText w:val="%1."/>
      <w:numFmt w:val="decimal"/>
      <w:start w:val="15"/>
    </w:lvl>
  </w:abstractNum>
  <w:abstractNum w:abstractNumId="236">
    <w:nsid w:val="46BA8FCA"/>
    <w:multiLevelType w:val="hybridMultilevel"/>
    <w:lvl w:ilvl="0">
      <w:lvlJc w:val="left"/>
      <w:lvlText w:val="%1."/>
      <w:numFmt w:val="decimal"/>
      <w:start w:val="1"/>
    </w:lvl>
  </w:abstractNum>
  <w:abstractNum w:abstractNumId="237">
    <w:nsid w:val="7835626C"/>
    <w:multiLevelType w:val="hybridMultilevel"/>
    <w:lvl w:ilvl="0">
      <w:lvlJc w:val="left"/>
      <w:lvlText w:val="%1."/>
      <w:numFmt w:val="decimal"/>
      <w:start w:val="2"/>
    </w:lvl>
  </w:abstractNum>
  <w:abstractNum w:abstractNumId="238">
    <w:nsid w:val="665ACA49"/>
    <w:multiLevelType w:val="hybridMultilevel"/>
    <w:lvl w:ilvl="0">
      <w:lvlJc w:val="left"/>
      <w:lvlText w:val="%1."/>
      <w:numFmt w:val="decimal"/>
      <w:start w:val="3"/>
    </w:lvl>
  </w:abstractNum>
  <w:abstractNum w:abstractNumId="239">
    <w:nsid w:val="6835B2AE"/>
    <w:multiLevelType w:val="hybridMultilevel"/>
    <w:lvl w:ilvl="0">
      <w:lvlJc w:val="left"/>
      <w:lvlText w:val="%1."/>
      <w:numFmt w:val="decimal"/>
      <w:start w:val="4"/>
    </w:lvl>
  </w:abstractNum>
  <w:abstractNum w:abstractNumId="240">
    <w:nsid w:val="4C187C90"/>
    <w:multiLevelType w:val="hybridMultilevel"/>
    <w:lvl w:ilvl="0">
      <w:lvlJc w:val="left"/>
      <w:lvlText w:val="%1."/>
      <w:numFmt w:val="decimal"/>
      <w:start w:val="5"/>
    </w:lvl>
  </w:abstractNum>
  <w:abstractNum w:abstractNumId="241">
    <w:nsid w:val="541F28CD"/>
    <w:multiLevelType w:val="hybridMultilevel"/>
    <w:lvl w:ilvl="0">
      <w:lvlJc w:val="left"/>
      <w:lvlText w:val="%1."/>
      <w:numFmt w:val="decimal"/>
      <w:start w:val="6"/>
    </w:lvl>
  </w:abstractNum>
  <w:abstractNum w:abstractNumId="242">
    <w:nsid w:val="7F65FD16"/>
    <w:multiLevelType w:val="hybridMultilevel"/>
    <w:lvl w:ilvl="0">
      <w:lvlJc w:val="left"/>
      <w:lvlText w:val="%1."/>
      <w:numFmt w:val="decimal"/>
      <w:start w:val="7"/>
    </w:lvl>
  </w:abstractNum>
  <w:abstractNum w:abstractNumId="243">
    <w:nsid w:val="77C9FD68"/>
    <w:multiLevelType w:val="hybridMultilevel"/>
    <w:lvl w:ilvl="0">
      <w:lvlJc w:val="left"/>
      <w:lvlText w:val="%1."/>
      <w:numFmt w:val="decimal"/>
      <w:start w:val="8"/>
    </w:lvl>
  </w:abstractNum>
  <w:abstractNum w:abstractNumId="244">
    <w:nsid w:val="298A92BA"/>
    <w:multiLevelType w:val="hybridMultilevel"/>
    <w:lvl w:ilvl="0">
      <w:lvlJc w:val="left"/>
      <w:lvlText w:val="%1."/>
      <w:numFmt w:val="decimal"/>
      <w:start w:val="9"/>
    </w:lvl>
  </w:abstractNum>
  <w:abstractNum w:abstractNumId="245">
    <w:nsid w:val="6FE95EAC"/>
    <w:multiLevelType w:val="hybridMultilevel"/>
    <w:lvl w:ilvl="0">
      <w:lvlJc w:val="left"/>
      <w:lvlText w:val="%1."/>
      <w:numFmt w:val="decimal"/>
      <w:start w:val="10"/>
    </w:lvl>
  </w:abstractNum>
  <w:abstractNum w:abstractNumId="246">
    <w:nsid w:val="4B697C7A"/>
    <w:multiLevelType w:val="hybridMultilevel"/>
    <w:lvl w:ilvl="0">
      <w:lvlJc w:val="left"/>
      <w:lvlText w:val="%1."/>
      <w:numFmt w:val="decimal"/>
      <w:start w:val="11"/>
    </w:lvl>
  </w:abstractNum>
  <w:abstractNum w:abstractNumId="247">
    <w:nsid w:val="51A27AA6"/>
    <w:multiLevelType w:val="hybridMultilevel"/>
    <w:lvl w:ilvl="0">
      <w:lvlJc w:val="left"/>
      <w:lvlText w:val="%1."/>
      <w:numFmt w:val="decimal"/>
      <w:start w:val="12"/>
    </w:lvl>
  </w:abstractNum>
  <w:abstractNum w:abstractNumId="248">
    <w:nsid w:val="613183F2"/>
    <w:multiLevelType w:val="hybridMultilevel"/>
    <w:lvl w:ilvl="0">
      <w:lvlJc w:val="left"/>
      <w:lvlText w:val="%1."/>
      <w:numFmt w:val="decimal"/>
      <w:start w:val="13"/>
    </w:lvl>
  </w:abstractNum>
  <w:abstractNum w:abstractNumId="249">
    <w:nsid w:val="634102B4"/>
    <w:multiLevelType w:val="hybridMultilevel"/>
    <w:lvl w:ilvl="0">
      <w:lvlJc w:val="left"/>
      <w:lvlText w:val="%1."/>
      <w:numFmt w:val="decimal"/>
      <w:start w:val="14"/>
    </w:lvl>
  </w:abstractNum>
  <w:abstractNum w:abstractNumId="250">
    <w:nsid w:val="65BF9DA8"/>
    <w:multiLevelType w:val="hybridMultilevel"/>
    <w:lvl w:ilvl="0">
      <w:lvlJc w:val="left"/>
      <w:lvlText w:val="%1."/>
      <w:numFmt w:val="decimal"/>
      <w:start w:val="15"/>
    </w:lvl>
  </w:abstractNum>
  <w:abstractNum w:abstractNumId="251">
    <w:nsid w:val="21A2ECCA"/>
    <w:multiLevelType w:val="hybridMultilevel"/>
    <w:lvl w:ilvl="0">
      <w:lvlJc w:val="left"/>
      <w:lvlText w:val="%1."/>
      <w:numFmt w:val="decimal"/>
      <w:start w:val="16"/>
    </w:lvl>
  </w:abstractNum>
  <w:abstractNum w:abstractNumId="252">
    <w:nsid w:val="4D5C4899"/>
    <w:multiLevelType w:val="hybridMultilevel"/>
    <w:lvl w:ilvl="0">
      <w:lvlJc w:val="left"/>
      <w:lvlText w:val="%1."/>
      <w:numFmt w:val="decimal"/>
      <w:start w:val="17"/>
    </w:lvl>
  </w:abstractNum>
  <w:abstractNum w:abstractNumId="253">
    <w:nsid w:val="3C3B72B2"/>
    <w:multiLevelType w:val="hybridMultilevel"/>
    <w:lvl w:ilvl="0">
      <w:lvlJc w:val="left"/>
      <w:lvlText w:val="%1."/>
      <w:numFmt w:val="decimal"/>
      <w:start w:val="18"/>
    </w:lvl>
  </w:abstractNum>
  <w:abstractNum w:abstractNumId="254">
    <w:nsid w:val="155EC4C2"/>
    <w:multiLevelType w:val="hybridMultilevel"/>
    <w:lvl w:ilvl="0">
      <w:lvlJc w:val="left"/>
      <w:lvlText w:val="%1."/>
      <w:numFmt w:val="decimal"/>
      <w:start w:val="19"/>
    </w:lvl>
    <w:lvl w:ilvl="1">
      <w:lvlJc w:val="left"/>
      <w:lvlText w:val="%2:"/>
      <w:numFmt w:val="upperLetter"/>
      <w:start w:val="1"/>
    </w:lvl>
  </w:abstractNum>
  <w:abstractNum w:abstractNumId="255">
    <w:nsid w:val="65D2A137"/>
    <w:multiLevelType w:val="hybridMultilevel"/>
    <w:lvl w:ilvl="0">
      <w:lvlJc w:val="left"/>
      <w:lvlText w:val="%1."/>
      <w:numFmt w:val="decimal"/>
      <w:start w:val="21"/>
    </w:lvl>
  </w:abstractNum>
  <w:abstractNum w:abstractNumId="256">
    <w:nsid w:val="6EBB1F2A"/>
    <w:multiLevelType w:val="hybridMultilevel"/>
    <w:lvl w:ilvl="0">
      <w:lvlJc w:val="left"/>
      <w:lvlText w:val="%1."/>
      <w:numFmt w:val="decimal"/>
      <w:start w:val="22"/>
    </w:lvl>
  </w:abstractNum>
  <w:abstractNum w:abstractNumId="257">
    <w:nsid w:val="6FBF29CB"/>
    <w:multiLevelType w:val="hybridMultilevel"/>
    <w:lvl w:ilvl="0">
      <w:lvlJc w:val="left"/>
      <w:lvlText w:val="%1."/>
      <w:numFmt w:val="decimal"/>
      <w:start w:val="23"/>
    </w:lvl>
  </w:abstractNum>
  <w:abstractNum w:abstractNumId="258">
    <w:nsid w:val="550B8808"/>
    <w:multiLevelType w:val="hybridMultilevel"/>
    <w:lvl w:ilvl="0">
      <w:lvlJc w:val="left"/>
      <w:lvlText w:val="%1."/>
      <w:numFmt w:val="decimal"/>
      <w:start w:val="24"/>
    </w:lvl>
  </w:abstractNum>
  <w:abstractNum w:abstractNumId="259">
    <w:nsid w:val="34CC3ACF"/>
    <w:multiLevelType w:val="hybridMultilevel"/>
    <w:lvl w:ilvl="0">
      <w:lvlJc w:val="left"/>
      <w:lvlText w:val="%1."/>
      <w:numFmt w:val="decimal"/>
      <w:start w:val="25"/>
    </w:lvl>
  </w:abstractNum>
  <w:abstractNum w:abstractNumId="260">
    <w:nsid w:val="4E556261"/>
    <w:multiLevelType w:val="hybridMultilevel"/>
    <w:lvl w:ilvl="0">
      <w:lvlJc w:val="left"/>
      <w:lvlText w:val="%1."/>
      <w:numFmt w:val="decimal"/>
      <w:start w:val="28"/>
    </w:lvl>
  </w:abstractNum>
  <w:abstractNum w:abstractNumId="261">
    <w:nsid w:val="4C672FC9"/>
    <w:multiLevelType w:val="hybridMultilevel"/>
    <w:lvl w:ilvl="0">
      <w:lvlJc w:val="left"/>
      <w:lvlText w:val="%1."/>
      <w:numFmt w:val="decimal"/>
      <w:start w:val="29"/>
    </w:lvl>
  </w:abstractNum>
  <w:abstractNum w:abstractNumId="262">
    <w:nsid w:val="52A311C3"/>
    <w:multiLevelType w:val="hybridMultilevel"/>
    <w:lvl w:ilvl="0">
      <w:lvlJc w:val="left"/>
      <w:lvlText w:val="(%1)"/>
      <w:numFmt w:val="decimal"/>
      <w:start w:val="1"/>
    </w:lvl>
  </w:abstractNum>
  <w:abstractNum w:abstractNumId="263">
    <w:nsid w:val="44EF6B80"/>
    <w:multiLevelType w:val="hybridMultilevel"/>
    <w:lvl w:ilvl="0">
      <w:lvlJc w:val="left"/>
      <w:lvlText w:val="%1."/>
      <w:numFmt w:val="decimal"/>
      <w:start w:val="1"/>
    </w:lvl>
    <w:lvl w:ilvl="1">
      <w:lvlJc w:val="left"/>
      <w:lvlText w:val="(%2)"/>
      <w:numFmt w:val="lowerLetter"/>
      <w:start w:val="1"/>
    </w:lvl>
  </w:abstractNum>
  <w:abstractNum w:abstractNumId="264">
    <w:nsid w:val="12FCDE5E"/>
    <w:multiLevelType w:val="hybridMultilevel"/>
    <w:lvl w:ilvl="0">
      <w:lvlJc w:val="left"/>
      <w:lvlText w:val="%1."/>
      <w:numFmt w:val="decimal"/>
      <w:start w:val="1"/>
    </w:lvl>
    <w:lvl w:ilvl="1">
      <w:lvlJc w:val="left"/>
      <w:lvlText w:val="(%2)"/>
      <w:numFmt w:val="lowerLetter"/>
      <w:start w:val="1"/>
    </w:lvl>
  </w:abstractNum>
  <w:abstractNum w:abstractNumId="265">
    <w:nsid w:val="4A1D606E"/>
    <w:multiLevelType w:val="hybridMultilevel"/>
    <w:lvl w:ilvl="0">
      <w:lvlJc w:val="left"/>
      <w:lvlText w:val="(%1)"/>
      <w:numFmt w:val="decimal"/>
      <w:start w:val="1"/>
    </w:lvl>
  </w:abstractNum>
  <w:abstractNum w:abstractNumId="266">
    <w:nsid w:val="4382503"/>
    <w:multiLevelType w:val="hybridMultilevel"/>
    <w:lvl w:ilvl="0">
      <w:lvlJc w:val="left"/>
      <w:lvlText w:val="(%1)"/>
      <w:numFmt w:val="decimal"/>
      <w:start w:val="1"/>
    </w:lvl>
  </w:abstractNum>
  <w:abstractNum w:abstractNumId="267">
    <w:nsid w:val="59B76E28"/>
    <w:multiLevelType w:val="hybridMultilevel"/>
    <w:lvl w:ilvl="0">
      <w:lvlJc w:val="left"/>
      <w:lvlText w:val="%1."/>
      <w:numFmt w:val="decimal"/>
      <w:start w:val="1"/>
    </w:lvl>
  </w:abstractNum>
  <w:abstractNum w:abstractNumId="268">
    <w:nsid w:val="4252C2DA"/>
    <w:multiLevelType w:val="hybridMultilevel"/>
    <w:lvl w:ilvl="0">
      <w:lvlJc w:val="left"/>
      <w:lvlText w:val="%1."/>
      <w:numFmt w:val="decimal"/>
      <w:start w:val="2"/>
    </w:lvl>
  </w:abstractNum>
  <w:abstractNum w:abstractNumId="269">
    <w:nsid w:val="6A92EF4C"/>
    <w:multiLevelType w:val="hybridMultilevel"/>
    <w:lvl w:ilvl="0">
      <w:lvlJc w:val="left"/>
      <w:lvlText w:val="%1."/>
      <w:numFmt w:val="decimal"/>
      <w:start w:val="3"/>
    </w:lvl>
  </w:abstractNum>
  <w:abstractNum w:abstractNumId="270">
    <w:nsid w:val="41ED20D7"/>
    <w:multiLevelType w:val="hybridMultilevel"/>
    <w:lvl w:ilvl="0">
      <w:lvlJc w:val="left"/>
      <w:lvlText w:val="%1."/>
      <w:numFmt w:val="decimal"/>
      <w:start w:val="4"/>
    </w:lvl>
    <w:lvl w:ilvl="1">
      <w:lvlJc w:val="left"/>
      <w:lvlText w:val="(%2)"/>
      <w:numFmt w:val="lowerLetter"/>
      <w:start w:val="1"/>
    </w:lvl>
  </w:abstractNum>
  <w:abstractNum w:abstractNumId="271">
    <w:nsid w:val="E6B3F6A"/>
    <w:multiLevelType w:val="hybridMultilevel"/>
    <w:lvl w:ilvl="0">
      <w:lvlJc w:val="left"/>
      <w:lvlText w:val="(%1)"/>
      <w:numFmt w:val="lowerLetter"/>
      <w:start w:val="2"/>
    </w:lvl>
    <w:lvl w:ilvl="1">
      <w:lvlJc w:val="left"/>
      <w:lvlText w:val="(%2)"/>
      <w:numFmt w:val="lowerRoman"/>
      <w:start w:val="1"/>
    </w:lvl>
  </w:abstractNum>
  <w:abstractNum w:abstractNumId="272">
    <w:nsid w:val="3EB21819"/>
    <w:multiLevelType w:val="hybridMultilevel"/>
    <w:lvl w:ilvl="0">
      <w:lvlJc w:val="left"/>
      <w:lvlText w:val="%1"/>
      <w:numFmt w:val="decimal"/>
      <w:start w:val="1"/>
    </w:lvl>
    <w:lvl w:ilvl="1">
      <w:lvlJc w:val="left"/>
      <w:lvlText w:val="(%2)"/>
      <w:numFmt w:val="lowerLetter"/>
      <w:start w:val="7"/>
    </w:lvl>
  </w:abstractNum>
  <w:abstractNum w:abstractNumId="273">
    <w:nsid w:val="41531DED"/>
    <w:multiLevelType w:val="hybridMultilevel"/>
    <w:lvl w:ilvl="0">
      <w:lvlJc w:val="left"/>
      <w:lvlText w:val="%1."/>
      <w:numFmt w:val="decimal"/>
      <w:start w:val="5"/>
    </w:lvl>
    <w:lvl w:ilvl="1">
      <w:lvlJc w:val="left"/>
      <w:lvlText w:val="%2"/>
      <w:numFmt w:val="lowerLetter"/>
      <w:start w:val="1"/>
    </w:lvl>
  </w:abstractNum>
  <w:abstractNum w:abstractNumId="274">
    <w:nsid w:val="6353CD2"/>
    <w:multiLevelType w:val="hybridMultilevel"/>
    <w:lvl w:ilvl="0">
      <w:lvlJc w:val="left"/>
      <w:lvlText w:val="%1."/>
      <w:numFmt w:val="decimal"/>
      <w:start w:val="6"/>
    </w:lvl>
  </w:abstractNum>
  <w:abstractNum w:abstractNumId="275">
    <w:nsid w:val="683CAAD3"/>
    <w:multiLevelType w:val="hybridMultilevel"/>
    <w:lvl w:ilvl="0">
      <w:lvlJc w:val="left"/>
      <w:lvlText w:val="%1."/>
      <w:numFmt w:val="decimal"/>
      <w:start w:val="7"/>
    </w:lvl>
  </w:abstractNum>
  <w:abstractNum w:abstractNumId="276">
    <w:nsid w:val="313C7C99"/>
    <w:multiLevelType w:val="hybridMultilevel"/>
    <w:lvl w:ilvl="0">
      <w:lvlJc w:val="left"/>
      <w:lvlText w:val="%1."/>
      <w:numFmt w:val="decimal"/>
      <w:start w:val="8"/>
    </w:lvl>
  </w:abstractNum>
  <w:abstractNum w:abstractNumId="277">
    <w:nsid w:val="519EB94C"/>
    <w:multiLevelType w:val="hybridMultilevel"/>
    <w:lvl w:ilvl="0">
      <w:lvlJc w:val="left"/>
      <w:lvlText w:val="%1."/>
      <w:numFmt w:val="decimal"/>
      <w:start w:val="9"/>
    </w:lvl>
  </w:abstractNum>
  <w:abstractNum w:abstractNumId="278">
    <w:nsid w:val="39DF257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447" Type="http://schemas.openxmlformats.org/officeDocument/2006/relationships/image" Target="media/image409.png"/><Relationship Id="rId448" Type="http://schemas.openxmlformats.org/officeDocument/2006/relationships/image" Target="media/image410.png"/><Relationship Id="rId449" Type="http://schemas.openxmlformats.org/officeDocument/2006/relationships/image" Target="media/image411.png"/><Relationship Id="rId450" Type="http://schemas.openxmlformats.org/officeDocument/2006/relationships/image" Target="media/image412.png"/><Relationship Id="rId451" Type="http://schemas.openxmlformats.org/officeDocument/2006/relationships/image" Target="media/image413.png"/><Relationship Id="rId452" Type="http://schemas.openxmlformats.org/officeDocument/2006/relationships/image" Target="media/image414.png"/><Relationship Id="rId453" Type="http://schemas.openxmlformats.org/officeDocument/2006/relationships/image" Target="media/image415.png"/><Relationship Id="rId454" Type="http://schemas.openxmlformats.org/officeDocument/2006/relationships/image" Target="media/image416.png"/><Relationship Id="rId455" Type="http://schemas.openxmlformats.org/officeDocument/2006/relationships/image" Target="media/image417.png"/><Relationship Id="rId456" Type="http://schemas.openxmlformats.org/officeDocument/2006/relationships/image" Target="media/image418.png"/><Relationship Id="rId457" Type="http://schemas.openxmlformats.org/officeDocument/2006/relationships/image" Target="media/image419.png"/><Relationship Id="rId458" Type="http://schemas.openxmlformats.org/officeDocument/2006/relationships/image" Target="media/image420.png"/><Relationship Id="rId459" Type="http://schemas.openxmlformats.org/officeDocument/2006/relationships/image" Target="media/image421.png"/><Relationship Id="rId460" Type="http://schemas.openxmlformats.org/officeDocument/2006/relationships/image" Target="media/image422.png"/><Relationship Id="rId461" Type="http://schemas.openxmlformats.org/officeDocument/2006/relationships/image" Target="media/image423.png"/><Relationship Id="rId202" Type="http://schemas.openxmlformats.org/officeDocument/2006/relationships/hyperlink" Target="https://www.sec.gov/Archives/edgar/data/1750284/000119312525002157/d901834dex12.htm" TargetMode="External"/><Relationship Id="rId203" Type="http://schemas.openxmlformats.org/officeDocument/2006/relationships/hyperlink" Target="https://www.sec.gov/Archives/edgar/data/1750284/000110465920128482/tm2027048d18_ex3-1.htm" TargetMode="External"/><Relationship Id="rId204" Type="http://schemas.openxmlformats.org/officeDocument/2006/relationships/hyperlink" Target="https://www.sec.gov/Archives/edgar/data/1750284/000155837022018762/olma-20221215xex3d1.htm" TargetMode="External"/><Relationship Id="rId205" Type="http://schemas.openxmlformats.org/officeDocument/2006/relationships/hyperlink" Target="https://www.sec.gov/Archives/edgar/data/1750284/000110465920125281/tm2027048d10_ex4-1.htm" TargetMode="External"/><Relationship Id="rId206" Type="http://schemas.openxmlformats.org/officeDocument/2006/relationships/hyperlink" Target="https://www.sec.gov/Archives/edgar/data/1750284/000155837021003141/tmb-20201231xex4d3.htm" TargetMode="External"/><Relationship Id="rId207" Type="http://schemas.openxmlformats.org/officeDocument/2006/relationships/hyperlink" Target="https://www.sec.gov/Archives/edgar/data/1750284/000095017024131965/olma-ex4_1.htm" TargetMode="External"/><Relationship Id="rId208" Type="http://schemas.openxmlformats.org/officeDocument/2006/relationships/hyperlink" Target="https://www.sec.gov/Archives/edgar/data/1750284/000119312525004427/d915597dex41.htm" TargetMode="External"/><Relationship Id="rId209" Type="http://schemas.openxmlformats.org/officeDocument/2006/relationships/hyperlink" Target="https://www.sec.gov/Archives/edgar/data/1750284/000110465920119971/tm2027048d8_ex10-1.htm" TargetMode="External"/><Relationship Id="rId210" Type="http://schemas.openxmlformats.org/officeDocument/2006/relationships/hyperlink" Target="https://www.sec.gov/Archives/edgar/data/1750284/000110465920119971/tm2027048d8_ex10-2.htm" TargetMode="External"/><Relationship Id="rId211" Type="http://schemas.openxmlformats.org/officeDocument/2006/relationships/hyperlink" Target="https://www.sec.gov/Archives/edgar/data/1750284/000110465920125281/tm2027048d10_ex10-3.htm" TargetMode="External"/><Relationship Id="rId214" Type="http://schemas.openxmlformats.org/officeDocument/2006/relationships/hyperlink" Target="https://www.sec.gov/Archives/edgar/data/1750284/000110465920119971/tm2027048d8_ex10-4.htm" TargetMode="External"/><Relationship Id="rId215" Type="http://schemas.openxmlformats.org/officeDocument/2006/relationships/hyperlink" Target="https://www.sec.gov/Archives/edgar/data/1750284/000110465920119971/tm2027048d8_ex10-5.htm" TargetMode="External"/><Relationship Id="rId216" Type="http://schemas.openxmlformats.org/officeDocument/2006/relationships/hyperlink" Target="https://www.sec.gov/Archives/edgar/data/1750284/000110465920125281/tm2027048d10_ex10-6.htm" TargetMode="External"/><Relationship Id="rId217" Type="http://schemas.openxmlformats.org/officeDocument/2006/relationships/hyperlink" Target="https://www.sec.gov/Archives/edgar/data/1750284/000110465920125281/tm2027048d10_ex10-7.htm" TargetMode="External"/><Relationship Id="rId218" Type="http://schemas.openxmlformats.org/officeDocument/2006/relationships/hyperlink" Target="https://www.sec.gov/Archives/edgar/data/1750284/000110465920119971/tm2027048d8_ex10-8.htm" TargetMode="External"/><Relationship Id="rId219" Type="http://schemas.openxmlformats.org/officeDocument/2006/relationships/hyperlink" Target="https://www.sec.gov/Archives/edgar/data/1750284/000110465920125281/tm2027048d10_ex10-9.htm" TargetMode="External"/><Relationship Id="rId220" Type="http://schemas.openxmlformats.org/officeDocument/2006/relationships/hyperlink" Target="https://www.sec.gov/Archives/edgar/data/1750284/000110465920125281/tm2027048d10_ex10-12.htm" TargetMode="External"/><Relationship Id="rId221" Type="http://schemas.openxmlformats.org/officeDocument/2006/relationships/hyperlink" Target="https://www.sec.gov/Archives/edgar/data/1750284/000110465920125281/tm2027048d10_ex10-14.htm" TargetMode="External"/><Relationship Id="rId222" Type="http://schemas.openxmlformats.org/officeDocument/2006/relationships/hyperlink" Target="https://www.sec.gov/Archives/edgar/data/1750284/000155837023008815/olma-20230331xex10d1.htm" TargetMode="External"/><Relationship Id="rId223" Type="http://schemas.openxmlformats.org/officeDocument/2006/relationships/hyperlink" Target="https://www.sec.gov/Archives/edgar/data/1750284/000155837023016301/olma-20231009xex10d1.htm" TargetMode="External"/><Relationship Id="rId226" Type="http://schemas.openxmlformats.org/officeDocument/2006/relationships/hyperlink" Target="https://www.sec.gov/Archives/edgar/data/1750284/000155837022002388/olma-20211231xex10d18.htm" TargetMode="External"/><Relationship Id="rId227" Type="http://schemas.openxmlformats.org/officeDocument/2006/relationships/hyperlink" Target="https://www.sec.gov/Archives/edgar/data/1750284/000155837022002388/olma-20211231xex10d19.htm" TargetMode="External"/><Relationship Id="rId228" Type="http://schemas.openxmlformats.org/officeDocument/2006/relationships/hyperlink" Target="https://www.sec.gov/Archives/edgar/data/1750284/000155837022012930/olma-20220630xex10d1.htm" TargetMode="External"/><Relationship Id="rId229" Type="http://schemas.openxmlformats.org/officeDocument/2006/relationships/hyperlink" Target="https://www.sec.gov/Archives/edgar/data/1750284/000155837023015422/olma-20230905xex10d1.htm" TargetMode="External"/><Relationship Id="rId230" Type="http://schemas.openxmlformats.org/officeDocument/2006/relationships/hyperlink" Target="https://www.sec.gov/Archives/edgar/data/1750284/000155837023015422/olma-20230905xex10d2.htm" TargetMode="External"/><Relationship Id="rId231" Type="http://schemas.openxmlformats.org/officeDocument/2006/relationships/hyperlink" Target="https://www.sec.gov/Archives/edgar/data/1750284/000095017024055686/olma-ex10_1.htm" TargetMode="External"/><Relationship Id="rId232" Type="http://schemas.openxmlformats.org/officeDocument/2006/relationships/hyperlink" Target="https://www.sec.gov/Archives/edgar/data/1750284/000095017024091836/olma-ex10_1.htm" TargetMode="External"/><Relationship Id="rId233" Type="http://schemas.openxmlformats.org/officeDocument/2006/relationships/hyperlink" Target="https://www.sec.gov/Archives/edgar/data/1750284/000095017024091836/olma-ex10_2.htm" TargetMode="External"/><Relationship Id="rId236" Type="http://schemas.openxmlformats.org/officeDocument/2006/relationships/hyperlink" Target="https://www.sec.gov/Archives/edgar/data/1750284/000095017024131965/olma-ex10_1.htm" TargetMode="External"/><Relationship Id="rId237" Type="http://schemas.openxmlformats.org/officeDocument/2006/relationships/hyperlink" Target="https://www.sec.gov/Archives/edgar/data/1750284/000095017024029281/olma-ex21_1.htm" TargetMode="External"/><Relationship Id="rId240" Type="http://schemas.openxmlformats.org/officeDocument/2006/relationships/hyperlink" Target="https://www.sec.gov/Archives/edgar/data/1750284/000095017024029281/olm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2025-03-18T15:33:06Z</dcterms:created>
  <dcterms:modified xsi:type="dcterms:W3CDTF">2025-03-18T15:33:06Z</dcterms:modified>
</cp:coreProperties>
</file>